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777" w:rsidRDefault="00767E0A">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B9AC27EF3EE411D96F8535DCE58AAE4" style="width:450.15pt;height:293.2pt">
            <v:imagedata r:id="rId9" o:title=""/>
          </v:shape>
        </w:pict>
      </w:r>
    </w:p>
    <w:bookmarkEnd w:id="0"/>
    <w:p w:rsidR="001D2777" w:rsidRDefault="001D2777">
      <w:pPr>
        <w:rPr>
          <w:noProof/>
        </w:rPr>
        <w:sectPr w:rsidR="001D2777">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299"/>
        </w:sectPr>
      </w:pPr>
    </w:p>
    <w:p w:rsidR="001D2777" w:rsidRDefault="00767E0A">
      <w:pPr>
        <w:pStyle w:val="Title"/>
        <w:rPr>
          <w:noProof/>
        </w:rPr>
      </w:pPr>
      <w:r>
        <w:rPr>
          <w:noProof/>
        </w:rPr>
        <w:lastRenderedPageBreak/>
        <w:t xml:space="preserve">Reflection Paper on the Future of EU finances </w:t>
      </w:r>
    </w:p>
    <w:p w:rsidR="001D2777" w:rsidRDefault="00767E0A">
      <w:pPr>
        <w:pStyle w:val="Heading1"/>
        <w:spacing w:before="120" w:after="240"/>
        <w:ind w:left="709" w:hanging="709"/>
        <w:rPr>
          <w:b w:val="0"/>
          <w:noProof/>
        </w:rPr>
      </w:pPr>
      <w:r>
        <w:rPr>
          <w:noProof/>
        </w:rPr>
        <w:t>1.</w:t>
      </w:r>
      <w:r>
        <w:rPr>
          <w:noProof/>
        </w:rPr>
        <w:tab/>
        <w:t xml:space="preserve">FINANCING EUROPEAN INTEGRATION: THE EVOLUTION OF </w:t>
      </w:r>
      <w:r>
        <w:rPr>
          <w:noProof/>
        </w:rPr>
        <w:t>EU FINANCES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b/>
          <w:noProof/>
          <w:sz w:val="24"/>
        </w:rPr>
        <w:t>The EU budget helps to deliver on the things that matter for Europeans</w:t>
      </w:r>
      <w:r>
        <w:rPr>
          <w:rFonts w:ascii="Times New Roman" w:eastAsia="Calibri" w:hAnsi="Times New Roman" w:cs="Times New Roman"/>
          <w:noProof/>
          <w:sz w:val="24"/>
          <w:szCs w:val="24"/>
        </w:rPr>
        <w:t>. By pooling resources at European level, Member States can achieve more than they could by acting alone. Together with national budgets and a wide array of legislative and r</w:t>
      </w:r>
      <w:r>
        <w:rPr>
          <w:rFonts w:ascii="Times New Roman" w:eastAsia="Calibri" w:hAnsi="Times New Roman" w:cs="Times New Roman"/>
          <w:noProof/>
          <w:sz w:val="24"/>
          <w:szCs w:val="24"/>
        </w:rPr>
        <w:t xml:space="preserve">egulatory instruments, the EU budget supports shared objectives and helps to tackle common challenges.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From the first major common policy – agriculture – in the 1960s until today, the EU budget has changed progressively and in parallel with the building o</w:t>
      </w:r>
      <w:r>
        <w:rPr>
          <w:rFonts w:ascii="Times New Roman" w:eastAsia="Calibri" w:hAnsi="Times New Roman" w:cs="Times New Roman"/>
          <w:noProof/>
          <w:sz w:val="24"/>
          <w:szCs w:val="24"/>
        </w:rPr>
        <w:t>f the European Union.</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noProof/>
          <w:sz w:val="24"/>
        </w:rPr>
        <w:t>In the 1980s and 1990s</w:t>
      </w:r>
      <w:r>
        <w:rPr>
          <w:rFonts w:ascii="Times New Roman" w:eastAsia="Calibri" w:hAnsi="Times New Roman" w:cs="Times New Roman"/>
          <w:noProof/>
          <w:sz w:val="24"/>
          <w:szCs w:val="24"/>
        </w:rPr>
        <w:t>,</w:t>
      </w:r>
      <w:r>
        <w:rPr>
          <w:rFonts w:ascii="Times New Roman" w:hAnsi="Times New Roman"/>
          <w:noProof/>
          <w:sz w:val="24"/>
        </w:rPr>
        <w:t xml:space="preserve"> Member States and</w:t>
      </w:r>
      <w:r>
        <w:rPr>
          <w:rFonts w:ascii="Times New Roman" w:eastAsia="Calibri" w:hAnsi="Times New Roman" w:cs="Times New Roman"/>
          <w:noProof/>
          <w:sz w:val="24"/>
          <w:szCs w:val="24"/>
        </w:rPr>
        <w:t xml:space="preserve"> the</w:t>
      </w:r>
      <w:r>
        <w:rPr>
          <w:rFonts w:ascii="Times New Roman" w:hAnsi="Times New Roman"/>
          <w:noProof/>
          <w:sz w:val="24"/>
        </w:rPr>
        <w:t xml:space="preserve"> European Parliament broadened the scope of EU competences through changes in the Union's founding Treaties</w:t>
      </w:r>
      <w:r>
        <w:rPr>
          <w:rFonts w:ascii="Times New Roman" w:eastAsia="Calibri" w:hAnsi="Times New Roman" w:cs="Times New Roman"/>
          <w:noProof/>
          <w:sz w:val="24"/>
          <w:szCs w:val="24"/>
        </w:rPr>
        <w:t>. Recognising the need to support the new Single Market, they increased the resour</w:t>
      </w:r>
      <w:r>
        <w:rPr>
          <w:rFonts w:ascii="Times New Roman" w:eastAsia="Calibri" w:hAnsi="Times New Roman" w:cs="Times New Roman"/>
          <w:noProof/>
          <w:sz w:val="24"/>
          <w:szCs w:val="24"/>
        </w:rPr>
        <w:t>ces available under the structural funds to support economic, social and territorial</w:t>
      </w:r>
      <w:r>
        <w:rPr>
          <w:rFonts w:ascii="Times New Roman" w:hAnsi="Times New Roman"/>
          <w:noProof/>
          <w:sz w:val="24"/>
        </w:rPr>
        <w:t xml:space="preserve"> cohesion</w:t>
      </w:r>
      <w:r>
        <w:rPr>
          <w:rFonts w:ascii="Times New Roman" w:eastAsia="Calibri" w:hAnsi="Times New Roman" w:cs="Times New Roman"/>
          <w:noProof/>
          <w:sz w:val="24"/>
          <w:szCs w:val="24"/>
        </w:rPr>
        <w:t>. In parallel, the EU enhanced its role</w:t>
      </w:r>
      <w:r>
        <w:rPr>
          <w:rFonts w:ascii="Times New Roman" w:hAnsi="Times New Roman"/>
          <w:noProof/>
          <w:sz w:val="24"/>
        </w:rPr>
        <w:t xml:space="preserve"> </w:t>
      </w:r>
      <w:r>
        <w:rPr>
          <w:rFonts w:ascii="Times New Roman" w:eastAsia="Calibri" w:hAnsi="Times New Roman" w:cs="Times New Roman"/>
          <w:noProof/>
          <w:sz w:val="24"/>
          <w:szCs w:val="24"/>
        </w:rPr>
        <w:t xml:space="preserve">in areas such as transport, space, </w:t>
      </w:r>
      <w:r>
        <w:rPr>
          <w:rFonts w:ascii="Times New Roman" w:hAnsi="Times New Roman" w:cs="Times New Roman"/>
          <w:noProof/>
          <w:sz w:val="24"/>
          <w:szCs w:val="24"/>
        </w:rPr>
        <w:t>health, education and culture, consumer protection, environment, research, justice coope</w:t>
      </w:r>
      <w:r>
        <w:rPr>
          <w:rFonts w:ascii="Times New Roman" w:hAnsi="Times New Roman" w:cs="Times New Roman"/>
          <w:noProof/>
          <w:sz w:val="24"/>
          <w:szCs w:val="24"/>
        </w:rPr>
        <w:t xml:space="preserve">ration and foreign policy.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u w:val="single"/>
        </w:rPr>
        <w:t>Areas financed by the EU budget</w:t>
      </w:r>
      <w:r>
        <w:rPr>
          <w:rFonts w:ascii="Times New Roman" w:hAnsi="Times New Roman" w:cs="Times New Roman"/>
          <w:noProof/>
          <w:sz w:val="24"/>
          <w:szCs w:val="24"/>
        </w:rPr>
        <w:t xml:space="preserve"> (2014-2020)</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In billion Euro</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6370955" cy="442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70955" cy="4425950"/>
                    </a:xfrm>
                    <a:prstGeom prst="rect">
                      <a:avLst/>
                    </a:prstGeom>
                    <a:noFill/>
                  </pic:spPr>
                </pic:pic>
              </a:graphicData>
            </a:graphic>
          </wp:inline>
        </w:drawing>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lang w:val="en-US"/>
        </w:rPr>
        <w:lastRenderedPageBreak/>
        <w:t xml:space="preserve">Note: Commitments; </w:t>
      </w:r>
      <w:r>
        <w:rPr>
          <w:rFonts w:ascii="Times New Roman" w:hAnsi="Times New Roman" w:cs="Times New Roman"/>
          <w:noProof/>
          <w:sz w:val="20"/>
          <w:szCs w:val="24"/>
          <w:u w:val="single"/>
        </w:rPr>
        <w:t>adjusted for 2018</w:t>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Source: European Commission</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Since 2000, the EU budget has been shaped by the arrival of</w:t>
      </w:r>
      <w:r>
        <w:rPr>
          <w:rFonts w:ascii="Times New Roman" w:eastAsia="Calibri" w:hAnsi="Times New Roman" w:cs="Times New Roman"/>
          <w:noProof/>
          <w:sz w:val="24"/>
          <w:szCs w:val="24"/>
        </w:rPr>
        <w:t xml:space="preserve"> 13 new Member States with diverse socioeconomic situations and by successive EU strategies to support jobs and growth. It has also accompanied the growing role of the Union in the international arena, as a leader in the fight against climate change and as</w:t>
      </w:r>
      <w:r>
        <w:rPr>
          <w:rFonts w:ascii="Times New Roman" w:eastAsia="Calibri" w:hAnsi="Times New Roman" w:cs="Times New Roman"/>
          <w:noProof/>
          <w:sz w:val="24"/>
          <w:szCs w:val="24"/>
        </w:rPr>
        <w:t xml:space="preserve"> the largest donor of humanitarian and development aid in the world.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Nevertheless, the EU budget has remained a small part of total public expenditure in the EU, accounting for less than 1% of EU income and only around 2% of EU public expenditure. This sh</w:t>
      </w:r>
      <w:r>
        <w:rPr>
          <w:rFonts w:ascii="Times New Roman" w:eastAsia="Calibri" w:hAnsi="Times New Roman" w:cs="Times New Roman"/>
          <w:noProof/>
          <w:sz w:val="24"/>
          <w:szCs w:val="24"/>
        </w:rPr>
        <w:t xml:space="preserve">are has declined over time. </w:t>
      </w:r>
    </w:p>
    <w:p w:rsidR="001D2777" w:rsidRDefault="00767E0A">
      <w:pPr>
        <w:keepNext/>
        <w:spacing w:after="240"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The EU budget compared to overall EU income and public spending</w:t>
      </w:r>
    </w:p>
    <w:p w:rsidR="001D2777" w:rsidRDefault="00767E0A">
      <w:pPr>
        <w:spacing w:after="24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drawing>
          <wp:inline distT="0" distB="0" distL="0" distR="0">
            <wp:extent cx="2956560" cy="18046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6560" cy="1804670"/>
                    </a:xfrm>
                    <a:prstGeom prst="rect">
                      <a:avLst/>
                    </a:prstGeom>
                    <a:noFill/>
                  </pic:spPr>
                </pic:pic>
              </a:graphicData>
            </a:graphic>
          </wp:inline>
        </w:drawing>
      </w:r>
      <w:r>
        <w:rPr>
          <w:rFonts w:ascii="Times New Roman" w:eastAsia="Calibri" w:hAnsi="Times New Roman" w:cs="Times New Roman"/>
          <w:noProof/>
          <w:sz w:val="24"/>
          <w:szCs w:val="24"/>
        </w:rPr>
        <w:tab/>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Source: European Commission</w:t>
      </w:r>
    </w:p>
    <w:p w:rsidR="001D2777" w:rsidRDefault="001D2777">
      <w:pPr>
        <w:spacing w:after="240" w:line="240" w:lineRule="auto"/>
        <w:rPr>
          <w:rFonts w:ascii="Times New Roman" w:eastAsia="Calibri" w:hAnsi="Times New Roman" w:cs="Times New Roman"/>
          <w:noProof/>
          <w:sz w:val="24"/>
          <w:szCs w:val="24"/>
        </w:rPr>
      </w:pPr>
    </w:p>
    <w:p w:rsidR="001D2777" w:rsidRDefault="00767E0A">
      <w:pPr>
        <w:keepNext/>
        <w:spacing w:after="240" w:line="240" w:lineRule="auto"/>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The size of the EU budget as percentage of gross national income</w:t>
      </w:r>
    </w:p>
    <w:p w:rsidR="001D2777" w:rsidRDefault="00767E0A">
      <w:pPr>
        <w:spacing w:after="24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drawing>
          <wp:inline distT="0" distB="0" distL="0" distR="0">
            <wp:extent cx="2767965" cy="19145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7965" cy="1914525"/>
                    </a:xfrm>
                    <a:prstGeom prst="rect">
                      <a:avLst/>
                    </a:prstGeom>
                    <a:noFill/>
                  </pic:spPr>
                </pic:pic>
              </a:graphicData>
            </a:graphic>
          </wp:inline>
        </w:drawing>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Source: European Commission</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This decline has put increased pressure on the EU budget to be more efficient, to focus on the areas where its impact is greatest and to ensure that burdensome rules and procedures do not get in the way of results. </w:t>
      </w:r>
    </w:p>
    <w:p w:rsidR="001D2777" w:rsidRDefault="00767E0A">
      <w:pPr>
        <w:spacing w:after="240" w:line="240" w:lineRule="auto"/>
        <w:jc w:val="both"/>
        <w:rPr>
          <w:rFonts w:ascii="Times New Roman" w:eastAsia="Calibri" w:hAnsi="Times New Roman" w:cs="Times New Roman"/>
          <w:i/>
          <w:noProof/>
          <w:sz w:val="24"/>
          <w:szCs w:val="24"/>
        </w:rPr>
      </w:pPr>
      <w:r>
        <w:rPr>
          <w:rFonts w:ascii="Times New Roman" w:eastAsia="Calibri" w:hAnsi="Times New Roman" w:cs="Times New Roman"/>
          <w:noProof/>
          <w:sz w:val="24"/>
          <w:szCs w:val="24"/>
        </w:rPr>
        <w:t>Over time, the composition of the EU bud</w:t>
      </w:r>
      <w:r>
        <w:rPr>
          <w:rFonts w:ascii="Times New Roman" w:eastAsia="Calibri" w:hAnsi="Times New Roman" w:cs="Times New Roman"/>
          <w:noProof/>
          <w:sz w:val="24"/>
          <w:szCs w:val="24"/>
        </w:rPr>
        <w:t>get has evolved. While the share of agricultural and cohesion spending has declined over time, combined it remains above 70% of the total. Spending has increasingly focused on areas such as research, Trans-European networks, and external action, and on pro</w:t>
      </w:r>
      <w:r>
        <w:rPr>
          <w:rFonts w:ascii="Times New Roman" w:eastAsia="Calibri" w:hAnsi="Times New Roman" w:cs="Times New Roman"/>
          <w:noProof/>
          <w:sz w:val="24"/>
          <w:szCs w:val="24"/>
        </w:rPr>
        <w:t>grammes directly managed at European level.</w:t>
      </w:r>
      <w:r>
        <w:rPr>
          <w:rFonts w:ascii="Times New Roman" w:eastAsia="Calibri" w:hAnsi="Times New Roman" w:cs="Times New Roman"/>
          <w:i/>
          <w:noProof/>
          <w:sz w:val="24"/>
          <w:szCs w:val="24"/>
        </w:rPr>
        <w:t xml:space="preserve"> </w:t>
      </w:r>
    </w:p>
    <w:p w:rsidR="001D2777" w:rsidRDefault="00767E0A">
      <w:pPr>
        <w:keepNext/>
        <w:spacing w:after="240"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lastRenderedPageBreak/>
        <w:t>Evolution of main policy areas in the EU budget</w:t>
      </w:r>
    </w:p>
    <w:p w:rsidR="001D2777" w:rsidRDefault="001D2777">
      <w:pPr>
        <w:keepNext/>
        <w:spacing w:after="240" w:line="240" w:lineRule="auto"/>
        <w:jc w:val="both"/>
        <w:rPr>
          <w:rFonts w:ascii="Times New Roman" w:eastAsia="Calibri" w:hAnsi="Times New Roman" w:cs="Times New Roman"/>
          <w:noProof/>
          <w:sz w:val="24"/>
          <w:szCs w:val="24"/>
          <w:u w:val="single"/>
        </w:rPr>
      </w:pP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drawing>
          <wp:inline distT="0" distB="0" distL="0" distR="0">
            <wp:extent cx="6242685" cy="248158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42685" cy="2481580"/>
                    </a:xfrm>
                    <a:prstGeom prst="rect">
                      <a:avLst/>
                    </a:prstGeom>
                    <a:noFill/>
                  </pic:spPr>
                </pic:pic>
              </a:graphicData>
            </a:graphic>
          </wp:inline>
        </w:drawing>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Source: European Commission</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During the economic and financial crisis, the EU budget proved to be a powerful instrument to support investment. With national budg</w:t>
      </w:r>
      <w:r>
        <w:rPr>
          <w:rFonts w:ascii="Times New Roman" w:eastAsia="Calibri" w:hAnsi="Times New Roman" w:cs="Times New Roman"/>
          <w:noProof/>
          <w:sz w:val="24"/>
          <w:szCs w:val="24"/>
        </w:rPr>
        <w:t>ets in many Member States under severe strain, the EU budget and cohesion policy in particular emerged since 2008 as a major source of stable growth-supporting investment. In some Member States they even proved to be the main such source. The European Fund</w:t>
      </w:r>
      <w:r>
        <w:rPr>
          <w:rFonts w:ascii="Times New Roman" w:eastAsia="Calibri" w:hAnsi="Times New Roman" w:cs="Times New Roman"/>
          <w:noProof/>
          <w:sz w:val="24"/>
          <w:szCs w:val="24"/>
        </w:rPr>
        <w:t xml:space="preserve"> for Strategic Investments has also played a major role in catalysing private investments throughout Europe. This has shown how the EU budget can rapidly respond to emerging challenges and create substantial leverage</w:t>
      </w:r>
      <w:r>
        <w:rPr>
          <w:rStyle w:val="FootnoteReference"/>
          <w:rFonts w:ascii="Times New Roman" w:eastAsia="Calibri" w:hAnsi="Times New Roman" w:cs="Times New Roman"/>
          <w:noProof/>
          <w:sz w:val="24"/>
          <w:szCs w:val="24"/>
        </w:rPr>
        <w:footnoteReference w:id="2"/>
      </w:r>
      <w:r>
        <w:rPr>
          <w:rFonts w:ascii="Times New Roman" w:eastAsia="Calibri" w:hAnsi="Times New Roman" w:cs="Times New Roman"/>
          <w:noProof/>
          <w:sz w:val="24"/>
          <w:szCs w:val="24"/>
        </w:rPr>
        <w:t>.</w:t>
      </w:r>
    </w:p>
    <w:p w:rsidR="001D2777" w:rsidRDefault="00767E0A">
      <w:pPr>
        <w:rPr>
          <w:rFonts w:ascii="Times New Roman" w:eastAsia="Calibri" w:hAnsi="Times New Roman" w:cs="Times New Roman"/>
          <w:bCs/>
          <w:noProof/>
          <w:sz w:val="24"/>
          <w:szCs w:val="24"/>
          <w:u w:val="single"/>
        </w:rPr>
      </w:pPr>
      <w:r>
        <w:rPr>
          <w:rFonts w:ascii="Times New Roman" w:eastAsia="Calibri" w:hAnsi="Times New Roman" w:cs="Times New Roman"/>
          <w:bCs/>
          <w:noProof/>
          <w:sz w:val="24"/>
          <w:szCs w:val="24"/>
          <w:u w:val="single"/>
        </w:rPr>
        <w:br w:type="page"/>
      </w:r>
    </w:p>
    <w:p w:rsidR="001D2777" w:rsidRDefault="00767E0A">
      <w:pPr>
        <w:spacing w:after="240"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bCs/>
          <w:noProof/>
          <w:sz w:val="24"/>
          <w:szCs w:val="24"/>
          <w:u w:val="single"/>
        </w:rPr>
        <w:t xml:space="preserve">Share of European Structural and </w:t>
      </w:r>
      <w:r>
        <w:rPr>
          <w:rFonts w:ascii="Times New Roman" w:eastAsia="Calibri" w:hAnsi="Times New Roman" w:cs="Times New Roman"/>
          <w:bCs/>
          <w:noProof/>
          <w:sz w:val="24"/>
          <w:szCs w:val="24"/>
          <w:u w:val="single"/>
        </w:rPr>
        <w:t>Investment Funds in public investment 2015-2017</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Cs/>
          <w:noProof/>
          <w:sz w:val="24"/>
          <w:szCs w:val="24"/>
          <w:lang w:val="en-US"/>
        </w:rPr>
        <w:t>In %</w:t>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lang w:eastAsia="en-GB"/>
        </w:rPr>
        <w:drawing>
          <wp:inline distT="0" distB="0" distL="0" distR="0">
            <wp:extent cx="363347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33470" cy="2743200"/>
                    </a:xfrm>
                    <a:prstGeom prst="rect">
                      <a:avLst/>
                    </a:prstGeom>
                    <a:noFill/>
                  </pic:spPr>
                </pic:pic>
              </a:graphicData>
            </a:graphic>
          </wp:inline>
        </w:drawing>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Source: European Commission</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EU budget has also</w:t>
      </w:r>
      <w:r>
        <w:rPr>
          <w:rFonts w:ascii="Times New Roman" w:hAnsi="Times New Roman"/>
          <w:noProof/>
          <w:sz w:val="24"/>
        </w:rPr>
        <w:t xml:space="preserve"> underpinned the European response to the refugee crisis and to the threat of organised crime and terrorism. The</w:t>
      </w:r>
      <w:r>
        <w:rPr>
          <w:rFonts w:ascii="Times New Roman" w:eastAsia="Calibri" w:hAnsi="Times New Roman" w:cs="Times New Roman"/>
          <w:noProof/>
          <w:sz w:val="24"/>
          <w:szCs w:val="24"/>
        </w:rPr>
        <w:t xml:space="preserve"> funding devoted to security and migrat</w:t>
      </w:r>
      <w:r>
        <w:rPr>
          <w:rFonts w:ascii="Times New Roman" w:eastAsia="Calibri" w:hAnsi="Times New Roman" w:cs="Times New Roman"/>
          <w:noProof/>
          <w:sz w:val="24"/>
          <w:szCs w:val="24"/>
        </w:rPr>
        <w:t>ion was doubled to support for example the new European Border and Coast Guard and to help Member States receiving a significant inflow of refugees. Responding to these crises has tested the flexibility of the budget to the limit.</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Looking ahead, the challe</w:t>
      </w:r>
      <w:r>
        <w:rPr>
          <w:rFonts w:ascii="Times New Roman" w:eastAsia="Calibri" w:hAnsi="Times New Roman" w:cs="Times New Roman"/>
          <w:noProof/>
          <w:sz w:val="24"/>
          <w:szCs w:val="24"/>
        </w:rPr>
        <w:t>nges to the Union are multiplying at the same time as the pressure on European and national budgets increases. Sluggish productivity and investment, demographic change and other long-term challenges such</w:t>
      </w:r>
      <w:r>
        <w:rPr>
          <w:rFonts w:ascii="Times New Roman" w:hAnsi="Times New Roman"/>
          <w:noProof/>
          <w:sz w:val="24"/>
        </w:rPr>
        <w:t xml:space="preserve"> as migration, climate change, defence, cybersecurity</w:t>
      </w:r>
      <w:r>
        <w:rPr>
          <w:rFonts w:ascii="Times New Roman" w:hAnsi="Times New Roman"/>
          <w:noProof/>
          <w:sz w:val="24"/>
        </w:rPr>
        <w:t xml:space="preserve"> and terrorism, are all areas where the EU budget is called upon to play a prominent role.</w:t>
      </w:r>
    </w:p>
    <w:p w:rsidR="001D2777" w:rsidRDefault="00767E0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It is also time to look at the way in which the EU budget is financed. Just as the spending side of the budget has evolved, so too has the way in which the EU budget</w:t>
      </w:r>
      <w:r>
        <w:rPr>
          <w:rFonts w:ascii="Times New Roman" w:eastAsia="Calibri" w:hAnsi="Times New Roman" w:cs="Times New Roman"/>
          <w:noProof/>
          <w:sz w:val="24"/>
          <w:szCs w:val="24"/>
        </w:rPr>
        <w:t xml:space="preserve"> is financed. Unlike national budgets the Union is not able to borrow. Instead it relies on financing through 'own resources'. There are three main types of own resources today: contributions from Member States based on their income level measured by Gross</w:t>
      </w:r>
      <w:r>
        <w:rPr>
          <w:rFonts w:ascii="Times New Roman" w:eastAsia="Calibri" w:hAnsi="Times New Roman" w:cs="Times New Roman"/>
          <w:noProof/>
          <w:sz w:val="24"/>
          <w:szCs w:val="24"/>
        </w:rPr>
        <w:t xml:space="preserve"> National Income (GNI), contributions based on Value Added Tax (VAT), and customs duties collected at the external borders of the Union.</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About 80% of the EU budget is financed from national contributions based on GNI and VAT. GNI contributions are </w:t>
      </w:r>
      <w:r>
        <w:rPr>
          <w:rFonts w:ascii="Times New Roman" w:eastAsia="Calibri" w:hAnsi="Times New Roman" w:cs="Times New Roman"/>
          <w:noProof/>
          <w:sz w:val="24"/>
          <w:szCs w:val="24"/>
        </w:rPr>
        <w:t>generally considered as fair, because they are a good reflection of Member States’ relative "ability to pay". Custom revenues are considered to be genuine own resources as they are derived from the common trade policy whose revenue accrue to the EU budget.</w:t>
      </w:r>
    </w:p>
    <w:p w:rsidR="001D2777" w:rsidRDefault="00767E0A">
      <w:pPr>
        <w:keepNext/>
        <w:spacing w:after="240"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The sources of financing of the EU budget</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drawing>
          <wp:inline distT="0" distB="0" distL="0" distR="0">
            <wp:extent cx="6254750" cy="27679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54750" cy="2767965"/>
                    </a:xfrm>
                    <a:prstGeom prst="rect">
                      <a:avLst/>
                    </a:prstGeom>
                    <a:noFill/>
                  </pic:spPr>
                </pic:pic>
              </a:graphicData>
            </a:graphic>
          </wp:inline>
        </w:drawing>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Source: European Commission</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However, a number of adjustments and "rebates" have been introduced over time because some Member States considered their contributions to the EU budget to be excessive compared to wh</w:t>
      </w:r>
      <w:r>
        <w:rPr>
          <w:rFonts w:ascii="Times New Roman" w:eastAsia="Calibri" w:hAnsi="Times New Roman" w:cs="Times New Roman"/>
          <w:noProof/>
          <w:sz w:val="24"/>
          <w:szCs w:val="24"/>
        </w:rPr>
        <w:t xml:space="preserve">at they get back from it. This has made the EU’s current financing system increasingly complex and opaque.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hAnsi="Times New Roman"/>
          <w:noProof/>
          <w:sz w:val="24"/>
        </w:rPr>
        <w:t>This system, mostly based on contributions from Member States, has also reinforced a false perception that the value of the EU budget to a Member St</w:t>
      </w:r>
      <w:r>
        <w:rPr>
          <w:rFonts w:ascii="Times New Roman" w:hAnsi="Times New Roman"/>
          <w:noProof/>
          <w:sz w:val="24"/>
        </w:rPr>
        <w:t>ate can be measured by the net balance of contributions made and funds received. This ignores the essence of a modernised EU budget: the value added that results from pooling resources and delivering results that uncoordinated national spending cannot. The</w:t>
      </w:r>
      <w:r>
        <w:rPr>
          <w:rFonts w:ascii="Times New Roman" w:hAnsi="Times New Roman"/>
          <w:noProof/>
          <w:sz w:val="24"/>
        </w:rPr>
        <w:t>se broader economic</w:t>
      </w:r>
      <w:r>
        <w:rPr>
          <w:rFonts w:ascii="Times New Roman" w:eastAsia="Calibri" w:hAnsi="Times New Roman" w:cs="Times New Roman"/>
          <w:noProof/>
          <w:sz w:val="24"/>
          <w:szCs w:val="24"/>
        </w:rPr>
        <w:t xml:space="preserve"> gains are all too often ignored, as is the wider value of belonging to the largest economic area and trading power in the world.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If we want to improve the effectiveness of the EU budget, we should also look at how the revenues can cont</w:t>
      </w:r>
      <w:r>
        <w:rPr>
          <w:rFonts w:ascii="Times New Roman" w:eastAsia="Calibri" w:hAnsi="Times New Roman" w:cs="Times New Roman"/>
          <w:noProof/>
          <w:sz w:val="24"/>
          <w:szCs w:val="24"/>
        </w:rPr>
        <w:t>ribute to EU priorities. The departure of the United Kingdom and the elimination of the associated rebates would already remove some obstacles to reform on the revenue side of the EU budget.</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in order to respond to the different needs, the EU budge</w:t>
      </w:r>
      <w:r>
        <w:rPr>
          <w:rFonts w:ascii="Times New Roman" w:hAnsi="Times New Roman" w:cs="Times New Roman"/>
          <w:noProof/>
          <w:sz w:val="24"/>
          <w:szCs w:val="24"/>
        </w:rPr>
        <w:t>t has been complemented by a number of new tools, institutions and instruments. Some of them are outside the EU budget and are not governed by the same rules. Additional funding is provided by the European Investment Bank or other bodies based on inter-gov</w:t>
      </w:r>
      <w:r>
        <w:rPr>
          <w:rFonts w:ascii="Times New Roman" w:hAnsi="Times New Roman" w:cs="Times New Roman"/>
          <w:noProof/>
          <w:sz w:val="24"/>
          <w:szCs w:val="24"/>
        </w:rPr>
        <w:t>ernmental agreements, like the European Development Fund linked to the special partnership with Africa Caribbean Pacific countries. More recently, European Union Trust Funds and other facilities have been created to pool money from the EU budget, Member St</w:t>
      </w:r>
      <w:r>
        <w:rPr>
          <w:rFonts w:ascii="Times New Roman" w:hAnsi="Times New Roman" w:cs="Times New Roman"/>
          <w:noProof/>
          <w:sz w:val="24"/>
          <w:szCs w:val="24"/>
        </w:rPr>
        <w:t xml:space="preserve">ates and other donors to address external crises. This extended financial architecture has allowed the Union to mobilise additional funding but it has added to the complexity of EU finances. The chart below provides a broad illustration of all elements of </w:t>
      </w:r>
      <w:r>
        <w:rPr>
          <w:rFonts w:ascii="Times New Roman" w:hAnsi="Times New Roman" w:cs="Times New Roman"/>
          <w:noProof/>
          <w:sz w:val="24"/>
          <w:szCs w:val="24"/>
        </w:rPr>
        <w:t xml:space="preserve">EU financing beyond the EU budget itself. It also shows which elements fall under the democratic control of the European Parliament as well as the scrutiny of the European Court of Auditors. </w:t>
      </w:r>
    </w:p>
    <w:p w:rsidR="001D2777" w:rsidRDefault="00767E0A">
      <w:pPr>
        <w:keepNext/>
        <w:spacing w:after="120" w:line="240" w:lineRule="auto"/>
        <w:jc w:val="both"/>
        <w:rPr>
          <w:rFonts w:ascii="Times New Roman" w:hAnsi="Times New Roman" w:cs="Times New Roman"/>
          <w:noProof/>
          <w:color w:val="17365D"/>
          <w:sz w:val="24"/>
          <w:szCs w:val="24"/>
          <w:lang w:eastAsia="en-GB"/>
        </w:rPr>
      </w:pPr>
      <w:r>
        <w:rPr>
          <w:rFonts w:ascii="Times New Roman" w:hAnsi="Times New Roman" w:cs="Times New Roman"/>
          <w:noProof/>
          <w:sz w:val="24"/>
          <w:szCs w:val="24"/>
          <w:u w:val="single"/>
        </w:rPr>
        <w:t>EU finances: the whole picture</w:t>
      </w:r>
    </w:p>
    <w:p w:rsidR="001D2777" w:rsidRDefault="00767E0A">
      <w:pPr>
        <w:keepNext/>
        <w:spacing w:after="240" w:line="240" w:lineRule="auto"/>
        <w:jc w:val="both"/>
        <w:rPr>
          <w:rFonts w:ascii="Times New Roman" w:hAnsi="Times New Roman" w:cs="Times New Roman"/>
          <w:noProof/>
          <w:color w:val="17365D"/>
          <w:lang w:eastAsia="en-GB"/>
        </w:rPr>
      </w:pPr>
      <w:r>
        <w:rPr>
          <w:rStyle w:val="A7"/>
          <w:noProof/>
          <w:sz w:val="22"/>
          <w:szCs w:val="22"/>
        </w:rPr>
        <w:t xml:space="preserve">purely illustrative, the size of </w:t>
      </w:r>
      <w:r>
        <w:rPr>
          <w:rStyle w:val="A7"/>
          <w:noProof/>
          <w:sz w:val="22"/>
          <w:szCs w:val="22"/>
        </w:rPr>
        <w:t>the circles does not correspond to actual volumes</w:t>
      </w:r>
    </w:p>
    <w:p w:rsidR="001D2777" w:rsidRDefault="00767E0A">
      <w:pPr>
        <w:pStyle w:val="PlainText"/>
        <w:spacing w:after="240"/>
        <w:jc w:val="both"/>
        <w:rPr>
          <w:noProof/>
        </w:rPr>
      </w:pPr>
      <w:r>
        <w:rPr>
          <w:noProof/>
          <w:lang w:eastAsia="en-GB"/>
        </w:rPr>
        <w:drawing>
          <wp:inline distT="0" distB="0" distL="0" distR="0">
            <wp:extent cx="6188075" cy="424942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8075" cy="4249420"/>
                    </a:xfrm>
                    <a:prstGeom prst="rect">
                      <a:avLst/>
                    </a:prstGeom>
                    <a:noFill/>
                  </pic:spPr>
                </pic:pic>
              </a:graphicData>
            </a:graphic>
          </wp:inline>
        </w:drawing>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Source: European Commission</w:t>
      </w:r>
    </w:p>
    <w:p w:rsidR="001D2777" w:rsidRDefault="001D2777">
      <w:pPr>
        <w:rPr>
          <w:noProof/>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9356"/>
      </w:tblGrid>
      <w:tr w:rsidR="001D2777">
        <w:tc>
          <w:tcPr>
            <w:tcW w:w="9356" w:type="dxa"/>
            <w:shd w:val="clear" w:color="auto" w:fill="F2F2F2" w:themeFill="background1" w:themeFillShade="F2"/>
          </w:tcPr>
          <w:p w:rsidR="001D2777" w:rsidRDefault="00767E0A">
            <w:pPr>
              <w:pStyle w:val="Subtitle"/>
              <w:rPr>
                <w:noProof/>
                <w:lang w:eastAsia="en-US"/>
              </w:rPr>
            </w:pPr>
            <w:r>
              <w:rPr>
                <w:noProof/>
              </w:rPr>
              <w:br w:type="page"/>
            </w:r>
            <w:r>
              <w:rPr>
                <w:noProof/>
                <w:lang w:eastAsia="en-US"/>
              </w:rPr>
              <w:t>Box 1: The EU budget in a nutshell – for the period 2014-20</w:t>
            </w:r>
          </w:p>
          <w:p w:rsidR="001D2777" w:rsidRDefault="00767E0A">
            <w:pPr>
              <w:numPr>
                <w:ilvl w:val="0"/>
                <w:numId w:val="4"/>
              </w:numPr>
              <w:ind w:left="318" w:hanging="284"/>
              <w:jc w:val="both"/>
              <w:rPr>
                <w:rFonts w:eastAsia="Calibri"/>
                <w:noProof/>
                <w:szCs w:val="24"/>
                <w:lang w:eastAsia="en-US"/>
              </w:rPr>
            </w:pPr>
            <w:r>
              <w:rPr>
                <w:rFonts w:eastAsia="Calibri"/>
                <w:noProof/>
                <w:szCs w:val="24"/>
                <w:lang w:eastAsia="en-US"/>
              </w:rPr>
              <w:t>represents around 1% of EU GNI, and 2% of total public spending;</w:t>
            </w:r>
          </w:p>
          <w:p w:rsidR="001D2777" w:rsidRDefault="00767E0A">
            <w:pPr>
              <w:numPr>
                <w:ilvl w:val="0"/>
                <w:numId w:val="4"/>
              </w:numPr>
              <w:ind w:left="318" w:hanging="284"/>
              <w:jc w:val="both"/>
              <w:rPr>
                <w:rFonts w:eastAsia="Calibri"/>
                <w:noProof/>
                <w:szCs w:val="24"/>
                <w:lang w:eastAsia="en-US"/>
              </w:rPr>
            </w:pPr>
            <w:r>
              <w:rPr>
                <w:rFonts w:eastAsia="Calibri"/>
                <w:noProof/>
                <w:szCs w:val="24"/>
                <w:lang w:eastAsia="en-US"/>
              </w:rPr>
              <w:t>is framed by Multiannual Financial Frameworks (MF</w:t>
            </w:r>
            <w:r>
              <w:rPr>
                <w:rFonts w:eastAsia="Calibri"/>
                <w:noProof/>
                <w:szCs w:val="24"/>
                <w:lang w:eastAsia="en-US"/>
              </w:rPr>
              <w:t>F) of at least 5 years. The current framework (2014-2020) provides EUR 1087 billion;</w:t>
            </w:r>
          </w:p>
          <w:p w:rsidR="001D2777" w:rsidRDefault="00767E0A">
            <w:pPr>
              <w:numPr>
                <w:ilvl w:val="0"/>
                <w:numId w:val="4"/>
              </w:numPr>
              <w:ind w:left="318" w:hanging="284"/>
              <w:jc w:val="both"/>
              <w:rPr>
                <w:rFonts w:eastAsia="Calibri"/>
                <w:noProof/>
                <w:szCs w:val="24"/>
                <w:lang w:eastAsia="en-US"/>
              </w:rPr>
            </w:pPr>
            <w:r>
              <w:rPr>
                <w:rFonts w:eastAsia="Calibri"/>
                <w:noProof/>
                <w:szCs w:val="24"/>
                <w:lang w:eastAsia="en-US"/>
              </w:rPr>
              <w:t>is mostly funded by contributions from each Member State based on their relative income, together with customs duties collected at the external borders and a small part ba</w:t>
            </w:r>
            <w:r>
              <w:rPr>
                <w:rFonts w:eastAsia="Calibri"/>
                <w:noProof/>
                <w:szCs w:val="24"/>
                <w:lang w:eastAsia="en-US"/>
              </w:rPr>
              <w:t>sed on value added tax. There is no EU tax. The revenue system is agreed by all Member States and ratified by national Parliaments;</w:t>
            </w:r>
          </w:p>
          <w:p w:rsidR="001D2777" w:rsidRDefault="00767E0A">
            <w:pPr>
              <w:numPr>
                <w:ilvl w:val="0"/>
                <w:numId w:val="4"/>
              </w:numPr>
              <w:ind w:left="318" w:hanging="284"/>
              <w:jc w:val="both"/>
              <w:rPr>
                <w:rFonts w:eastAsia="Calibri"/>
                <w:noProof/>
                <w:szCs w:val="24"/>
                <w:lang w:eastAsia="en-US"/>
              </w:rPr>
            </w:pPr>
            <w:r>
              <w:rPr>
                <w:rFonts w:eastAsia="Calibri"/>
                <w:noProof/>
                <w:szCs w:val="24"/>
              </w:rPr>
              <w:t xml:space="preserve">mobilises via cohesion policy EU-wide more than EUR 480 billion in investments, which should result, for example, in over 1 </w:t>
            </w:r>
            <w:r>
              <w:rPr>
                <w:rFonts w:eastAsia="Calibri"/>
                <w:noProof/>
                <w:szCs w:val="24"/>
              </w:rPr>
              <w:t>million enterprises receiving support, 42 million citizens having access to improved health services, 25 million will benefit from flood and fire prevention, nearly 17 million additional EU citizens connected to waste water facilities, 15 million additiona</w:t>
            </w:r>
            <w:r>
              <w:rPr>
                <w:rFonts w:eastAsia="Calibri"/>
                <w:noProof/>
                <w:szCs w:val="24"/>
              </w:rPr>
              <w:t>l households with broadband access, and more than 420,000 new jobs. Also 5 million Europeans will benefit from training and life-long learning programmes, and 6.6 million children will have access to new, modern schools and childcare.</w:t>
            </w:r>
            <w:r>
              <w:rPr>
                <w:rFonts w:eastAsia="Calibri"/>
                <w:noProof/>
                <w:szCs w:val="24"/>
                <w:lang w:eastAsia="en-US"/>
              </w:rPr>
              <w:t xml:space="preserve"> </w:t>
            </w:r>
          </w:p>
          <w:p w:rsidR="001D2777" w:rsidRDefault="00767E0A">
            <w:pPr>
              <w:numPr>
                <w:ilvl w:val="0"/>
                <w:numId w:val="4"/>
              </w:numPr>
              <w:ind w:left="318" w:hanging="284"/>
              <w:jc w:val="both"/>
              <w:rPr>
                <w:rFonts w:eastAsia="Calibri"/>
                <w:noProof/>
                <w:szCs w:val="24"/>
                <w:lang w:eastAsia="en-US"/>
              </w:rPr>
            </w:pPr>
            <w:r>
              <w:rPr>
                <w:rFonts w:eastAsia="Calibri"/>
                <w:noProof/>
                <w:szCs w:val="24"/>
              </w:rPr>
              <w:t xml:space="preserve">is expected to </w:t>
            </w:r>
            <w:r>
              <w:rPr>
                <w:rFonts w:eastAsia="Calibri"/>
                <w:noProof/>
                <w:szCs w:val="24"/>
              </w:rPr>
              <w:t>trigger investments worth at least EUR 500 billion via the extended “Juncker Plan” (European Fund for Strategic Investments)</w:t>
            </w:r>
            <w:r>
              <w:rPr>
                <w:rFonts w:eastAsia="Calibri"/>
                <w:noProof/>
                <w:szCs w:val="24"/>
                <w:lang w:eastAsia="en-US"/>
              </w:rPr>
              <w:t xml:space="preserve">; </w:t>
            </w:r>
          </w:p>
          <w:p w:rsidR="001D2777" w:rsidRDefault="00767E0A">
            <w:pPr>
              <w:numPr>
                <w:ilvl w:val="0"/>
                <w:numId w:val="4"/>
              </w:numPr>
              <w:ind w:left="318" w:hanging="284"/>
              <w:jc w:val="both"/>
              <w:rPr>
                <w:rFonts w:eastAsia="Calibri"/>
                <w:noProof/>
                <w:szCs w:val="24"/>
                <w:lang w:eastAsia="en-US"/>
              </w:rPr>
            </w:pPr>
            <w:r>
              <w:rPr>
                <w:rFonts w:eastAsia="Calibri"/>
                <w:noProof/>
                <w:szCs w:val="24"/>
                <w:lang w:eastAsia="en-US"/>
              </w:rPr>
              <w:t>provides more than EUR 74 billion for the Horizon 2020 research and innovation programme that led – so far – in the past to 6 Nob</w:t>
            </w:r>
            <w:r>
              <w:rPr>
                <w:rFonts w:eastAsia="Calibri"/>
                <w:noProof/>
                <w:szCs w:val="24"/>
                <w:lang w:eastAsia="en-US"/>
              </w:rPr>
              <w:t>el prizes, 4 Fields medals and discoveries with global impact (e.g. Ebola vaccine research, ground-breaking research on cancer and Alzheimer; aircraft with lower CO2 and noise emmisions);</w:t>
            </w:r>
          </w:p>
          <w:p w:rsidR="001D2777" w:rsidRDefault="00767E0A">
            <w:pPr>
              <w:numPr>
                <w:ilvl w:val="0"/>
                <w:numId w:val="4"/>
              </w:numPr>
              <w:ind w:left="318" w:hanging="284"/>
              <w:jc w:val="both"/>
              <w:rPr>
                <w:rFonts w:eastAsia="Calibri"/>
                <w:noProof/>
                <w:szCs w:val="24"/>
                <w:lang w:eastAsia="en-US"/>
              </w:rPr>
            </w:pPr>
            <w:r>
              <w:rPr>
                <w:rFonts w:eastAsia="Calibri"/>
                <w:noProof/>
                <w:szCs w:val="24"/>
                <w:lang w:eastAsia="en-US"/>
              </w:rPr>
              <w:t>provides over EUR 30 billion to support trans-European networks in t</w:t>
            </w:r>
            <w:r>
              <w:rPr>
                <w:rFonts w:eastAsia="Calibri"/>
                <w:noProof/>
                <w:szCs w:val="24"/>
                <w:lang w:eastAsia="en-US"/>
              </w:rPr>
              <w:t xml:space="preserve">he fields of transport, energy and communication via the Connecting Europe Facility;  </w:t>
            </w:r>
          </w:p>
          <w:p w:rsidR="001D2777" w:rsidRDefault="00767E0A">
            <w:pPr>
              <w:numPr>
                <w:ilvl w:val="0"/>
                <w:numId w:val="4"/>
              </w:numPr>
              <w:ind w:left="318" w:hanging="284"/>
              <w:jc w:val="both"/>
              <w:rPr>
                <w:rFonts w:eastAsia="Calibri"/>
                <w:noProof/>
                <w:szCs w:val="24"/>
                <w:lang w:eastAsia="en-US"/>
              </w:rPr>
            </w:pPr>
            <w:r>
              <w:rPr>
                <w:rFonts w:eastAsia="Calibri"/>
                <w:noProof/>
                <w:szCs w:val="24"/>
              </w:rPr>
              <w:t>supports a dynamic agricultural sector with around EUR 400 billion, supporting 7 million farmers; supports the modernisation of 380,000 farms with EUR 8.7 billion; rural</w:t>
            </w:r>
            <w:r>
              <w:rPr>
                <w:rFonts w:eastAsia="Calibri"/>
                <w:noProof/>
                <w:szCs w:val="24"/>
              </w:rPr>
              <w:t xml:space="preserve"> development finances investments targeting biodiversity, improved energy efficiency, the setting up of businesses and the modernisation of production facilities;</w:t>
            </w:r>
            <w:r>
              <w:rPr>
                <w:rFonts w:eastAsia="Calibri"/>
                <w:noProof/>
                <w:szCs w:val="24"/>
                <w:lang w:eastAsia="en-US"/>
              </w:rPr>
              <w:t xml:space="preserve"> </w:t>
            </w:r>
          </w:p>
          <w:p w:rsidR="001D2777" w:rsidRDefault="00767E0A">
            <w:pPr>
              <w:numPr>
                <w:ilvl w:val="0"/>
                <w:numId w:val="4"/>
              </w:numPr>
              <w:ind w:left="318" w:hanging="284"/>
              <w:jc w:val="both"/>
              <w:rPr>
                <w:rFonts w:eastAsia="Calibri"/>
                <w:noProof/>
                <w:szCs w:val="24"/>
                <w:lang w:eastAsia="en-US"/>
              </w:rPr>
            </w:pPr>
            <w:r>
              <w:rPr>
                <w:rFonts w:eastAsia="Calibri"/>
                <w:noProof/>
                <w:szCs w:val="24"/>
                <w:lang w:eastAsia="en-US"/>
              </w:rPr>
              <w:t>finances the Galileo navigation system, which has to date launched 15 fully operational EU s</w:t>
            </w:r>
            <w:r>
              <w:rPr>
                <w:rFonts w:eastAsia="Calibri"/>
                <w:noProof/>
                <w:szCs w:val="24"/>
                <w:lang w:eastAsia="en-US"/>
              </w:rPr>
              <w:t>atellites into orbit; and Copernicus, Europe's earth observation programme;</w:t>
            </w:r>
          </w:p>
          <w:p w:rsidR="001D2777" w:rsidRDefault="00767E0A">
            <w:pPr>
              <w:numPr>
                <w:ilvl w:val="0"/>
                <w:numId w:val="4"/>
              </w:numPr>
              <w:ind w:left="318" w:hanging="284"/>
              <w:jc w:val="both"/>
              <w:rPr>
                <w:rFonts w:eastAsia="Calibri"/>
                <w:noProof/>
                <w:szCs w:val="24"/>
                <w:lang w:eastAsia="en-US"/>
              </w:rPr>
            </w:pPr>
            <w:r>
              <w:rPr>
                <w:rFonts w:eastAsia="Calibri"/>
                <w:noProof/>
                <w:szCs w:val="24"/>
                <w:lang w:eastAsia="en-US"/>
              </w:rPr>
              <w:t xml:space="preserve">mobilised more than EUR 17 billion between 2015 and 2017 to address the refugee crisis within and outside the EU; </w:t>
            </w:r>
          </w:p>
          <w:p w:rsidR="001D2777" w:rsidRDefault="00767E0A">
            <w:pPr>
              <w:numPr>
                <w:ilvl w:val="0"/>
                <w:numId w:val="4"/>
              </w:numPr>
              <w:ind w:left="318" w:hanging="284"/>
              <w:jc w:val="both"/>
              <w:rPr>
                <w:rFonts w:eastAsia="Calibri"/>
                <w:noProof/>
                <w:szCs w:val="24"/>
                <w:lang w:eastAsia="en-US"/>
              </w:rPr>
            </w:pPr>
            <w:r>
              <w:rPr>
                <w:rFonts w:eastAsia="Calibri"/>
                <w:noProof/>
                <w:szCs w:val="24"/>
                <w:lang w:eastAsia="en-US"/>
              </w:rPr>
              <w:t>finances the Erasmus programme promoting mobility of over 9 milli</w:t>
            </w:r>
            <w:r>
              <w:rPr>
                <w:rFonts w:eastAsia="Calibri"/>
                <w:noProof/>
                <w:szCs w:val="24"/>
                <w:lang w:eastAsia="en-US"/>
              </w:rPr>
              <w:t>on people, especially students and youth across countries over the last 30 years;</w:t>
            </w:r>
          </w:p>
          <w:p w:rsidR="001D2777" w:rsidRDefault="00767E0A">
            <w:pPr>
              <w:numPr>
                <w:ilvl w:val="0"/>
                <w:numId w:val="4"/>
              </w:numPr>
              <w:ind w:left="318" w:hanging="284"/>
              <w:jc w:val="both"/>
              <w:rPr>
                <w:rFonts w:eastAsia="Calibri"/>
                <w:noProof/>
                <w:szCs w:val="24"/>
                <w:lang w:eastAsia="en-US"/>
              </w:rPr>
            </w:pPr>
            <w:r>
              <w:rPr>
                <w:rFonts w:eastAsia="Calibri"/>
                <w:noProof/>
                <w:szCs w:val="24"/>
                <w:lang w:eastAsia="en-US"/>
              </w:rPr>
              <w:t>provides more than EUR 8 billion to tackle youth unemployment via the Youth Employment Initiative and to date has supported 1.6 million young people;</w:t>
            </w:r>
          </w:p>
          <w:p w:rsidR="001D2777" w:rsidRDefault="00767E0A">
            <w:pPr>
              <w:numPr>
                <w:ilvl w:val="0"/>
                <w:numId w:val="4"/>
              </w:numPr>
              <w:ind w:left="318" w:hanging="284"/>
              <w:jc w:val="both"/>
              <w:rPr>
                <w:rFonts w:eastAsia="Calibri"/>
                <w:noProof/>
                <w:szCs w:val="24"/>
                <w:lang w:eastAsia="en-US"/>
              </w:rPr>
            </w:pPr>
            <w:r>
              <w:rPr>
                <w:rFonts w:eastAsia="Calibri"/>
                <w:noProof/>
                <w:szCs w:val="24"/>
                <w:lang w:eastAsia="en-US"/>
              </w:rPr>
              <w:t xml:space="preserve">aims at devoting 20% of </w:t>
            </w:r>
            <w:r>
              <w:rPr>
                <w:rFonts w:eastAsia="Calibri"/>
                <w:noProof/>
                <w:szCs w:val="24"/>
                <w:lang w:eastAsia="en-US"/>
              </w:rPr>
              <w:t xml:space="preserve">total expenditure to actions against climate change; </w:t>
            </w:r>
          </w:p>
          <w:p w:rsidR="001D2777" w:rsidRDefault="00767E0A">
            <w:pPr>
              <w:numPr>
                <w:ilvl w:val="0"/>
                <w:numId w:val="4"/>
              </w:numPr>
              <w:ind w:left="318" w:hanging="284"/>
              <w:jc w:val="both"/>
              <w:rPr>
                <w:rFonts w:eastAsia="Calibri"/>
                <w:noProof/>
                <w:szCs w:val="24"/>
                <w:lang w:eastAsia="en-US"/>
              </w:rPr>
            </w:pPr>
            <w:r>
              <w:rPr>
                <w:rFonts w:eastAsia="Calibri"/>
                <w:noProof/>
                <w:szCs w:val="24"/>
                <w:lang w:eastAsia="en-US"/>
              </w:rPr>
              <w:t>provides around EUR 8 billion of humanitarian aid, making the EU a leadingdonor of humanitarian aid in the world.</w:t>
            </w:r>
            <w:r>
              <w:rPr>
                <w:rFonts w:eastAsia="Calibri"/>
                <w:noProof/>
                <w:szCs w:val="24"/>
                <w:highlight w:val="yellow"/>
                <w:lang w:eastAsia="en-US"/>
              </w:rPr>
              <w:t xml:space="preserve"> </w:t>
            </w:r>
          </w:p>
        </w:tc>
      </w:tr>
    </w:tbl>
    <w:p w:rsidR="001D2777" w:rsidRDefault="00767E0A">
      <w:pPr>
        <w:rPr>
          <w:rFonts w:asciiTheme="majorHAnsi" w:eastAsiaTheme="majorEastAsia" w:hAnsiTheme="majorHAnsi" w:cstheme="majorBidi"/>
          <w:b/>
          <w:bCs/>
          <w:noProof/>
          <w:color w:val="365F91" w:themeColor="accent1" w:themeShade="BF"/>
          <w:sz w:val="28"/>
          <w:szCs w:val="28"/>
          <w:lang w:eastAsia="en-GB"/>
        </w:rPr>
      </w:pPr>
      <w:r>
        <w:rPr>
          <w:noProof/>
        </w:rPr>
        <w:br w:type="page"/>
      </w:r>
    </w:p>
    <w:p w:rsidR="001D2777" w:rsidRDefault="00767E0A">
      <w:pPr>
        <w:pStyle w:val="Heading1"/>
        <w:spacing w:before="120" w:after="240"/>
        <w:ind w:left="709" w:hanging="709"/>
        <w:rPr>
          <w:noProof/>
        </w:rPr>
      </w:pPr>
      <w:r>
        <w:rPr>
          <w:noProof/>
        </w:rPr>
        <w:t>2.</w:t>
      </w:r>
      <w:r>
        <w:rPr>
          <w:noProof/>
        </w:rPr>
        <w:tab/>
        <w:t>THE VALUE ADDED OF EUROPEAN FINANCES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aim of the European Union is to promote </w:t>
      </w:r>
      <w:r>
        <w:rPr>
          <w:rFonts w:ascii="Times New Roman" w:eastAsia="Calibri" w:hAnsi="Times New Roman" w:cs="Times New Roman"/>
          <w:noProof/>
          <w:sz w:val="24"/>
          <w:szCs w:val="24"/>
        </w:rPr>
        <w:t>peace, its values and the well-being of its peoples. The EU budget supports this, working together with national budgets and complementing other efforts at European and national level.</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Any reflection about the future of the EU budget should therefore start</w:t>
      </w:r>
      <w:r>
        <w:rPr>
          <w:rFonts w:ascii="Times New Roman" w:eastAsia="Calibri" w:hAnsi="Times New Roman" w:cs="Times New Roman"/>
          <w:noProof/>
          <w:sz w:val="24"/>
          <w:szCs w:val="24"/>
        </w:rPr>
        <w:t xml:space="preserve"> with the most basic question of all – what should the EU budget be for? </w:t>
      </w:r>
      <w:r>
        <w:rPr>
          <w:rFonts w:ascii="Times New Roman" w:eastAsia="Calibri" w:hAnsi="Times New Roman" w:cs="Times New Roman"/>
          <w:b/>
          <w:noProof/>
          <w:sz w:val="24"/>
          <w:szCs w:val="24"/>
        </w:rPr>
        <w:t>European value</w:t>
      </w: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 xml:space="preserve">added </w:t>
      </w:r>
      <w:r>
        <w:rPr>
          <w:rFonts w:ascii="Times New Roman" w:eastAsia="Calibri" w:hAnsi="Times New Roman" w:cs="Times New Roman"/>
          <w:noProof/>
          <w:sz w:val="24"/>
          <w:szCs w:val="24"/>
        </w:rPr>
        <w:t xml:space="preserve">must be at the core of that discussion. On the one hand, European value added is about achieving the objectives set out in the Treaty; on the other it is about a </w:t>
      </w:r>
      <w:r>
        <w:rPr>
          <w:rFonts w:ascii="Times New Roman" w:eastAsia="Calibri" w:hAnsi="Times New Roman" w:cs="Times New Roman"/>
          <w:noProof/>
          <w:sz w:val="24"/>
          <w:szCs w:val="24"/>
        </w:rPr>
        <w:t>budget that provides for public goods of a European dimension or helps uphold our basic freedoms, the Single Market or the Economic and Monetary Union.</w:t>
      </w:r>
    </w:p>
    <w:p w:rsidR="001D2777" w:rsidRDefault="00767E0A">
      <w:pPr>
        <w:spacing w:after="240"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EU value added and funding from the EU budget</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drawing>
          <wp:inline distT="0" distB="0" distL="0" distR="0">
            <wp:extent cx="5712460" cy="3858895"/>
            <wp:effectExtent l="0" t="0" r="0"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2460" cy="3858895"/>
                    </a:xfrm>
                    <a:prstGeom prst="rect">
                      <a:avLst/>
                    </a:prstGeom>
                    <a:noFill/>
                  </pic:spPr>
                </pic:pic>
              </a:graphicData>
            </a:graphic>
          </wp:inline>
        </w:drawing>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Source: European Commission</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EU value added also fits </w:t>
      </w:r>
      <w:r>
        <w:rPr>
          <w:rFonts w:ascii="Times New Roman" w:eastAsia="Calibri" w:hAnsi="Times New Roman" w:cs="Times New Roman"/>
          <w:noProof/>
          <w:sz w:val="24"/>
          <w:szCs w:val="24"/>
        </w:rPr>
        <w:t>with the principle of subsidiarity and proportionality. The EU should not take action unless it is more effective than action taken at national, regional or local level. EU action has to be additional or complementary to national or regional efforts, but s</w:t>
      </w:r>
      <w:r>
        <w:rPr>
          <w:rFonts w:ascii="Times New Roman" w:eastAsia="Calibri" w:hAnsi="Times New Roman" w:cs="Times New Roman"/>
          <w:noProof/>
          <w:sz w:val="24"/>
          <w:szCs w:val="24"/>
        </w:rPr>
        <w:t>hould not fill in gaps left by shortcomings of national policies. Added value may also be in the form of avoided costs and indirect benefits.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concerns and expectations of European citizens should be a major factor in shaping the new EU budget. In recen</w:t>
      </w:r>
      <w:r>
        <w:rPr>
          <w:rFonts w:ascii="Times New Roman" w:eastAsia="Calibri" w:hAnsi="Times New Roman" w:cs="Times New Roman"/>
          <w:noProof/>
          <w:sz w:val="24"/>
          <w:szCs w:val="24"/>
        </w:rPr>
        <w:t>t years, there have been increasing expectations on the Union to tackle challenges for which it has neither the powers, nor the financial resources.  This expectation gap is central to this debate and is directly linked both to the size and the flexibility</w:t>
      </w:r>
      <w:r>
        <w:rPr>
          <w:rFonts w:ascii="Times New Roman" w:eastAsia="Calibri" w:hAnsi="Times New Roman" w:cs="Times New Roman"/>
          <w:noProof/>
          <w:sz w:val="24"/>
          <w:szCs w:val="24"/>
        </w:rPr>
        <w:t xml:space="preserve"> of the new budget.</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European taxpayers expect a transparent EU budget that is easy to understand and gets the most back from every euro spent. The results achieved must be visible and measurable. Each policy and programme funded by the EU budget should spe</w:t>
      </w:r>
      <w:r>
        <w:rPr>
          <w:rFonts w:ascii="Times New Roman" w:eastAsia="Calibri" w:hAnsi="Times New Roman" w:cs="Times New Roman"/>
          <w:noProof/>
          <w:sz w:val="24"/>
          <w:szCs w:val="24"/>
        </w:rPr>
        <w:t>ll out clearly what it intends to achieve,  how it intends to go about it and report what the actual results have been. This would increase accountability and allow for an informed public discussion on how the EU budget is used. While some progress in this</w:t>
      </w:r>
      <w:r>
        <w:rPr>
          <w:rFonts w:ascii="Times New Roman" w:eastAsia="Calibri" w:hAnsi="Times New Roman" w:cs="Times New Roman"/>
          <w:noProof/>
          <w:sz w:val="24"/>
          <w:szCs w:val="24"/>
        </w:rPr>
        <w:t xml:space="preserve"> direction has already been made in the current financial framework, notably under cohesion policy, further steps are necessary across all instruments.</w:t>
      </w:r>
    </w:p>
    <w:p w:rsidR="001D2777" w:rsidRDefault="00767E0A">
      <w:pPr>
        <w:spacing w:before="12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There is also a clear value added when action at European level goes further than national efforts could</w:t>
      </w:r>
      <w:r>
        <w:rPr>
          <w:rFonts w:ascii="Times New Roman" w:eastAsia="Calibri" w:hAnsi="Times New Roman" w:cs="Times New Roman"/>
          <w:noProof/>
          <w:sz w:val="24"/>
          <w:szCs w:val="24"/>
        </w:rPr>
        <w:t xml:space="preserve">. This includes, for example: </w:t>
      </w:r>
    </w:p>
    <w:p w:rsidR="001D2777" w:rsidRDefault="00767E0A">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Cross-border programmes have transformed border areas helping to remove sources of conflict and create new economic opportunities. </w:t>
      </w:r>
    </w:p>
    <w:p w:rsidR="001D2777" w:rsidRDefault="00767E0A">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Similarly, transnational infrastructure, such as energy interconnectors (e.g. between Malta a</w:t>
      </w:r>
      <w:r>
        <w:rPr>
          <w:rFonts w:ascii="Times New Roman" w:eastAsia="Calibri" w:hAnsi="Times New Roman" w:cs="Times New Roman"/>
          <w:noProof/>
          <w:sz w:val="24"/>
          <w:szCs w:val="24"/>
        </w:rPr>
        <w:t xml:space="preserve">nd Italy), digital networks, research infrastructure or tunnels (e.g. the Brenner Base railway tunnel in the Alps between Austria and Italy) benefit citizens and companies across the EU. </w:t>
      </w:r>
    </w:p>
    <w:p w:rsidR="001D2777" w:rsidRDefault="00767E0A">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Investments made under cohesion policy in one region or Member State</w:t>
      </w:r>
      <w:r>
        <w:rPr>
          <w:rFonts w:ascii="Times New Roman" w:eastAsia="Calibri" w:hAnsi="Times New Roman" w:cs="Times New Roman"/>
          <w:noProof/>
          <w:sz w:val="24"/>
          <w:szCs w:val="24"/>
        </w:rPr>
        <w:t xml:space="preserve"> contribute to macroeconomic stability and increases the growth potential of the Union as a whole. </w:t>
      </w:r>
    </w:p>
    <w:p w:rsidR="001D2777" w:rsidRDefault="00767E0A">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Similarly, control of the Southern or Eastern external borders clearly serves to protect the rest of Europe. </w:t>
      </w:r>
    </w:p>
    <w:p w:rsidR="001D2777" w:rsidRDefault="00767E0A">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Aid and investment in partner countries allows</w:t>
      </w:r>
      <w:r>
        <w:rPr>
          <w:rFonts w:ascii="Times New Roman" w:eastAsia="Calibri" w:hAnsi="Times New Roman" w:cs="Times New Roman"/>
          <w:noProof/>
          <w:sz w:val="24"/>
          <w:szCs w:val="24"/>
        </w:rPr>
        <w:t xml:space="preserve"> building more resilient societies.</w:t>
      </w:r>
    </w:p>
    <w:p w:rsidR="001D2777" w:rsidRDefault="00767E0A">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Open competition at EU level to fund science and innovation has increased excellence compared to national funding (eg. higher impact scientific publications, number and quality of patents) and attracted global talent.</w:t>
      </w:r>
    </w:p>
    <w:p w:rsidR="001D2777" w:rsidRDefault="00767E0A">
      <w:pPr>
        <w:pStyle w:val="ListParagraph"/>
        <w:numPr>
          <w:ilvl w:val="0"/>
          <w:numId w:val="45"/>
        </w:numPr>
        <w:spacing w:before="120" w:after="240" w:line="240" w:lineRule="auto"/>
        <w:contextualSpacing w:val="0"/>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Ot</w:t>
      </w:r>
      <w:r>
        <w:rPr>
          <w:rFonts w:ascii="Times New Roman" w:eastAsia="Calibri" w:hAnsi="Times New Roman" w:cs="Times New Roman"/>
          <w:noProof/>
          <w:sz w:val="24"/>
          <w:szCs w:val="24"/>
        </w:rPr>
        <w:t>her big projects and and key enabling technologies, such as Galileo, Copernicus, ITER</w:t>
      </w:r>
      <w:r>
        <w:rPr>
          <w:rStyle w:val="FootnoteReference"/>
          <w:rFonts w:ascii="Times New Roman" w:eastAsia="Calibri" w:hAnsi="Times New Roman" w:cs="Times New Roman"/>
          <w:noProof/>
          <w:sz w:val="24"/>
          <w:szCs w:val="24"/>
        </w:rPr>
        <w:footnoteReference w:id="3"/>
      </w:r>
      <w:r>
        <w:rPr>
          <w:rFonts w:ascii="Times New Roman" w:eastAsia="Calibri" w:hAnsi="Times New Roman" w:cs="Times New Roman"/>
          <w:noProof/>
          <w:sz w:val="24"/>
          <w:szCs w:val="24"/>
        </w:rPr>
        <w:t xml:space="preserve"> or high performance computing can only be financed by pooling resources at EU level because of their very high financing needs.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European finances can also provide value</w:t>
      </w:r>
      <w:r>
        <w:rPr>
          <w:rFonts w:ascii="Times New Roman" w:eastAsia="Calibri" w:hAnsi="Times New Roman" w:cs="Times New Roman"/>
          <w:noProof/>
          <w:sz w:val="24"/>
          <w:szCs w:val="24"/>
        </w:rPr>
        <w:t xml:space="preserve"> added in upholding common European values, such as democracy, freedom, the rule of law, fundamental rights, equality, solidarity, sustainability and peace. For instance, the Erasmus programme and the European Solidarity Corps promote mobility and allow st</w:t>
      </w:r>
      <w:r>
        <w:rPr>
          <w:rFonts w:ascii="Times New Roman" w:eastAsia="Calibri" w:hAnsi="Times New Roman" w:cs="Times New Roman"/>
          <w:noProof/>
          <w:sz w:val="24"/>
          <w:szCs w:val="24"/>
        </w:rPr>
        <w:t>udents and workers to discover European cultures, learn new languages and skills and gain work experience abroad, and build bonds across Europe. The EU’s active role in its neighbourhood and beyond and in providing a perspective of EU membership have suppo</w:t>
      </w:r>
      <w:r>
        <w:rPr>
          <w:rFonts w:ascii="Times New Roman" w:eastAsia="Calibri" w:hAnsi="Times New Roman" w:cs="Times New Roman"/>
          <w:noProof/>
          <w:sz w:val="24"/>
          <w:szCs w:val="24"/>
        </w:rPr>
        <w:t xml:space="preserve">rted peace and projected stability. The cost of non-action in this area would be catastrophic if instability and war were to return to the region. Some achievements are more tangible and material than others, but all are equally important. </w:t>
      </w:r>
    </w:p>
    <w:p w:rsidR="001D2777" w:rsidRDefault="00767E0A">
      <w:pPr>
        <w:spacing w:after="0"/>
        <w:rPr>
          <w:rFonts w:ascii="Times New Roman" w:eastAsia="Calibri" w:hAnsi="Times New Roman" w:cs="Times New Roman"/>
          <w:b/>
          <w:noProof/>
          <w:sz w:val="24"/>
          <w:szCs w:val="24"/>
        </w:rPr>
      </w:pPr>
      <w:r>
        <w:rPr>
          <w:rFonts w:ascii="Times New Roman" w:eastAsia="Calibri" w:hAnsi="Times New Roman" w:cs="Times New Roman"/>
          <w:noProof/>
          <w:sz w:val="24"/>
          <w:szCs w:val="24"/>
        </w:rPr>
        <w:t>Finally, the va</w:t>
      </w:r>
      <w:r>
        <w:rPr>
          <w:rFonts w:ascii="Times New Roman" w:eastAsia="Calibri" w:hAnsi="Times New Roman" w:cs="Times New Roman"/>
          <w:noProof/>
          <w:sz w:val="24"/>
          <w:szCs w:val="24"/>
        </w:rPr>
        <w:t>lue added of the EU budget also depends on its internal, strategic coherence. Duplications must be removed and instruments should complement each other and be consistent from a policy perspective.</w:t>
      </w:r>
      <w:r>
        <w:rPr>
          <w:rFonts w:ascii="Times New Roman" w:eastAsia="Calibri" w:hAnsi="Times New Roman" w:cs="Times New Roman"/>
          <w:b/>
          <w:noProof/>
          <w:sz w:val="24"/>
          <w:szCs w:val="24"/>
        </w:rPr>
        <w:br w:type="page"/>
      </w:r>
    </w:p>
    <w:p w:rsidR="001D2777" w:rsidRDefault="00767E0A">
      <w:pPr>
        <w:pStyle w:val="Heading1"/>
        <w:spacing w:before="120" w:after="240"/>
        <w:ind w:left="709" w:hanging="709"/>
        <w:rPr>
          <w:noProof/>
        </w:rPr>
      </w:pPr>
      <w:r>
        <w:rPr>
          <w:noProof/>
        </w:rPr>
        <w:t>3.</w:t>
      </w:r>
      <w:r>
        <w:rPr>
          <w:noProof/>
        </w:rPr>
        <w:tab/>
        <w:t>TRENDS AND CHALLENGES</w:t>
      </w:r>
    </w:p>
    <w:p w:rsidR="001D2777" w:rsidRDefault="00767E0A">
      <w:pPr>
        <w:spacing w:after="240" w:line="240" w:lineRule="auto"/>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 xml:space="preserve">The White Paper on the Future of </w:t>
      </w:r>
      <w:r>
        <w:rPr>
          <w:rFonts w:ascii="Times New Roman" w:hAnsi="Times New Roman" w:cs="Times New Roman"/>
          <w:bCs/>
          <w:noProof/>
          <w:sz w:val="24"/>
          <w:szCs w:val="24"/>
          <w:lang w:val="en-US"/>
        </w:rPr>
        <w:t xml:space="preserve">Europe and the previous recent reflection papers have shown that the EU at 27 will face a wide range of challenges in the period leading </w:t>
      </w:r>
      <w:r>
        <w:rPr>
          <w:rFonts w:ascii="Times New Roman" w:hAnsi="Times New Roman"/>
          <w:noProof/>
          <w:sz w:val="24"/>
          <w:lang w:val="en-US"/>
        </w:rPr>
        <w:t>up to 2025 and beyond</w:t>
      </w:r>
      <w:r>
        <w:rPr>
          <w:rFonts w:ascii="Times New Roman" w:hAnsi="Times New Roman" w:cs="Times New Roman"/>
          <w:bCs/>
          <w:noProof/>
          <w:sz w:val="24"/>
          <w:szCs w:val="24"/>
          <w:lang w:val="en-US"/>
        </w:rPr>
        <w:t xml:space="preserve">. </w:t>
      </w:r>
    </w:p>
    <w:p w:rsidR="001D2777" w:rsidRDefault="00767E0A">
      <w:pPr>
        <w:spacing w:after="240" w:line="240" w:lineRule="auto"/>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 xml:space="preserve">Among them are current trends that will remain relevant for decades to come, such as the digital revolution and globalisation, demographic change and social cohesion, economic convergence and climate change. At the same time, </w:t>
      </w:r>
      <w:r>
        <w:rPr>
          <w:rFonts w:ascii="Times New Roman" w:eastAsia="Calibri" w:hAnsi="Times New Roman" w:cs="Times New Roman"/>
          <w:noProof/>
          <w:sz w:val="24"/>
          <w:szCs w:val="24"/>
        </w:rPr>
        <w:t xml:space="preserve">Europe's citizens are looking </w:t>
      </w:r>
      <w:r>
        <w:rPr>
          <w:rFonts w:ascii="Times New Roman" w:eastAsia="Calibri" w:hAnsi="Times New Roman" w:cs="Times New Roman"/>
          <w:noProof/>
          <w:sz w:val="24"/>
          <w:szCs w:val="24"/>
        </w:rPr>
        <w:t>to the Union and national governments to deliver prosperity, stability and security in a fast-changing and uncertain world</w:t>
      </w:r>
      <w:r>
        <w:rPr>
          <w:rStyle w:val="FootnoteReference"/>
          <w:rFonts w:ascii="Times New Roman" w:eastAsia="Calibri" w:hAnsi="Times New Roman" w:cs="Times New Roman"/>
          <w:noProof/>
          <w:sz w:val="24"/>
          <w:szCs w:val="24"/>
        </w:rPr>
        <w:footnoteReference w:id="4"/>
      </w:r>
      <w:r>
        <w:rPr>
          <w:rFonts w:ascii="Times New Roman" w:eastAsia="Calibri" w:hAnsi="Times New Roman" w:cs="Times New Roman"/>
          <w:noProof/>
          <w:sz w:val="24"/>
          <w:szCs w:val="24"/>
        </w:rPr>
        <w:t>. In a more volatile global environment, further unexpected challenges might emerge in the future.</w:t>
      </w:r>
      <w:r>
        <w:rPr>
          <w:rFonts w:ascii="Times New Roman" w:hAnsi="Times New Roman" w:cs="Times New Roman"/>
          <w:bCs/>
          <w:noProof/>
          <w:sz w:val="24"/>
          <w:szCs w:val="24"/>
          <w:lang w:val="en-US"/>
        </w:rPr>
        <w:t xml:space="preserve">  </w:t>
      </w:r>
    </w:p>
    <w:p w:rsidR="001D2777" w:rsidRDefault="00767E0A">
      <w:pPr>
        <w:spacing w:after="240" w:line="240" w:lineRule="auto"/>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 xml:space="preserve">If security, economic strength, </w:t>
      </w:r>
      <w:r>
        <w:rPr>
          <w:rFonts w:ascii="Times New Roman" w:hAnsi="Times New Roman" w:cs="Times New Roman"/>
          <w:bCs/>
          <w:noProof/>
          <w:sz w:val="24"/>
          <w:szCs w:val="24"/>
          <w:lang w:val="en-US"/>
        </w:rPr>
        <w:t xml:space="preserve">sustainability, and solidarity should be the focal points of EU action in the face of these new challenges and ongoing trends, is the current </w:t>
      </w:r>
      <w:r>
        <w:rPr>
          <w:rFonts w:ascii="Times New Roman" w:hAnsi="Times New Roman"/>
          <w:noProof/>
          <w:sz w:val="24"/>
          <w:lang w:val="en-US"/>
        </w:rPr>
        <w:t xml:space="preserve">EU budget </w:t>
      </w:r>
      <w:r>
        <w:rPr>
          <w:rFonts w:ascii="Times New Roman" w:hAnsi="Times New Roman" w:cs="Times New Roman"/>
          <w:bCs/>
          <w:noProof/>
          <w:sz w:val="24"/>
          <w:szCs w:val="24"/>
          <w:lang w:val="en-US"/>
        </w:rPr>
        <w:t>equipped to respond? How does EU spending match up with these priorities? And what scope for improvement</w:t>
      </w:r>
      <w:r>
        <w:rPr>
          <w:rFonts w:ascii="Times New Roman" w:hAnsi="Times New Roman" w:cs="Times New Roman"/>
          <w:bCs/>
          <w:noProof/>
          <w:sz w:val="24"/>
          <w:szCs w:val="24"/>
          <w:lang w:val="en-US"/>
        </w:rPr>
        <w:t xml:space="preserve"> do we have?</w:t>
      </w:r>
    </w:p>
    <w:p w:rsidR="001D2777" w:rsidRDefault="00767E0A">
      <w:pPr>
        <w:pStyle w:val="Heading2"/>
        <w:rPr>
          <w:noProof/>
        </w:rPr>
      </w:pPr>
      <w:r>
        <w:rPr>
          <w:noProof/>
        </w:rPr>
        <w:t>3.1</w:t>
      </w:r>
      <w:r>
        <w:rPr>
          <w:noProof/>
        </w:rPr>
        <w:tab/>
        <w:t>Security and safety for the citizens of the Union</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instability of Europe's neighbourhood and new forms of terrorism pose significant challenges inside and outside our borders. The security of one Member State has become the security of </w:t>
      </w:r>
      <w:r>
        <w:rPr>
          <w:rFonts w:ascii="Times New Roman" w:eastAsia="Calibri" w:hAnsi="Times New Roman" w:cs="Times New Roman"/>
          <w:noProof/>
          <w:sz w:val="24"/>
          <w:szCs w:val="24"/>
        </w:rPr>
        <w:t>all the EU. While many of the tools enhancing security of all citizens lie in the hands of the Member States, the EU also has a crucial role to play, whether by improving the control of external borders, strenghtening robust information networks, reinforci</w:t>
      </w:r>
      <w:r>
        <w:rPr>
          <w:rFonts w:ascii="Times New Roman" w:eastAsia="Calibri" w:hAnsi="Times New Roman" w:cs="Times New Roman"/>
          <w:noProof/>
          <w:sz w:val="24"/>
          <w:szCs w:val="24"/>
        </w:rPr>
        <w:t>ng the support provided by the agencies, or tackling the increased instability in our neighbourhood.</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Security and safety threats concern also other areas, such as the protection of resilient food chains and mechanisms to respond to risks to public health (</w:t>
      </w:r>
      <w:r>
        <w:rPr>
          <w:rFonts w:ascii="Times New Roman" w:eastAsia="Calibri" w:hAnsi="Times New Roman" w:cs="Times New Roman"/>
          <w:noProof/>
          <w:sz w:val="24"/>
          <w:szCs w:val="24"/>
        </w:rPr>
        <w:t>e.g. the mad cow disease or swine fever, water pollution and chemicals). Another example is the joint effort to combat global diseases (such as for example Ebola) that can have devastating effects on both third countries and European citizens. Another area</w:t>
      </w:r>
      <w:r>
        <w:rPr>
          <w:rFonts w:ascii="Times New Roman" w:eastAsia="Calibri" w:hAnsi="Times New Roman" w:cs="Times New Roman"/>
          <w:noProof/>
          <w:sz w:val="24"/>
          <w:szCs w:val="24"/>
        </w:rPr>
        <w:t xml:space="preserve"> is the response to natural or man-made disasters.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We must decide what role the EU budget could play supporting the EU´s action building the area of Freedom, Security and Justice and which role it could also play, inter alia, in implementing the Global Str</w:t>
      </w:r>
      <w:r>
        <w:rPr>
          <w:rFonts w:ascii="Times New Roman" w:eastAsia="Calibri" w:hAnsi="Times New Roman" w:cs="Times New Roman"/>
          <w:noProof/>
          <w:sz w:val="24"/>
          <w:szCs w:val="24"/>
        </w:rPr>
        <w:t>ategy</w:t>
      </w:r>
      <w:r>
        <w:rPr>
          <w:rStyle w:val="FootnoteReference"/>
          <w:rFonts w:ascii="Times New Roman" w:eastAsia="Calibri" w:hAnsi="Times New Roman" w:cs="Times New Roman"/>
          <w:noProof/>
          <w:sz w:val="24"/>
          <w:szCs w:val="24"/>
        </w:rPr>
        <w:footnoteReference w:id="5"/>
      </w:r>
      <w:r>
        <w:rPr>
          <w:rFonts w:ascii="Times New Roman" w:eastAsia="Calibri" w:hAnsi="Times New Roman" w:cs="Times New Roman"/>
          <w:noProof/>
          <w:sz w:val="24"/>
          <w:szCs w:val="24"/>
        </w:rPr>
        <w:t xml:space="preserve"> and developing a common defence policy to deal with new and existing threats, both physical and in cyberspace.</w:t>
      </w:r>
    </w:p>
    <w:p w:rsidR="001D2777" w:rsidRDefault="00767E0A">
      <w:pPr>
        <w:pStyle w:val="Heading2"/>
        <w:rPr>
          <w:noProof/>
        </w:rPr>
      </w:pPr>
      <w:r>
        <w:rPr>
          <w:noProof/>
        </w:rPr>
        <w:t>3.2</w:t>
      </w:r>
      <w:r>
        <w:rPr>
          <w:noProof/>
        </w:rPr>
        <w:tab/>
        <w:t xml:space="preserve">Economic strength, sustainability and solidarity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EU budget should continue to make the European economy stronger and more </w:t>
      </w:r>
      <w:r>
        <w:rPr>
          <w:rFonts w:ascii="Times New Roman" w:eastAsia="Calibri" w:hAnsi="Times New Roman" w:cs="Times New Roman"/>
          <w:noProof/>
          <w:sz w:val="24"/>
          <w:szCs w:val="24"/>
        </w:rPr>
        <w:t>resilient by promoting long-term competitiveness, sustainability and solidarity.</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Sustainable development has long been at the heart of the European project. European societies today face many sustainability challenges from youth unemployment to ageing popu</w:t>
      </w:r>
      <w:r>
        <w:rPr>
          <w:rFonts w:ascii="Times New Roman" w:eastAsia="Calibri" w:hAnsi="Times New Roman" w:cs="Times New Roman"/>
          <w:noProof/>
          <w:sz w:val="24"/>
          <w:szCs w:val="24"/>
        </w:rPr>
        <w:t xml:space="preserve">lations, climate change, pollution, sustainable energy and migration. The 2030 United Nations Agenda for Sustainable Development and the Sustainable Development Goals (SDGs) (see chart below) is an anchor of EU policy both internally and externally. </w:t>
      </w:r>
    </w:p>
    <w:p w:rsidR="001D2777" w:rsidRDefault="00767E0A">
      <w:pPr>
        <w:keepNext/>
        <w:spacing w:after="240" w:line="240" w:lineRule="auto"/>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Susta</w:t>
      </w:r>
      <w:r>
        <w:rPr>
          <w:rFonts w:ascii="Times New Roman" w:eastAsia="Calibri" w:hAnsi="Times New Roman" w:cs="Times New Roman"/>
          <w:noProof/>
          <w:sz w:val="24"/>
          <w:szCs w:val="24"/>
          <w:u w:val="single"/>
        </w:rPr>
        <w:t xml:space="preserve">inable Development Goals at the heart of the EU’s sustainability policy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drawing>
          <wp:inline distT="0" distB="0" distL="0" distR="0">
            <wp:extent cx="6450330" cy="22377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0330" cy="2237740"/>
                    </a:xfrm>
                    <a:prstGeom prst="rect">
                      <a:avLst/>
                    </a:prstGeom>
                    <a:noFill/>
                  </pic:spPr>
                </pic:pic>
              </a:graphicData>
            </a:graphic>
          </wp:inline>
        </w:drawing>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Source: United Nations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economic, social and environmental dimensions at the heart of the SDGs have largely been incorporated into the EU budget and spending programmes. They </w:t>
      </w:r>
      <w:r>
        <w:rPr>
          <w:rFonts w:ascii="Times New Roman" w:eastAsia="Calibri" w:hAnsi="Times New Roman" w:cs="Times New Roman"/>
          <w:noProof/>
          <w:sz w:val="24"/>
          <w:szCs w:val="24"/>
        </w:rPr>
        <w:t xml:space="preserve">have been mainstreamed into the Europe 2020 strategy to build around education and innovation ("smart"), low carbon emissions, climate resilience and environmental protection ("sustainable"), job creation and poverty reduction ("inclusive"). There is also </w:t>
      </w:r>
      <w:r>
        <w:rPr>
          <w:rFonts w:ascii="Times New Roman" w:eastAsia="Calibri" w:hAnsi="Times New Roman" w:cs="Times New Roman"/>
          <w:noProof/>
          <w:sz w:val="24"/>
          <w:szCs w:val="24"/>
        </w:rPr>
        <w:t>a political commitment of devoting at least 20% of the EU budget 2014-2020 to climate action and to achieving 0.7% of GNI as Official Development Assistance within the framework of the 2030 agenda.</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Nurturing competitiveness and averting a widening social d</w:t>
      </w:r>
      <w:r>
        <w:rPr>
          <w:rFonts w:ascii="Times New Roman" w:eastAsia="Calibri" w:hAnsi="Times New Roman" w:cs="Times New Roman"/>
          <w:noProof/>
          <w:sz w:val="24"/>
          <w:szCs w:val="24"/>
        </w:rPr>
        <w:t>ivide is an important challenge for the Union and for the Euro area in particular. The aim must be to reduce economic and social divergences between and within Member States and to empower people to play their full role in society. EU expenditure on social</w:t>
      </w:r>
      <w:r>
        <w:rPr>
          <w:rFonts w:ascii="Times New Roman" w:eastAsia="Calibri" w:hAnsi="Times New Roman" w:cs="Times New Roman"/>
          <w:noProof/>
          <w:sz w:val="24"/>
          <w:szCs w:val="24"/>
        </w:rPr>
        <w:t xml:space="preserve"> matters, from labour market to poverty reduction, from social inclusion to education, currently represents only 0.3 % of total public social expenditure in the EU. While this share might be re-assessed in the future, there can be no mistaking that social </w:t>
      </w:r>
      <w:r>
        <w:rPr>
          <w:rFonts w:ascii="Times New Roman" w:eastAsia="Calibri" w:hAnsi="Times New Roman" w:cs="Times New Roman"/>
          <w:noProof/>
          <w:sz w:val="24"/>
          <w:szCs w:val="24"/>
        </w:rPr>
        <w:t>support will remain primarily in the hands of Member States. The Reflection Paper on the social dimension of Europe has outlined areas where EU finances could make a stronger contribution in the future, depending on the path chosen for the EU's future soci</w:t>
      </w:r>
      <w:r>
        <w:rPr>
          <w:rFonts w:ascii="Times New Roman" w:eastAsia="Calibri" w:hAnsi="Times New Roman" w:cs="Times New Roman"/>
          <w:noProof/>
          <w:sz w:val="24"/>
          <w:szCs w:val="24"/>
        </w:rPr>
        <w:t>al policy.</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benefits of globalisation are unequally distributed both between people and territories, notably between large metropolitan areas and declining industrial and rural areas. The Reflection Paper on Harnessing Globalisation indicates that it is</w:t>
      </w:r>
      <w:r>
        <w:rPr>
          <w:rFonts w:ascii="Times New Roman" w:eastAsia="Calibri" w:hAnsi="Times New Roman" w:cs="Times New Roman"/>
          <w:noProof/>
          <w:sz w:val="24"/>
          <w:szCs w:val="24"/>
        </w:rPr>
        <w:t xml:space="preserve"> necessary to accompany the economic transformation brought about by globalisation and technological change so that every citizen and every region can contribute to and benefit from the internal market and become more competitive and more resilient.</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How do</w:t>
      </w:r>
      <w:r>
        <w:rPr>
          <w:rFonts w:ascii="Times New Roman" w:eastAsia="Calibri" w:hAnsi="Times New Roman" w:cs="Times New Roman"/>
          <w:noProof/>
          <w:sz w:val="24"/>
          <w:szCs w:val="24"/>
        </w:rPr>
        <w:t>es the current EU budget respond to these challenges?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three basic functions of any public budget are investment in public goods, re-distribution and macro-economic stabilisation. The EU budget performs these functions albeit to differing degrees. For i</w:t>
      </w:r>
      <w:r>
        <w:rPr>
          <w:rFonts w:ascii="Times New Roman" w:eastAsia="Calibri" w:hAnsi="Times New Roman" w:cs="Times New Roman"/>
          <w:noProof/>
          <w:sz w:val="24"/>
          <w:szCs w:val="24"/>
        </w:rPr>
        <w:t>nstance, it finances public goods through programmes managed directly at the European level, such as Horizon 2020 for research or instruments like the Connecting Europe Facility for infrastructure investment, and together with Member States and regions thr</w:t>
      </w:r>
      <w:r>
        <w:rPr>
          <w:rFonts w:ascii="Times New Roman" w:eastAsia="Calibri" w:hAnsi="Times New Roman" w:cs="Times New Roman"/>
          <w:noProof/>
          <w:sz w:val="24"/>
          <w:szCs w:val="24"/>
        </w:rPr>
        <w:t>ough the investment co-financed under cohesion policy.</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It achieves a re-distribution (coupled with the financing and provision of public goods) through  cohesion policy, which promotes economic convergence as well as social and territorial cohesion; and, t</w:t>
      </w:r>
      <w:r>
        <w:rPr>
          <w:rFonts w:ascii="Times New Roman" w:eastAsia="Calibri" w:hAnsi="Times New Roman" w:cs="Times New Roman"/>
          <w:noProof/>
          <w:sz w:val="24"/>
          <w:szCs w:val="24"/>
        </w:rPr>
        <w:t xml:space="preserve">hrough support for rural development  and via the support to the income of farmers under the Common Agricultural Policy (CAP).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stabilisation function is only covered indirectly. The EU budget has some stabilising effects for some Member States, notabl</w:t>
      </w:r>
      <w:r>
        <w:rPr>
          <w:rFonts w:ascii="Times New Roman" w:eastAsia="Calibri" w:hAnsi="Times New Roman" w:cs="Times New Roman"/>
          <w:noProof/>
          <w:sz w:val="24"/>
          <w:szCs w:val="24"/>
        </w:rPr>
        <w:t xml:space="preserve">y due to its stability over seven years, which provides a constant level of investment independent of the economic cycle. At the same time, a Member State’s contributions are linked to economic performance, so that contributions to the budget will go down </w:t>
      </w:r>
      <w:r>
        <w:rPr>
          <w:rFonts w:ascii="Times New Roman" w:eastAsia="Calibri" w:hAnsi="Times New Roman" w:cs="Times New Roman"/>
          <w:noProof/>
          <w:sz w:val="24"/>
          <w:szCs w:val="24"/>
        </w:rPr>
        <w:t xml:space="preserve">in a recession. However, the EU budget was not conceived to provide for macro-economic shock absorption.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An important question suggested by the Reflection Paper on deepening Economic and Monetary Union is whether establishing such a stabilisation function</w:t>
      </w:r>
      <w:r>
        <w:rPr>
          <w:rFonts w:ascii="Times New Roman" w:eastAsia="Calibri" w:hAnsi="Times New Roman" w:cs="Times New Roman"/>
          <w:noProof/>
          <w:sz w:val="24"/>
          <w:szCs w:val="24"/>
        </w:rPr>
        <w:t xml:space="preserve"> and means to further convergence should be considered, and further explored by the Commission.</w:t>
      </w:r>
    </w:p>
    <w:p w:rsidR="001D2777" w:rsidRDefault="00767E0A">
      <w:pPr>
        <w:spacing w:line="240" w:lineRule="auto"/>
        <w:jc w:val="both"/>
        <w:rPr>
          <w:noProof/>
        </w:rPr>
      </w:pPr>
      <w:r>
        <w:rPr>
          <w:rFonts w:ascii="Times New Roman" w:eastAsia="Calibri" w:hAnsi="Times New Roman" w:cs="Times New Roman"/>
          <w:noProof/>
          <w:sz w:val="24"/>
          <w:szCs w:val="24"/>
        </w:rPr>
        <w:t xml:space="preserve">Finally, the impact of investment depends on the environment in which it operates. This is why the discussion on the link between structural reforms and the EU </w:t>
      </w:r>
      <w:r>
        <w:rPr>
          <w:rFonts w:ascii="Times New Roman" w:eastAsia="Calibri" w:hAnsi="Times New Roman" w:cs="Times New Roman"/>
          <w:noProof/>
          <w:sz w:val="24"/>
          <w:szCs w:val="24"/>
        </w:rPr>
        <w:t xml:space="preserve">budget has become so prominent recently. While this link has been already established for cohesion policy, it is worth reflecting on whether this is sufficient and whether the incentives could be improved. </w:t>
      </w:r>
    </w:p>
    <w:p w:rsidR="001D2777" w:rsidRDefault="00767E0A">
      <w:pPr>
        <w:pStyle w:val="Heading3"/>
        <w:rPr>
          <w:noProof/>
        </w:rPr>
      </w:pPr>
      <w:r>
        <w:rPr>
          <w:noProof/>
        </w:rPr>
        <w:t>3.2.1</w:t>
      </w:r>
      <w:r>
        <w:rPr>
          <w:noProof/>
        </w:rPr>
        <w:tab/>
        <w:t>Investment in public goods directly managed</w:t>
      </w:r>
      <w:r>
        <w:rPr>
          <w:noProof/>
        </w:rPr>
        <w:t xml:space="preserve"> at the European level</w:t>
      </w:r>
    </w:p>
    <w:p w:rsidR="001D2777" w:rsidRDefault="00767E0A">
      <w:pPr>
        <w:spacing w:after="240" w:line="240" w:lineRule="auto"/>
        <w:jc w:val="both"/>
        <w:rPr>
          <w:rFonts w:ascii="Times New Roman" w:hAnsi="Times New Roman"/>
          <w:noProof/>
          <w:sz w:val="24"/>
        </w:rPr>
      </w:pPr>
      <w:r>
        <w:rPr>
          <w:rFonts w:ascii="Times New Roman" w:hAnsi="Times New Roman"/>
          <w:noProof/>
          <w:sz w:val="24"/>
        </w:rPr>
        <w:t xml:space="preserve">In the 2014-2020 multiannual financial framework around 13% of the EU budget is supporting key priorities for sustainable growth through programmes or projects directly or indirectly managed at the European level.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largest of the</w:t>
      </w:r>
      <w:r>
        <w:rPr>
          <w:rFonts w:ascii="Times New Roman" w:hAnsi="Times New Roman" w:cs="Times New Roman"/>
          <w:noProof/>
          <w:sz w:val="24"/>
          <w:szCs w:val="24"/>
        </w:rPr>
        <w:t xml:space="preserve">se programmes is the </w:t>
      </w:r>
      <w:r>
        <w:rPr>
          <w:rFonts w:ascii="Times New Roman" w:hAnsi="Times New Roman" w:cs="Times New Roman"/>
          <w:b/>
          <w:noProof/>
          <w:sz w:val="24"/>
          <w:szCs w:val="24"/>
        </w:rPr>
        <w:t>European Fund for Strategic Investments</w:t>
      </w:r>
      <w:r>
        <w:rPr>
          <w:rFonts w:ascii="Times New Roman" w:hAnsi="Times New Roman" w:cs="Times New Roman"/>
          <w:noProof/>
          <w:sz w:val="24"/>
          <w:szCs w:val="24"/>
        </w:rPr>
        <w:t>, which was set up by President Juncker in November 2014 following the financial and economic crisis of 2008-2009 and the subsequent collapse in investment. It is well on the way to trigger the in</w:t>
      </w:r>
      <w:r>
        <w:rPr>
          <w:rFonts w:ascii="Times New Roman" w:hAnsi="Times New Roman" w:cs="Times New Roman"/>
          <w:noProof/>
          <w:sz w:val="24"/>
          <w:szCs w:val="24"/>
        </w:rPr>
        <w:t>tended target of  EUR 315 billion in investments. With the proposed extension it should trigger total investments of at least EUR 500 billion.</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b/>
          <w:noProof/>
          <w:sz w:val="24"/>
        </w:rPr>
        <w:t>Horizon 2020,</w:t>
      </w:r>
      <w:r>
        <w:rPr>
          <w:rFonts w:ascii="Times New Roman" w:hAnsi="Times New Roman" w:cs="Times New Roman"/>
          <w:noProof/>
          <w:sz w:val="24"/>
          <w:szCs w:val="24"/>
        </w:rPr>
        <w:t xml:space="preserve"> the main instrument for financing top-level research and innovation across the European Union (EUR 74.8 billion) attracts collaboration from 131 countries worldwide and finances 13,000 high-quality projects since 2014.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b/>
          <w:noProof/>
          <w:sz w:val="24"/>
        </w:rPr>
        <w:t>Connecting Europe Facility</w:t>
      </w:r>
      <w:r>
        <w:rPr>
          <w:rFonts w:ascii="Times New Roman" w:hAnsi="Times New Roman" w:cs="Times New Roman"/>
          <w:noProof/>
          <w:sz w:val="24"/>
          <w:szCs w:val="24"/>
        </w:rPr>
        <w:t xml:space="preserve"> (EUR</w:t>
      </w:r>
      <w:r>
        <w:rPr>
          <w:rFonts w:ascii="Times New Roman" w:hAnsi="Times New Roman" w:cs="Times New Roman"/>
          <w:noProof/>
          <w:sz w:val="24"/>
          <w:szCs w:val="24"/>
        </w:rPr>
        <w:t xml:space="preserve"> 30.4 billion) is another example of EU investment in major infrastructure in transport, energy and communication technology in Europe. Projects include for example the improvement of the safety of the central rail line in Poland, while increasing its spee</w:t>
      </w:r>
      <w:r>
        <w:rPr>
          <w:rFonts w:ascii="Times New Roman" w:hAnsi="Times New Roman" w:cs="Times New Roman"/>
          <w:noProof/>
          <w:sz w:val="24"/>
          <w:szCs w:val="24"/>
        </w:rPr>
        <w:t>d up to 200 km/h, thus improving overall European freight and passenger transport along the central Baltic-Adriatic transport corridor.</w:t>
      </w:r>
    </w:p>
    <w:p w:rsidR="001D2777" w:rsidRDefault="00767E0A">
      <w:pPr>
        <w:spacing w:after="240" w:line="240" w:lineRule="auto"/>
        <w:jc w:val="both"/>
        <w:rPr>
          <w:noProof/>
        </w:rPr>
      </w:pPr>
      <w:r>
        <w:rPr>
          <w:rFonts w:ascii="Times New Roman" w:hAnsi="Times New Roman" w:cs="Times New Roman"/>
          <w:b/>
          <w:noProof/>
          <w:sz w:val="24"/>
          <w:szCs w:val="24"/>
        </w:rPr>
        <w:t>Erasmus+</w:t>
      </w:r>
      <w:r>
        <w:rPr>
          <w:rFonts w:ascii="Times New Roman" w:hAnsi="Times New Roman" w:cs="Times New Roman"/>
          <w:noProof/>
          <w:sz w:val="24"/>
          <w:szCs w:val="24"/>
        </w:rPr>
        <w:t xml:space="preserve"> (EUR 14.8 billion) is the European programme for education, training and youth and sport with over 2 million pa</w:t>
      </w:r>
      <w:r>
        <w:rPr>
          <w:rFonts w:ascii="Times New Roman" w:hAnsi="Times New Roman" w:cs="Times New Roman"/>
          <w:noProof/>
          <w:sz w:val="24"/>
          <w:szCs w:val="24"/>
        </w:rPr>
        <w:t xml:space="preserve">rticipants by 2016.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t>
      </w:r>
      <w:r>
        <w:rPr>
          <w:rFonts w:ascii="Times New Roman" w:hAnsi="Times New Roman"/>
          <w:b/>
          <w:noProof/>
          <w:sz w:val="24"/>
        </w:rPr>
        <w:t>COSME</w:t>
      </w:r>
      <w:r>
        <w:rPr>
          <w:rStyle w:val="FootnoteReference"/>
          <w:rFonts w:ascii="Times New Roman" w:hAnsi="Times New Roman" w:cs="Times New Roman"/>
          <w:noProof/>
          <w:sz w:val="24"/>
          <w:szCs w:val="24"/>
        </w:rPr>
        <w:footnoteReference w:id="6"/>
      </w:r>
      <w:r>
        <w:rPr>
          <w:rFonts w:ascii="Times New Roman" w:hAnsi="Times New Roman" w:cs="Times New Roman"/>
          <w:noProof/>
          <w:sz w:val="24"/>
          <w:szCs w:val="24"/>
        </w:rPr>
        <w:t xml:space="preserve"> programme (EUR 2.3 billion)</w:t>
      </w:r>
      <w:r>
        <w:rPr>
          <w:rFonts w:ascii="Times New Roman" w:hAnsi="Times New Roman"/>
          <w:noProof/>
          <w:sz w:val="24"/>
        </w:rPr>
        <w:t xml:space="preserve"> </w:t>
      </w:r>
      <w:r>
        <w:rPr>
          <w:rFonts w:ascii="Times New Roman" w:hAnsi="Times New Roman" w:cs="Times New Roman"/>
          <w:noProof/>
          <w:sz w:val="24"/>
          <w:szCs w:val="24"/>
        </w:rPr>
        <w:t xml:space="preserve">targets </w:t>
      </w:r>
      <w:r>
        <w:rPr>
          <w:rFonts w:ascii="Times New Roman" w:eastAsia="Calibri" w:hAnsi="Times New Roman" w:cs="Times New Roman"/>
          <w:noProof/>
          <w:sz w:val="24"/>
          <w:szCs w:val="24"/>
        </w:rPr>
        <w:t>small and medium-sized enterprises</w:t>
      </w:r>
      <w:r>
        <w:rPr>
          <w:rFonts w:ascii="Times New Roman" w:hAnsi="Times New Roman" w:cs="Times New Roman"/>
          <w:noProof/>
          <w:sz w:val="24"/>
          <w:szCs w:val="24"/>
        </w:rPr>
        <w:t xml:space="preserve"> by facilitating access to loan and equity financing as well as market access, providing loan financing of over 5.5 billion EUR to more than 140,000 compa</w:t>
      </w:r>
      <w:r>
        <w:rPr>
          <w:rFonts w:ascii="Times New Roman" w:hAnsi="Times New Roman" w:cs="Times New Roman"/>
          <w:noProof/>
          <w:sz w:val="24"/>
          <w:szCs w:val="24"/>
        </w:rPr>
        <w:t xml:space="preserve">nies. It addresses the specificities of the European venture capital market by investing in SMEs in their growth and expansion stage, reaching nearly half a billion EUR of equity investment in 2016.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EU also finances a number of </w:t>
      </w:r>
      <w:r>
        <w:rPr>
          <w:rFonts w:ascii="Times New Roman" w:hAnsi="Times New Roman"/>
          <w:b/>
          <w:noProof/>
          <w:sz w:val="24"/>
        </w:rPr>
        <w:t>large scale projects an</w:t>
      </w:r>
      <w:r>
        <w:rPr>
          <w:rFonts w:ascii="Times New Roman" w:hAnsi="Times New Roman"/>
          <w:b/>
          <w:noProof/>
          <w:sz w:val="24"/>
        </w:rPr>
        <w:t>d infrastructure</w:t>
      </w:r>
      <w:r>
        <w:rPr>
          <w:rFonts w:ascii="Times New Roman" w:hAnsi="Times New Roman" w:cs="Times New Roman"/>
          <w:noProof/>
          <w:sz w:val="24"/>
          <w:szCs w:val="24"/>
        </w:rPr>
        <w:t xml:space="preserve"> that are too big to complete without public investment. A notable example is the EU's global Navigation Satellite System - </w:t>
      </w:r>
      <w:r>
        <w:rPr>
          <w:rFonts w:ascii="Times New Roman" w:hAnsi="Times New Roman" w:cs="Times New Roman"/>
          <w:b/>
          <w:noProof/>
          <w:sz w:val="24"/>
          <w:szCs w:val="24"/>
        </w:rPr>
        <w:t>Galileo</w:t>
      </w:r>
      <w:r>
        <w:rPr>
          <w:rFonts w:ascii="Times New Roman" w:hAnsi="Times New Roman" w:cs="Times New Roman"/>
          <w:noProof/>
          <w:sz w:val="24"/>
          <w:szCs w:val="24"/>
        </w:rPr>
        <w:t>, which provides services thanks to 15 fully operational EU satellites now in orbit and the EU's earth observ</w:t>
      </w:r>
      <w:r>
        <w:rPr>
          <w:rFonts w:ascii="Times New Roman" w:hAnsi="Times New Roman" w:cs="Times New Roman"/>
          <w:noProof/>
          <w:sz w:val="24"/>
          <w:szCs w:val="24"/>
        </w:rPr>
        <w:t xml:space="preserve">ation system, Copernicus, which is set to become one of the most important global providers of big data.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Many of these programmes have become EU trademarks, making the EU visible and recognisable in the daily lives of its citizens. Nevertheless, there are</w:t>
      </w:r>
      <w:r>
        <w:rPr>
          <w:rFonts w:ascii="Times New Roman" w:hAnsi="Times New Roman" w:cs="Times New Roman"/>
          <w:noProof/>
          <w:sz w:val="24"/>
          <w:szCs w:val="24"/>
        </w:rPr>
        <w:t xml:space="preserve"> margins for improvements to further strengthen their performance and increase their impact, in particular by avoiding overlaps, combing instruments, and ensuring complementarity and simplification. Should the budgetary allocation for these programmes be r</w:t>
      </w:r>
      <w:r>
        <w:rPr>
          <w:rFonts w:ascii="Times New Roman" w:hAnsi="Times New Roman" w:cs="Times New Roman"/>
          <w:noProof/>
          <w:sz w:val="24"/>
          <w:szCs w:val="24"/>
        </w:rPr>
        <w:t>einforced? How can we ensure they are mutually reinforcing? How can overlaps between programmes intervening in the same areas be avoided, whether for large infrastructure or support to SMEs? Avenues to improve the use of financial instruments in this area,</w:t>
      </w:r>
      <w:r>
        <w:rPr>
          <w:rFonts w:ascii="Times New Roman" w:hAnsi="Times New Roman" w:cs="Times New Roman"/>
          <w:noProof/>
          <w:sz w:val="24"/>
          <w:szCs w:val="24"/>
        </w:rPr>
        <w:t xml:space="preserve"> to simplify the relevant rules and to enhance flexibility are set out in section 4.2.</w:t>
      </w:r>
    </w:p>
    <w:p w:rsidR="001D2777" w:rsidRDefault="00767E0A">
      <w:pPr>
        <w:pStyle w:val="Heading3"/>
        <w:rPr>
          <w:noProof/>
        </w:rPr>
      </w:pPr>
      <w:r>
        <w:rPr>
          <w:noProof/>
        </w:rPr>
        <w:t>3.2.2</w:t>
      </w:r>
      <w:r>
        <w:rPr>
          <w:noProof/>
        </w:rPr>
        <w:tab/>
        <w:t>Economic, social, and territorial cohesion</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the benefits of globalisation are widely spread, the costs are often localised. Recent evidence suggests that many</w:t>
      </w:r>
      <w:r>
        <w:rPr>
          <w:rFonts w:ascii="Times New Roman" w:hAnsi="Times New Roman" w:cs="Times New Roman"/>
          <w:noProof/>
          <w:sz w:val="24"/>
          <w:szCs w:val="24"/>
        </w:rPr>
        <w:t xml:space="preserve"> regions across Europe are much more likely than others to be exposed to sudden shocks due to their economic specialisation, labour costs, or education level of their workforce. At the same time, unemployment rates, particularly among the younger generatio</w:t>
      </w:r>
      <w:r>
        <w:rPr>
          <w:rFonts w:ascii="Times New Roman" w:hAnsi="Times New Roman" w:cs="Times New Roman"/>
          <w:noProof/>
          <w:sz w:val="24"/>
          <w:szCs w:val="24"/>
        </w:rPr>
        <w:t>ns, remain too high; participation in the labour market is low in many parts of Europe; and the number of people at risk of poverty is unacceptably high.</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These differences of economic and social perspectives may create socio-political tensions and require </w:t>
      </w:r>
      <w:r>
        <w:rPr>
          <w:rFonts w:ascii="Times New Roman" w:hAnsi="Times New Roman" w:cs="Times New Roman"/>
          <w:noProof/>
          <w:sz w:val="24"/>
          <w:szCs w:val="24"/>
        </w:rPr>
        <w:t>an appropriate EU response so that no person and no region are left behind.</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Fostering lasting economic convergence and resilience is the main objective of </w:t>
      </w:r>
      <w:r>
        <w:rPr>
          <w:rFonts w:ascii="Times New Roman" w:hAnsi="Times New Roman" w:cs="Times New Roman"/>
          <w:b/>
          <w:noProof/>
          <w:sz w:val="24"/>
          <w:szCs w:val="24"/>
        </w:rPr>
        <w:t>EU cohesion policy</w:t>
      </w:r>
      <w:r>
        <w:rPr>
          <w:rFonts w:ascii="Times New Roman" w:hAnsi="Times New Roman" w:cs="Times New Roman"/>
          <w:noProof/>
          <w:sz w:val="24"/>
          <w:szCs w:val="24"/>
        </w:rPr>
        <w:t xml:space="preserve">, which together with national co-financing, will mobilise more than EUR 480 </w:t>
      </w:r>
      <w:r>
        <w:rPr>
          <w:rFonts w:ascii="Times New Roman" w:hAnsi="Times New Roman" w:cs="Times New Roman"/>
          <w:noProof/>
          <w:sz w:val="24"/>
          <w:szCs w:val="24"/>
        </w:rPr>
        <w:t>billion in the period 2014-2020.</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current generation of programmes have incorporated important reforms. They focus more funding on key European priorities, such as employment, social inclusion, skills, research and innovation, energy and resource effici</w:t>
      </w:r>
      <w:r>
        <w:rPr>
          <w:rFonts w:ascii="Times New Roman" w:hAnsi="Times New Roman" w:cs="Times New Roman"/>
          <w:noProof/>
          <w:sz w:val="24"/>
          <w:szCs w:val="24"/>
        </w:rPr>
        <w:t>ency. Programme objectives are set upfront. The overall economic, legal and institutional framework for investment has improved. Similarly, the policy has established a close link between the investment co-financed and the broader economic governance agend</w:t>
      </w:r>
      <w:r>
        <w:rPr>
          <w:rFonts w:ascii="Times New Roman" w:hAnsi="Times New Roman" w:cs="Times New Roman"/>
          <w:noProof/>
          <w:sz w:val="24"/>
          <w:szCs w:val="24"/>
        </w:rPr>
        <w:t xml:space="preserve">a </w:t>
      </w:r>
      <w:r>
        <w:rPr>
          <w:rFonts w:ascii="Times New Roman" w:eastAsia="Calibri" w:hAnsi="Times New Roman" w:cs="Times New Roman"/>
          <w:noProof/>
          <w:sz w:val="24"/>
          <w:szCs w:val="24"/>
        </w:rPr>
        <w:t>and structural reforms.</w:t>
      </w:r>
      <w:r>
        <w:rPr>
          <w:rFonts w:ascii="Times New Roman" w:hAnsi="Times New Roman" w:cs="Times New Roman"/>
          <w:noProof/>
          <w:sz w:val="24"/>
          <w:szCs w:val="24"/>
        </w:rPr>
        <w:t xml:space="preserve"> </w:t>
      </w:r>
    </w:p>
    <w:p w:rsidR="001D2777" w:rsidRDefault="00767E0A">
      <w:pPr>
        <w:keepNext/>
        <w:spacing w:after="24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 xml:space="preserve">Globalisation: is Europe prepared?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6459334" cy="3331029"/>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9811" cy="3331275"/>
                    </a:xfrm>
                    <a:prstGeom prst="rect">
                      <a:avLst/>
                    </a:prstGeom>
                    <a:noFill/>
                  </pic:spPr>
                </pic:pic>
              </a:graphicData>
            </a:graphic>
          </wp:inline>
        </w:drawing>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Source: European Commission</w:t>
      </w:r>
    </w:p>
    <w:p w:rsidR="001D2777" w:rsidRDefault="00767E0A">
      <w:pPr>
        <w:keepNext/>
        <w:spacing w:after="24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What does cohesion policy finance?</w:t>
      </w:r>
    </w:p>
    <w:p w:rsidR="001D2777" w:rsidRDefault="00767E0A">
      <w:pPr>
        <w:keepNext/>
        <w:spacing w:after="24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In billion EUR</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extent cx="4239491" cy="301335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9241" cy="3013173"/>
                    </a:xfrm>
                    <a:prstGeom prst="rect">
                      <a:avLst/>
                    </a:prstGeom>
                    <a:noFill/>
                  </pic:spPr>
                </pic:pic>
              </a:graphicData>
            </a:graphic>
          </wp:inline>
        </w:drawing>
      </w:r>
    </w:p>
    <w:p w:rsidR="001D2777" w:rsidRDefault="001D2777">
      <w:pPr>
        <w:spacing w:after="240" w:line="240" w:lineRule="auto"/>
        <w:jc w:val="both"/>
        <w:rPr>
          <w:rFonts w:ascii="Times New Roman" w:hAnsi="Times New Roman" w:cs="Times New Roman"/>
          <w:noProof/>
          <w:sz w:val="24"/>
          <w:szCs w:val="24"/>
        </w:rPr>
      </w:pPr>
    </w:p>
    <w:p w:rsidR="001D2777" w:rsidRDefault="00767E0A">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i/>
          <w:noProof/>
          <w:sz w:val="20"/>
          <w:szCs w:val="20"/>
        </w:rPr>
      </w:pPr>
      <w:r>
        <w:rPr>
          <w:rFonts w:ascii="Times New Roman" w:hAnsi="Times New Roman" w:cs="Times New Roman"/>
          <w:i/>
          <w:noProof/>
          <w:sz w:val="20"/>
          <w:szCs w:val="20"/>
        </w:rPr>
        <w:t>Box 2 – Examples of results under cohesion policy 2007-13</w:t>
      </w:r>
    </w:p>
    <w:p w:rsidR="001D2777" w:rsidRDefault="00767E0A">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cs="Times New Roman"/>
          <w:noProof/>
          <w:sz w:val="20"/>
          <w:szCs w:val="20"/>
        </w:rPr>
        <w:t xml:space="preserve">Expenditure for social objectives:  9.4 million </w:t>
      </w:r>
      <w:r>
        <w:rPr>
          <w:rFonts w:ascii="Times New Roman" w:hAnsi="Times New Roman" w:cs="Times New Roman"/>
          <w:noProof/>
          <w:sz w:val="20"/>
          <w:szCs w:val="20"/>
        </w:rPr>
        <w:t>people  secured employment, while  8.7 million  citizens obtained qualifications</w:t>
      </w:r>
    </w:p>
    <w:p w:rsidR="001D2777" w:rsidRDefault="00767E0A">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cs="Times New Roman"/>
          <w:noProof/>
          <w:sz w:val="20"/>
          <w:szCs w:val="20"/>
        </w:rPr>
        <w:t>All Member States and regions have developed smart specialisation strategies to better target their research and innovation efforts. The support has led to around 95 000 Resea</w:t>
      </w:r>
      <w:r>
        <w:rPr>
          <w:rFonts w:ascii="Times New Roman" w:hAnsi="Times New Roman" w:cs="Times New Roman"/>
          <w:noProof/>
          <w:sz w:val="20"/>
          <w:szCs w:val="20"/>
        </w:rPr>
        <w:t>rch &amp;Innovation projects and 42 000 new research positions created;</w:t>
      </w:r>
    </w:p>
    <w:p w:rsidR="001D2777" w:rsidRDefault="00767E0A">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cs="Times New Roman"/>
          <w:noProof/>
          <w:sz w:val="20"/>
          <w:szCs w:val="20"/>
        </w:rPr>
        <w:t>Around 400 000 SMEs received support under cohesion policy and more than 1 million new jobs are being created as a result.</w:t>
      </w:r>
    </w:p>
    <w:p w:rsidR="001D2777" w:rsidRDefault="00767E0A">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cs="Times New Roman"/>
          <w:noProof/>
          <w:sz w:val="20"/>
          <w:szCs w:val="20"/>
        </w:rPr>
        <w:t xml:space="preserve">A large part of the EU expenditure for climate change and </w:t>
      </w:r>
      <w:r>
        <w:rPr>
          <w:rFonts w:ascii="Times New Roman" w:hAnsi="Times New Roman" w:cs="Times New Roman"/>
          <w:noProof/>
          <w:sz w:val="20"/>
          <w:szCs w:val="20"/>
        </w:rPr>
        <w:t>environment protection is being spent through cohesion policy. For example, around 6 million people gained access to better water supply and 7 million to improved waste water treatment;</w:t>
      </w:r>
    </w:p>
    <w:p w:rsidR="001D2777" w:rsidRDefault="00767E0A">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40" w:hanging="120"/>
        <w:jc w:val="both"/>
        <w:rPr>
          <w:rFonts w:ascii="Times New Roman" w:hAnsi="Times New Roman" w:cs="Times New Roman"/>
          <w:noProof/>
          <w:sz w:val="20"/>
          <w:szCs w:val="20"/>
        </w:rPr>
      </w:pPr>
      <w:r>
        <w:rPr>
          <w:rFonts w:ascii="Times New Roman" w:hAnsi="Times New Roman" w:cs="Times New Roman"/>
          <w:noProof/>
          <w:sz w:val="20"/>
          <w:szCs w:val="20"/>
        </w:rPr>
        <w:t xml:space="preserve">Member States built or renovated 2600 km of railway lines and 2400 km </w:t>
      </w:r>
      <w:r>
        <w:rPr>
          <w:rFonts w:ascii="Times New Roman" w:hAnsi="Times New Roman" w:cs="Times New Roman"/>
          <w:noProof/>
          <w:sz w:val="20"/>
          <w:szCs w:val="20"/>
        </w:rPr>
        <w:t>of roads belonging to the Trans European Network, in addition to the secondary networks connecting remote areas to the rest of Europe.</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While the overall results of cohesion policy are globally positive, there are a number of areas where reform is needed.</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w:t>
      </w:r>
      <w:r>
        <w:rPr>
          <w:rFonts w:ascii="Times New Roman" w:hAnsi="Times New Roman" w:cs="Times New Roman"/>
          <w:noProof/>
          <w:sz w:val="24"/>
          <w:szCs w:val="24"/>
        </w:rPr>
        <w:t>irst, in recent years, cohesion policy has effectively compensated for declining national and regional investments as a result of the crisis. This has helped to prevent major disruptions, but the resulting higher co-financing rates by the EU budget have re</w:t>
      </w:r>
      <w:r>
        <w:rPr>
          <w:rFonts w:ascii="Times New Roman" w:hAnsi="Times New Roman" w:cs="Times New Roman"/>
          <w:noProof/>
          <w:sz w:val="24"/>
          <w:szCs w:val="24"/>
        </w:rPr>
        <w:t xml:space="preserve">duced the overall investment effort.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Second, while cohesion policy responded to the crisis by increasing the co-financing level and amending its programmes to better fit changing socio-economic needs, there is also a need to review how cohesion policy can better prepare and react to unexpecte</w:t>
      </w:r>
      <w:r>
        <w:rPr>
          <w:rFonts w:ascii="Times New Roman" w:hAnsi="Times New Roman" w:cs="Times New Roman"/>
          <w:noProof/>
          <w:sz w:val="24"/>
          <w:szCs w:val="24"/>
        </w:rPr>
        <w:t xml:space="preserve">d developments, crisis and societal changes.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Third, the link with the economic governance and the European Semester may need to be strengthened to ensure that the system is simpler, transparent, and provides positive incentives to implement concrete refor</w:t>
      </w:r>
      <w:r>
        <w:rPr>
          <w:rFonts w:ascii="Times New Roman" w:hAnsi="Times New Roman" w:cs="Times New Roman"/>
          <w:noProof/>
          <w:sz w:val="24"/>
          <w:szCs w:val="24"/>
        </w:rPr>
        <w:t xml:space="preserve">ms to foster convergence.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Finally, the policy has become increasingly complex to manage, hampering implementation on the ground and creating delays. The layers of controls and bureaucratic complexity make it difficult for beneficiaries to access these fun</w:t>
      </w:r>
      <w:r>
        <w:rPr>
          <w:rFonts w:ascii="Times New Roman" w:hAnsi="Times New Roman" w:cs="Times New Roman"/>
          <w:noProof/>
          <w:sz w:val="24"/>
          <w:szCs w:val="24"/>
        </w:rPr>
        <w:t>ds and deliver projects quickly. Therefore, a much more radical approach to simplifying implementation and allowing for more agile and flexible programming is needed for the future.</w:t>
      </w:r>
    </w:p>
    <w:p w:rsidR="001D2777" w:rsidRDefault="00767E0A">
      <w:pPr>
        <w:pStyle w:val="Heading3"/>
        <w:rPr>
          <w:noProof/>
        </w:rPr>
      </w:pPr>
      <w:r>
        <w:rPr>
          <w:noProof/>
        </w:rPr>
        <w:t>3.2.3</w:t>
      </w:r>
      <w:r>
        <w:rPr>
          <w:noProof/>
        </w:rPr>
        <w:tab/>
        <w:t xml:space="preserve">Sustainable agriculture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Farmers provide a stable and high-quality f</w:t>
      </w:r>
      <w:r>
        <w:rPr>
          <w:rFonts w:ascii="Times New Roman" w:hAnsi="Times New Roman" w:cs="Times New Roman"/>
          <w:noProof/>
          <w:sz w:val="24"/>
          <w:szCs w:val="24"/>
        </w:rPr>
        <w:t xml:space="preserve">ood supply produced in a sustainable way at affordable prices for more than 500 million Europeans while respecting the requirements for animal health and welfare, environmental protection and food safety.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Ensuring the economic, social and environmental su</w:t>
      </w:r>
      <w:r>
        <w:rPr>
          <w:rFonts w:ascii="Times New Roman" w:hAnsi="Times New Roman" w:cs="Times New Roman"/>
          <w:noProof/>
          <w:sz w:val="24"/>
          <w:szCs w:val="24"/>
        </w:rPr>
        <w:t>stainability of agricultural and rural communities is the core objective of the Common Agricultural Policy (CAP). In the current framework 2014-2020 the CAP will mobilise around EUR 400 billion to finance market measures and direct payments for farmers and</w:t>
      </w:r>
      <w:r>
        <w:rPr>
          <w:rFonts w:ascii="Times New Roman" w:hAnsi="Times New Roman" w:cs="Times New Roman"/>
          <w:noProof/>
          <w:sz w:val="24"/>
          <w:szCs w:val="24"/>
        </w:rPr>
        <w:t xml:space="preserve"> rural development programmes and to promote sustainable agriculture and healthy rural economies. Of this amount direct payments represent around 70%. This income support partially fills the gap between agricultural income and comparable income for other e</w:t>
      </w:r>
      <w:r>
        <w:rPr>
          <w:rFonts w:ascii="Times New Roman" w:hAnsi="Times New Roman" w:cs="Times New Roman"/>
          <w:noProof/>
          <w:sz w:val="24"/>
          <w:szCs w:val="24"/>
        </w:rPr>
        <w:t>conomic sectors. The most recent reform of this policy introduced major changes to the system of direct payments, targeted to address the particular needs of young farmers and smaller farms, specific sectors or regions in difficulties, and the environment.</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Thanks to this policy, European citizens have access to safe, affordable and high quality food. Successive reforms of the common agricultural policy have made the European farm sector globally competitive, operating close to world market prices and showin</w:t>
      </w:r>
      <w:r>
        <w:rPr>
          <w:rFonts w:ascii="Times New Roman" w:hAnsi="Times New Roman" w:cs="Times New Roman"/>
          <w:noProof/>
          <w:sz w:val="24"/>
          <w:szCs w:val="24"/>
        </w:rPr>
        <w:t xml:space="preserve">g a strong and improving export performance. Still, there are huge disparities in the development of the farming sector. In some rural areas there are no credible alternative sources of employment and income outside farming. However, some farmers now have </w:t>
      </w:r>
      <w:r>
        <w:rPr>
          <w:rFonts w:ascii="Times New Roman" w:hAnsi="Times New Roman" w:cs="Times New Roman"/>
          <w:noProof/>
          <w:sz w:val="24"/>
          <w:szCs w:val="24"/>
        </w:rPr>
        <w:t xml:space="preserve">access to other forms of non-farm income, e.g. from tourism and leisure activities, wind power, bio gas and solar power.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Agriculture covers nearly half of the surface of the EU. This makes farmers key for preserving natural resources (water, air, soil and</w:t>
      </w:r>
      <w:r>
        <w:rPr>
          <w:rFonts w:ascii="Times New Roman" w:hAnsi="Times New Roman" w:cs="Times New Roman"/>
          <w:noProof/>
          <w:sz w:val="24"/>
          <w:szCs w:val="24"/>
        </w:rPr>
        <w:t xml:space="preserve"> biodiversity), implementing climate action and in shaping treasured landscapes. The CAP sets the necessary rules and incentives to ensure that agriculture and forestry contribute to solving the globally pressing environmental and climate problems and prov</w:t>
      </w:r>
      <w:r>
        <w:rPr>
          <w:rFonts w:ascii="Times New Roman" w:hAnsi="Times New Roman" w:cs="Times New Roman"/>
          <w:noProof/>
          <w:sz w:val="24"/>
          <w:szCs w:val="24"/>
        </w:rPr>
        <w:t>ide the public goods that citizens expect. Among these key tools are the agri-environment-climate measures of the CAP, which provides incentives farmers to adopt and adapt management policies and practices and undertake actions enhancing and preserving wat</w:t>
      </w:r>
      <w:r>
        <w:rPr>
          <w:rFonts w:ascii="Times New Roman" w:hAnsi="Times New Roman" w:cs="Times New Roman"/>
          <w:noProof/>
          <w:sz w:val="24"/>
          <w:szCs w:val="24"/>
        </w:rPr>
        <w:t>er bodies, soil, biodiversity and landscape amenities as well as mitigating and adapting to climate change. Still, there are growing demands to orient the Common Agricultural Policy further towards the provision of public goods related to the protection of</w:t>
      </w:r>
      <w:r>
        <w:rPr>
          <w:rFonts w:ascii="Times New Roman" w:hAnsi="Times New Roman" w:cs="Times New Roman"/>
          <w:noProof/>
          <w:sz w:val="24"/>
          <w:szCs w:val="24"/>
        </w:rPr>
        <w:t xml:space="preserve"> the environment and climate action. This would require more targeted and regionally adapted support measures. </w:t>
      </w:r>
    </w:p>
    <w:p w:rsidR="001D2777" w:rsidRDefault="00767E0A">
      <w:pPr>
        <w:keepNext/>
        <w:spacing w:after="24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Agricultural trade balance shows a competitive sector</w:t>
      </w:r>
    </w:p>
    <w:p w:rsidR="001D2777" w:rsidRDefault="00767E0A">
      <w:pPr>
        <w:keepNext/>
        <w:spacing w:after="24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rPr>
        <w:t>In million Euro</w:t>
      </w:r>
    </w:p>
    <w:p w:rsidR="001D2777" w:rsidRDefault="00767E0A">
      <w:pPr>
        <w:spacing w:after="240"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u w:val="single"/>
          <w:lang w:eastAsia="en-GB"/>
        </w:rPr>
        <w:drawing>
          <wp:inline distT="0" distB="0" distL="0" distR="0">
            <wp:extent cx="3141785" cy="2044271"/>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1630" cy="2044170"/>
                    </a:xfrm>
                    <a:prstGeom prst="rect">
                      <a:avLst/>
                    </a:prstGeom>
                    <a:noFill/>
                    <a:ln>
                      <a:noFill/>
                    </a:ln>
                  </pic:spPr>
                </pic:pic>
              </a:graphicData>
            </a:graphic>
          </wp:inline>
        </w:drawing>
      </w:r>
    </w:p>
    <w:p w:rsidR="001D2777" w:rsidRDefault="001D2777">
      <w:pPr>
        <w:spacing w:after="0" w:line="240" w:lineRule="auto"/>
        <w:jc w:val="both"/>
        <w:rPr>
          <w:rFonts w:ascii="Times New Roman" w:eastAsia="Calibri" w:hAnsi="Times New Roman" w:cs="Times New Roman"/>
          <w:noProof/>
          <w:sz w:val="24"/>
          <w:szCs w:val="24"/>
        </w:rPr>
      </w:pP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Source: European Commission</w:t>
      </w:r>
    </w:p>
    <w:p w:rsidR="001D2777" w:rsidRDefault="00767E0A">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There is no consensus on the level of </w:t>
      </w:r>
      <w:r>
        <w:rPr>
          <w:rFonts w:ascii="Times New Roman" w:eastAsia="Calibri" w:hAnsi="Times New Roman" w:cs="Times New Roman"/>
          <w:noProof/>
          <w:sz w:val="24"/>
          <w:szCs w:val="24"/>
        </w:rPr>
        <w:t>income support necessary when taking into account competitiveness within the sector. In some cases, these payments do not contribute to the structural development of the sector but tend to increase land prices that may hinder the entry of young farmers int</w:t>
      </w:r>
      <w:r>
        <w:rPr>
          <w:rFonts w:ascii="Times New Roman" w:eastAsia="Calibri" w:hAnsi="Times New Roman" w:cs="Times New Roman"/>
          <w:noProof/>
          <w:sz w:val="24"/>
          <w:szCs w:val="24"/>
        </w:rPr>
        <w:t>o the market.</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Direct payments are still largely determined by historic entitlements and concentrated on large farms and land owners in richer Member States. On average, 20% of beneficiaries receive around 80% of the payments. However, that general picture </w:t>
      </w:r>
      <w:r>
        <w:rPr>
          <w:rFonts w:ascii="Times New Roman" w:eastAsia="Calibri" w:hAnsi="Times New Roman" w:cs="Times New Roman"/>
          <w:noProof/>
          <w:sz w:val="24"/>
          <w:szCs w:val="24"/>
        </w:rPr>
        <w:t xml:space="preserve">masks huge differences from Member State to Member State. For instance, 92% of farmers in Romania and 97% in Malta operate small farms, while in Germany less than 9% of farms are small. </w:t>
      </w:r>
    </w:p>
    <w:p w:rsidR="001D2777" w:rsidRDefault="00767E0A">
      <w:pPr>
        <w:keepNext/>
        <w:spacing w:after="240" w:line="240" w:lineRule="auto"/>
        <w:jc w:val="both"/>
        <w:rPr>
          <w:rFonts w:ascii="Times New Roman" w:eastAsia="Calibri" w:hAnsi="Times New Roman" w:cs="Times New Roman"/>
          <w:noProof/>
          <w:sz w:val="24"/>
          <w:szCs w:val="24"/>
          <w:u w:val="single"/>
        </w:rPr>
      </w:pPr>
      <w:r>
        <w:rPr>
          <w:rFonts w:ascii="Times New Roman" w:eastAsia="Calibri" w:hAnsi="Times New Roman" w:cs="Times New Roman"/>
          <w:noProof/>
          <w:sz w:val="24"/>
          <w:szCs w:val="24"/>
          <w:u w:val="single"/>
        </w:rPr>
        <w:t>Who benefits from Common Agricultural Policy support?</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drawing>
          <wp:inline distT="0" distB="0" distL="0" distR="0">
            <wp:extent cx="2805546" cy="171149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9950" cy="1714180"/>
                    </a:xfrm>
                    <a:prstGeom prst="rect">
                      <a:avLst/>
                    </a:prstGeom>
                    <a:noFill/>
                  </pic:spPr>
                </pic:pic>
              </a:graphicData>
            </a:graphic>
          </wp:inline>
        </w:drawing>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 xml:space="preserve">Source: </w:t>
      </w:r>
      <w:r>
        <w:rPr>
          <w:rFonts w:ascii="Times New Roman" w:hAnsi="Times New Roman" w:cs="Times New Roman"/>
          <w:noProof/>
          <w:sz w:val="20"/>
          <w:szCs w:val="24"/>
          <w:u w:val="single"/>
        </w:rPr>
        <w:t>European Commission</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majority of CAP payments are financed fully by the EU budget and thus providing a direct link between beneficiaries and the Union. The policy reaches farmers and citizens even in the most marginal areas of Europe, thereby providing </w:t>
      </w:r>
      <w:r>
        <w:rPr>
          <w:rFonts w:ascii="Times New Roman" w:eastAsia="Calibri" w:hAnsi="Times New Roman" w:cs="Times New Roman"/>
          <w:noProof/>
          <w:sz w:val="24"/>
          <w:szCs w:val="24"/>
        </w:rPr>
        <w:t>significant knock-on effects for economic and social development, not to mention resilience in those areas. Apart from the rural development measures financed under the second pillar of the CAP, this is the only policy area managed together with the Member</w:t>
      </w:r>
      <w:r>
        <w:rPr>
          <w:rFonts w:ascii="Times New Roman" w:eastAsia="Calibri" w:hAnsi="Times New Roman" w:cs="Times New Roman"/>
          <w:noProof/>
          <w:sz w:val="24"/>
          <w:szCs w:val="24"/>
        </w:rPr>
        <w:t xml:space="preserve"> States without national co-financing.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Developments over recent years showed that the EU budget has had to provide recurrently ad-hoc emergency support to react to specific developments such as the fall in dairy prices or the Russian ban on imports of cer</w:t>
      </w:r>
      <w:r>
        <w:rPr>
          <w:rFonts w:ascii="Times New Roman" w:eastAsia="Calibri" w:hAnsi="Times New Roman" w:cs="Times New Roman"/>
          <w:noProof/>
          <w:sz w:val="24"/>
          <w:szCs w:val="24"/>
        </w:rPr>
        <w:t>tain agricultural products. There is hence a need to explore the right balance of instruments in the future common agricultural policy between policy measures and financial envelopes, grants and financial instruments, risk-management tools and other market</w:t>
      </w:r>
      <w:r>
        <w:rPr>
          <w:rFonts w:ascii="Times New Roman" w:eastAsia="Calibri" w:hAnsi="Times New Roman" w:cs="Times New Roman"/>
          <w:noProof/>
          <w:sz w:val="24"/>
          <w:szCs w:val="24"/>
        </w:rPr>
        <w:t xml:space="preserve"> arrangements to cope with risk and unexpected adverse events in the agricultural sector. </w:t>
      </w:r>
    </w:p>
    <w:p w:rsidR="001D2777" w:rsidRDefault="00767E0A">
      <w:p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120"/>
        <w:jc w:val="both"/>
        <w:rPr>
          <w:rFonts w:ascii="Times New Roman" w:hAnsi="Times New Roman" w:cs="Times New Roman"/>
          <w:i/>
          <w:noProof/>
          <w:sz w:val="20"/>
          <w:szCs w:val="20"/>
        </w:rPr>
      </w:pPr>
      <w:r>
        <w:rPr>
          <w:rFonts w:ascii="Times New Roman" w:hAnsi="Times New Roman" w:cs="Times New Roman"/>
          <w:i/>
          <w:noProof/>
          <w:sz w:val="20"/>
          <w:szCs w:val="20"/>
        </w:rPr>
        <w:t>Box 3 – Examples of results under the Common Agricultural Policy</w:t>
      </w:r>
    </w:p>
    <w:p w:rsidR="001D2777" w:rsidRDefault="00767E0A">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cs="Times New Roman"/>
          <w:noProof/>
          <w:sz w:val="20"/>
          <w:szCs w:val="20"/>
        </w:rPr>
        <w:t xml:space="preserve">70 % of EU agricultural land is covered by greening measures, supported by EUR 60 billion  </w:t>
      </w:r>
    </w:p>
    <w:p w:rsidR="001D2777" w:rsidRDefault="00767E0A">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cs="Times New Roman"/>
          <w:noProof/>
          <w:sz w:val="20"/>
          <w:szCs w:val="20"/>
        </w:rPr>
        <w:t>Around 4</w:t>
      </w:r>
      <w:r>
        <w:rPr>
          <w:rFonts w:ascii="Times New Roman" w:hAnsi="Times New Roman" w:cs="Times New Roman"/>
          <w:noProof/>
          <w:sz w:val="20"/>
          <w:szCs w:val="20"/>
        </w:rPr>
        <w:t>7 million hectares or roughly 25% of European agricultural area was under management contract for agri-environment friendly practices targeting water, soil and biodiversity</w:t>
      </w:r>
    </w:p>
    <w:p w:rsidR="001D2777" w:rsidRDefault="00767E0A">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szCs w:val="20"/>
        </w:rPr>
        <w:t>Creation and development of more than 200 000 rural businesses (145 000 young farme</w:t>
      </w:r>
      <w:r>
        <w:rPr>
          <w:rFonts w:ascii="Times New Roman" w:hAnsi="Times New Roman"/>
          <w:noProof/>
          <w:sz w:val="20"/>
          <w:szCs w:val="20"/>
        </w:rPr>
        <w:t>rs receive support to set up business and 62000 micro enterprises)</w:t>
      </w:r>
      <w:r>
        <w:rPr>
          <w:rFonts w:ascii="Times New Roman" w:hAnsi="Times New Roman" w:cs="Times New Roman"/>
          <w:noProof/>
          <w:sz w:val="20"/>
          <w:szCs w:val="20"/>
        </w:rPr>
        <w:t xml:space="preserve"> </w:t>
      </w:r>
    </w:p>
    <w:p w:rsidR="001D2777" w:rsidRDefault="00767E0A">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noProof/>
          <w:sz w:val="20"/>
          <w:szCs w:val="20"/>
        </w:rPr>
        <w:t>Support for more than 25 000 environmental infrastructure projects such as sewage system and improved waste management in remote and rural areas</w:t>
      </w:r>
    </w:p>
    <w:p w:rsidR="001D2777" w:rsidRDefault="00767E0A">
      <w:pPr>
        <w:pStyle w:val="ListParagraph"/>
        <w:numPr>
          <w:ilvl w:val="0"/>
          <w:numId w:val="46"/>
        </w:numPr>
        <w:pBdr>
          <w:top w:val="single" w:sz="4" w:space="1" w:color="auto"/>
          <w:left w:val="single" w:sz="4" w:space="4" w:color="auto"/>
          <w:bottom w:val="single" w:sz="4" w:space="1" w:color="auto"/>
          <w:right w:val="single" w:sz="4" w:space="4" w:color="auto"/>
        </w:pBdr>
        <w:shd w:val="clear" w:color="auto" w:fill="BFBFBF" w:themeFill="background1" w:themeFillShade="BF"/>
        <w:spacing w:after="240" w:line="240" w:lineRule="auto"/>
        <w:ind w:left="480"/>
        <w:contextualSpacing w:val="0"/>
        <w:jc w:val="both"/>
        <w:rPr>
          <w:rFonts w:ascii="Times New Roman" w:hAnsi="Times New Roman" w:cs="Times New Roman"/>
          <w:noProof/>
          <w:sz w:val="20"/>
          <w:szCs w:val="20"/>
        </w:rPr>
      </w:pPr>
      <w:r>
        <w:rPr>
          <w:rFonts w:ascii="Times New Roman" w:hAnsi="Times New Roman" w:cs="Times New Roman"/>
          <w:noProof/>
          <w:sz w:val="20"/>
          <w:szCs w:val="20"/>
        </w:rPr>
        <w:t xml:space="preserve">2400 Local Action Groups received support </w:t>
      </w:r>
      <w:r>
        <w:rPr>
          <w:rFonts w:ascii="Times New Roman" w:hAnsi="Times New Roman" w:cs="Times New Roman"/>
          <w:noProof/>
          <w:sz w:val="20"/>
          <w:szCs w:val="20"/>
        </w:rPr>
        <w:t>to develop and implement development strategies for their local areas</w:t>
      </w:r>
    </w:p>
    <w:p w:rsidR="001D2777" w:rsidRDefault="00767E0A">
      <w:pPr>
        <w:pStyle w:val="Heading3"/>
        <w:rPr>
          <w:noProof/>
        </w:rPr>
      </w:pPr>
      <w:r>
        <w:rPr>
          <w:noProof/>
        </w:rPr>
        <w:t>3.3</w:t>
      </w:r>
      <w:r>
        <w:rPr>
          <w:noProof/>
        </w:rPr>
        <w:tab/>
        <w:t xml:space="preserve">Managing Migration </w:t>
      </w:r>
    </w:p>
    <w:p w:rsidR="001D2777" w:rsidRDefault="00767E0A">
      <w:pPr>
        <w:spacing w:after="240" w:line="240" w:lineRule="auto"/>
        <w:jc w:val="both"/>
        <w:rPr>
          <w:rFonts w:ascii="Times New Roman" w:eastAsia="Calibri" w:hAnsi="Times New Roman" w:cs="Times New Roman"/>
          <w:noProof/>
          <w:sz w:val="24"/>
          <w:szCs w:val="24"/>
          <w:lang w:val="en"/>
        </w:rPr>
      </w:pPr>
      <w:r>
        <w:rPr>
          <w:rFonts w:ascii="Times New Roman" w:eastAsia="Calibri" w:hAnsi="Times New Roman" w:cs="Times New Roman"/>
          <w:noProof/>
          <w:sz w:val="24"/>
          <w:szCs w:val="24"/>
          <w:lang w:val="en"/>
        </w:rPr>
        <w:t>The EU’s external borders have increasingly been the scene of human tragedies to which the EU, together with its Member States, must take immediate action. At the</w:t>
      </w:r>
      <w:r>
        <w:rPr>
          <w:rFonts w:ascii="Times New Roman" w:eastAsia="Calibri" w:hAnsi="Times New Roman" w:cs="Times New Roman"/>
          <w:noProof/>
          <w:sz w:val="24"/>
          <w:szCs w:val="24"/>
          <w:lang w:val="en"/>
        </w:rPr>
        <w:t xml:space="preserve"> same time, migration needs to be better managed in all its aspects; the EU should aim at providing its Member States with tools to do so in the medium as well as long term.</w:t>
      </w:r>
    </w:p>
    <w:p w:rsidR="001D2777" w:rsidRDefault="00767E0A">
      <w:pPr>
        <w:spacing w:after="240" w:line="240" w:lineRule="auto"/>
        <w:jc w:val="both"/>
        <w:rPr>
          <w:rFonts w:ascii="Times New Roman" w:eastAsia="Calibri" w:hAnsi="Times New Roman" w:cs="Times New Roman"/>
          <w:noProof/>
          <w:sz w:val="24"/>
          <w:szCs w:val="24"/>
          <w:lang w:val="en"/>
        </w:rPr>
      </w:pPr>
      <w:r>
        <w:rPr>
          <w:rFonts w:ascii="Times New Roman" w:eastAsia="Calibri" w:hAnsi="Times New Roman" w:cs="Times New Roman"/>
          <w:noProof/>
          <w:sz w:val="24"/>
          <w:szCs w:val="24"/>
          <w:lang w:val="en"/>
        </w:rPr>
        <w:t xml:space="preserve">Migration management is a shared responsibility, not only among EU Member States, </w:t>
      </w:r>
      <w:r>
        <w:rPr>
          <w:rFonts w:ascii="Times New Roman" w:eastAsia="Calibri" w:hAnsi="Times New Roman" w:cs="Times New Roman"/>
          <w:noProof/>
          <w:sz w:val="24"/>
          <w:szCs w:val="24"/>
          <w:lang w:val="en"/>
        </w:rPr>
        <w:t>but also vis-à-vis non-EU countries of transit and origin of migrants. By combining both internal and external policies, the EU and the Member States are developing a comprehensive approach grounded in mutual trust and solidarity among EU Member States and</w:t>
      </w:r>
      <w:r>
        <w:rPr>
          <w:rFonts w:ascii="Times New Roman" w:eastAsia="Calibri" w:hAnsi="Times New Roman" w:cs="Times New Roman"/>
          <w:noProof/>
          <w:sz w:val="24"/>
          <w:szCs w:val="24"/>
          <w:lang w:val="en"/>
        </w:rPr>
        <w:t xml:space="preserve"> institutions.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When it comes to managing migration flows, the current EU budget already supports Member States in in developing adequate reception and protection frameworks, addressing the root causes of migration and safeguarding the Schengen area. More t</w:t>
      </w:r>
      <w:r>
        <w:rPr>
          <w:rFonts w:ascii="Times New Roman" w:eastAsia="Calibri" w:hAnsi="Times New Roman" w:cs="Times New Roman"/>
          <w:noProof/>
          <w:sz w:val="24"/>
          <w:szCs w:val="24"/>
        </w:rPr>
        <w:t xml:space="preserve">han EUR 17 billion – 3.7% of the total EU budget – is allocated to these challenges over 2015-2017.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For example, the EU budget was used to create 'hotspots' in Greece and Italy reaching a total capacity of over 9000 places. In 2016, shelter was provided f</w:t>
      </w:r>
      <w:r>
        <w:rPr>
          <w:rFonts w:ascii="Times New Roman" w:eastAsia="Calibri" w:hAnsi="Times New Roman" w:cs="Times New Roman"/>
          <w:noProof/>
          <w:sz w:val="24"/>
          <w:szCs w:val="24"/>
        </w:rPr>
        <w:t>or over 35,000 people in Greece, from tents in the initial stage to containers fit for winter conditions and 417 safe spaces for unaccompanied minors. The newly established European Border and Coast Guard Agency helped to rescue 174,500 people in the Medit</w:t>
      </w:r>
      <w:r>
        <w:rPr>
          <w:rFonts w:ascii="Times New Roman" w:eastAsia="Calibri" w:hAnsi="Times New Roman" w:cs="Times New Roman"/>
          <w:noProof/>
          <w:sz w:val="24"/>
          <w:szCs w:val="24"/>
        </w:rPr>
        <w:t>erranean in 2016.</w:t>
      </w:r>
    </w:p>
    <w:p w:rsidR="001D2777" w:rsidRDefault="00767E0A">
      <w:pPr>
        <w:pStyle w:val="Heading2"/>
        <w:rPr>
          <w:noProof/>
        </w:rPr>
      </w:pPr>
      <w:r>
        <w:rPr>
          <w:noProof/>
        </w:rPr>
        <w:t>3.4</w:t>
      </w:r>
      <w:r>
        <w:rPr>
          <w:noProof/>
        </w:rPr>
        <w:tab/>
        <w:t>External Challenges, Security, Humanitarian Aid and Development</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recent years, Europe has faced new external challenges linked to instability and fragility in its immediate neighbourhood and beyond. EU citizens are concerned about m</w:t>
      </w:r>
      <w:r>
        <w:rPr>
          <w:rFonts w:ascii="Times New Roman" w:eastAsia="Calibri" w:hAnsi="Times New Roman" w:cs="Times New Roman"/>
          <w:noProof/>
          <w:sz w:val="24"/>
          <w:szCs w:val="24"/>
        </w:rPr>
        <w:t>igration, terrorism and external security threats in general and want these issues to be tackled at the European level, including defence. They expect Europe to play a leading role in the world, to manage the effects of globalisation, to defend a rules-bas</w:t>
      </w:r>
      <w:r>
        <w:rPr>
          <w:rFonts w:ascii="Times New Roman" w:eastAsia="Calibri" w:hAnsi="Times New Roman" w:cs="Times New Roman"/>
          <w:noProof/>
          <w:sz w:val="24"/>
          <w:szCs w:val="24"/>
        </w:rPr>
        <w:t>ed order, good governance as well as democracy, the rule of law and human rights, and sustainable economic development and to project stability and security in particular in Europe’s immediate neighbourhood. Almost 9 in 10 Europeans think that it is import</w:t>
      </w:r>
      <w:r>
        <w:rPr>
          <w:rFonts w:ascii="Times New Roman" w:eastAsia="Calibri" w:hAnsi="Times New Roman" w:cs="Times New Roman"/>
          <w:noProof/>
          <w:sz w:val="24"/>
          <w:szCs w:val="24"/>
        </w:rPr>
        <w:t xml:space="preserve">ant to support developing countries. 82% of Europeans consider that helping others is a win-win option that is clearly in the European interest. Europeans also see the clear value added of taking action at a European level in external affairs.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At the mome</w:t>
      </w:r>
      <w:r>
        <w:rPr>
          <w:rFonts w:ascii="Times New Roman" w:eastAsia="Calibri" w:hAnsi="Times New Roman" w:cs="Times New Roman"/>
          <w:noProof/>
          <w:sz w:val="24"/>
          <w:szCs w:val="24"/>
        </w:rPr>
        <w:t>nt, EUR 96.5 billion support the EU’s external action, including the extra-budgetary 11</w:t>
      </w:r>
      <w:r>
        <w:rPr>
          <w:rFonts w:ascii="Times New Roman" w:eastAsia="Calibri" w:hAnsi="Times New Roman" w:cs="Times New Roman"/>
          <w:noProof/>
          <w:sz w:val="24"/>
          <w:szCs w:val="24"/>
          <w:vertAlign w:val="superscript"/>
        </w:rPr>
        <w:t>th</w:t>
      </w:r>
      <w:r>
        <w:rPr>
          <w:rFonts w:ascii="Times New Roman" w:eastAsia="Calibri" w:hAnsi="Times New Roman" w:cs="Times New Roman"/>
          <w:noProof/>
          <w:sz w:val="24"/>
          <w:szCs w:val="24"/>
        </w:rPr>
        <w:t xml:space="preserve"> European Development Fund (EUR 30.5 billion) for EU's African, Pacific and Caribbean partners. The EU Budget then dedicates around 6% of the present MFF to external a</w:t>
      </w:r>
      <w:r>
        <w:rPr>
          <w:rFonts w:ascii="Times New Roman" w:eastAsia="Calibri" w:hAnsi="Times New Roman" w:cs="Times New Roman"/>
          <w:noProof/>
          <w:sz w:val="24"/>
          <w:szCs w:val="24"/>
        </w:rPr>
        <w:t>ction, the largest financial envelopes being the Development Cooperation Instrument (EUR 19.7 billion), the European Neighbourhood Instrument (EUR 15.4 billion) and the Instrument for Pre-accession Assistance (EUR 11.7 billion). EUR 8 billion are programme</w:t>
      </w:r>
      <w:r>
        <w:rPr>
          <w:rFonts w:ascii="Times New Roman" w:eastAsia="Calibri" w:hAnsi="Times New Roman" w:cs="Times New Roman"/>
          <w:noProof/>
          <w:sz w:val="24"/>
          <w:szCs w:val="24"/>
        </w:rPr>
        <w:t>d for Humanitarian Aid. This budget has been constantly mobilised and reinforced in the past years exhausting all available margins to tackle the multiplication of humanitarian and other emergencies around Europe, increasing the numbers of displaced people</w:t>
      </w:r>
      <w:r>
        <w:rPr>
          <w:rFonts w:ascii="Times New Roman" w:eastAsia="Calibri" w:hAnsi="Times New Roman" w:cs="Times New Roman"/>
          <w:noProof/>
          <w:sz w:val="24"/>
          <w:szCs w:val="24"/>
        </w:rPr>
        <w:t>, the unprecedented humanitarian needs and the complexity of crises, which are set to continue.</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EU’s external action takes place in partner countries outside the Union but also protects citizens' interests and safety. As the world's largest development</w:t>
      </w:r>
      <w:r>
        <w:rPr>
          <w:rFonts w:ascii="Times New Roman" w:eastAsia="Calibri" w:hAnsi="Times New Roman" w:cs="Times New Roman"/>
          <w:noProof/>
          <w:sz w:val="24"/>
          <w:szCs w:val="24"/>
        </w:rPr>
        <w:t xml:space="preserve"> and humanitarian aid donor, including through its collective commitment to devote 0.7% of GNI to Official Development Assistance (ODA), the EU and its Member States play a key role in supporting others across the world. EU external action promotes stabili</w:t>
      </w:r>
      <w:r>
        <w:rPr>
          <w:rFonts w:ascii="Times New Roman" w:eastAsia="Calibri" w:hAnsi="Times New Roman" w:cs="Times New Roman"/>
          <w:noProof/>
          <w:sz w:val="24"/>
          <w:szCs w:val="24"/>
        </w:rPr>
        <w:t>ty around the EU borders and beyond, supports the eradication of poverty in developing countries and fosters co-operation on areas of EU interest. It also tackles the root causes of irregular migration and violent extremism. EU financing usually provides a</w:t>
      </w:r>
      <w:r>
        <w:rPr>
          <w:rFonts w:ascii="Times New Roman" w:eastAsia="Calibri" w:hAnsi="Times New Roman" w:cs="Times New Roman"/>
          <w:noProof/>
          <w:sz w:val="24"/>
          <w:szCs w:val="24"/>
        </w:rPr>
        <w:t xml:space="preserve"> core around which development financing from Member States gathers to increase the EU critical mass and the impact in partner countries through joint programming and joint implementation.</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new challenges for the EU’s external action as defined in the G</w:t>
      </w:r>
      <w:r>
        <w:rPr>
          <w:rFonts w:ascii="Times New Roman" w:eastAsia="Calibri" w:hAnsi="Times New Roman" w:cs="Times New Roman"/>
          <w:noProof/>
          <w:sz w:val="24"/>
          <w:szCs w:val="24"/>
        </w:rPr>
        <w:t>lobal Strategy for the EU Foreign and Security Policy point to a need to examine the alignment of EU finances with these new priorities and the effectiveness of the various instruments in this area, including EU Delegations. This is particularly true regar</w:t>
      </w:r>
      <w:r>
        <w:rPr>
          <w:rFonts w:ascii="Times New Roman" w:eastAsia="Calibri" w:hAnsi="Times New Roman" w:cs="Times New Roman"/>
          <w:noProof/>
          <w:sz w:val="24"/>
          <w:szCs w:val="24"/>
        </w:rPr>
        <w:t xml:space="preserve">ding defence, and also EU external investment where there may be a need for the possibility to leverage significant private funds and reach substantial impacts with bearings on peace, stability and strong economic ties. The experience of recent years also </w:t>
      </w:r>
      <w:r>
        <w:rPr>
          <w:rFonts w:ascii="Times New Roman" w:eastAsia="Calibri" w:hAnsi="Times New Roman" w:cs="Times New Roman"/>
          <w:noProof/>
          <w:sz w:val="24"/>
          <w:szCs w:val="24"/>
        </w:rPr>
        <w:t>suggests a stronger co-ordination between external and internal policies is needed, including the implementation of the Sustainable Development Goals (SDG) of the United Nations' 2030 Agenda and the Paris Climate Agreement, as well as the implementation of</w:t>
      </w:r>
      <w:r>
        <w:rPr>
          <w:rFonts w:ascii="Times New Roman" w:eastAsia="Calibri" w:hAnsi="Times New Roman" w:cs="Times New Roman"/>
          <w:noProof/>
          <w:sz w:val="24"/>
          <w:szCs w:val="24"/>
        </w:rPr>
        <w:t xml:space="preserve"> the Partnership Framework with third countries on migration.  </w:t>
      </w:r>
    </w:p>
    <w:p w:rsidR="001D2777" w:rsidRDefault="001D2777">
      <w:pPr>
        <w:spacing w:after="240" w:line="240" w:lineRule="auto"/>
        <w:jc w:val="both"/>
        <w:rPr>
          <w:rFonts w:ascii="Times New Roman" w:eastAsia="Calibri" w:hAnsi="Times New Roman" w:cs="Times New Roman"/>
          <w:noProof/>
          <w:sz w:val="24"/>
          <w:szCs w:val="24"/>
        </w:rPr>
      </w:pPr>
    </w:p>
    <w:p w:rsidR="001D2777" w:rsidRDefault="00767E0A">
      <w:pPr>
        <w:pStyle w:val="Heading1"/>
        <w:spacing w:before="120" w:after="240"/>
        <w:ind w:left="709" w:hanging="709"/>
        <w:rPr>
          <w:noProof/>
        </w:rPr>
      </w:pPr>
      <w:r>
        <w:rPr>
          <w:noProof/>
        </w:rPr>
        <w:br w:type="column"/>
      </w:r>
      <w:r>
        <w:rPr>
          <w:noProof/>
        </w:rPr>
        <w:t>4.</w:t>
      </w:r>
      <w:r>
        <w:rPr>
          <w:noProof/>
        </w:rPr>
        <w:tab/>
        <w:t>OPTIONS FOR THE FUTURE OF EU FINANCES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design of the future EU budget must be underpinned by a clear vision of Europe’s priorities and a determination to invest in the areas that will s</w:t>
      </w:r>
      <w:r>
        <w:rPr>
          <w:rFonts w:ascii="Times New Roman" w:eastAsia="Calibri" w:hAnsi="Times New Roman" w:cs="Times New Roman"/>
          <w:noProof/>
          <w:sz w:val="24"/>
          <w:szCs w:val="24"/>
        </w:rPr>
        <w:t xml:space="preserve">ecure economic strength, sustainability, solidarity and security for the future.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gap in EU finances arising from the United Kingdom’s withdrawal and from the financing needs of new priorities need to be clearly acknowledged. The new priorities have be</w:t>
      </w:r>
      <w:r>
        <w:rPr>
          <w:rFonts w:ascii="Times New Roman" w:eastAsia="Calibri" w:hAnsi="Times New Roman" w:cs="Times New Roman"/>
          <w:noProof/>
          <w:sz w:val="24"/>
          <w:szCs w:val="24"/>
        </w:rPr>
        <w:t xml:space="preserve">en accommodated under the current financial framework mainly by stretching the existing flexibilities to their limits.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 the future, migration management, internal and external security, external border control, the fight against terrorism and defence wi</w:t>
      </w:r>
      <w:r>
        <w:rPr>
          <w:rFonts w:ascii="Times New Roman" w:eastAsia="Calibri" w:hAnsi="Times New Roman" w:cs="Times New Roman"/>
          <w:noProof/>
          <w:sz w:val="24"/>
          <w:szCs w:val="24"/>
        </w:rPr>
        <w:t xml:space="preserve">ll need to be budgeted within a longer-term perspective </w:t>
      </w:r>
      <w:r>
        <w:rPr>
          <w:rFonts w:ascii="Times New Roman" w:hAnsi="Times New Roman" w:cs="Times New Roman"/>
          <w:noProof/>
          <w:sz w:val="24"/>
          <w:szCs w:val="24"/>
        </w:rPr>
        <w:t>alongside continuing investment to support stability and sustainable development in our partner countries</w:t>
      </w:r>
      <w:r>
        <w:rPr>
          <w:rFonts w:ascii="Times New Roman" w:eastAsia="Calibri" w:hAnsi="Times New Roman" w:cs="Times New Roman"/>
          <w:noProof/>
          <w:sz w:val="24"/>
          <w:szCs w:val="24"/>
        </w:rPr>
        <w:t>. The size, structure and content of the future EU budget will have to correspond to the politi</w:t>
      </w:r>
      <w:r>
        <w:rPr>
          <w:rFonts w:ascii="Times New Roman" w:eastAsia="Calibri" w:hAnsi="Times New Roman" w:cs="Times New Roman"/>
          <w:noProof/>
          <w:sz w:val="24"/>
          <w:szCs w:val="24"/>
        </w:rPr>
        <w:t xml:space="preserve">cal ambition that the European Union sets itself for the future. Will the EU just carry on, do less, act at different speeds, pursue a radical re-design or do much more together?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Hard choices will need to be made. Can Europe deliver on its existing policies and new priorities with a shrinking budget? If not, where should cuts be made and ambitions scaled back? Or should the gap be bridged, either via increasing contributions from t</w:t>
      </w:r>
      <w:r>
        <w:rPr>
          <w:rFonts w:ascii="Times New Roman" w:eastAsia="Calibri" w:hAnsi="Times New Roman" w:cs="Times New Roman"/>
          <w:noProof/>
          <w:sz w:val="24"/>
          <w:szCs w:val="24"/>
        </w:rPr>
        <w:t xml:space="preserve">he 27 Member States, alternative sources of revenue, or a combination of the two, so that the EU 27 can do more together? Whatever the outcome, the level of political ambition must be aligned with the means to act. </w:t>
      </w:r>
    </w:p>
    <w:p w:rsidR="001D2777" w:rsidRDefault="00767E0A">
      <w:pPr>
        <w:keepNext/>
        <w:spacing w:after="240" w:line="240" w:lineRule="auto"/>
        <w:jc w:val="both"/>
        <w:rPr>
          <w:rFonts w:ascii="EC Square Sans Pro Light" w:eastAsia="Arial" w:hAnsi="EC Square Sans Pro Light" w:cs="Arial"/>
          <w:b/>
          <w:noProof/>
          <w:color w:val="4F81BD" w:themeColor="accent1"/>
          <w:u w:val="single"/>
          <w:shd w:val="clear" w:color="auto" w:fill="FFFFFF"/>
        </w:rPr>
      </w:pPr>
      <w:r>
        <w:rPr>
          <w:rFonts w:ascii="Times New Roman" w:eastAsia="Calibri" w:hAnsi="Times New Roman" w:cs="Times New Roman"/>
          <w:noProof/>
          <w:sz w:val="24"/>
          <w:szCs w:val="24"/>
        </w:rPr>
        <w:t xml:space="preserve"> </w:t>
      </w:r>
      <w:r>
        <w:rPr>
          <w:rFonts w:ascii="EC Square Sans Pro Light" w:eastAsia="Arial" w:hAnsi="EC Square Sans Pro Light" w:cs="Arial"/>
          <w:b/>
          <w:noProof/>
          <w:color w:val="4F81BD" w:themeColor="accent1"/>
          <w:u w:val="single"/>
          <w:shd w:val="clear" w:color="auto" w:fill="FFFFFF"/>
        </w:rPr>
        <w:t>An EU budget enabled to deal with domes</w:t>
      </w:r>
      <w:r>
        <w:rPr>
          <w:rFonts w:ascii="EC Square Sans Pro Light" w:eastAsia="Arial" w:hAnsi="EC Square Sans Pro Light" w:cs="Arial"/>
          <w:b/>
          <w:noProof/>
          <w:color w:val="4F81BD" w:themeColor="accent1"/>
          <w:u w:val="single"/>
          <w:shd w:val="clear" w:color="auto" w:fill="FFFFFF"/>
        </w:rPr>
        <w:t>tic and global challenges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lang w:eastAsia="en-GB"/>
        </w:rPr>
        <w:drawing>
          <wp:inline distT="0" distB="0" distL="0" distR="0">
            <wp:extent cx="6120765" cy="3078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3078480"/>
                    </a:xfrm>
                    <a:prstGeom prst="rect">
                      <a:avLst/>
                    </a:prstGeom>
                    <a:noFill/>
                  </pic:spPr>
                </pic:pic>
              </a:graphicData>
            </a:graphic>
          </wp:inline>
        </w:drawing>
      </w:r>
    </w:p>
    <w:p w:rsidR="001D2777" w:rsidRDefault="001D2777">
      <w:pPr>
        <w:spacing w:after="240" w:line="240" w:lineRule="auto"/>
        <w:jc w:val="both"/>
        <w:rPr>
          <w:rFonts w:ascii="Times New Roman" w:eastAsia="Calibri" w:hAnsi="Times New Roman" w:cs="Times New Roman"/>
          <w:noProof/>
          <w:sz w:val="24"/>
          <w:szCs w:val="24"/>
        </w:rPr>
      </w:pP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Source: European Commission</w:t>
      </w:r>
    </w:p>
    <w:p w:rsidR="001D2777" w:rsidRDefault="001D2777">
      <w:pPr>
        <w:spacing w:after="240" w:line="240" w:lineRule="auto"/>
        <w:jc w:val="both"/>
        <w:rPr>
          <w:rFonts w:ascii="Times New Roman" w:eastAsia="Calibri" w:hAnsi="Times New Roman" w:cs="Times New Roman"/>
          <w:noProof/>
          <w:sz w:val="24"/>
          <w:szCs w:val="24"/>
        </w:rPr>
      </w:pPr>
    </w:p>
    <w:p w:rsidR="001D2777" w:rsidRDefault="00767E0A" w:rsidP="00767E0A">
      <w:pPr>
        <w:pStyle w:val="Heading2"/>
        <w:keepNext/>
        <w:rPr>
          <w:noProof/>
        </w:rPr>
      </w:pPr>
      <w:r>
        <w:rPr>
          <w:noProof/>
        </w:rPr>
        <w:t>4.1</w:t>
      </w:r>
      <w:r>
        <w:rPr>
          <w:noProof/>
        </w:rPr>
        <w:tab/>
      </w:r>
      <w:bookmarkStart w:id="1" w:name="_GoBack"/>
      <w:r>
        <w:rPr>
          <w:noProof/>
        </w:rPr>
        <w:t xml:space="preserve">What should the future EU budget focus </w:t>
      </w:r>
      <w:bookmarkEnd w:id="1"/>
      <w:r>
        <w:rPr>
          <w:noProof/>
        </w:rPr>
        <w:t>on</w:t>
      </w:r>
    </w:p>
    <w:p w:rsidR="001D2777" w:rsidRDefault="00767E0A">
      <w:pPr>
        <w:keepNext/>
        <w:keepLines/>
        <w:spacing w:before="200" w:after="0"/>
        <w:outlineLvl w:val="2"/>
        <w:rPr>
          <w:rFonts w:asciiTheme="majorHAnsi" w:eastAsiaTheme="majorEastAsia" w:hAnsiTheme="majorHAnsi" w:cstheme="majorBidi"/>
          <w:b/>
          <w:bCs/>
          <w:noProof/>
          <w:color w:val="4F81BD" w:themeColor="accent1"/>
        </w:rPr>
      </w:pPr>
      <w:r>
        <w:rPr>
          <w:rFonts w:asciiTheme="majorHAnsi" w:eastAsiaTheme="majorEastAsia" w:hAnsiTheme="majorHAnsi" w:cstheme="majorBidi"/>
          <w:b/>
          <w:bCs/>
          <w:noProof/>
          <w:color w:val="4F81BD" w:themeColor="accent1"/>
        </w:rPr>
        <w:t xml:space="preserve">4.1.1 </w:t>
      </w:r>
      <w:r>
        <w:rPr>
          <w:rFonts w:asciiTheme="majorHAnsi" w:eastAsiaTheme="majorEastAsia" w:hAnsiTheme="majorHAnsi" w:cstheme="majorBidi"/>
          <w:b/>
          <w:bCs/>
          <w:noProof/>
          <w:color w:val="4F81BD" w:themeColor="accent1"/>
        </w:rPr>
        <w:tab/>
        <w:t>Responding to current trends and new challenges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EU budget should continue dealing with current trends that will shape the EU in the coming </w:t>
      </w:r>
      <w:r>
        <w:rPr>
          <w:rFonts w:ascii="Times New Roman" w:eastAsia="Calibri" w:hAnsi="Times New Roman" w:cs="Times New Roman"/>
          <w:noProof/>
          <w:sz w:val="24"/>
          <w:szCs w:val="24"/>
        </w:rPr>
        <w:t>years. There are also a number of new challenges in which the EU budget will need to do more than today. These include management of irregular migration and refugees,</w:t>
      </w:r>
      <w:r>
        <w:rPr>
          <w:noProof/>
        </w:rPr>
        <w:t xml:space="preserve"> </w:t>
      </w:r>
      <w:r>
        <w:rPr>
          <w:rFonts w:ascii="Times New Roman" w:eastAsia="Calibri" w:hAnsi="Times New Roman" w:cs="Times New Roman"/>
          <w:noProof/>
          <w:sz w:val="24"/>
          <w:szCs w:val="24"/>
        </w:rPr>
        <w:t>including integration, control of external borders, security, cybersecurity, fight agains</w:t>
      </w:r>
      <w:r>
        <w:rPr>
          <w:rFonts w:ascii="Times New Roman" w:eastAsia="Calibri" w:hAnsi="Times New Roman" w:cs="Times New Roman"/>
          <w:noProof/>
          <w:sz w:val="24"/>
          <w:szCs w:val="24"/>
        </w:rPr>
        <w:t xml:space="preserve">t terrorism and common defence.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First, reducing economic and social divergences between and within Member States is crucial for a Union that aims for a highly competitive social market economy aiming at full employment and social progress. It is of vital importance for the Euro area, whe</w:t>
      </w:r>
      <w:r>
        <w:rPr>
          <w:rFonts w:ascii="Times New Roman" w:eastAsia="Calibri" w:hAnsi="Times New Roman" w:cs="Times New Roman"/>
          <w:noProof/>
          <w:sz w:val="24"/>
          <w:szCs w:val="24"/>
        </w:rPr>
        <w:t xml:space="preserve">re divergences put at stake the sustainable development of Economic and Monetary Union in the medium term. The </w:t>
      </w:r>
      <w:r>
        <w:rPr>
          <w:rFonts w:ascii="Times New Roman" w:hAnsi="Times New Roman"/>
          <w:noProof/>
          <w:sz w:val="24"/>
        </w:rPr>
        <w:t>Reflection Papers on the Social Dimension of Europe</w:t>
      </w:r>
      <w:r>
        <w:rPr>
          <w:rFonts w:ascii="Times New Roman" w:eastAsia="Calibri" w:hAnsi="Times New Roman" w:cs="Times New Roman"/>
          <w:noProof/>
          <w:sz w:val="24"/>
          <w:szCs w:val="24"/>
        </w:rPr>
        <w:t xml:space="preserve"> and on Harnessing Globalisation have put forward a number of ideas for consideration. The ove</w:t>
      </w:r>
      <w:r>
        <w:rPr>
          <w:rFonts w:ascii="Times New Roman" w:eastAsia="Calibri" w:hAnsi="Times New Roman" w:cs="Times New Roman"/>
          <w:noProof/>
          <w:sz w:val="24"/>
          <w:szCs w:val="24"/>
        </w:rPr>
        <w:t xml:space="preserve">rarching priority would be to invest in in people, from education and training, to health, equality and social inclusion. Also—building on the example of the Youth Guarantee—a Child Guarantee supported by EU funds would be an option. It is important for a </w:t>
      </w:r>
      <w:r>
        <w:rPr>
          <w:rFonts w:ascii="Times New Roman" w:eastAsia="Calibri" w:hAnsi="Times New Roman" w:cs="Times New Roman"/>
          <w:noProof/>
          <w:sz w:val="24"/>
          <w:szCs w:val="24"/>
        </w:rPr>
        <w:t>social spending to reach those that most need it, in particular in regions with high social inequalities. Existing criteria for such targeting may need to be revisited with that aim in mind.</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Second, while the bulk of financial resources for Europe’s defenc</w:t>
      </w:r>
      <w:r>
        <w:rPr>
          <w:rFonts w:ascii="Times New Roman" w:eastAsia="Calibri" w:hAnsi="Times New Roman" w:cs="Times New Roman"/>
          <w:noProof/>
          <w:sz w:val="24"/>
          <w:szCs w:val="24"/>
        </w:rPr>
        <w:t>e will continue to come from national budgets, there is consensus on the need to move forward jointly, for example on research and development, on the competitiveness of Europe's industrial base and procurement where the EU budget should finance a European</w:t>
      </w:r>
      <w:r>
        <w:rPr>
          <w:rFonts w:ascii="Times New Roman" w:eastAsia="Calibri" w:hAnsi="Times New Roman" w:cs="Times New Roman"/>
          <w:noProof/>
          <w:sz w:val="24"/>
          <w:szCs w:val="24"/>
        </w:rPr>
        <w:t xml:space="preserve"> Defence Fund to improve value for money. It should also be able to increase its present assistance to partner countries in capacity building as well as its military/defence component, where more solidarity would be needed in the financing of operational a</w:t>
      </w:r>
      <w:r>
        <w:rPr>
          <w:rFonts w:ascii="Times New Roman" w:eastAsia="Calibri" w:hAnsi="Times New Roman" w:cs="Times New Roman"/>
          <w:noProof/>
          <w:sz w:val="24"/>
          <w:szCs w:val="24"/>
        </w:rPr>
        <w:t xml:space="preserve">ctivities, including for Common Security and Defence Policy military missions.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All in all, reflecting this new ambition in defence will entail a steady effort after 2020 from different sources. The EUR 1.5 billion per year of the EU budget contribution t</w:t>
      </w:r>
      <w:r>
        <w:rPr>
          <w:rFonts w:ascii="Times New Roman" w:eastAsia="Calibri" w:hAnsi="Times New Roman" w:cs="Times New Roman"/>
          <w:noProof/>
          <w:sz w:val="24"/>
          <w:szCs w:val="24"/>
        </w:rPr>
        <w:t xml:space="preserve">o the European Defence Fund, together with Member States' contributions to finance joint development projects, the Fund could generate a total investment in defence research and capability development of EUR 5.5 billion per year after 2020.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Third, the Com</w:t>
      </w:r>
      <w:r>
        <w:rPr>
          <w:rFonts w:ascii="Times New Roman" w:eastAsia="Calibri" w:hAnsi="Times New Roman" w:cs="Times New Roman"/>
          <w:noProof/>
          <w:sz w:val="24"/>
          <w:szCs w:val="24"/>
        </w:rPr>
        <w:t>mission in its reflection paper on deepening Economic and Monetary Union has highlighted the idea of providing incentives to support structural reform. Such incentives, which could take the form of financial rewards, would recognise the economic, financial</w:t>
      </w:r>
      <w:r>
        <w:rPr>
          <w:rFonts w:ascii="Times New Roman" w:eastAsia="Calibri" w:hAnsi="Times New Roman" w:cs="Times New Roman"/>
          <w:noProof/>
          <w:sz w:val="24"/>
          <w:szCs w:val="24"/>
        </w:rPr>
        <w:t xml:space="preserve"> or political cost of structural reform in the short term and help facilitate their successful implementation. They could either be reinforced under cohesion policy or established under a new, stand-alone fund open to all Member States. They should support</w:t>
      </w:r>
      <w:r>
        <w:rPr>
          <w:rFonts w:ascii="Times New Roman" w:eastAsia="Calibri" w:hAnsi="Times New Roman" w:cs="Times New Roman"/>
          <w:noProof/>
          <w:sz w:val="24"/>
          <w:szCs w:val="24"/>
        </w:rPr>
        <w:t xml:space="preserve"> European policies and actions in line with country-specific recommendations within the European Semester. Technical support for these efforts could also be financed from the EU budget. The Commission will assess these options carefully before considering </w:t>
      </w:r>
      <w:r>
        <w:rPr>
          <w:rFonts w:ascii="Times New Roman" w:eastAsia="Calibri" w:hAnsi="Times New Roman" w:cs="Times New Roman"/>
          <w:noProof/>
          <w:sz w:val="24"/>
          <w:szCs w:val="24"/>
        </w:rPr>
        <w:t xml:space="preserve">concrete initiatives.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hAnsi="Times New Roman"/>
          <w:noProof/>
          <w:sz w:val="24"/>
          <w:szCs w:val="24"/>
        </w:rPr>
        <w:t>Upholding EU core values when developing and implementing EU policies is key</w:t>
      </w:r>
      <w:r>
        <w:rPr>
          <w:rStyle w:val="FootnoteReference"/>
          <w:rFonts w:ascii="Times New Roman" w:hAnsi="Times New Roman"/>
          <w:noProof/>
          <w:sz w:val="24"/>
          <w:szCs w:val="24"/>
        </w:rPr>
        <w:footnoteReference w:id="7"/>
      </w:r>
      <w:r>
        <w:rPr>
          <w:rFonts w:ascii="Times New Roman" w:hAnsi="Times New Roman"/>
          <w:noProof/>
          <w:sz w:val="24"/>
          <w:szCs w:val="24"/>
        </w:rPr>
        <w:t xml:space="preserve">. There have been new suggestions in the public debate to link the </w:t>
      </w:r>
      <w:r>
        <w:rPr>
          <w:rFonts w:ascii="Times New Roman" w:eastAsia="Calibri" w:hAnsi="Times New Roman" w:cs="Times New Roman"/>
          <w:noProof/>
          <w:sz w:val="24"/>
          <w:szCs w:val="24"/>
        </w:rPr>
        <w:t>disbursement</w:t>
      </w:r>
      <w:r>
        <w:rPr>
          <w:rFonts w:ascii="Times New Roman" w:hAnsi="Times New Roman"/>
          <w:noProof/>
          <w:sz w:val="24"/>
          <w:szCs w:val="24"/>
        </w:rPr>
        <w:t xml:space="preserve"> of EU budget funds to the state of the rule of law in Member States. Respect</w:t>
      </w:r>
      <w:r>
        <w:rPr>
          <w:rFonts w:ascii="Times New Roman" w:hAnsi="Times New Roman"/>
          <w:noProof/>
          <w:sz w:val="24"/>
          <w:szCs w:val="24"/>
        </w:rPr>
        <w:t xml:space="preserve"> for the rule of law is important for European citizens, but also for business initiative, innovation and investment, which will flourish most where the legal and institutional framework adheres fully to the common values of the Union. There is hence a cle</w:t>
      </w:r>
      <w:r>
        <w:rPr>
          <w:rFonts w:ascii="Times New Roman" w:hAnsi="Times New Roman"/>
          <w:noProof/>
          <w:sz w:val="24"/>
          <w:szCs w:val="24"/>
        </w:rPr>
        <w:t xml:space="preserve">ar relationship between the rule of law and an efficient implementation of the private and public investments supported by the EU budget.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Fourth, an important issue is whether the next EU budget should incorporate some form of stabilisation function. The </w:t>
      </w:r>
      <w:r>
        <w:rPr>
          <w:rFonts w:ascii="Times New Roman" w:eastAsia="Calibri" w:hAnsi="Times New Roman" w:cs="Times New Roman"/>
          <w:noProof/>
          <w:sz w:val="24"/>
          <w:szCs w:val="24"/>
        </w:rPr>
        <w:t>Reflection Paper on the deepening of the Economic and Monetary Union suggested introducing a macroeconomic stabilisation function as soon as the next Multiannual Financial Framework. Its objective would be to protect against large shocks that hit different</w:t>
      </w:r>
      <w:r>
        <w:rPr>
          <w:rFonts w:ascii="Times New Roman" w:eastAsia="Calibri" w:hAnsi="Times New Roman" w:cs="Times New Roman"/>
          <w:noProof/>
          <w:sz w:val="24"/>
          <w:szCs w:val="24"/>
        </w:rPr>
        <w:t xml:space="preserve"> countries differently (so-called “asymmetric” shocks). It could take the form of a protection scheme for investments, a re-insurance for national unemployment schemes or a “rainy day” fund. There would be clear conditions to access such a function.</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Such o</w:t>
      </w:r>
      <w:r>
        <w:rPr>
          <w:rFonts w:ascii="Times New Roman" w:eastAsia="Calibri" w:hAnsi="Times New Roman" w:cs="Times New Roman"/>
          <w:noProof/>
          <w:sz w:val="24"/>
          <w:szCs w:val="24"/>
        </w:rPr>
        <w:t>ptions could be financed from existing instruments or from a new instrument. It is debated as to whether such a stabilisation function should be linked with a new fiscal capacity focusing exclusively on the euro area or whether this function could be perfo</w:t>
      </w:r>
      <w:r>
        <w:rPr>
          <w:rFonts w:ascii="Times New Roman" w:eastAsia="Calibri" w:hAnsi="Times New Roman" w:cs="Times New Roman"/>
          <w:noProof/>
          <w:sz w:val="24"/>
          <w:szCs w:val="24"/>
        </w:rPr>
        <w:t>rmed by the EU budget, given that, even at this point in time, the euro area represents already 85% of EU GDP. The reflection paper on deepening the EMU suggests, as one option, that the stabilisation function "should be developed in the EU framework and c</w:t>
      </w:r>
      <w:r>
        <w:rPr>
          <w:rFonts w:ascii="Times New Roman" w:eastAsia="Calibri" w:hAnsi="Times New Roman" w:cs="Times New Roman"/>
          <w:noProof/>
          <w:sz w:val="24"/>
          <w:szCs w:val="24"/>
        </w:rPr>
        <w:t>ould be open to all Member States".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Introducing a Euro area fiscal stabilisation capacity would bring something qualitatively new to EU finances. For the longer term, the paper also opened a debate about a fully-fledged Euro area budget with much broader o</w:t>
      </w:r>
      <w:r>
        <w:rPr>
          <w:rFonts w:ascii="Times New Roman" w:eastAsia="Calibri" w:hAnsi="Times New Roman" w:cs="Times New Roman"/>
          <w:noProof/>
          <w:sz w:val="24"/>
          <w:szCs w:val="24"/>
        </w:rPr>
        <w:t xml:space="preserve">bjectives, significantly higher resources and an own revenue stream.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Fifth, it is necessary to shift towards new, sustainable growth models that combine economic, social and environmental considerations in a holistic and integrated way. For the transition</w:t>
      </w:r>
      <w:r>
        <w:rPr>
          <w:rFonts w:ascii="Times New Roman" w:eastAsia="Calibri" w:hAnsi="Times New Roman" w:cs="Times New Roman"/>
          <w:noProof/>
          <w:sz w:val="24"/>
          <w:szCs w:val="24"/>
        </w:rPr>
        <w:t xml:space="preserve"> to happen successfully the investment needs are vast – the largest share of which will be for low-carbon energy infrastructure, both for generation, transmission and distribution. For instance, the share of renewable energy sources in electricity generati</w:t>
      </w:r>
      <w:r>
        <w:rPr>
          <w:rFonts w:ascii="Times New Roman" w:eastAsia="Calibri" w:hAnsi="Times New Roman" w:cs="Times New Roman"/>
          <w:noProof/>
          <w:sz w:val="24"/>
          <w:szCs w:val="24"/>
        </w:rPr>
        <w:t xml:space="preserve">on needs to almost double by 2030 in order for the EU to meet its energy and climate targets. The EU budget can have a catalysing effect to stimulate the necessary additional private or public investment.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Sixth, all existing instruments will need to be lo</w:t>
      </w:r>
      <w:r>
        <w:rPr>
          <w:rFonts w:ascii="Times New Roman" w:eastAsia="Calibri" w:hAnsi="Times New Roman" w:cs="Times New Roman"/>
          <w:noProof/>
          <w:sz w:val="24"/>
          <w:szCs w:val="24"/>
        </w:rPr>
        <w:t>oked at. Though this paper looks in particular at the reform of the two biggest spending policies (agriculture and cohesion) no programme or instrument supported by the EU budget should be exempt from the EU value added test. We must consider whether all e</w:t>
      </w:r>
      <w:r>
        <w:rPr>
          <w:rFonts w:ascii="Times New Roman" w:eastAsia="Calibri" w:hAnsi="Times New Roman" w:cs="Times New Roman"/>
          <w:noProof/>
          <w:sz w:val="24"/>
          <w:szCs w:val="24"/>
        </w:rPr>
        <w:t>xisting instruments are indispensable or whether there is scope for merging or closing programmes. Even more important is the need to ensure policy coherence among EU instruments to ensure that they all support EU objectives and facilitate reforms in Membe</w:t>
      </w:r>
      <w:r>
        <w:rPr>
          <w:rFonts w:ascii="Times New Roman" w:eastAsia="Calibri" w:hAnsi="Times New Roman" w:cs="Times New Roman"/>
          <w:noProof/>
          <w:sz w:val="24"/>
          <w:szCs w:val="24"/>
        </w:rPr>
        <w:t>r States. For instance, in the area of SME financing the same beneficiaries may be eligible to receive support through several instruments covered under different programmes (COSME, Horizon 2020 and EFSI) or implemented by Member States through cohesion po</w:t>
      </w:r>
      <w:r>
        <w:rPr>
          <w:rFonts w:ascii="Times New Roman" w:eastAsia="Calibri" w:hAnsi="Times New Roman" w:cs="Times New Roman"/>
          <w:noProof/>
          <w:sz w:val="24"/>
          <w:szCs w:val="24"/>
        </w:rPr>
        <w:t>licy. This overlapping product offer has caused some confusion for financial intermediaries as to which scheme to apply. Rules and conditions applying in the same policy area should be aligned.</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There is also evidence of competition and crowding out effects</w:t>
      </w:r>
      <w:r>
        <w:rPr>
          <w:rFonts w:ascii="Times New Roman" w:eastAsia="Calibri" w:hAnsi="Times New Roman" w:cs="Times New Roman"/>
          <w:noProof/>
          <w:sz w:val="24"/>
          <w:szCs w:val="24"/>
        </w:rPr>
        <w:t xml:space="preserve"> between EU programmes -  for example in the case of infrastructure, where even if the loans and guarantees provided by the EFSI are intended to complement the CEF Debt Instrument, implementation suggests that the introduction of EFSI has slowed down the d</w:t>
      </w:r>
      <w:r>
        <w:rPr>
          <w:rFonts w:ascii="Times New Roman" w:eastAsia="Calibri" w:hAnsi="Times New Roman" w:cs="Times New Roman"/>
          <w:noProof/>
          <w:sz w:val="24"/>
          <w:szCs w:val="24"/>
        </w:rPr>
        <w:t>eployment of the CEF instrument and of cohesion policy funds.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Seventh, with a view to improving delivery of results, it may be necessary that for external policies, the number of instruments is reduced, but their flexibility increased. This could also faci</w:t>
      </w:r>
      <w:r>
        <w:rPr>
          <w:rFonts w:ascii="Times New Roman" w:eastAsia="Calibri" w:hAnsi="Times New Roman" w:cs="Times New Roman"/>
          <w:noProof/>
          <w:sz w:val="24"/>
          <w:szCs w:val="24"/>
        </w:rPr>
        <w:t xml:space="preserve">litate internal re-allocation between regional or thematic priorities in case of the need to react to a crisis in the short term.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incorporation of the European Development Fund (EDF) in the EU budget and the MFF has often been discussed also as an opt</w:t>
      </w:r>
      <w:r>
        <w:rPr>
          <w:rFonts w:ascii="Times New Roman" w:eastAsia="Calibri" w:hAnsi="Times New Roman" w:cs="Times New Roman"/>
          <w:noProof/>
          <w:sz w:val="24"/>
          <w:szCs w:val="24"/>
        </w:rPr>
        <w:t>ion to enhance the unity of the budget and its accountability. Such an option may also have drawbacks, as some of the present activities may not be supported by EU budget rules, for instance the African Peace Facility.</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Where Member States move spending fro</w:t>
      </w:r>
      <w:r>
        <w:rPr>
          <w:rFonts w:ascii="Times New Roman" w:eastAsia="Calibri" w:hAnsi="Times New Roman" w:cs="Times New Roman"/>
          <w:noProof/>
          <w:sz w:val="24"/>
          <w:szCs w:val="24"/>
        </w:rPr>
        <w:t xml:space="preserve">m national to EU budgets, this should not be viewed as a net increase in spending levels, but rather as a way of transferring existing spending from national budgets and the EU budget, where it should in principle achieve a higher value added. This means, </w:t>
      </w:r>
      <w:r>
        <w:rPr>
          <w:rFonts w:ascii="Times New Roman" w:eastAsia="Calibri" w:hAnsi="Times New Roman" w:cs="Times New Roman"/>
          <w:noProof/>
          <w:sz w:val="24"/>
          <w:szCs w:val="24"/>
        </w:rPr>
        <w:t>for instance, that if the EDF were to be incorporated into the EU budget and MFF, the overall volume of the MFF would have to increase by the size of the fund.</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Finally, the sound implementation of EU policies relies on a strong and efficient European civil</w:t>
      </w:r>
      <w:r>
        <w:rPr>
          <w:rFonts w:ascii="Times New Roman" w:eastAsia="Calibri" w:hAnsi="Times New Roman" w:cs="Times New Roman"/>
          <w:noProof/>
          <w:sz w:val="24"/>
          <w:szCs w:val="24"/>
        </w:rPr>
        <w:t xml:space="preserve"> service. Since 2013, the EU institutions are fulfilling their commitment to reduce their staffing level. This happened despite the addition of new responsibilities, for example in handling the refugee crisis or dealing with security threats, or in the EU </w:t>
      </w:r>
      <w:r>
        <w:rPr>
          <w:rFonts w:ascii="Times New Roman" w:eastAsia="Calibri" w:hAnsi="Times New Roman" w:cs="Times New Roman"/>
          <w:noProof/>
          <w:sz w:val="24"/>
          <w:szCs w:val="24"/>
        </w:rPr>
        <w:t>Delegations abroad. The future EU budget should therefore make provision for a strong European civil service, attractive to talented young people from across the Union, and capable of delivering on the priorities that result from this reflection process. D</w:t>
      </w:r>
      <w:r>
        <w:rPr>
          <w:rFonts w:ascii="Times New Roman" w:eastAsia="Calibri" w:hAnsi="Times New Roman" w:cs="Times New Roman"/>
          <w:noProof/>
          <w:sz w:val="24"/>
          <w:szCs w:val="24"/>
        </w:rPr>
        <w:t xml:space="preserve">ecisions on future policies and instruments should take account of the impact on human resources.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 further reduction in staff levels could jeopardise the good functioning of the EU institutions. Similarly, previous reforms have reduced salaries, increase</w:t>
      </w:r>
      <w:r>
        <w:rPr>
          <w:rFonts w:ascii="Times New Roman" w:eastAsia="Calibri" w:hAnsi="Times New Roman" w:cs="Times New Roman"/>
          <w:noProof/>
          <w:sz w:val="24"/>
          <w:szCs w:val="24"/>
        </w:rPr>
        <w:t>d working time and pension age. There is clearly a declining interest of young people from Member States with relatively high per capita income to join the EU institutions. While working conditions may only be one factor in such decisions, the trend is cle</w:t>
      </w:r>
      <w:r>
        <w:rPr>
          <w:rFonts w:ascii="Times New Roman" w:eastAsia="Calibri" w:hAnsi="Times New Roman" w:cs="Times New Roman"/>
          <w:noProof/>
          <w:sz w:val="24"/>
          <w:szCs w:val="24"/>
        </w:rPr>
        <w:t xml:space="preserve">ar. </w:t>
      </w:r>
    </w:p>
    <w:p w:rsidR="001D2777" w:rsidRDefault="00767E0A">
      <w:pPr>
        <w:keepNext/>
        <w:keepLines/>
        <w:spacing w:before="200" w:after="0"/>
        <w:outlineLvl w:val="2"/>
        <w:rPr>
          <w:rFonts w:asciiTheme="majorHAnsi" w:eastAsiaTheme="majorEastAsia" w:hAnsiTheme="majorHAnsi" w:cstheme="majorBidi"/>
          <w:b/>
          <w:bCs/>
          <w:noProof/>
          <w:color w:val="4F81BD" w:themeColor="accent1"/>
        </w:rPr>
      </w:pPr>
      <w:r>
        <w:rPr>
          <w:rFonts w:asciiTheme="majorHAnsi" w:eastAsiaTheme="majorEastAsia" w:hAnsiTheme="majorHAnsi" w:cstheme="majorBidi"/>
          <w:b/>
          <w:bCs/>
          <w:noProof/>
          <w:color w:val="4F81BD" w:themeColor="accent1"/>
        </w:rPr>
        <w:t>4.1.2</w:t>
      </w:r>
      <w:r>
        <w:rPr>
          <w:rFonts w:asciiTheme="majorHAnsi" w:eastAsiaTheme="majorEastAsia" w:hAnsiTheme="majorHAnsi" w:cstheme="majorBidi"/>
          <w:b/>
          <w:bCs/>
          <w:noProof/>
          <w:color w:val="4F81BD" w:themeColor="accent1"/>
        </w:rPr>
        <w:tab/>
        <w:t>Reforming the common agricultural policy</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common agricultural policy provides an important value added for Europeans and fulfils the objectives set by the Treaty. It was the EU’s first common policy and has evolved greatly over time through a</w:t>
      </w:r>
      <w:r>
        <w:rPr>
          <w:rFonts w:ascii="Times New Roman" w:eastAsia="Calibri" w:hAnsi="Times New Roman" w:cs="Times New Roman"/>
          <w:noProof/>
          <w:sz w:val="24"/>
          <w:szCs w:val="24"/>
        </w:rPr>
        <w:t xml:space="preserve"> number of reforms. In the current debate, different options for further reform are being considered to enhance its efficiency and fairness while achieving its unchanged objectives to ensure safe and healthy food, a competitive sector, </w:t>
      </w:r>
      <w:r>
        <w:rPr>
          <w:rFonts w:ascii="Times New Roman" w:hAnsi="Times New Roman"/>
          <w:noProof/>
          <w:sz w:val="24"/>
        </w:rPr>
        <w:t>a fair standard of l</w:t>
      </w:r>
      <w:r>
        <w:rPr>
          <w:rFonts w:ascii="Times New Roman" w:hAnsi="Times New Roman"/>
          <w:noProof/>
          <w:sz w:val="24"/>
        </w:rPr>
        <w:t>iving for the agricultural community</w:t>
      </w:r>
      <w:r>
        <w:rPr>
          <w:rFonts w:ascii="Times New Roman" w:eastAsia="Calibri" w:hAnsi="Times New Roman" w:cs="Times New Roman"/>
          <w:noProof/>
          <w:sz w:val="24"/>
          <w:szCs w:val="24"/>
        </w:rPr>
        <w:t xml:space="preserve"> and protection of our natural resources, our landscapes, the environment and for climate action. The impact of the policy goes beyond the stabilisation of farmer's income. However, many rural areas feel left behind. The</w:t>
      </w:r>
      <w:r>
        <w:rPr>
          <w:rFonts w:ascii="Times New Roman" w:eastAsia="Calibri" w:hAnsi="Times New Roman" w:cs="Times New Roman"/>
          <w:noProof/>
          <w:sz w:val="24"/>
          <w:szCs w:val="24"/>
        </w:rPr>
        <w:t>re is a growing call for the policy to focus further on the provision of public goods, such as safe and healthy food, nutrient management, response to climate change, protection of the environment and its contribution to the circular economy.</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Work is ongoi</w:t>
      </w:r>
      <w:r>
        <w:rPr>
          <w:rFonts w:ascii="Times New Roman" w:eastAsia="Calibri" w:hAnsi="Times New Roman" w:cs="Times New Roman"/>
          <w:noProof/>
          <w:sz w:val="24"/>
          <w:szCs w:val="24"/>
        </w:rPr>
        <w:t>ng as regards the modernisation and simplification of the CAP. Among the debated options is the suggestion to target direct payments more effectively to ensure income to all farmers across the EU, particularly for marginal areas and the poorest farms. Such</w:t>
      </w:r>
      <w:r>
        <w:rPr>
          <w:rFonts w:ascii="Times New Roman" w:eastAsia="Calibri" w:hAnsi="Times New Roman" w:cs="Times New Roman"/>
          <w:noProof/>
          <w:sz w:val="24"/>
          <w:szCs w:val="24"/>
        </w:rPr>
        <w:t xml:space="preserve"> an option could reduce direct payments for large farms.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One option to explore is the introduction of a degree of national co-financing for direct payments in order to sustain the overall levels of current support. Risk-management tools could be envisaged </w:t>
      </w:r>
      <w:r>
        <w:rPr>
          <w:rFonts w:ascii="Times New Roman" w:eastAsia="Calibri" w:hAnsi="Times New Roman" w:cs="Times New Roman"/>
          <w:noProof/>
          <w:sz w:val="24"/>
          <w:szCs w:val="24"/>
        </w:rPr>
        <w:t>for dealing with crises. Any changes would need to preserve one of the key assets of the policy: the protection of a well-functioning internal market ensuring a level playing field for all producers across the EU.</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Viable rural communities are necessary to ensure the sustainability of the vast majority of EU territory. In this context, there is margin for improvement and for enhancing synergies with other funds. Here a suggestion is to rationalise the action of the v</w:t>
      </w:r>
      <w:r>
        <w:rPr>
          <w:rFonts w:ascii="Times New Roman" w:eastAsia="Calibri" w:hAnsi="Times New Roman" w:cs="Times New Roman"/>
          <w:noProof/>
          <w:sz w:val="24"/>
          <w:szCs w:val="24"/>
        </w:rPr>
        <w:t xml:space="preserve">arious structural funds in rural areas and eliminate overlaps.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There is room to further improve the performance of the policy by putting more emphasis on incentivising farmers to deliver environment and climate public goods and services. Farmers should be</w:t>
      </w:r>
      <w:r>
        <w:rPr>
          <w:rFonts w:ascii="Times New Roman" w:eastAsia="Calibri" w:hAnsi="Times New Roman" w:cs="Times New Roman"/>
          <w:noProof/>
          <w:sz w:val="24"/>
          <w:szCs w:val="24"/>
        </w:rPr>
        <w:t xml:space="preserve"> encouraged to invest in new technologies and environmental protection within the rural development policy through positive incentives on the basis of contracts. This would lighten the current administrative burden for all farmers.  </w:t>
      </w:r>
    </w:p>
    <w:p w:rsidR="001D2777" w:rsidRDefault="00767E0A">
      <w:pPr>
        <w:keepNext/>
        <w:keepLines/>
        <w:spacing w:before="200" w:after="0"/>
        <w:outlineLvl w:val="2"/>
        <w:rPr>
          <w:rFonts w:asciiTheme="majorHAnsi" w:eastAsiaTheme="majorEastAsia" w:hAnsiTheme="majorHAnsi" w:cstheme="majorBidi"/>
          <w:b/>
          <w:bCs/>
          <w:noProof/>
          <w:color w:val="4F81BD" w:themeColor="accent1"/>
        </w:rPr>
      </w:pPr>
      <w:r>
        <w:rPr>
          <w:rFonts w:asciiTheme="majorHAnsi" w:eastAsiaTheme="majorEastAsia" w:hAnsiTheme="majorHAnsi" w:cstheme="majorBidi"/>
          <w:b/>
          <w:bCs/>
          <w:noProof/>
          <w:color w:val="4F81BD" w:themeColor="accent1"/>
        </w:rPr>
        <w:t>4.1.3</w:t>
      </w:r>
      <w:r>
        <w:rPr>
          <w:rFonts w:asciiTheme="majorHAnsi" w:eastAsiaTheme="majorEastAsia" w:hAnsiTheme="majorHAnsi" w:cstheme="majorBidi"/>
          <w:b/>
          <w:bCs/>
          <w:noProof/>
          <w:color w:val="4F81BD" w:themeColor="accent1"/>
        </w:rPr>
        <w:tab/>
        <w:t>Reforming cohesi</w:t>
      </w:r>
      <w:r>
        <w:rPr>
          <w:rFonts w:asciiTheme="majorHAnsi" w:eastAsiaTheme="majorEastAsia" w:hAnsiTheme="majorHAnsi" w:cstheme="majorBidi"/>
          <w:b/>
          <w:bCs/>
          <w:noProof/>
          <w:color w:val="4F81BD" w:themeColor="accent1"/>
        </w:rPr>
        <w:t>on policy</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A number of different options could make cohesion policy more effective and maximise the impact of its investment.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First, cohesion policy could be made more flexible to face new challenges, for example through an unallocated capacity. Similarly, a more flexible Globalisation Adjustment Fund able to cover a wider range of economic and social measures could be made more </w:t>
      </w:r>
      <w:r>
        <w:rPr>
          <w:rFonts w:ascii="Times New Roman" w:eastAsia="Calibri" w:hAnsi="Times New Roman" w:cs="Times New Roman"/>
          <w:noProof/>
          <w:sz w:val="24"/>
          <w:szCs w:val="24"/>
        </w:rPr>
        <w:t xml:space="preserve">efficient via a closer link with cohesion policy. It would also contribute to the overall flexibility of the EU budget.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Second, faster implementation of cohesion policy and a smoother transition between programming periods is required. A number of measure</w:t>
      </w:r>
      <w:r>
        <w:rPr>
          <w:rFonts w:ascii="Times New Roman" w:eastAsia="Calibri" w:hAnsi="Times New Roman" w:cs="Times New Roman"/>
          <w:noProof/>
          <w:sz w:val="24"/>
          <w:szCs w:val="24"/>
        </w:rPr>
        <w:t xml:space="preserve">s could be envisaged, such as stricter de-commitment rules, shorter procedures for closing programmes, and quicker and more flexible processes for appointing the management authorities and for programming.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Third, shortcomings in administrative capacity an</w:t>
      </w:r>
      <w:r>
        <w:rPr>
          <w:rFonts w:ascii="Times New Roman" w:eastAsia="Calibri" w:hAnsi="Times New Roman" w:cs="Times New Roman"/>
          <w:noProof/>
          <w:sz w:val="24"/>
          <w:szCs w:val="24"/>
        </w:rPr>
        <w:t>d poor institutional quality hamper competitiveness, limit effectiveness of investments and create a serious obstacle to growth. The EU budget should strengthen its administrative capacity building linked to the most important investment areas supported by</w:t>
      </w:r>
      <w:r>
        <w:rPr>
          <w:rFonts w:ascii="Times New Roman" w:eastAsia="Calibri" w:hAnsi="Times New Roman" w:cs="Times New Roman"/>
          <w:noProof/>
          <w:sz w:val="24"/>
          <w:szCs w:val="24"/>
        </w:rPr>
        <w:t xml:space="preserve"> EU funding. New approaches to building administrative capacities could be explored, for example through better coordination of available instruments and a closer involvement of the Commission. The lagging regions initiative under cohesion policy was an im</w:t>
      </w:r>
      <w:r>
        <w:rPr>
          <w:rFonts w:ascii="Times New Roman" w:eastAsia="Calibri" w:hAnsi="Times New Roman" w:cs="Times New Roman"/>
          <w:noProof/>
          <w:sz w:val="24"/>
          <w:szCs w:val="24"/>
        </w:rPr>
        <w:t>portant pilot exercise and its successful elements may be further deployed.</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Fourth, the levels of national co-financing for cohesion policy should be increased, in order to better calibrate them for different countries and regions and increase ownership an</w:t>
      </w:r>
      <w:r>
        <w:rPr>
          <w:rFonts w:ascii="Times New Roman" w:eastAsia="Calibri" w:hAnsi="Times New Roman" w:cs="Times New Roman"/>
          <w:noProof/>
          <w:sz w:val="24"/>
          <w:szCs w:val="24"/>
        </w:rPr>
        <w:t>d responsibility. The question should also be asked as to whether cohesion policy funding should be available to the more developed countries and regions.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Fifth, a single investment fund, or a single set of rules for existing funds, would ensure more coher</w:t>
      </w:r>
      <w:r>
        <w:rPr>
          <w:rFonts w:ascii="Times New Roman" w:eastAsia="Calibri" w:hAnsi="Times New Roman" w:cs="Times New Roman"/>
          <w:noProof/>
          <w:sz w:val="24"/>
          <w:szCs w:val="24"/>
        </w:rPr>
        <w:t>ent investment and simplify the life of beneficiaries. Coherence can also be improved via a single rule book for cohesion policy and other funding instruments with programmes or projects of the same type. This would ensure stronger complementarity, for exa</w:t>
      </w:r>
      <w:r>
        <w:rPr>
          <w:rFonts w:ascii="Times New Roman" w:eastAsia="Calibri" w:hAnsi="Times New Roman" w:cs="Times New Roman"/>
          <w:noProof/>
          <w:sz w:val="24"/>
          <w:szCs w:val="24"/>
        </w:rPr>
        <w:t>mple between cohesion policy and Horizon 2020 or the Connecting Europe Facility.</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Sixth, the current system of allocation of the funds could be revised. New criteria could be added, for instance linked to the challenges Europe faces, from demographics, unem</w:t>
      </w:r>
      <w:r>
        <w:rPr>
          <w:rFonts w:ascii="Times New Roman" w:eastAsia="Calibri" w:hAnsi="Times New Roman" w:cs="Times New Roman"/>
          <w:noProof/>
          <w:sz w:val="24"/>
          <w:szCs w:val="24"/>
        </w:rPr>
        <w:t xml:space="preserve">ployment to social inclusion and migration, from innovation to climate change. </w:t>
      </w:r>
    </w:p>
    <w:p w:rsidR="001D2777" w:rsidRDefault="00767E0A">
      <w:pPr>
        <w:pStyle w:val="Heading2"/>
        <w:rPr>
          <w:noProof/>
        </w:rPr>
      </w:pPr>
      <w:r>
        <w:rPr>
          <w:noProof/>
        </w:rPr>
        <w:t>4.2</w:t>
      </w:r>
      <w:r>
        <w:rPr>
          <w:noProof/>
        </w:rPr>
        <w:tab/>
        <w:t>How should the future EU budget operate</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After having decided what the budget should do, there are a number of factors which need to be taken into account in its design.</w:t>
      </w:r>
    </w:p>
    <w:p w:rsidR="001D2777" w:rsidRDefault="00767E0A">
      <w:pPr>
        <w:pStyle w:val="Heading2"/>
        <w:pBdr>
          <w:top w:val="single" w:sz="4" w:space="1" w:color="auto"/>
          <w:left w:val="single" w:sz="4" w:space="4" w:color="auto"/>
          <w:bottom w:val="single" w:sz="4" w:space="1" w:color="auto"/>
          <w:right w:val="single" w:sz="4" w:space="4" w:color="auto"/>
        </w:pBdr>
        <w:shd w:val="clear" w:color="auto" w:fill="D9D9D9" w:themeFill="background1" w:themeFillShade="D9"/>
        <w:rPr>
          <w:i/>
          <w:noProof/>
        </w:rPr>
      </w:pPr>
      <w:r>
        <w:rPr>
          <w:i/>
          <w:noProof/>
        </w:rPr>
        <w:t>Box</w:t>
      </w:r>
      <w:r>
        <w:rPr>
          <w:i/>
          <w:noProof/>
        </w:rPr>
        <w:t xml:space="preserve"> 4 - Principles for reform </w:t>
      </w:r>
    </w:p>
    <w:p w:rsidR="001D2777" w:rsidRDefault="001D2777">
      <w:pPr>
        <w:pStyle w:val="Heading2"/>
        <w:pBdr>
          <w:top w:val="single" w:sz="4" w:space="1" w:color="auto"/>
          <w:left w:val="single" w:sz="4" w:space="4" w:color="auto"/>
          <w:bottom w:val="single" w:sz="4" w:space="1" w:color="auto"/>
          <w:right w:val="single" w:sz="4" w:space="4" w:color="auto"/>
        </w:pBdr>
        <w:shd w:val="clear" w:color="auto" w:fill="D9D9D9" w:themeFill="background1" w:themeFillShade="D9"/>
        <w:rPr>
          <w:noProof/>
        </w:rPr>
      </w:pPr>
    </w:p>
    <w:p w:rsidR="001D2777" w:rsidRDefault="00767E0A">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2160"/>
        </w:tabs>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noProof/>
          <w:sz w:val="24"/>
          <w:szCs w:val="20"/>
        </w:rPr>
        <w:t>The design of the future EU budget should be driven by these key principles:</w:t>
      </w:r>
    </w:p>
    <w:p w:rsidR="001D2777" w:rsidRDefault="00767E0A">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0"/>
        </w:rPr>
      </w:pPr>
      <w:r>
        <w:rPr>
          <w:rFonts w:ascii="Times New Roman" w:eastAsia="Times New Roman" w:hAnsi="Times New Roman" w:cs="Times New Roman"/>
          <w:b/>
          <w:noProof/>
          <w:sz w:val="24"/>
          <w:szCs w:val="20"/>
        </w:rPr>
        <w:t>EU value added:</w:t>
      </w:r>
      <w:r>
        <w:rPr>
          <w:rFonts w:ascii="Times New Roman" w:eastAsia="Times New Roman" w:hAnsi="Times New Roman" w:cs="Times New Roman"/>
          <w:noProof/>
          <w:sz w:val="24"/>
          <w:szCs w:val="20"/>
        </w:rPr>
        <w:t xml:space="preserve"> funding should be concentrated on the areas of highest value added, taking into account the different dimensions indicated in section 2 such as focus on results. </w:t>
      </w:r>
    </w:p>
    <w:p w:rsidR="001D2777" w:rsidRDefault="00767E0A">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 xml:space="preserve">Accountability: </w:t>
      </w:r>
      <w:r>
        <w:rPr>
          <w:rFonts w:ascii="Times New Roman" w:eastAsia="Times New Roman" w:hAnsi="Times New Roman" w:cs="Times New Roman"/>
          <w:noProof/>
          <w:sz w:val="24"/>
          <w:szCs w:val="24"/>
        </w:rPr>
        <w:t xml:space="preserve">the debate on the future EU budget will follow a democratic and transparent </w:t>
      </w:r>
      <w:r>
        <w:rPr>
          <w:rFonts w:ascii="Times New Roman" w:eastAsia="Times New Roman" w:hAnsi="Times New Roman" w:cs="Times New Roman"/>
          <w:noProof/>
          <w:sz w:val="24"/>
          <w:szCs w:val="24"/>
        </w:rPr>
        <w:t xml:space="preserve">process. The use of additional instruments outside the EU budget should be kept to a minimum, as they blur the understanding of the budget and put at risk democratic control, transparency and good management. </w:t>
      </w:r>
    </w:p>
    <w:p w:rsidR="001D2777" w:rsidRDefault="00767E0A">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 xml:space="preserve">More flexibility within a stable framework: </w:t>
      </w:r>
      <w:r>
        <w:rPr>
          <w:rFonts w:ascii="Times New Roman" w:eastAsia="Times New Roman" w:hAnsi="Times New Roman" w:cs="Times New Roman"/>
          <w:noProof/>
          <w:sz w:val="24"/>
          <w:szCs w:val="24"/>
        </w:rPr>
        <w:t>Th</w:t>
      </w:r>
      <w:r>
        <w:rPr>
          <w:rFonts w:ascii="Times New Roman" w:eastAsia="Times New Roman" w:hAnsi="Times New Roman" w:cs="Times New Roman"/>
          <w:noProof/>
          <w:sz w:val="24"/>
          <w:szCs w:val="24"/>
        </w:rPr>
        <w:t>e multiannual structure of the EU budget is an asset. Certainty and predictability are a prerequisite for long-term investment. However, experience has shown that more flexibility is essential to respond to crises and unforeseen events. This should be refl</w:t>
      </w:r>
      <w:r>
        <w:rPr>
          <w:rFonts w:ascii="Times New Roman" w:eastAsia="Times New Roman" w:hAnsi="Times New Roman" w:cs="Times New Roman"/>
          <w:noProof/>
          <w:sz w:val="24"/>
          <w:szCs w:val="24"/>
        </w:rPr>
        <w:t>ected in a more flexible structure and a larger share of the budget should be left unallocated.</w:t>
      </w:r>
    </w:p>
    <w:p w:rsidR="001D2777" w:rsidRDefault="00767E0A">
      <w:pPr>
        <w:numPr>
          <w:ilvl w:val="0"/>
          <w:numId w:val="7"/>
        </w:num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Simplified rules:</w:t>
      </w:r>
      <w:r>
        <w:rPr>
          <w:rFonts w:ascii="Times New Roman" w:eastAsia="Times New Roman" w:hAnsi="Times New Roman" w:cs="Times New Roman"/>
          <w:noProof/>
          <w:sz w:val="24"/>
          <w:szCs w:val="24"/>
        </w:rPr>
        <w:t xml:space="preserve"> citizens should not be discouraged from applying for EU funding as a result of excessive bureaucracy. Efforts to cut red-tape and further simp</w:t>
      </w:r>
      <w:r>
        <w:rPr>
          <w:rFonts w:ascii="Times New Roman" w:eastAsia="Times New Roman" w:hAnsi="Times New Roman" w:cs="Times New Roman"/>
          <w:noProof/>
          <w:sz w:val="24"/>
          <w:szCs w:val="24"/>
        </w:rPr>
        <w:t xml:space="preserve">lify the rules of implementation should therefore continue. Moving towards a </w:t>
      </w:r>
      <w:r>
        <w:rPr>
          <w:rFonts w:ascii="Times New Roman" w:eastAsia="Times New Roman" w:hAnsi="Times New Roman" w:cs="Times New Roman"/>
          <w:b/>
          <w:noProof/>
          <w:sz w:val="24"/>
          <w:szCs w:val="24"/>
        </w:rPr>
        <w:t xml:space="preserve">single set of rules </w:t>
      </w:r>
      <w:r>
        <w:rPr>
          <w:rFonts w:ascii="Times New Roman" w:eastAsia="Times New Roman" w:hAnsi="Times New Roman" w:cs="Times New Roman"/>
          <w:noProof/>
          <w:sz w:val="24"/>
          <w:szCs w:val="24"/>
        </w:rPr>
        <w:t>would help achieve this.</w:t>
      </w:r>
    </w:p>
    <w:p w:rsidR="001D2777" w:rsidRDefault="00767E0A">
      <w:pPr>
        <w:pStyle w:val="Heading3"/>
        <w:rPr>
          <w:noProof/>
        </w:rPr>
      </w:pPr>
      <w:r>
        <w:rPr>
          <w:noProof/>
        </w:rPr>
        <w:t>4.2.1</w:t>
      </w:r>
      <w:r>
        <w:rPr>
          <w:noProof/>
        </w:rPr>
        <w:tab/>
        <w:t>Stability and flexibility</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There is a need to strike the right balance between the stability and the flexibility of financing.</w:t>
      </w:r>
    </w:p>
    <w:p w:rsidR="001D2777" w:rsidRDefault="00767E0A">
      <w:pPr>
        <w:spacing w:after="240" w:line="240" w:lineRule="auto"/>
        <w:jc w:val="both"/>
        <w:rPr>
          <w:rFonts w:ascii="Times New Roman" w:eastAsia="Times New Roman" w:hAnsi="Times New Roman" w:cs="Times New Roman"/>
          <w:noProof/>
          <w:sz w:val="24"/>
          <w:szCs w:val="24"/>
        </w:rPr>
      </w:pPr>
      <w:r>
        <w:rPr>
          <w:rFonts w:ascii="Times New Roman" w:hAnsi="Times New Roman" w:cs="Times New Roman"/>
          <w:noProof/>
          <w:sz w:val="24"/>
          <w:szCs w:val="24"/>
        </w:rPr>
        <w:t xml:space="preserve">One factor in this balance is </w:t>
      </w:r>
      <w:r>
        <w:rPr>
          <w:rFonts w:ascii="Times New Roman" w:hAnsi="Times New Roman"/>
          <w:b/>
          <w:noProof/>
          <w:sz w:val="24"/>
        </w:rPr>
        <w:t>the duration</w:t>
      </w:r>
      <w:r>
        <w:rPr>
          <w:rFonts w:ascii="Times New Roman" w:hAnsi="Times New Roman" w:cs="Times New Roman"/>
          <w:noProof/>
          <w:sz w:val="24"/>
          <w:szCs w:val="24"/>
        </w:rPr>
        <w:t xml:space="preserve"> of the financial framework. Previous MFFs have almost always extended over 7 years; five years are today the minimum prescribed by the Treaty. Most Member States, regions and stakeholders are therefore accustomed </w:t>
      </w:r>
      <w:r>
        <w:rPr>
          <w:rFonts w:ascii="Times New Roman" w:hAnsi="Times New Roman" w:cs="Times New Roman"/>
          <w:noProof/>
          <w:sz w:val="24"/>
          <w:szCs w:val="24"/>
        </w:rPr>
        <w:t xml:space="preserve">to operating within this cycle. Reducing the current </w:t>
      </w:r>
      <w:r>
        <w:rPr>
          <w:rFonts w:ascii="Times New Roman" w:eastAsia="Times New Roman" w:hAnsi="Times New Roman" w:cs="Times New Roman"/>
          <w:noProof/>
          <w:sz w:val="24"/>
          <w:szCs w:val="24"/>
        </w:rPr>
        <w:t>7-year</w:t>
      </w:r>
      <w:r>
        <w:rPr>
          <w:rFonts w:ascii="Times New Roman" w:hAnsi="Times New Roman" w:cs="Times New Roman"/>
          <w:noProof/>
          <w:sz w:val="24"/>
          <w:szCs w:val="24"/>
        </w:rPr>
        <w:t xml:space="preserve"> duration</w:t>
      </w:r>
      <w:r>
        <w:rPr>
          <w:rFonts w:ascii="Times New Roman" w:eastAsia="Times New Roman" w:hAnsi="Times New Roman" w:cs="Times New Roman"/>
          <w:noProof/>
          <w:sz w:val="24"/>
          <w:szCs w:val="24"/>
        </w:rPr>
        <w:t xml:space="preserve"> to 5 years would reduce the predictability of financing. This could be a problem in particular for investments that require more time. It would also imply that preparation for the next MF</w:t>
      </w:r>
      <w:r>
        <w:rPr>
          <w:rFonts w:ascii="Times New Roman" w:eastAsia="Times New Roman" w:hAnsi="Times New Roman" w:cs="Times New Roman"/>
          <w:noProof/>
          <w:sz w:val="24"/>
          <w:szCs w:val="24"/>
        </w:rPr>
        <w:t xml:space="preserve">F would have to start at the very beginning of the previous one, further reducing the possibility to draw lessons for the future. Institutions may end up in a permanent "negotiating" mode.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Times New Roman" w:hAnsi="Times New Roman" w:cs="Times New Roman"/>
          <w:noProof/>
          <w:sz w:val="24"/>
          <w:szCs w:val="24"/>
        </w:rPr>
        <w:t>However, on the positive side, a shorter duration would also bring</w:t>
      </w:r>
      <w:r>
        <w:rPr>
          <w:rFonts w:ascii="Times New Roman" w:eastAsia="Times New Roman" w:hAnsi="Times New Roman" w:cs="Times New Roman"/>
          <w:noProof/>
          <w:sz w:val="24"/>
          <w:szCs w:val="24"/>
        </w:rPr>
        <w:t xml:space="preserve"> more flexibility and make it easier to adjust to unforeseen developments. In addition, a 5-year timeframe would align with the mandates of the European Parliament and the Commission. This would strengthen the democratic debate on the EU’s spending priorit</w:t>
      </w:r>
      <w:r>
        <w:rPr>
          <w:rFonts w:ascii="Times New Roman" w:eastAsia="Times New Roman" w:hAnsi="Times New Roman" w:cs="Times New Roman"/>
          <w:noProof/>
          <w:sz w:val="24"/>
          <w:szCs w:val="24"/>
        </w:rPr>
        <w:t>ies and put the EU budget more clearly at the centre of European politics.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Times New Roman" w:hAnsi="Times New Roman" w:cs="Times New Roman"/>
          <w:noProof/>
          <w:sz w:val="24"/>
          <w:szCs w:val="24"/>
        </w:rPr>
        <w:t xml:space="preserve">Another option is an MFF of 5+5 years with an obligatory mid-term revision to adjust the framework to new priorities. However, such an option would require setting the MFF ceilings </w:t>
      </w:r>
      <w:r>
        <w:rPr>
          <w:rFonts w:ascii="Times New Roman" w:eastAsia="Times New Roman" w:hAnsi="Times New Roman" w:cs="Times New Roman"/>
          <w:noProof/>
          <w:sz w:val="24"/>
          <w:szCs w:val="24"/>
        </w:rPr>
        <w:t>and legal bases for the full duration of up to 10 years in the first place. This may create a strong disincentive to agree on any wider changes at mid-term compared to the actual negotiation of a new MFF.</w:t>
      </w:r>
      <w:r>
        <w:rPr>
          <w:rFonts w:ascii="Times New Roman" w:hAnsi="Times New Roman" w:cs="Times New Roman"/>
          <w:noProof/>
          <w:sz w:val="24"/>
          <w:szCs w:val="24"/>
        </w:rPr>
        <w:t xml:space="preserve">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hAnsi="Times New Roman" w:cs="Times New Roman"/>
          <w:noProof/>
          <w:sz w:val="24"/>
          <w:szCs w:val="24"/>
        </w:rPr>
        <w:t>There are other ways to address the need for flexi</w:t>
      </w:r>
      <w:r>
        <w:rPr>
          <w:rFonts w:ascii="Times New Roman" w:hAnsi="Times New Roman" w:cs="Times New Roman"/>
          <w:noProof/>
          <w:sz w:val="24"/>
          <w:szCs w:val="24"/>
        </w:rPr>
        <w:t xml:space="preserve">bility. </w:t>
      </w:r>
      <w:r>
        <w:rPr>
          <w:rFonts w:ascii="Times New Roman" w:eastAsia="Calibri" w:hAnsi="Times New Roman" w:cs="Times New Roman"/>
          <w:noProof/>
          <w:sz w:val="24"/>
          <w:szCs w:val="24"/>
        </w:rPr>
        <w:t>The experience of recent years has demonstrated how the current structure is limited in how it can adapt to unexpected needs. One factor is that</w:t>
      </w:r>
      <w:r>
        <w:rPr>
          <w:rFonts w:ascii="Times New Roman" w:hAnsi="Times New Roman" w:cs="Times New Roman"/>
          <w:noProof/>
          <w:sz w:val="24"/>
          <w:szCs w:val="24"/>
        </w:rPr>
        <w:t xml:space="preserve"> spending takes place strictly within certain categories and that a re-deployment of funds between budge</w:t>
      </w:r>
      <w:r>
        <w:rPr>
          <w:rFonts w:ascii="Times New Roman" w:hAnsi="Times New Roman" w:cs="Times New Roman"/>
          <w:noProof/>
          <w:sz w:val="24"/>
          <w:szCs w:val="24"/>
        </w:rPr>
        <w:t>t headings is not easy. Another reason is the large number of different programmes and budget lines that have been created over time. The result has been a significant number of different instruments, often overlapping with each other.</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hAnsi="Times New Roman" w:cs="Times New Roman"/>
          <w:noProof/>
          <w:color w:val="000000"/>
          <w:sz w:val="24"/>
          <w:szCs w:val="24"/>
        </w:rPr>
        <w:t>The</w:t>
      </w:r>
      <w:r>
        <w:rPr>
          <w:rFonts w:ascii="Times New Roman" w:eastAsia="Calibri" w:hAnsi="Times New Roman" w:cs="Times New Roman"/>
          <w:noProof/>
          <w:sz w:val="24"/>
          <w:szCs w:val="24"/>
        </w:rPr>
        <w:t xml:space="preserve"> flexibility of E</w:t>
      </w:r>
      <w:r>
        <w:rPr>
          <w:rFonts w:ascii="Times New Roman" w:eastAsia="Calibri" w:hAnsi="Times New Roman" w:cs="Times New Roman"/>
          <w:noProof/>
          <w:sz w:val="24"/>
          <w:szCs w:val="24"/>
        </w:rPr>
        <w:t>U finances is also constrained by the fact that around 80% of the MFF is pre-allocated to specific policy areas, Member States or spending envelopes for third countries. Existing mechanisms to</w:t>
      </w:r>
      <w:r>
        <w:rPr>
          <w:rFonts w:ascii="Times New Roman" w:hAnsi="Times New Roman" w:cs="Times New Roman"/>
          <w:noProof/>
          <w:sz w:val="24"/>
          <w:szCs w:val="24"/>
        </w:rPr>
        <w:t xml:space="preserve"> shift funding quickly to new priorities or between years have a</w:t>
      </w:r>
      <w:r>
        <w:rPr>
          <w:rFonts w:ascii="Times New Roman" w:hAnsi="Times New Roman" w:cs="Times New Roman"/>
          <w:noProof/>
          <w:sz w:val="24"/>
          <w:szCs w:val="24"/>
        </w:rPr>
        <w:t xml:space="preserve">llowed for some adaptability. However, the existing flexibility would not be enough to deal with known challenges and unexpected future developments of a similar order of magnitude in a volatile environment. </w:t>
      </w:r>
      <w:r>
        <w:rPr>
          <w:rFonts w:ascii="Times New Roman" w:eastAsia="Times New Roman" w:hAnsi="Times New Roman" w:cs="Times New Roman"/>
          <w:noProof/>
          <w:sz w:val="24"/>
          <w:szCs w:val="24"/>
        </w:rPr>
        <w:t xml:space="preserve">One option could be to put aside a share, often </w:t>
      </w:r>
      <w:r>
        <w:rPr>
          <w:rFonts w:ascii="Times New Roman" w:eastAsia="Times New Roman" w:hAnsi="Times New Roman" w:cs="Times New Roman"/>
          <w:noProof/>
          <w:sz w:val="24"/>
          <w:szCs w:val="24"/>
        </w:rPr>
        <w:t>called a non-programmed reserve,  within each spending programme that remains unallocated and reserved for unexpected developments.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Times New Roman" w:hAnsi="Times New Roman" w:cs="Times New Roman"/>
          <w:noProof/>
          <w:sz w:val="24"/>
          <w:szCs w:val="24"/>
        </w:rPr>
        <w:t>Moreover, a Crisis Reserve funded by unused money from previous years could provide additional firepower for exceptional cir</w:t>
      </w:r>
      <w:r>
        <w:rPr>
          <w:rFonts w:ascii="Times New Roman" w:eastAsia="Times New Roman" w:hAnsi="Times New Roman" w:cs="Times New Roman"/>
          <w:noProof/>
          <w:sz w:val="24"/>
          <w:szCs w:val="24"/>
        </w:rPr>
        <w:t xml:space="preserve">cumstances and a improved Globalisation Adjustment Fund could also enhance flexibility. It could allow the Union to enhance support for structural change of areas hit by the impact of globalisation and technological change. </w:t>
      </w:r>
    </w:p>
    <w:p w:rsidR="001D2777" w:rsidRDefault="00767E0A">
      <w:pPr>
        <w:pStyle w:val="Heading3"/>
        <w:rPr>
          <w:noProof/>
        </w:rPr>
      </w:pPr>
      <w:r>
        <w:rPr>
          <w:noProof/>
        </w:rPr>
        <w:t>4.2.2</w:t>
      </w:r>
      <w:r>
        <w:rPr>
          <w:noProof/>
        </w:rPr>
        <w:tab/>
        <w:t>Financial instruments and</w:t>
      </w:r>
      <w:r>
        <w:rPr>
          <w:noProof/>
        </w:rPr>
        <w:t xml:space="preserve"> the extended EU financial architecture</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An important source of flexibility of EU finances comes from institutions and instruments that complement the EU budget, such as the European Investment Bank, the European Development Fund, European Union Trust Funds</w:t>
      </w:r>
      <w:r>
        <w:rPr>
          <w:rFonts w:ascii="Times New Roman" w:eastAsia="Calibri" w:hAnsi="Times New Roman" w:cs="Times New Roman"/>
          <w:noProof/>
          <w:sz w:val="24"/>
          <w:szCs w:val="24"/>
        </w:rPr>
        <w:t xml:space="preserve"> and other facilities</w:t>
      </w:r>
      <w:r>
        <w:rPr>
          <w:rFonts w:ascii="Times New Roman" w:hAnsi="Times New Roman" w:cs="Times New Roman"/>
          <w:noProof/>
          <w:sz w:val="24"/>
          <w:szCs w:val="24"/>
        </w:rPr>
        <w:t>.</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Financial instruments such as guarantees, loans and equity can play an important role to allow the EU to "do more with less" and leverage the EU budget, particularly at a time of budgetary constraints. One important recent example is</w:t>
      </w:r>
      <w:r>
        <w:rPr>
          <w:rFonts w:ascii="Times New Roman" w:eastAsia="Calibri" w:hAnsi="Times New Roman" w:cs="Times New Roman"/>
          <w:noProof/>
          <w:sz w:val="24"/>
          <w:szCs w:val="24"/>
        </w:rPr>
        <w:t xml:space="preserve"> the European Fund for Strategic Investments.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Their successful use depends on a clear strategy and on a set of criteria to determine which tools are most appropriate for market needs, beneficiaries and desired objectives. </w:t>
      </w:r>
      <w:r>
        <w:rPr>
          <w:rFonts w:ascii="Times New Roman" w:hAnsi="Times New Roman" w:cs="Times New Roman"/>
          <w:noProof/>
          <w:sz w:val="24"/>
          <w:szCs w:val="24"/>
        </w:rPr>
        <w:t>Financial instruments are only ap</w:t>
      </w:r>
      <w:r>
        <w:rPr>
          <w:rFonts w:ascii="Times New Roman" w:hAnsi="Times New Roman" w:cs="Times New Roman"/>
          <w:noProof/>
          <w:sz w:val="24"/>
          <w:szCs w:val="24"/>
        </w:rPr>
        <w:t>propriate for revenue-generating projects. Grants</w:t>
      </w:r>
      <w:r>
        <w:rPr>
          <w:rFonts w:ascii="Times New Roman" w:eastAsia="Calibri" w:hAnsi="Times New Roman" w:cs="Times New Roman"/>
          <w:noProof/>
          <w:sz w:val="24"/>
          <w:szCs w:val="24"/>
        </w:rPr>
        <w:t xml:space="preserve"> and subsidies will therefore continue to be needed for projects that do not generate revenues, for example for basic research, for some types of infrastructure programmes, or for people-based investments, s</w:t>
      </w:r>
      <w:r>
        <w:rPr>
          <w:rFonts w:ascii="Times New Roman" w:eastAsia="Calibri" w:hAnsi="Times New Roman" w:cs="Times New Roman"/>
          <w:noProof/>
          <w:sz w:val="24"/>
          <w:szCs w:val="24"/>
        </w:rPr>
        <w:t xml:space="preserve">uch as Erasmus or Marie-Curie grants.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number of EU-level financial instruments and rules applying to them is an obstacle to their efficient use. One option to address this could be their integration within a single Fund which would provide loans, guar</w:t>
      </w:r>
      <w:r>
        <w:rPr>
          <w:rFonts w:ascii="Times New Roman" w:eastAsia="Calibri" w:hAnsi="Times New Roman" w:cs="Times New Roman"/>
          <w:noProof/>
          <w:sz w:val="24"/>
          <w:szCs w:val="24"/>
        </w:rPr>
        <w:t>antees and risk sharing instruments—blending with EU grants where appropriate—depending on the project and windows for the different policies (such as research, innovation, environment, SME support, infrastructure, including for energy efficiency) to cater</w:t>
      </w:r>
      <w:r>
        <w:rPr>
          <w:rFonts w:ascii="Times New Roman" w:eastAsia="Calibri" w:hAnsi="Times New Roman" w:cs="Times New Roman"/>
          <w:noProof/>
          <w:sz w:val="24"/>
          <w:szCs w:val="24"/>
        </w:rPr>
        <w:t xml:space="preserve"> for different objectives.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Europe can do more to provide conditions for companies to scale up. Financing mid-cap companies and SMEs beyond the start-up phase remains difficult and many entrepreneurs leave Europe in search for appropriate capital investment</w:t>
      </w:r>
      <w:r>
        <w:rPr>
          <w:rFonts w:ascii="Times New Roman" w:eastAsia="Calibri" w:hAnsi="Times New Roman" w:cs="Times New Roman"/>
          <w:noProof/>
          <w:sz w:val="24"/>
          <w:szCs w:val="24"/>
        </w:rPr>
        <w:t xml:space="preserve">. </w:t>
      </w:r>
      <w:r>
        <w:rPr>
          <w:rFonts w:ascii="Times New Roman" w:hAnsi="Times New Roman"/>
          <w:noProof/>
          <w:sz w:val="24"/>
          <w:szCs w:val="24"/>
        </w:rPr>
        <w:t>To this end, a</w:t>
      </w:r>
      <w:r>
        <w:rPr>
          <w:noProof/>
        </w:rPr>
        <w:t xml:space="preserve"> </w:t>
      </w:r>
      <w:r>
        <w:rPr>
          <w:rFonts w:ascii="Times New Roman" w:hAnsi="Times New Roman"/>
          <w:noProof/>
          <w:sz w:val="24"/>
          <w:szCs w:val="24"/>
        </w:rPr>
        <w:t>pan-European Venture Capital Fund-of-Funds of EUR 1.6 billion has been launched by the Commission in 2016 and will be operational during 2017.</w:t>
      </w:r>
      <w:r>
        <w:rPr>
          <w:rFonts w:ascii="Times New Roman" w:eastAsia="Calibri" w:hAnsi="Times New Roman" w:cs="Times New Roman"/>
          <w:noProof/>
          <w:sz w:val="24"/>
          <w:szCs w:val="24"/>
        </w:rPr>
        <w:t xml:space="preserve"> This approach could be expanded to provide stable funding in the scale up stage of development of projects or firms.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These new EU-level financial instruments and the loan, guarantee, and equity instruments managed by Member States under cohesion policy sh</w:t>
      </w:r>
      <w:r>
        <w:rPr>
          <w:rFonts w:ascii="Times New Roman" w:eastAsia="Calibri" w:hAnsi="Times New Roman" w:cs="Times New Roman"/>
          <w:noProof/>
          <w:sz w:val="24"/>
          <w:szCs w:val="24"/>
        </w:rPr>
        <w:t>ould be complementary. This complementarity between the different instruments should be ensured, through upstream coordination, same rules and clearer demarcation of interventions.</w:t>
      </w:r>
    </w:p>
    <w:p w:rsidR="001D2777" w:rsidRDefault="00767E0A">
      <w:pPr>
        <w:pStyle w:val="Heading3"/>
        <w:rPr>
          <w:noProof/>
        </w:rPr>
      </w:pPr>
      <w:r>
        <w:rPr>
          <w:noProof/>
        </w:rPr>
        <w:t>4.2.3</w:t>
      </w:r>
      <w:r>
        <w:rPr>
          <w:noProof/>
        </w:rPr>
        <w:tab/>
        <w:t xml:space="preserve">Simplification, focus on performance and efficient management of the </w:t>
      </w:r>
      <w:r>
        <w:rPr>
          <w:noProof/>
        </w:rPr>
        <w:t>EU budget</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Well-designed rules are essential to ensure that EU funds are spent properly and taxpayer money is protected. Excessive bureaucracy can get in the way of results and discourage citizens and companies from taking full advantage of the EU budget.</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Major steps have already been taken to simplify the EU budget but there is significant scope to go further by reducing the complexity of the rules. This is desirable in many areas of spending, in particular where the difficulty to comply with reporting and</w:t>
      </w:r>
      <w:r>
        <w:rPr>
          <w:rFonts w:ascii="Times New Roman" w:eastAsia="Calibri" w:hAnsi="Times New Roman" w:cs="Times New Roman"/>
          <w:noProof/>
          <w:sz w:val="24"/>
          <w:szCs w:val="24"/>
        </w:rPr>
        <w:t xml:space="preserve"> monitoring requirements leads to significant delays in project execution. The complexity of the rules leads to more errors and costs for final recipients and increases the risks of non-compliance. There is a clear need to merge programmes that pursue simi</w:t>
      </w:r>
      <w:r>
        <w:rPr>
          <w:rFonts w:ascii="Times New Roman" w:eastAsia="Calibri" w:hAnsi="Times New Roman" w:cs="Times New Roman"/>
          <w:noProof/>
          <w:sz w:val="24"/>
          <w:szCs w:val="24"/>
        </w:rPr>
        <w:t>lar objectives, for instance across the areas of energy efficiency or of citizenship. Likewise, in the area of external policies, it could be appropriate to reduce the number of instruments and at the same time increase their flexibility, removing any arti</w:t>
      </w:r>
      <w:r>
        <w:rPr>
          <w:rFonts w:ascii="Times New Roman" w:eastAsia="Calibri" w:hAnsi="Times New Roman" w:cs="Times New Roman"/>
          <w:noProof/>
          <w:sz w:val="24"/>
          <w:szCs w:val="24"/>
        </w:rPr>
        <w:t>ficial barriers between regional or thematic priorities.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One way forward may be a "single rule book" governing all processes and instruments or application of the same rules and conditions for the same type of project. This may help ensure radical simplifi</w:t>
      </w:r>
      <w:r>
        <w:rPr>
          <w:rFonts w:ascii="Times New Roman" w:eastAsia="Calibri" w:hAnsi="Times New Roman" w:cs="Times New Roman"/>
          <w:noProof/>
          <w:sz w:val="24"/>
          <w:szCs w:val="24"/>
        </w:rPr>
        <w:t>cation and cutting of red tape with higher visibility and promotion of better coherence across different EU investments. It may reduce the administrative burden for beneficiaries – they may not need to comply with different rules for the same types of inve</w:t>
      </w:r>
      <w:r>
        <w:rPr>
          <w:rFonts w:ascii="Times New Roman" w:eastAsia="Calibri" w:hAnsi="Times New Roman" w:cs="Times New Roman"/>
          <w:noProof/>
          <w:sz w:val="24"/>
          <w:szCs w:val="24"/>
        </w:rPr>
        <w:t xml:space="preserve">stments depending on the source of funding. What genuinely matters for those being supported is the simplicity of rules and not the funding source.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Along this line, implementation of the budget should focus on maximising the performance of every euro spen</w:t>
      </w:r>
      <w:r>
        <w:rPr>
          <w:rFonts w:ascii="Times New Roman" w:hAnsi="Times New Roman" w:cs="Times New Roman"/>
          <w:noProof/>
          <w:sz w:val="24"/>
          <w:szCs w:val="24"/>
        </w:rPr>
        <w:t>t in terms of economic growth and value added. Whereas significant progress has been made on this front, the current performance framework built by a multitude of different legal texts is complicated, making it more difficult to assess and communicate prog</w:t>
      </w:r>
      <w:r>
        <w:rPr>
          <w:rFonts w:ascii="Times New Roman" w:hAnsi="Times New Roman" w:cs="Times New Roman"/>
          <w:noProof/>
          <w:sz w:val="24"/>
          <w:szCs w:val="24"/>
        </w:rPr>
        <w:t>ress and achievements.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Moreover, t</w:t>
      </w:r>
      <w:r>
        <w:rPr>
          <w:rFonts w:ascii="Times New Roman" w:hAnsi="Times New Roman" w:cs="Times New Roman"/>
          <w:noProof/>
          <w:sz w:val="24"/>
          <w:szCs w:val="24"/>
        </w:rPr>
        <w:t>here is a need to restore trust between the different institutions, moving towards proportionate controls that depend on volumes but also on the reliability of institutions and the efficiency of management and control syst</w:t>
      </w:r>
      <w:r>
        <w:rPr>
          <w:rFonts w:ascii="Times New Roman" w:hAnsi="Times New Roman" w:cs="Times New Roman"/>
          <w:noProof/>
          <w:sz w:val="24"/>
          <w:szCs w:val="24"/>
        </w:rPr>
        <w:t xml:space="preserve">ems. </w:t>
      </w:r>
      <w:r>
        <w:rPr>
          <w:rFonts w:ascii="Times New Roman" w:eastAsia="Calibri" w:hAnsi="Times New Roman" w:cs="Times New Roman"/>
          <w:noProof/>
          <w:sz w:val="24"/>
          <w:szCs w:val="24"/>
        </w:rPr>
        <w:t>A clear move in this direction would also allow Member States (and the Commission too) to rationalise management systems and corresponding institutional arrangements – the multiplication of institutional systems specific to each fund is a luxury which</w:t>
      </w:r>
      <w:r>
        <w:rPr>
          <w:rFonts w:ascii="Times New Roman" w:eastAsia="Calibri" w:hAnsi="Times New Roman" w:cs="Times New Roman"/>
          <w:noProof/>
          <w:sz w:val="24"/>
          <w:szCs w:val="24"/>
        </w:rPr>
        <w:t xml:space="preserve"> may not be affordable. In Member States, in particular, substantial institutional efficiency gains and a reduction of administrative costs for programme management could be achieved. Making full use of the European Public Prosecutor's Office can contribut</w:t>
      </w:r>
      <w:r>
        <w:rPr>
          <w:rFonts w:ascii="Times New Roman" w:eastAsia="Calibri" w:hAnsi="Times New Roman" w:cs="Times New Roman"/>
          <w:noProof/>
          <w:sz w:val="24"/>
          <w:szCs w:val="24"/>
        </w:rPr>
        <w:t>e to the simplication and the efficiency of the protection of the EU budget.</w:t>
      </w:r>
    </w:p>
    <w:p w:rsidR="001D2777" w:rsidRDefault="00767E0A">
      <w:pPr>
        <w:pStyle w:val="Heading2"/>
        <w:keepNext/>
        <w:rPr>
          <w:noProof/>
        </w:rPr>
      </w:pPr>
      <w:r>
        <w:rPr>
          <w:noProof/>
        </w:rPr>
        <w:t>4.3</w:t>
      </w:r>
      <w:r>
        <w:rPr>
          <w:noProof/>
        </w:rPr>
        <w:tab/>
        <w:t>Revenues to support EU policies</w:t>
      </w:r>
    </w:p>
    <w:p w:rsidR="001D2777" w:rsidRDefault="00767E0A">
      <w:pPr>
        <w:keepNext/>
        <w:spacing w:after="240" w:line="240" w:lineRule="auto"/>
        <w:jc w:val="both"/>
        <w:rPr>
          <w:rFonts w:ascii="Times New Roman" w:eastAsia="Calibri" w:hAnsi="Times New Roman"/>
          <w:bCs/>
          <w:noProof/>
          <w:sz w:val="24"/>
          <w:szCs w:val="24"/>
        </w:rPr>
      </w:pPr>
      <w:r>
        <w:rPr>
          <w:rFonts w:ascii="Times New Roman" w:eastAsia="Calibri" w:hAnsi="Times New Roman"/>
          <w:bCs/>
          <w:noProof/>
          <w:sz w:val="24"/>
          <w:szCs w:val="24"/>
        </w:rPr>
        <w:t xml:space="preserve">There is a close link between decisions about what the EU budget is used for and choices about how the EU budget is funded. </w:t>
      </w:r>
    </w:p>
    <w:p w:rsidR="001D2777" w:rsidRDefault="00767E0A">
      <w:pPr>
        <w:spacing w:after="240" w:line="240" w:lineRule="auto"/>
        <w:jc w:val="both"/>
        <w:rPr>
          <w:rFonts w:ascii="Times New Roman" w:eastAsia="Calibri" w:hAnsi="Times New Roman" w:cs="Times New Roman"/>
          <w:noProof/>
          <w:sz w:val="24"/>
          <w:szCs w:val="28"/>
        </w:rPr>
      </w:pPr>
      <w:r>
        <w:rPr>
          <w:rFonts w:ascii="Times New Roman" w:eastAsia="Calibri" w:hAnsi="Times New Roman" w:cs="Times New Roman"/>
          <w:noProof/>
          <w:sz w:val="24"/>
          <w:szCs w:val="28"/>
        </w:rPr>
        <w:t xml:space="preserve">The reflection on </w:t>
      </w:r>
      <w:r>
        <w:rPr>
          <w:rFonts w:ascii="Times New Roman" w:eastAsia="Calibri" w:hAnsi="Times New Roman" w:cs="Times New Roman"/>
          <w:noProof/>
          <w:sz w:val="24"/>
          <w:szCs w:val="28"/>
        </w:rPr>
        <w:t>the reform of the expenditure side of the EU budget should therefore be accompanied by a critical assessment of how the budget is financed—the own resources system—and how this system can be reformed to be more efficient and provide stronger support for po</w:t>
      </w:r>
      <w:r>
        <w:rPr>
          <w:rFonts w:ascii="Times New Roman" w:eastAsia="Calibri" w:hAnsi="Times New Roman" w:cs="Times New Roman"/>
          <w:noProof/>
          <w:sz w:val="24"/>
          <w:szCs w:val="28"/>
        </w:rPr>
        <w:t>licies. The current approach to financing is over-complicated, opaque and riddled with complex correction mechanisms. In the future, the system should be simple, fair and transparent.</w:t>
      </w:r>
    </w:p>
    <w:p w:rsidR="001D2777" w:rsidRDefault="00767E0A">
      <w:pPr>
        <w:spacing w:after="240" w:line="240" w:lineRule="auto"/>
        <w:jc w:val="both"/>
        <w:rPr>
          <w:rFonts w:ascii="Times New Roman" w:eastAsia="Calibri" w:hAnsi="Times New Roman" w:cs="Times New Roman"/>
          <w:noProof/>
          <w:sz w:val="24"/>
          <w:szCs w:val="28"/>
        </w:rPr>
      </w:pPr>
      <w:r>
        <w:rPr>
          <w:rFonts w:ascii="Times New Roman" w:eastAsia="Calibri" w:hAnsi="Times New Roman" w:cs="Times New Roman"/>
          <w:noProof/>
          <w:sz w:val="24"/>
          <w:szCs w:val="28"/>
        </w:rPr>
        <w:t xml:space="preserve">The long-standing debate about the revenues financing the EU budget has </w:t>
      </w:r>
      <w:r>
        <w:rPr>
          <w:rFonts w:ascii="Times New Roman" w:eastAsia="Calibri" w:hAnsi="Times New Roman" w:cs="Times New Roman"/>
          <w:noProof/>
          <w:sz w:val="24"/>
          <w:szCs w:val="28"/>
        </w:rPr>
        <w:t>centred on linking own resources more visibly to key EU policies, in particular the Single Market and sustainable growth, and on simplifying the system. In an ideal world, the EU’s own resources would, at the same time, arise from a key EU policy with a vi</w:t>
      </w:r>
      <w:r>
        <w:rPr>
          <w:rFonts w:ascii="Times New Roman" w:eastAsia="Calibri" w:hAnsi="Times New Roman" w:cs="Times New Roman"/>
          <w:noProof/>
          <w:sz w:val="24"/>
          <w:szCs w:val="28"/>
        </w:rPr>
        <w:t xml:space="preserve">sible EU value added, be seen as equitable and finance a stable and significant share of the EU budget. The traditional own resource of customs duties can be seen as such a good example. </w:t>
      </w:r>
    </w:p>
    <w:p w:rsidR="001D2777" w:rsidRDefault="00767E0A">
      <w:pPr>
        <w:spacing w:after="240" w:line="240" w:lineRule="auto"/>
        <w:jc w:val="both"/>
        <w:rPr>
          <w:rFonts w:ascii="Times New Roman" w:eastAsia="Calibri" w:hAnsi="Times New Roman" w:cs="Times New Roman"/>
          <w:noProof/>
          <w:sz w:val="24"/>
          <w:szCs w:val="28"/>
        </w:rPr>
      </w:pPr>
      <w:r>
        <w:rPr>
          <w:rFonts w:ascii="Times New Roman" w:eastAsia="Calibri" w:hAnsi="Times New Roman" w:cs="Times New Roman"/>
          <w:noProof/>
          <w:sz w:val="24"/>
          <w:szCs w:val="28"/>
        </w:rPr>
        <w:t>There are many possible sources of revenue which can be used to fina</w:t>
      </w:r>
      <w:r>
        <w:rPr>
          <w:rFonts w:ascii="Times New Roman" w:eastAsia="Calibri" w:hAnsi="Times New Roman" w:cs="Times New Roman"/>
          <w:noProof/>
          <w:sz w:val="24"/>
          <w:szCs w:val="28"/>
        </w:rPr>
        <w:t>nce the EU budget (Chart 15 lists the ones most frequently referred to), although none could by itself fit all the criteria identified as necessary for an own resource: Some can bring in stable and significant revenues and lead to real reshaping of the rev</w:t>
      </w:r>
      <w:r>
        <w:rPr>
          <w:rFonts w:ascii="Times New Roman" w:eastAsia="Calibri" w:hAnsi="Times New Roman" w:cs="Times New Roman"/>
          <w:noProof/>
          <w:sz w:val="24"/>
          <w:szCs w:val="28"/>
        </w:rPr>
        <w:t>enue side. Others would bring in more modest revenues, but could be more politically relevant or acceptable, in particular when they would accompany priority policy objectives such as the decarbonisation of the European economy, the deepening of the single</w:t>
      </w:r>
      <w:r>
        <w:rPr>
          <w:rFonts w:ascii="Times New Roman" w:eastAsia="Calibri" w:hAnsi="Times New Roman" w:cs="Times New Roman"/>
          <w:noProof/>
          <w:sz w:val="24"/>
          <w:szCs w:val="28"/>
        </w:rPr>
        <w:t xml:space="preserve"> market and of Economic and Monetary Union or the financing of new priorities. </w:t>
      </w:r>
    </w:p>
    <w:p w:rsidR="001D2777" w:rsidRDefault="00767E0A">
      <w:pPr>
        <w:spacing w:after="240" w:line="240" w:lineRule="auto"/>
        <w:jc w:val="both"/>
        <w:rPr>
          <w:rFonts w:ascii="Times New Roman" w:eastAsia="Calibri" w:hAnsi="Times New Roman" w:cs="Times New Roman"/>
          <w:noProof/>
          <w:sz w:val="24"/>
          <w:szCs w:val="28"/>
        </w:rPr>
      </w:pPr>
      <w:r>
        <w:rPr>
          <w:rFonts w:ascii="Times New Roman" w:eastAsia="Calibri" w:hAnsi="Times New Roman" w:cs="Times New Roman"/>
          <w:noProof/>
          <w:sz w:val="24"/>
          <w:szCs w:val="28"/>
        </w:rPr>
        <w:t>Ultimately, the best choice will depend on the main objectives of the future reform, and if there is a targeted volume of the EU budget which should be financed from new own re</w:t>
      </w:r>
      <w:r>
        <w:rPr>
          <w:rFonts w:ascii="Times New Roman" w:eastAsia="Calibri" w:hAnsi="Times New Roman" w:cs="Times New Roman"/>
          <w:noProof/>
          <w:sz w:val="24"/>
          <w:szCs w:val="28"/>
        </w:rPr>
        <w:t xml:space="preserve">sources. </w:t>
      </w:r>
    </w:p>
    <w:p w:rsidR="001D2777" w:rsidRDefault="001D2777">
      <w:pPr>
        <w:spacing w:after="240" w:line="240" w:lineRule="auto"/>
        <w:jc w:val="both"/>
        <w:rPr>
          <w:rFonts w:ascii="Times New Roman" w:eastAsia="Calibri" w:hAnsi="Times New Roman" w:cs="Times New Roman"/>
          <w:noProof/>
          <w:sz w:val="24"/>
          <w:szCs w:val="28"/>
        </w:rPr>
      </w:pPr>
    </w:p>
    <w:p w:rsidR="001D2777" w:rsidRDefault="00767E0A">
      <w:pPr>
        <w:keepNext/>
        <w:spacing w:after="240" w:line="240" w:lineRule="auto"/>
        <w:jc w:val="both"/>
        <w:rPr>
          <w:rFonts w:eastAsia="Calibri"/>
          <w:noProof/>
          <w:szCs w:val="28"/>
          <w:u w:val="single"/>
        </w:rPr>
      </w:pPr>
      <w:r>
        <w:rPr>
          <w:rFonts w:eastAsia="Calibri"/>
          <w:b/>
          <w:bCs/>
          <w:noProof/>
          <w:szCs w:val="28"/>
          <w:u w:val="single"/>
        </w:rPr>
        <w:t>Revenue sources — a range of options</w:t>
      </w:r>
    </w:p>
    <w:p w:rsidR="001D2777" w:rsidRDefault="00767E0A">
      <w:pPr>
        <w:spacing w:after="240" w:line="240" w:lineRule="auto"/>
        <w:jc w:val="both"/>
        <w:rPr>
          <w:rFonts w:asciiTheme="majorHAnsi" w:eastAsia="EC Square Sans Pro" w:hAnsiTheme="majorHAnsi" w:cs="Times New Roman"/>
          <w:b/>
          <w:bCs/>
          <w:noProof/>
          <w:color w:val="365F91" w:themeColor="accent1" w:themeShade="BF"/>
          <w:sz w:val="24"/>
          <w:szCs w:val="28"/>
          <w:lang w:eastAsia="en-GB"/>
        </w:rPr>
      </w:pPr>
      <w:r>
        <w:rPr>
          <w:rFonts w:asciiTheme="majorHAnsi" w:eastAsia="EC Square Sans Pro" w:hAnsiTheme="majorHAnsi" w:cs="Times New Roman"/>
          <w:b/>
          <w:bCs/>
          <w:noProof/>
          <w:color w:val="365F91" w:themeColor="accent1" w:themeShade="BF"/>
          <w:sz w:val="24"/>
          <w:szCs w:val="28"/>
          <w:lang w:eastAsia="en-GB"/>
        </w:rPr>
        <w:drawing>
          <wp:inline distT="0" distB="0" distL="0" distR="0">
            <wp:extent cx="6120765" cy="16522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1652270"/>
                    </a:xfrm>
                    <a:prstGeom prst="rect">
                      <a:avLst/>
                    </a:prstGeom>
                    <a:noFill/>
                  </pic:spPr>
                </pic:pic>
              </a:graphicData>
            </a:graphic>
          </wp:inline>
        </w:drawing>
      </w:r>
    </w:p>
    <w:p w:rsidR="001D2777" w:rsidRDefault="00767E0A">
      <w:pPr>
        <w:spacing w:after="240" w:line="240" w:lineRule="auto"/>
        <w:jc w:val="both"/>
        <w:rPr>
          <w:rFonts w:ascii="Times New Roman" w:eastAsia="Calibri" w:hAnsi="Times New Roman" w:cs="Times New Roman"/>
          <w:noProof/>
          <w:sz w:val="24"/>
          <w:szCs w:val="28"/>
        </w:rPr>
      </w:pPr>
      <w:r>
        <w:rPr>
          <w:rFonts w:ascii="Times New Roman" w:eastAsia="Calibri" w:hAnsi="Times New Roman" w:cs="Times New Roman"/>
          <w:noProof/>
          <w:sz w:val="24"/>
          <w:szCs w:val="28"/>
        </w:rPr>
        <w:t xml:space="preserve">Contrary to what is often stated, new own resources would not necessarily increase the size of the EU budget. Decisions related to the expenditure level are made in the context of the multiannual financial </w:t>
      </w:r>
      <w:r>
        <w:rPr>
          <w:rFonts w:ascii="Times New Roman" w:eastAsia="Calibri" w:hAnsi="Times New Roman" w:cs="Times New Roman"/>
          <w:noProof/>
          <w:sz w:val="24"/>
          <w:szCs w:val="28"/>
        </w:rPr>
        <w:t xml:space="preserve">framework, and the decision on whether or not to increase current spending levels will have to be taken depending on the outcome of the present reflection process. At unchanged spending levels, new own resources would automatically reduce the share of the </w:t>
      </w:r>
      <w:r>
        <w:rPr>
          <w:rFonts w:ascii="Times New Roman" w:eastAsia="Calibri" w:hAnsi="Times New Roman" w:cs="Times New Roman"/>
          <w:noProof/>
          <w:sz w:val="24"/>
          <w:szCs w:val="28"/>
        </w:rPr>
        <w:t>GNI-based own resource, which acts as a residual and makes up any gap to cover EU expenditure, depending on the evolution of other own resources. The recent report by the high-level group on own resources jointly set up by the European Parliament, the Coun</w:t>
      </w:r>
      <w:r>
        <w:rPr>
          <w:rFonts w:ascii="Times New Roman" w:eastAsia="Calibri" w:hAnsi="Times New Roman" w:cs="Times New Roman"/>
          <w:noProof/>
          <w:sz w:val="24"/>
          <w:szCs w:val="28"/>
        </w:rPr>
        <w:t>cil and the Commission and chaired by Mario Monti</w:t>
      </w:r>
      <w:r>
        <w:rPr>
          <w:rStyle w:val="FootnoteReference"/>
          <w:rFonts w:ascii="Times New Roman" w:eastAsia="Calibri" w:hAnsi="Times New Roman" w:cs="Times New Roman"/>
          <w:noProof/>
          <w:sz w:val="24"/>
          <w:szCs w:val="28"/>
        </w:rPr>
        <w:footnoteReference w:id="8"/>
      </w:r>
      <w:r>
        <w:rPr>
          <w:rFonts w:ascii="Times New Roman" w:eastAsia="Calibri" w:hAnsi="Times New Roman" w:cs="Times New Roman"/>
          <w:noProof/>
          <w:sz w:val="24"/>
          <w:szCs w:val="28"/>
        </w:rPr>
        <w:t xml:space="preserve"> has provided a comprehensive analysis of these issues and assessed a number of possible sources of revenue in relation with the most relevant criteria (e.g. equity, efficiency, stability, transparency, foc</w:t>
      </w:r>
      <w:r>
        <w:rPr>
          <w:rFonts w:ascii="Times New Roman" w:eastAsia="Calibri" w:hAnsi="Times New Roman" w:cs="Times New Roman"/>
          <w:noProof/>
          <w:sz w:val="24"/>
          <w:szCs w:val="28"/>
        </w:rPr>
        <w:t>us on European value added, democratic accountability). Progress in tax co-ordination, particularly in the area of corporate taxation and the taxation of financial transactions would facilitate some forms of own resources. Based on the ongoing debate, a nu</w:t>
      </w:r>
      <w:r>
        <w:rPr>
          <w:rFonts w:ascii="Times New Roman" w:eastAsia="Calibri" w:hAnsi="Times New Roman" w:cs="Times New Roman"/>
          <w:noProof/>
          <w:sz w:val="24"/>
          <w:szCs w:val="28"/>
        </w:rPr>
        <w:t>mber of avenues of reform of the current system could be considered.</w:t>
      </w:r>
    </w:p>
    <w:p w:rsidR="001D2777" w:rsidRDefault="00767E0A">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jc w:val="both"/>
        <w:rPr>
          <w:rFonts w:ascii="Times New Roman" w:eastAsia="Calibri" w:hAnsi="Times New Roman" w:cs="Times New Roman"/>
          <w:i/>
          <w:noProof/>
          <w:sz w:val="24"/>
          <w:szCs w:val="28"/>
        </w:rPr>
      </w:pPr>
      <w:r>
        <w:rPr>
          <w:rFonts w:ascii="Times New Roman" w:eastAsia="Calibri" w:hAnsi="Times New Roman" w:cs="Times New Roman"/>
          <w:i/>
          <w:noProof/>
          <w:sz w:val="24"/>
          <w:szCs w:val="28"/>
        </w:rPr>
        <w:t>Box 5 – Options for an "own resources" system</w:t>
      </w:r>
    </w:p>
    <w:p w:rsidR="001D2777" w:rsidRDefault="00767E0A">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eastAsia="Calibri" w:hAnsi="Times New Roman" w:cs="Times New Roman"/>
          <w:noProof/>
          <w:sz w:val="24"/>
          <w:szCs w:val="28"/>
        </w:rPr>
        <w:t xml:space="preserve">- The current VAT-based own resource could be reformed and simplified. </w:t>
      </w:r>
      <w:r>
        <w:rPr>
          <w:rFonts w:ascii="Times New Roman" w:eastAsia="Calibri" w:hAnsi="Times New Roman" w:cs="Times New Roman"/>
          <w:noProof/>
          <w:sz w:val="24"/>
          <w:szCs w:val="24"/>
        </w:rPr>
        <w:t xml:space="preserve">An extreme option would be to abolish it altogether. </w:t>
      </w:r>
    </w:p>
    <w:p w:rsidR="001D2777" w:rsidRDefault="00767E0A">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With the </w:t>
      </w:r>
      <w:r>
        <w:rPr>
          <w:rFonts w:ascii="Times New Roman" w:eastAsia="Calibri" w:hAnsi="Times New Roman" w:cs="Times New Roman"/>
          <w:noProof/>
          <w:sz w:val="24"/>
          <w:szCs w:val="24"/>
        </w:rPr>
        <w:t>departure of the United Kingdom, the rebate that was introduced as a concession to that country in the past will become obsolete. The same is true for the rebates on the UK rebate. The other rebates will expire at the end of 2020. The elimination of rebate</w:t>
      </w:r>
      <w:r>
        <w:rPr>
          <w:rFonts w:ascii="Times New Roman" w:eastAsia="Calibri" w:hAnsi="Times New Roman" w:cs="Times New Roman"/>
          <w:noProof/>
          <w:sz w:val="24"/>
          <w:szCs w:val="24"/>
        </w:rPr>
        <w:t>s would open the door to substantial simplification of the revenue system. Ideally, in-depth reform of EU policies focusing on the highest value added should make any rebate unnecessary</w:t>
      </w:r>
    </w:p>
    <w:p w:rsidR="001D2777" w:rsidRDefault="00767E0A">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Any new own resource should be conceived not only to finance part of the EU budget, but also to accompany its core policies. As an example, common energy or environmental taxes could be applied to ensure a level playing field between companies and contr</w:t>
      </w:r>
      <w:r>
        <w:rPr>
          <w:rFonts w:ascii="Times New Roman" w:eastAsia="Calibri" w:hAnsi="Times New Roman" w:cs="Times New Roman"/>
          <w:noProof/>
          <w:sz w:val="24"/>
          <w:szCs w:val="24"/>
        </w:rPr>
        <w:t xml:space="preserve">ibute to the global fight against climate change. </w:t>
      </w:r>
    </w:p>
    <w:p w:rsidR="001D2777" w:rsidRDefault="00767E0A">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In a similar manner, a percentage of the common corporate tax base or the financial transaction tax could be designed to reinforce the single market, mirror the benefits of the internal market for the l</w:t>
      </w:r>
      <w:r>
        <w:rPr>
          <w:rFonts w:ascii="Times New Roman" w:eastAsia="Calibri" w:hAnsi="Times New Roman" w:cs="Times New Roman"/>
          <w:noProof/>
          <w:sz w:val="24"/>
          <w:szCs w:val="24"/>
        </w:rPr>
        <w:t xml:space="preserve">argest companies and strengthen the fight against tax fraud and tax evasion. </w:t>
      </w:r>
    </w:p>
    <w:p w:rsidR="001D2777" w:rsidRDefault="00767E0A">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w:t>
      </w:r>
      <w:r>
        <w:rPr>
          <w:rFonts w:ascii="Times New Roman" w:eastAsia="Calibri" w:hAnsi="Times New Roman" w:cs="Times New Roman"/>
          <w:noProof/>
          <w:sz w:val="24"/>
          <w:szCs w:val="24"/>
        </w:rPr>
        <w:tab/>
        <w:t xml:space="preserve">With the future deepening of Economic and Monetary Union, revenues from seignorage – the revenues arising from issuing currency – could in the longer term become the basis for </w:t>
      </w:r>
      <w:r>
        <w:rPr>
          <w:rFonts w:ascii="Times New Roman" w:eastAsia="Calibri" w:hAnsi="Times New Roman" w:cs="Times New Roman"/>
          <w:noProof/>
          <w:sz w:val="24"/>
          <w:szCs w:val="24"/>
        </w:rPr>
        <w:t>an EU own resource.</w:t>
      </w:r>
    </w:p>
    <w:p w:rsidR="001D2777" w:rsidRDefault="00767E0A">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tab/>
        <w:t>Money generated directly by EU policies and competences could be considered as revenues for the EU budget, such as, in the long term, revenues from auctions under the Emissions Trading System, emission premia for cars, also in the l</w:t>
      </w:r>
      <w:r>
        <w:rPr>
          <w:rFonts w:ascii="Times New Roman" w:eastAsia="Calibri" w:hAnsi="Times New Roman" w:cs="Times New Roman"/>
          <w:noProof/>
          <w:sz w:val="24"/>
          <w:szCs w:val="24"/>
        </w:rPr>
        <w:t xml:space="preserve">onger term the future European Travel Information and Authorisation System to be paid by persons entering the EU border, or any similar fees. </w:t>
      </w:r>
    </w:p>
    <w:p w:rsidR="001D2777" w:rsidRDefault="00767E0A">
      <w:pPr>
        <w:pBdr>
          <w:top w:val="single" w:sz="4" w:space="1" w:color="auto"/>
          <w:left w:val="single" w:sz="4" w:space="4" w:color="auto"/>
          <w:bottom w:val="single" w:sz="4" w:space="1" w:color="auto"/>
          <w:right w:val="single" w:sz="4" w:space="4" w:color="auto"/>
        </w:pBdr>
        <w:shd w:val="clear" w:color="auto" w:fill="D9D9D9" w:themeFill="background1" w:themeFillShade="D9"/>
        <w:spacing w:after="240" w:line="240" w:lineRule="auto"/>
        <w:ind w:left="284" w:hanging="284"/>
        <w:jc w:val="both"/>
        <w:rPr>
          <w:rFonts w:ascii="Times New Roman" w:eastAsia="Calibri" w:hAnsi="Times New Roman" w:cs="Times New Roman"/>
          <w:noProof/>
          <w:sz w:val="24"/>
          <w:szCs w:val="24"/>
        </w:rPr>
      </w:pPr>
      <w:r>
        <w:rPr>
          <w:rFonts w:ascii="Times New Roman" w:hAnsi="Times New Roman" w:cs="Times New Roman"/>
          <w:noProof/>
          <w:sz w:val="24"/>
          <w:szCs w:val="24"/>
        </w:rPr>
        <w:t>-</w:t>
      </w:r>
      <w:r>
        <w:rPr>
          <w:rFonts w:ascii="Times New Roman" w:hAnsi="Times New Roman" w:cs="Times New Roman"/>
          <w:noProof/>
          <w:sz w:val="24"/>
          <w:szCs w:val="24"/>
        </w:rPr>
        <w:tab/>
        <w:t>In introducing own resources, attention should be paid to their transparency, simplicity, stability, their cons</w:t>
      </w:r>
      <w:r>
        <w:rPr>
          <w:rFonts w:ascii="Times New Roman" w:hAnsi="Times New Roman" w:cs="Times New Roman"/>
          <w:noProof/>
          <w:sz w:val="24"/>
          <w:szCs w:val="24"/>
        </w:rPr>
        <w:t>istency with Union policy objectives, their impact on competitiveness and sustainable growth and their equitable breakdown among Member States.</w:t>
      </w:r>
      <w:r>
        <w:rPr>
          <w:rFonts w:ascii="Times New Roman" w:eastAsia="Calibri" w:hAnsi="Times New Roman" w:cs="Times New Roman"/>
          <w:noProof/>
          <w:sz w:val="24"/>
          <w:szCs w:val="24"/>
        </w:rPr>
        <w:t xml:space="preserve"> </w:t>
      </w:r>
    </w:p>
    <w:p w:rsidR="001D2777" w:rsidRDefault="00767E0A">
      <w:pPr>
        <w:spacing w:after="240" w:line="240" w:lineRule="auto"/>
        <w:jc w:val="both"/>
        <w:rPr>
          <w:rFonts w:ascii="Times New Roman" w:hAnsi="Times New Roman" w:cs="Times New Roman"/>
          <w:noProof/>
          <w:sz w:val="20"/>
          <w:szCs w:val="24"/>
          <w:u w:val="single"/>
        </w:rPr>
      </w:pPr>
      <w:r>
        <w:rPr>
          <w:rFonts w:ascii="Times New Roman" w:hAnsi="Times New Roman" w:cs="Times New Roman"/>
          <w:noProof/>
          <w:sz w:val="20"/>
          <w:szCs w:val="24"/>
          <w:u w:val="single"/>
        </w:rPr>
        <w:t>Source: European Commission</w:t>
      </w:r>
    </w:p>
    <w:p w:rsidR="001D2777" w:rsidRDefault="001D2777">
      <w:pPr>
        <w:widowControl w:val="0"/>
        <w:spacing w:before="46" w:after="0" w:line="240" w:lineRule="auto"/>
        <w:outlineLvl w:val="1"/>
        <w:rPr>
          <w:rFonts w:asciiTheme="majorHAnsi" w:eastAsia="EC Square Sans Pro" w:hAnsiTheme="majorHAnsi" w:cs="Times New Roman"/>
          <w:b/>
          <w:bCs/>
          <w:noProof/>
          <w:color w:val="365F91" w:themeColor="accent1" w:themeShade="BF"/>
          <w:sz w:val="24"/>
          <w:szCs w:val="28"/>
          <w:lang w:eastAsia="en-GB"/>
        </w:rPr>
      </w:pPr>
    </w:p>
    <w:p w:rsidR="001D2777" w:rsidRDefault="00767E0A">
      <w:pPr>
        <w:widowControl w:val="0"/>
        <w:spacing w:before="46" w:after="0" w:line="240" w:lineRule="auto"/>
        <w:outlineLvl w:val="1"/>
        <w:rPr>
          <w:rFonts w:asciiTheme="majorHAnsi" w:eastAsia="EC Square Sans Pro" w:hAnsiTheme="majorHAnsi" w:cs="Times New Roman"/>
          <w:b/>
          <w:bCs/>
          <w:noProof/>
          <w:color w:val="365F91" w:themeColor="accent1" w:themeShade="BF"/>
          <w:sz w:val="24"/>
          <w:szCs w:val="28"/>
          <w:lang w:eastAsia="en-GB"/>
        </w:rPr>
      </w:pPr>
      <w:r>
        <w:rPr>
          <w:rFonts w:asciiTheme="majorHAnsi" w:eastAsia="EC Square Sans Pro" w:hAnsiTheme="majorHAnsi" w:cs="Times New Roman"/>
          <w:b/>
          <w:bCs/>
          <w:noProof/>
          <w:color w:val="365F91" w:themeColor="accent1" w:themeShade="BF"/>
          <w:sz w:val="24"/>
          <w:szCs w:val="28"/>
          <w:lang w:eastAsia="en-GB"/>
        </w:rPr>
        <w:t>4.4</w:t>
      </w:r>
      <w:r>
        <w:rPr>
          <w:rFonts w:asciiTheme="majorHAnsi" w:eastAsia="EC Square Sans Pro" w:hAnsiTheme="majorHAnsi" w:cs="Times New Roman"/>
          <w:b/>
          <w:bCs/>
          <w:noProof/>
          <w:color w:val="365F91" w:themeColor="accent1" w:themeShade="BF"/>
          <w:sz w:val="24"/>
          <w:szCs w:val="28"/>
          <w:lang w:eastAsia="en-GB"/>
        </w:rPr>
        <w:tab/>
        <w:t>The way forward</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options for the future EU finances that have been set out </w:t>
      </w:r>
      <w:r>
        <w:rPr>
          <w:rFonts w:ascii="Times New Roman" w:eastAsia="Calibri" w:hAnsi="Times New Roman" w:cs="Times New Roman"/>
          <w:noProof/>
          <w:sz w:val="24"/>
          <w:szCs w:val="24"/>
        </w:rPr>
        <w:t xml:space="preserve">in this section are both varied and of different nature.  They concern what the EU budget should be spent on; how the budget should be financed; how some key policies should be reformed; and how the budget itself should be structured and organised.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All o</w:t>
      </w:r>
      <w:r>
        <w:rPr>
          <w:rFonts w:ascii="Times New Roman" w:eastAsia="Calibri" w:hAnsi="Times New Roman" w:cs="Times New Roman"/>
          <w:noProof/>
          <w:sz w:val="24"/>
          <w:szCs w:val="24"/>
        </w:rPr>
        <w:t xml:space="preserve">f these interlocking aspects need to be considered together when looking at the possible scenarios for the future EU budget.  This is set out in the next section. </w:t>
      </w:r>
    </w:p>
    <w:p w:rsidR="001D2777" w:rsidRDefault="00767E0A">
      <w:pPr>
        <w:rPr>
          <w:rFonts w:ascii="Times New Roman" w:eastAsia="Calibri" w:hAnsi="Times New Roman"/>
          <w:noProof/>
          <w:sz w:val="24"/>
        </w:rPr>
      </w:pPr>
      <w:r>
        <w:rPr>
          <w:rFonts w:ascii="Times New Roman" w:eastAsia="Calibri" w:hAnsi="Times New Roman"/>
          <w:noProof/>
          <w:sz w:val="24"/>
        </w:rPr>
        <w:br w:type="page"/>
      </w:r>
    </w:p>
    <w:p w:rsidR="001D2777" w:rsidRDefault="001D2777">
      <w:pPr>
        <w:rPr>
          <w:rFonts w:ascii="Times New Roman" w:eastAsia="Calibri" w:hAnsi="Times New Roman" w:cstheme="majorBidi"/>
          <w:b/>
          <w:bCs/>
          <w:noProof/>
          <w:color w:val="365F91" w:themeColor="accent1" w:themeShade="BF"/>
          <w:sz w:val="24"/>
          <w:szCs w:val="28"/>
          <w:lang w:eastAsia="en-GB"/>
        </w:rPr>
      </w:pPr>
    </w:p>
    <w:p w:rsidR="001D2777" w:rsidRDefault="00767E0A">
      <w:pPr>
        <w:pStyle w:val="Heading1"/>
        <w:spacing w:before="120" w:after="240"/>
        <w:ind w:left="709" w:hanging="709"/>
        <w:rPr>
          <w:noProof/>
        </w:rPr>
      </w:pPr>
      <w:r>
        <w:rPr>
          <w:noProof/>
        </w:rPr>
        <w:t xml:space="preserve">5. </w:t>
      </w:r>
      <w:r>
        <w:rPr>
          <w:noProof/>
        </w:rPr>
        <w:tab/>
        <w:t xml:space="preserve">POSSIBLE SCENARIOS FOR THE EU 27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White Paper presents five illustrative scenarios with different implications for the EU finances in terms of budget size, structure and degree of change/modernisation. Combinations are possible and different design elements are compatible, as the optio</w:t>
      </w:r>
      <w:r>
        <w:rPr>
          <w:rFonts w:ascii="Times New Roman" w:eastAsia="Calibri" w:hAnsi="Times New Roman" w:cs="Times New Roman"/>
          <w:noProof/>
          <w:sz w:val="24"/>
          <w:szCs w:val="24"/>
        </w:rPr>
        <w:t xml:space="preserve">ns and scenarios are neither completely distinct nor mutually exclusive.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Some horizontal issues are valid for all scenarios:</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The first one is ensuring that EU money is spent in the most efficient way: expenditure should focus on programmes with proven EU </w:t>
      </w:r>
      <w:r>
        <w:rPr>
          <w:rFonts w:ascii="Times New Roman" w:eastAsia="Calibri" w:hAnsi="Times New Roman" w:cs="Times New Roman"/>
          <w:noProof/>
          <w:sz w:val="24"/>
          <w:szCs w:val="24"/>
        </w:rPr>
        <w:t xml:space="preserve">value added designed to deliver results with the minimum costs. Performance should be at the centre of the next generation of programmes.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Secondly, in order to respond to the unanimous call from Member States and beneficiaries of EU funding, </w:t>
      </w:r>
      <w:r>
        <w:rPr>
          <w:rFonts w:ascii="Times New Roman" w:eastAsia="Calibri" w:hAnsi="Times New Roman" w:cs="Times New Roman"/>
          <w:noProof/>
          <w:sz w:val="24"/>
          <w:szCs w:val="24"/>
        </w:rPr>
        <w:t>simplification is the other common driver for modernising the EU budget in all scenarios. Overall coherence and complementarity between the different programmes and instruments should be ensured and overlaps should be prevented already at the design stage.</w:t>
      </w:r>
      <w:r>
        <w:rPr>
          <w:rFonts w:ascii="Times New Roman" w:eastAsia="Calibri" w:hAnsi="Times New Roman" w:cs="Times New Roman"/>
          <w:noProof/>
          <w:sz w:val="24"/>
          <w:szCs w:val="24"/>
        </w:rPr>
        <w:t xml:space="preserve"> To simplify implementation, the same rules should apply for the same type of interventions to the extent possible with a view to moving towards a single rule book.</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The ongoing processes to modernise existing programmes and policies would continue, for ins</w:t>
      </w:r>
      <w:r>
        <w:rPr>
          <w:rFonts w:ascii="Times New Roman" w:eastAsia="Calibri" w:hAnsi="Times New Roman" w:cs="Times New Roman"/>
          <w:noProof/>
          <w:sz w:val="24"/>
          <w:szCs w:val="24"/>
        </w:rPr>
        <w:t>tance, for the common agricultural policy, cohesion policy, the research programme and others. Weaker-performing programmes could be  discontinued or integrated elsewhere.</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Third, all scenarios require factoring in flexibility to respond to major unexpected</w:t>
      </w:r>
      <w:r>
        <w:rPr>
          <w:rFonts w:ascii="Times New Roman" w:eastAsia="Calibri" w:hAnsi="Times New Roman" w:cs="Times New Roman"/>
          <w:noProof/>
          <w:sz w:val="24"/>
          <w:szCs w:val="24"/>
        </w:rPr>
        <w:t xml:space="preserve"> developments and unforeseen needs. Special instruments in the EU budget proved crucial for dealing with the migration and security challenges in the current MFF. They may need to be streamlined and strengthened to provide more inbuilt flexibility within s</w:t>
      </w:r>
      <w:r>
        <w:rPr>
          <w:rFonts w:ascii="Times New Roman" w:eastAsia="Calibri" w:hAnsi="Times New Roman" w:cs="Times New Roman"/>
          <w:noProof/>
          <w:sz w:val="24"/>
          <w:szCs w:val="24"/>
        </w:rPr>
        <w:t xml:space="preserve">pending programmes.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Finally, rebates on contributions of Member States should be abolished in all scenarios. Likewise reporting on net balances would be dropped or the methodology significantly improved to better reflect reality and national treatment of</w:t>
      </w:r>
      <w:r>
        <w:rPr>
          <w:rFonts w:ascii="Times New Roman" w:eastAsia="Calibri" w:hAnsi="Times New Roman" w:cs="Times New Roman"/>
          <w:noProof/>
          <w:sz w:val="24"/>
          <w:szCs w:val="24"/>
        </w:rPr>
        <w:t xml:space="preserve"> contributions to the EU budget would be aligned. </w:t>
      </w:r>
    </w:p>
    <w:p w:rsidR="001D2777" w:rsidRDefault="00767E0A">
      <w:pPr>
        <w:spacing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noProof/>
          <w:sz w:val="24"/>
          <w:szCs w:val="24"/>
        </w:rPr>
        <w:t xml:space="preserve">In this logic, there are five basic options for the future of the EU finances: </w:t>
      </w:r>
    </w:p>
    <w:p w:rsidR="001D2777" w:rsidRDefault="00767E0A">
      <w:pPr>
        <w:numPr>
          <w:ilvl w:val="0"/>
          <w:numId w:val="6"/>
        </w:numPr>
        <w:spacing w:after="0"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Carrying on</w:t>
      </w:r>
      <w:r>
        <w:rPr>
          <w:rFonts w:ascii="Times New Roman" w:eastAsia="Calibri" w:hAnsi="Times New Roman" w:cs="Times New Roman"/>
          <w:noProof/>
          <w:sz w:val="24"/>
          <w:szCs w:val="24"/>
        </w:rPr>
        <w:t>: the EU27 continues on delivering its positive reform agenda;</w:t>
      </w:r>
    </w:p>
    <w:p w:rsidR="001D2777" w:rsidRDefault="00767E0A">
      <w:pPr>
        <w:numPr>
          <w:ilvl w:val="0"/>
          <w:numId w:val="6"/>
        </w:numPr>
        <w:spacing w:after="0" w:line="240" w:lineRule="auto"/>
        <w:contextualSpacing/>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Doing less together:</w:t>
      </w:r>
      <w:r>
        <w:rPr>
          <w:rFonts w:ascii="Times New Roman" w:eastAsia="Calibri" w:hAnsi="Times New Roman" w:cs="Times New Roman"/>
          <w:noProof/>
          <w:sz w:val="24"/>
          <w:szCs w:val="24"/>
        </w:rPr>
        <w:t xml:space="preserve"> the EU27 is doing less togethe</w:t>
      </w:r>
      <w:r>
        <w:rPr>
          <w:rFonts w:ascii="Times New Roman" w:eastAsia="Calibri" w:hAnsi="Times New Roman" w:cs="Times New Roman"/>
          <w:noProof/>
          <w:sz w:val="24"/>
          <w:szCs w:val="24"/>
        </w:rPr>
        <w:t>r in all policy areas;</w:t>
      </w:r>
    </w:p>
    <w:p w:rsidR="001D2777" w:rsidRDefault="00767E0A">
      <w:pPr>
        <w:numPr>
          <w:ilvl w:val="0"/>
          <w:numId w:val="6"/>
        </w:numPr>
        <w:spacing w:after="0" w:line="240" w:lineRule="auto"/>
        <w:contextualSpacing/>
        <w:jc w:val="both"/>
        <w:rPr>
          <w:rFonts w:ascii="Times New Roman" w:eastAsia="Calibri" w:hAnsi="Times New Roman" w:cs="Times New Roman"/>
          <w:b/>
          <w:noProof/>
          <w:sz w:val="24"/>
          <w:szCs w:val="24"/>
        </w:rPr>
      </w:pPr>
      <w:r>
        <w:rPr>
          <w:rFonts w:ascii="Times New Roman" w:eastAsia="Calibri" w:hAnsi="Times New Roman" w:cs="Times New Roman"/>
          <w:b/>
          <w:noProof/>
          <w:sz w:val="24"/>
          <w:szCs w:val="24"/>
        </w:rPr>
        <w:t xml:space="preserve">Some do more: </w:t>
      </w:r>
      <w:r>
        <w:rPr>
          <w:rFonts w:ascii="Times New Roman" w:eastAsia="Calibri" w:hAnsi="Times New Roman" w:cs="Times New Roman"/>
          <w:noProof/>
          <w:sz w:val="24"/>
          <w:szCs w:val="24"/>
        </w:rPr>
        <w:t>the EU27 allows groups of Member States to do more in specific areas;</w:t>
      </w:r>
    </w:p>
    <w:p w:rsidR="001D2777" w:rsidRDefault="00767E0A">
      <w:pPr>
        <w:numPr>
          <w:ilvl w:val="0"/>
          <w:numId w:val="6"/>
        </w:numPr>
        <w:spacing w:after="0"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Radical redesign: </w:t>
      </w:r>
      <w:r>
        <w:rPr>
          <w:rFonts w:ascii="Times New Roman" w:eastAsia="Calibri" w:hAnsi="Times New Roman" w:cs="Times New Roman"/>
          <w:noProof/>
          <w:sz w:val="24"/>
          <w:szCs w:val="24"/>
        </w:rPr>
        <w:t>the EU27 do more in some areas, while doing less elsewhere.</w:t>
      </w:r>
    </w:p>
    <w:p w:rsidR="001D2777" w:rsidRDefault="00767E0A">
      <w:pPr>
        <w:numPr>
          <w:ilvl w:val="0"/>
          <w:numId w:val="6"/>
        </w:numPr>
        <w:spacing w:after="0" w:line="240" w:lineRule="auto"/>
        <w:contextualSpacing/>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 xml:space="preserve">Doing much more together: </w:t>
      </w:r>
      <w:r>
        <w:rPr>
          <w:rFonts w:ascii="Times New Roman" w:eastAsia="Calibri" w:hAnsi="Times New Roman" w:cs="Times New Roman"/>
          <w:noProof/>
          <w:sz w:val="24"/>
          <w:szCs w:val="24"/>
        </w:rPr>
        <w:t>the EU27 decide to do more together across al</w:t>
      </w:r>
      <w:r>
        <w:rPr>
          <w:rFonts w:ascii="Times New Roman" w:eastAsia="Calibri" w:hAnsi="Times New Roman" w:cs="Times New Roman"/>
          <w:noProof/>
          <w:sz w:val="24"/>
          <w:szCs w:val="24"/>
        </w:rPr>
        <w:t>l policy areas.</w:t>
      </w:r>
    </w:p>
    <w:p w:rsidR="001D2777" w:rsidRDefault="001D2777">
      <w:pPr>
        <w:spacing w:after="0" w:line="240" w:lineRule="auto"/>
        <w:ind w:left="720"/>
        <w:contextualSpacing/>
        <w:jc w:val="both"/>
        <w:rPr>
          <w:rFonts w:ascii="Times New Roman" w:eastAsia="Calibri" w:hAnsi="Times New Roman" w:cs="Times New Roman"/>
          <w:noProof/>
          <w:sz w:val="24"/>
          <w:szCs w:val="24"/>
        </w:rPr>
      </w:pPr>
    </w:p>
    <w:p w:rsidR="001D2777" w:rsidRDefault="001D2777">
      <w:pPr>
        <w:spacing w:after="0"/>
        <w:rPr>
          <w:rFonts w:ascii="Times New Roman" w:hAnsi="Times New Roman" w:cs="Times New Roman"/>
          <w:b/>
          <w:noProof/>
          <w:sz w:val="24"/>
          <w:szCs w:val="24"/>
        </w:rPr>
        <w:sectPr w:rsidR="001D2777">
          <w:headerReference w:type="even" r:id="rId31"/>
          <w:headerReference w:type="default" r:id="rId32"/>
          <w:footerReference w:type="even" r:id="rId33"/>
          <w:footerReference w:type="default" r:id="rId34"/>
          <w:headerReference w:type="first" r:id="rId35"/>
          <w:footerReference w:type="first" r:id="rId36"/>
          <w:pgSz w:w="11906" w:h="16838"/>
          <w:pgMar w:top="1134" w:right="1106" w:bottom="960" w:left="1417" w:header="709" w:footer="709" w:gutter="0"/>
          <w:pgNumType w:start="2"/>
          <w:cols w:space="720"/>
        </w:sectPr>
      </w:pPr>
    </w:p>
    <w:p w:rsidR="001D2777" w:rsidRDefault="00767E0A">
      <w:pPr>
        <w:rPr>
          <w:rFonts w:ascii="Times New Roman" w:hAnsi="Times New Roman" w:cs="Times New Roman"/>
          <w:b/>
          <w:noProof/>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61312" behindDoc="0" locked="0" layoutInCell="1" allowOverlap="1">
                <wp:simplePos x="0" y="0"/>
                <wp:positionH relativeFrom="column">
                  <wp:posOffset>864096</wp:posOffset>
                </wp:positionH>
                <wp:positionV relativeFrom="paragraph">
                  <wp:posOffset>0</wp:posOffset>
                </wp:positionV>
                <wp:extent cx="7920880" cy="825851"/>
                <wp:effectExtent l="0" t="0" r="4445" b="0"/>
                <wp:wrapNone/>
                <wp:docPr id="21" name="Rectangle 11"/>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11" o:spid="_x0000_s1026" style="position:absolute;margin-left:68.05pt;margin-top:0;width:623.7pt;height:65.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144016</wp:posOffset>
                </wp:positionV>
                <wp:extent cx="2893782" cy="1152128"/>
                <wp:effectExtent l="0" t="0" r="0" b="0"/>
                <wp:wrapNone/>
                <wp:docPr id="3" name="TextBox 2"/>
                <wp:cNvGraphicFramePr/>
                <a:graphic xmlns:a="http://schemas.openxmlformats.org/drawingml/2006/main">
                  <a:graphicData uri="http://schemas.microsoft.com/office/word/2010/wordprocessingShape">
                    <wps:wsp>
                      <wps:cNvSpPr txBox="1"/>
                      <wps:spPr>
                        <a:xfrm>
                          <a:off x="0" y="0"/>
                          <a:ext cx="2893782" cy="1152128"/>
                        </a:xfrm>
                        <a:prstGeom prst="rect">
                          <a:avLst/>
                        </a:prstGeom>
                        <a:noFill/>
                      </wps:spPr>
                      <wps:txbx>
                        <w:txbxContent>
                          <w:p w:rsidR="001D2777" w:rsidRDefault="00767E0A">
                            <w:pPr>
                              <w:pStyle w:val="NormalWeb"/>
                              <w:spacing w:after="0"/>
                              <w:jc w:val="center"/>
                              <w:textAlignment w:val="baseline"/>
                            </w:pPr>
                            <w:r>
                              <w:rPr>
                                <w:rFonts w:ascii="Arial" w:hAnsi="Arial" w:cs="Arial"/>
                                <w:b/>
                                <w:bCs/>
                                <w:color w:val="1F497D" w:themeColor="text2"/>
                                <w:kern w:val="24"/>
                                <w:sz w:val="96"/>
                                <w:szCs w:val="96"/>
                              </w:rPr>
                              <w:t>1</w:t>
                            </w:r>
                            <w:r>
                              <w:rPr>
                                <w:rFonts w:ascii="Arial" w:hAnsi="Arial" w:cs="Arial"/>
                                <w:b/>
                                <w:bCs/>
                                <w:color w:val="1F497D" w:themeColor="text2"/>
                                <w:kern w:val="24"/>
                              </w:rPr>
                              <w:t>Carrying on</w:t>
                            </w:r>
                          </w:p>
                        </w:txbxContent>
                      </wps:txbx>
                      <wps:bodyPr wrap="square"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0;margin-top:11.35pt;width:227.85pt;height:90.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" filled="f" stroked="f">
                <v:textbox>
                  <w:txbxContent>
                    <w:p>
                      <w:pPr>
                        <w:pStyle w:val="NormalWeb"/>
                        <w:spacing w:after="0"/>
                        <w:jc w:val="center"/>
                        <w:textAlignment w:val="baseline"/>
                      </w:pPr>
                      <w:r>
                        <w:rPr>
                          <w:rFonts w:ascii="Arial" w:hAnsi="Arial" w:cs="Arial"/>
                          <w:b/>
                          <w:bCs/>
                          <w:color w:val="1F497D" w:themeColor="text2"/>
                          <w:kern w:val="24"/>
                          <w:sz w:val="96"/>
                          <w:szCs w:val="96"/>
                        </w:rPr>
                        <w:t>1</w:t>
                      </w:r>
                      <w:r>
                        <w:rPr>
                          <w:rFonts w:ascii="Arial" w:hAnsi="Arial" w:cs="Arial"/>
                          <w:b/>
                          <w:bCs/>
                          <w:color w:val="1F497D" w:themeColor="text2"/>
                          <w:kern w:val="24"/>
                        </w:rPr>
                        <w:t>Carrying on</w:t>
                      </w:r>
                    </w:p>
                  </w:txbxContent>
                </v:textbox>
              </v:shape>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663360" behindDoc="0" locked="0" layoutInCell="1" allowOverlap="1">
                <wp:simplePos x="0" y="0"/>
                <wp:positionH relativeFrom="column">
                  <wp:posOffset>864096</wp:posOffset>
                </wp:positionH>
                <wp:positionV relativeFrom="paragraph">
                  <wp:posOffset>0</wp:posOffset>
                </wp:positionV>
                <wp:extent cx="5616575" cy="427355"/>
                <wp:effectExtent l="0" t="0" r="0" b="0"/>
                <wp:wrapNone/>
                <wp:docPr id="22" name="TextBox 4"/>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1D2777" w:rsidRDefault="00767E0A">
                            <w:pPr>
                              <w:pStyle w:val="NormalWeb"/>
                              <w:spacing w:after="0"/>
                              <w:textAlignment w:val="baseline"/>
                            </w:pPr>
                            <w:r>
                              <w:rPr>
                                <w:rFonts w:ascii="Arial" w:hAnsi="Arial" w:cs="Arial"/>
                                <w:b/>
                                <w:bCs/>
                                <w:color w:val="000000" w:themeColor="text1"/>
                                <w:kern w:val="24"/>
                                <w:sz w:val="40"/>
                                <w:szCs w:val="40"/>
                              </w:rPr>
                              <w:t>Scenario</w:t>
                            </w:r>
                          </w:p>
                        </w:txbxContent>
                      </wps:txbx>
                      <wps:bodyPr wrap="square" rtlCol="0">
                        <a:spAutoFit/>
                      </wps:bodyPr>
                    </wps:wsp>
                  </a:graphicData>
                </a:graphic>
              </wp:anchor>
            </w:drawing>
          </mc:Choice>
          <mc:Fallback>
            <w:pict>
              <v:shape id="TextBox 4" o:spid="_x0000_s1027" type="#_x0000_t202" style="position:absolute;margin-left:68.05pt;margin-top:0;width:442.25pt;height:33.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" filled="f" stroked="f">
                <v:textbox style="mso-fit-shape-to-text:t">
                  <w:txbxContent>
                    <w:p>
                      <w:pPr>
                        <w:pStyle w:val="NormalWeb"/>
                        <w:spacing w:after="0"/>
                        <w:textAlignment w:val="baseline"/>
                      </w:pPr>
                      <w:r>
                        <w:rPr>
                          <w:rFonts w:ascii="Arial" w:hAnsi="Arial" w:cs="Arial"/>
                          <w:b/>
                          <w:bCs/>
                          <w:color w:val="000000" w:themeColor="text1"/>
                          <w:kern w:val="24"/>
                          <w:sz w:val="40"/>
                          <w:szCs w:val="40"/>
                        </w:rPr>
                        <w:t>Scenario</w:t>
                      </w:r>
                    </w:p>
                  </w:txbxContent>
                </v:textbox>
              </v:shape>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664384" behindDoc="0" locked="0" layoutInCell="1" allowOverlap="1">
                <wp:simplePos x="0" y="0"/>
                <wp:positionH relativeFrom="column">
                  <wp:posOffset>625604</wp:posOffset>
                </wp:positionH>
                <wp:positionV relativeFrom="paragraph">
                  <wp:posOffset>864096</wp:posOffset>
                </wp:positionV>
                <wp:extent cx="8411210" cy="4009390"/>
                <wp:effectExtent l="0" t="0" r="0" b="0"/>
                <wp:wrapNone/>
                <wp:docPr id="23" name="Rectangle 6"/>
                <wp:cNvGraphicFramePr/>
                <a:graphic xmlns:a="http://schemas.openxmlformats.org/drawingml/2006/main">
                  <a:graphicData uri="http://schemas.microsoft.com/office/word/2010/wordprocessingShape">
                    <wps:wsp>
                      <wps:cNvSpPr/>
                      <wps:spPr>
                        <a:xfrm>
                          <a:off x="0" y="0"/>
                          <a:ext cx="8411210" cy="4009390"/>
                        </a:xfrm>
                        <a:prstGeom prst="rect">
                          <a:avLst/>
                        </a:prstGeom>
                      </wps:spPr>
                      <wps:txbx>
                        <w:txbxContent>
                          <w:p w:rsidR="001D2777" w:rsidRDefault="00767E0A">
                            <w:pPr>
                              <w:pStyle w:val="NormalWeb"/>
                              <w:spacing w:after="0"/>
                              <w:textAlignment w:val="baseline"/>
                            </w:pPr>
                            <w:r>
                              <w:rPr>
                                <w:rFonts w:ascii="Arial" w:hAnsi="Arial" w:cs="Arial"/>
                                <w:b/>
                                <w:bCs/>
                                <w:kern w:val="24"/>
                                <w:sz w:val="28"/>
                                <w:szCs w:val="28"/>
                              </w:rPr>
                              <w:t>General trend and volume</w:t>
                            </w:r>
                          </w:p>
                          <w:p w:rsidR="001D2777" w:rsidRDefault="00767E0A">
                            <w:pPr>
                              <w:pStyle w:val="ListParagraph"/>
                              <w:numPr>
                                <w:ilvl w:val="0"/>
                                <w:numId w:val="9"/>
                              </w:numPr>
                              <w:spacing w:after="0" w:line="240" w:lineRule="auto"/>
                              <w:textAlignment w:val="baseline"/>
                              <w:rPr>
                                <w:rFonts w:eastAsia="Times New Roman"/>
                              </w:rPr>
                            </w:pPr>
                            <w:r>
                              <w:rPr>
                                <w:rFonts w:ascii="Arial" w:hAnsi="Arial" w:cs="Arial"/>
                                <w:b/>
                                <w:bCs/>
                                <w:kern w:val="24"/>
                              </w:rPr>
                              <w:t>Broadly stable</w:t>
                            </w:r>
                          </w:p>
                          <w:p w:rsidR="001D2777" w:rsidRDefault="00767E0A">
                            <w:pPr>
                              <w:pStyle w:val="ListParagraph"/>
                              <w:numPr>
                                <w:ilvl w:val="0"/>
                                <w:numId w:val="9"/>
                              </w:numPr>
                              <w:spacing w:after="0" w:line="240" w:lineRule="auto"/>
                              <w:textAlignment w:val="baseline"/>
                              <w:rPr>
                                <w:rFonts w:eastAsia="Times New Roman"/>
                              </w:rPr>
                            </w:pPr>
                            <w:r>
                              <w:rPr>
                                <w:rFonts w:ascii="Arial" w:hAnsi="Arial" w:cs="Arial"/>
                                <w:b/>
                                <w:bCs/>
                                <w:kern w:val="24"/>
                              </w:rPr>
                              <w:t>Reflects current reform agenda of EU 27</w:t>
                            </w:r>
                          </w:p>
                          <w:p w:rsidR="001D2777" w:rsidRDefault="00767E0A">
                            <w:pPr>
                              <w:pStyle w:val="ListParagraph"/>
                              <w:numPr>
                                <w:ilvl w:val="0"/>
                                <w:numId w:val="9"/>
                              </w:numPr>
                              <w:spacing w:after="0" w:line="240" w:lineRule="auto"/>
                              <w:textAlignment w:val="baseline"/>
                              <w:rPr>
                                <w:rFonts w:eastAsia="Times New Roman"/>
                              </w:rPr>
                            </w:pPr>
                            <w:r>
                              <w:rPr>
                                <w:rFonts w:ascii="Arial" w:hAnsi="Arial" w:cs="Arial"/>
                                <w:b/>
                                <w:bCs/>
                                <w:kern w:val="24"/>
                                <w:lang w:val="en-US"/>
                              </w:rPr>
                              <w:t xml:space="preserve">Lower relative shares of Cohesion and Agriculture to finance new </w:t>
                            </w:r>
                            <w:r>
                              <w:rPr>
                                <w:rFonts w:ascii="Arial" w:hAnsi="Arial" w:cs="Arial"/>
                                <w:b/>
                                <w:bCs/>
                                <w:kern w:val="24"/>
                                <w:lang w:val="en-US"/>
                              </w:rPr>
                              <w:t>priorities</w:t>
                            </w:r>
                          </w:p>
                          <w:p w:rsidR="001D2777" w:rsidRDefault="00767E0A">
                            <w:pPr>
                              <w:pStyle w:val="ListParagraph"/>
                              <w:numPr>
                                <w:ilvl w:val="0"/>
                                <w:numId w:val="9"/>
                              </w:numPr>
                              <w:spacing w:after="0" w:line="240" w:lineRule="auto"/>
                              <w:textAlignment w:val="baseline"/>
                              <w:rPr>
                                <w:rFonts w:eastAsia="Times New Roman"/>
                              </w:rPr>
                            </w:pPr>
                            <w:r>
                              <w:rPr>
                                <w:rFonts w:ascii="Arial" w:hAnsi="Arial" w:cs="Arial"/>
                                <w:b/>
                                <w:bCs/>
                                <w:kern w:val="24"/>
                              </w:rPr>
                              <w:t>Higher use of financial instruments and guarantees</w:t>
                            </w:r>
                          </w:p>
                          <w:p w:rsidR="001D2777" w:rsidRDefault="00767E0A">
                            <w:pPr>
                              <w:pStyle w:val="NormalWeb"/>
                              <w:spacing w:after="0"/>
                              <w:textAlignment w:val="baseline"/>
                              <w:rPr>
                                <w:rFonts w:eastAsiaTheme="minorEastAsia"/>
                              </w:rPr>
                            </w:pPr>
                            <w:r>
                              <w:rPr>
                                <w:rFonts w:ascii="Arial" w:hAnsi="Arial" w:cs="Arial"/>
                                <w:b/>
                                <w:bCs/>
                                <w:kern w:val="24"/>
                                <w:sz w:val="28"/>
                                <w:szCs w:val="28"/>
                                <w:lang w:val="en-US"/>
                              </w:rPr>
                              <w:t>Expenditure</w:t>
                            </w:r>
                          </w:p>
                          <w:p w:rsidR="001D2777" w:rsidRDefault="00767E0A">
                            <w:pPr>
                              <w:pStyle w:val="ListParagraph"/>
                              <w:numPr>
                                <w:ilvl w:val="0"/>
                                <w:numId w:val="10"/>
                              </w:numPr>
                              <w:spacing w:after="0" w:line="240" w:lineRule="auto"/>
                              <w:textAlignment w:val="baseline"/>
                              <w:rPr>
                                <w:rFonts w:eastAsia="Times New Roman"/>
                              </w:rPr>
                            </w:pPr>
                            <w:r>
                              <w:rPr>
                                <w:rFonts w:ascii="Arial" w:hAnsi="Arial" w:cs="Arial"/>
                                <w:b/>
                                <w:bCs/>
                                <w:kern w:val="24"/>
                                <w:lang w:val="en-US"/>
                              </w:rPr>
                              <w:t xml:space="preserve">Common agricultural policy </w:t>
                            </w:r>
                          </w:p>
                          <w:p w:rsidR="001D2777" w:rsidRDefault="00767E0A">
                            <w:pPr>
                              <w:pStyle w:val="ListParagraph"/>
                              <w:numPr>
                                <w:ilvl w:val="1"/>
                                <w:numId w:val="10"/>
                              </w:numPr>
                              <w:spacing w:after="0" w:line="240" w:lineRule="auto"/>
                              <w:textAlignment w:val="baseline"/>
                              <w:rPr>
                                <w:rFonts w:eastAsia="Times New Roman"/>
                              </w:rPr>
                            </w:pPr>
                            <w:r>
                              <w:rPr>
                                <w:rFonts w:ascii="Arial" w:hAnsi="Arial" w:cs="Arial"/>
                                <w:kern w:val="24"/>
                                <w:lang w:val="en-US"/>
                              </w:rPr>
                              <w:t>Better targeted support for farmers under special constraints (e.g. small farms, mountainous areas and sparsely populated regions) and risk management too</w:t>
                            </w:r>
                            <w:r>
                              <w:rPr>
                                <w:rFonts w:ascii="Arial" w:hAnsi="Arial" w:cs="Arial"/>
                                <w:kern w:val="24"/>
                                <w:lang w:val="en-US"/>
                              </w:rPr>
                              <w:t>ls for all farms</w:t>
                            </w:r>
                          </w:p>
                          <w:p w:rsidR="001D2777" w:rsidRDefault="00767E0A">
                            <w:pPr>
                              <w:pStyle w:val="ListParagraph"/>
                              <w:numPr>
                                <w:ilvl w:val="1"/>
                                <w:numId w:val="10"/>
                              </w:numPr>
                              <w:spacing w:after="0" w:line="240" w:lineRule="auto"/>
                              <w:textAlignment w:val="baseline"/>
                              <w:rPr>
                                <w:rFonts w:eastAsia="Times New Roman"/>
                              </w:rPr>
                            </w:pPr>
                            <w:r>
                              <w:rPr>
                                <w:rFonts w:ascii="Arial" w:hAnsi="Arial" w:cs="Arial"/>
                                <w:kern w:val="24"/>
                                <w:lang w:val="en-US"/>
                              </w:rPr>
                              <w:t>Investment in rural development (particularly agri-environmental measures)</w:t>
                            </w:r>
                          </w:p>
                          <w:p w:rsidR="001D2777" w:rsidRDefault="00767E0A">
                            <w:pPr>
                              <w:pStyle w:val="ListParagraph"/>
                              <w:numPr>
                                <w:ilvl w:val="0"/>
                                <w:numId w:val="10"/>
                              </w:numPr>
                              <w:spacing w:after="0" w:line="240" w:lineRule="auto"/>
                              <w:textAlignment w:val="baseline"/>
                              <w:rPr>
                                <w:rFonts w:eastAsia="Times New Roman"/>
                              </w:rPr>
                            </w:pPr>
                            <w:r>
                              <w:rPr>
                                <w:rFonts w:ascii="Arial" w:hAnsi="Arial" w:cs="Arial"/>
                                <w:b/>
                                <w:bCs/>
                                <w:kern w:val="24"/>
                              </w:rPr>
                              <w:t>Economic, social and territorial cohesion</w:t>
                            </w:r>
                          </w:p>
                          <w:p w:rsidR="001D2777" w:rsidRDefault="00767E0A">
                            <w:pPr>
                              <w:pStyle w:val="ListParagraph"/>
                              <w:numPr>
                                <w:ilvl w:val="1"/>
                                <w:numId w:val="10"/>
                              </w:numPr>
                              <w:spacing w:after="0" w:line="240" w:lineRule="auto"/>
                              <w:textAlignment w:val="baseline"/>
                              <w:rPr>
                                <w:rFonts w:eastAsia="Times New Roman"/>
                              </w:rPr>
                            </w:pPr>
                            <w:r>
                              <w:rPr>
                                <w:rFonts w:ascii="Arial" w:hAnsi="Arial" w:cs="Arial"/>
                                <w:kern w:val="24"/>
                              </w:rPr>
                              <w:t>Investment for all regions at a lower level</w:t>
                            </w:r>
                          </w:p>
                          <w:p w:rsidR="001D2777" w:rsidRDefault="00767E0A">
                            <w:pPr>
                              <w:pStyle w:val="ListParagraph"/>
                              <w:numPr>
                                <w:ilvl w:val="1"/>
                                <w:numId w:val="10"/>
                              </w:numPr>
                              <w:spacing w:after="0" w:line="240" w:lineRule="auto"/>
                              <w:textAlignment w:val="baseline"/>
                              <w:rPr>
                                <w:rFonts w:eastAsia="Times New Roman"/>
                              </w:rPr>
                            </w:pPr>
                            <w:r>
                              <w:rPr>
                                <w:rFonts w:ascii="Arial" w:hAnsi="Arial" w:cs="Arial"/>
                                <w:kern w:val="24"/>
                              </w:rPr>
                              <w:t>Higher levels of national co-financing and use of financial instruments</w:t>
                            </w:r>
                          </w:p>
                          <w:p w:rsidR="001D2777" w:rsidRDefault="00767E0A">
                            <w:pPr>
                              <w:pStyle w:val="ListParagraph"/>
                              <w:numPr>
                                <w:ilvl w:val="1"/>
                                <w:numId w:val="10"/>
                              </w:numPr>
                              <w:spacing w:after="0" w:line="240" w:lineRule="auto"/>
                              <w:textAlignment w:val="baseline"/>
                              <w:rPr>
                                <w:rFonts w:eastAsia="Times New Roman"/>
                              </w:rPr>
                            </w:pPr>
                            <w:r>
                              <w:rPr>
                                <w:rFonts w:ascii="Arial" w:hAnsi="Arial" w:cs="Arial"/>
                                <w:kern w:val="24"/>
                                <w:lang w:val="en-US"/>
                              </w:rPr>
                              <w:t>Stronger focus on social inclusion, employment, skills, innovation, climate change, energy and environmental transition</w:t>
                            </w:r>
                          </w:p>
                          <w:p w:rsidR="001D2777" w:rsidRDefault="00767E0A">
                            <w:pPr>
                              <w:pStyle w:val="ListParagraph"/>
                              <w:numPr>
                                <w:ilvl w:val="0"/>
                                <w:numId w:val="10"/>
                              </w:numPr>
                              <w:spacing w:after="0" w:line="240" w:lineRule="auto"/>
                              <w:textAlignment w:val="baseline"/>
                              <w:rPr>
                                <w:rFonts w:eastAsia="Times New Roman"/>
                              </w:rPr>
                            </w:pPr>
                            <w:r>
                              <w:rPr>
                                <w:rFonts w:ascii="Arial" w:hAnsi="Arial" w:cs="Arial"/>
                                <w:b/>
                                <w:bCs/>
                                <w:kern w:val="24"/>
                                <w:lang w:val="en-US"/>
                              </w:rPr>
                              <w:t>New priorities</w:t>
                            </w:r>
                          </w:p>
                          <w:p w:rsidR="001D2777" w:rsidRDefault="00767E0A">
                            <w:pPr>
                              <w:pStyle w:val="ListParagraph"/>
                              <w:numPr>
                                <w:ilvl w:val="1"/>
                                <w:numId w:val="10"/>
                              </w:numPr>
                              <w:spacing w:after="0" w:line="240" w:lineRule="auto"/>
                              <w:textAlignment w:val="baseline"/>
                              <w:rPr>
                                <w:rFonts w:eastAsia="Times New Roman"/>
                              </w:rPr>
                            </w:pPr>
                            <w:r>
                              <w:rPr>
                                <w:rFonts w:ascii="Arial" w:hAnsi="Arial" w:cs="Arial"/>
                                <w:kern w:val="24"/>
                              </w:rPr>
                              <w:t>I</w:t>
                            </w:r>
                            <w:r>
                              <w:rPr>
                                <w:rFonts w:ascii="Arial" w:hAnsi="Arial" w:cs="Arial"/>
                                <w:kern w:val="24"/>
                                <w:lang w:val="en-US"/>
                              </w:rPr>
                              <w:t>nternal/external security, migration and border control;</w:t>
                            </w:r>
                            <w:r>
                              <w:rPr>
                                <w:rFonts w:ascii="Arial" w:hAnsi="Arial" w:cs="Arial"/>
                                <w:kern w:val="24"/>
                              </w:rPr>
                              <w:t xml:space="preserve"> defence</w:t>
                            </w:r>
                            <w:r>
                              <w:rPr>
                                <w:rFonts w:ascii="Arial" w:hAnsi="Arial" w:cs="Arial"/>
                                <w:kern w:val="24"/>
                                <w:lang w:val="en-US"/>
                              </w:rPr>
                              <w:t xml:space="preserve"> (Research &amp; Development, capabilities); </w:t>
                            </w:r>
                          </w:p>
                          <w:p w:rsidR="001D2777" w:rsidRDefault="00767E0A">
                            <w:pPr>
                              <w:pStyle w:val="ListParagraph"/>
                              <w:numPr>
                                <w:ilvl w:val="0"/>
                                <w:numId w:val="10"/>
                              </w:numPr>
                              <w:spacing w:after="0" w:line="240" w:lineRule="auto"/>
                              <w:textAlignment w:val="baseline"/>
                              <w:rPr>
                                <w:rFonts w:eastAsia="Times New Roman"/>
                              </w:rPr>
                            </w:pPr>
                            <w:r>
                              <w:rPr>
                                <w:rFonts w:ascii="Arial" w:hAnsi="Arial" w:cs="Arial"/>
                                <w:b/>
                                <w:bCs/>
                                <w:kern w:val="24"/>
                                <w:lang w:val="en-US"/>
                              </w:rPr>
                              <w:t>Structural ref</w:t>
                            </w:r>
                            <w:r>
                              <w:rPr>
                                <w:rFonts w:ascii="Arial" w:hAnsi="Arial" w:cs="Arial"/>
                                <w:b/>
                                <w:bCs/>
                                <w:kern w:val="24"/>
                                <w:lang w:val="en-US"/>
                              </w:rPr>
                              <w:t>orms linked to the European Semester</w:t>
                            </w:r>
                          </w:p>
                          <w:p w:rsidR="001D2777" w:rsidRDefault="00767E0A">
                            <w:pPr>
                              <w:pStyle w:val="ListParagraph"/>
                              <w:numPr>
                                <w:ilvl w:val="1"/>
                                <w:numId w:val="10"/>
                              </w:numPr>
                              <w:spacing w:after="0" w:line="240" w:lineRule="auto"/>
                              <w:textAlignment w:val="baseline"/>
                              <w:rPr>
                                <w:rFonts w:eastAsia="Times New Roman"/>
                              </w:rPr>
                            </w:pPr>
                            <w:r>
                              <w:rPr>
                                <w:rFonts w:ascii="Arial" w:hAnsi="Arial" w:cs="Arial"/>
                                <w:kern w:val="24"/>
                                <w:lang w:val="en-US"/>
                              </w:rPr>
                              <w:t>Positive incentives either through cohesion policy or through a dedicated fund</w:t>
                            </w:r>
                          </w:p>
                          <w:p w:rsidR="001D2777" w:rsidRDefault="00767E0A">
                            <w:pPr>
                              <w:pStyle w:val="NormalWeb"/>
                              <w:spacing w:after="0"/>
                              <w:textAlignment w:val="baseline"/>
                              <w:rPr>
                                <w:rFonts w:eastAsiaTheme="minorEastAsia"/>
                              </w:rPr>
                            </w:pPr>
                            <w:r>
                              <w:rPr>
                                <w:rFonts w:ascii="Arial" w:hAnsi="Arial" w:cs="Arial"/>
                                <w:b/>
                                <w:bCs/>
                                <w:kern w:val="24"/>
                                <w:sz w:val="28"/>
                                <w:szCs w:val="28"/>
                              </w:rPr>
                              <w:t>Revenue</w:t>
                            </w:r>
                          </w:p>
                          <w:p w:rsidR="001D2777" w:rsidRDefault="00767E0A">
                            <w:pPr>
                              <w:pStyle w:val="ListParagraph"/>
                              <w:numPr>
                                <w:ilvl w:val="0"/>
                                <w:numId w:val="11"/>
                              </w:numPr>
                              <w:spacing w:after="0" w:line="240" w:lineRule="auto"/>
                              <w:textAlignment w:val="baseline"/>
                              <w:rPr>
                                <w:rFonts w:eastAsia="Times New Roman"/>
                              </w:rPr>
                            </w:pPr>
                            <w:r>
                              <w:rPr>
                                <w:rFonts w:ascii="Arial" w:hAnsi="Arial" w:cs="Arial"/>
                                <w:b/>
                                <w:bCs/>
                                <w:kern w:val="24"/>
                              </w:rPr>
                              <w:t xml:space="preserve">Current system without rebates </w:t>
                            </w:r>
                          </w:p>
                          <w:p w:rsidR="001D2777" w:rsidRDefault="00767E0A">
                            <w:pPr>
                              <w:pStyle w:val="ListParagraph"/>
                              <w:numPr>
                                <w:ilvl w:val="0"/>
                                <w:numId w:val="11"/>
                              </w:numPr>
                              <w:spacing w:after="0" w:line="240" w:lineRule="auto"/>
                              <w:textAlignment w:val="baseline"/>
                              <w:rPr>
                                <w:rFonts w:eastAsia="Times New Roman"/>
                              </w:rPr>
                            </w:pPr>
                            <w:r>
                              <w:rPr>
                                <w:rFonts w:ascii="Arial" w:hAnsi="Arial" w:cs="Arial"/>
                                <w:b/>
                                <w:bCs/>
                                <w:kern w:val="24"/>
                                <w:lang w:val="en-US"/>
                              </w:rPr>
                              <w:t xml:space="preserve">Other sources of revenue or fees finance the EU budget </w:t>
                            </w:r>
                          </w:p>
                        </w:txbxContent>
                      </wps:txbx>
                      <wps:bodyPr wrap="square">
                        <a:spAutoFit/>
                      </wps:bodyPr>
                    </wps:wsp>
                  </a:graphicData>
                </a:graphic>
              </wp:anchor>
            </w:drawing>
          </mc:Choice>
          <mc:Fallback>
            <w:pict>
              <v:rect id="Rectangle 6" o:spid="_x0000_s1028" style="position:absolute;margin-left:49.25pt;margin-top:68.05pt;width:662.3pt;height:315.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" filled="f" stroked="f">
                <v:textbox style="mso-fit-shape-to-text:t">
                  <w:txbxContent>
                    <w:p>
                      <w:pPr>
                        <w:pStyle w:val="NormalWeb"/>
                        <w:spacing w:after="0"/>
                        <w:textAlignment w:val="baseline"/>
                      </w:pPr>
                      <w:r>
                        <w:rPr>
                          <w:rFonts w:ascii="Arial" w:hAnsi="Arial" w:cs="Arial"/>
                          <w:b/>
                          <w:bCs/>
                          <w:kern w:val="24"/>
                          <w:sz w:val="28"/>
                          <w:szCs w:val="28"/>
                        </w:rPr>
                        <w:t>General trend and volume</w:t>
                      </w:r>
                    </w:p>
                    <w:p>
                      <w:pPr>
                        <w:pStyle w:val="ListParagraph"/>
                        <w:numPr>
                          <w:ilvl w:val="0"/>
                          <w:numId w:val="9"/>
                        </w:numPr>
                        <w:spacing w:after="0" w:line="240" w:lineRule="auto"/>
                        <w:textAlignment w:val="baseline"/>
                        <w:rPr>
                          <w:rFonts w:eastAsia="Times New Roman"/>
                        </w:rPr>
                      </w:pPr>
                      <w:r>
                        <w:rPr>
                          <w:rFonts w:ascii="Arial" w:hAnsi="Arial" w:cs="Arial"/>
                          <w:b/>
                          <w:bCs/>
                          <w:kern w:val="24"/>
                        </w:rPr>
                        <w:t>Broadly stable</w:t>
                      </w:r>
                    </w:p>
                    <w:p>
                      <w:pPr>
                        <w:pStyle w:val="ListParagraph"/>
                        <w:numPr>
                          <w:ilvl w:val="0"/>
                          <w:numId w:val="9"/>
                        </w:numPr>
                        <w:spacing w:after="0" w:line="240" w:lineRule="auto"/>
                        <w:textAlignment w:val="baseline"/>
                        <w:rPr>
                          <w:rFonts w:eastAsia="Times New Roman"/>
                        </w:rPr>
                      </w:pPr>
                      <w:r>
                        <w:rPr>
                          <w:rFonts w:ascii="Arial" w:hAnsi="Arial" w:cs="Arial"/>
                          <w:b/>
                          <w:bCs/>
                          <w:kern w:val="24"/>
                        </w:rPr>
                        <w:t>Reflects current reform agenda of EU 27</w:t>
                      </w:r>
                    </w:p>
                    <w:p>
                      <w:pPr>
                        <w:pStyle w:val="ListParagraph"/>
                        <w:numPr>
                          <w:ilvl w:val="0"/>
                          <w:numId w:val="9"/>
                        </w:numPr>
                        <w:spacing w:after="0" w:line="240" w:lineRule="auto"/>
                        <w:textAlignment w:val="baseline"/>
                        <w:rPr>
                          <w:rFonts w:eastAsia="Times New Roman"/>
                        </w:rPr>
                      </w:pPr>
                      <w:r>
                        <w:rPr>
                          <w:rFonts w:ascii="Arial" w:hAnsi="Arial" w:cs="Arial"/>
                          <w:b/>
                          <w:bCs/>
                          <w:kern w:val="24"/>
                          <w:lang w:val="en-US"/>
                        </w:rPr>
                        <w:t>Lower relative shares of Cohesion and Agriculture to finance new priorities</w:t>
                      </w:r>
                    </w:p>
                    <w:p>
                      <w:pPr>
                        <w:pStyle w:val="ListParagraph"/>
                        <w:numPr>
                          <w:ilvl w:val="0"/>
                          <w:numId w:val="9"/>
                        </w:numPr>
                        <w:spacing w:after="0" w:line="240" w:lineRule="auto"/>
                        <w:textAlignment w:val="baseline"/>
                        <w:rPr>
                          <w:rFonts w:eastAsia="Times New Roman"/>
                        </w:rPr>
                      </w:pPr>
                      <w:r>
                        <w:rPr>
                          <w:rFonts w:ascii="Arial" w:hAnsi="Arial" w:cs="Arial"/>
                          <w:b/>
                          <w:bCs/>
                          <w:kern w:val="24"/>
                        </w:rPr>
                        <w:t>Higher use of financial instruments and guarantees</w:t>
                      </w:r>
                    </w:p>
                    <w:p>
                      <w:pPr>
                        <w:pStyle w:val="NormalWeb"/>
                        <w:spacing w:after="0"/>
                        <w:textAlignment w:val="baseline"/>
                        <w:rPr>
                          <w:rFonts w:eastAsiaTheme="minorEastAsia"/>
                        </w:rPr>
                      </w:pPr>
                      <w:r>
                        <w:rPr>
                          <w:rFonts w:ascii="Arial" w:hAnsi="Arial" w:cs="Arial"/>
                          <w:b/>
                          <w:bCs/>
                          <w:kern w:val="24"/>
                          <w:sz w:val="28"/>
                          <w:szCs w:val="28"/>
                          <w:lang w:val="en-US"/>
                        </w:rPr>
                        <w:t>Expenditure</w:t>
                      </w:r>
                    </w:p>
                    <w:p>
                      <w:pPr>
                        <w:pStyle w:val="ListParagraph"/>
                        <w:numPr>
                          <w:ilvl w:val="0"/>
                          <w:numId w:val="10"/>
                        </w:numPr>
                        <w:spacing w:after="0" w:line="240" w:lineRule="auto"/>
                        <w:textAlignment w:val="baseline"/>
                        <w:rPr>
                          <w:rFonts w:eastAsia="Times New Roman"/>
                        </w:rPr>
                      </w:pPr>
                      <w:r>
                        <w:rPr>
                          <w:rFonts w:ascii="Arial" w:hAnsi="Arial" w:cs="Arial"/>
                          <w:b/>
                          <w:bCs/>
                          <w:kern w:val="24"/>
                          <w:lang w:val="en-US"/>
                        </w:rPr>
                        <w:t xml:space="preserve">Common agricultural policy </w:t>
                      </w:r>
                    </w:p>
                    <w:p>
                      <w:pPr>
                        <w:pStyle w:val="ListParagraph"/>
                        <w:numPr>
                          <w:ilvl w:val="1"/>
                          <w:numId w:val="10"/>
                        </w:numPr>
                        <w:spacing w:after="0" w:line="240" w:lineRule="auto"/>
                        <w:textAlignment w:val="baseline"/>
                        <w:rPr>
                          <w:rFonts w:eastAsia="Times New Roman"/>
                        </w:rPr>
                      </w:pPr>
                      <w:r>
                        <w:rPr>
                          <w:rFonts w:ascii="Arial" w:hAnsi="Arial" w:cs="Arial"/>
                          <w:kern w:val="24"/>
                          <w:lang w:val="en-US"/>
                        </w:rPr>
                        <w:t>Better targeted support for farmers under special constraints (e.g. small farms, mountainous areas and sparsely populated regions) and risk management tools for all farms</w:t>
                      </w:r>
                    </w:p>
                    <w:p>
                      <w:pPr>
                        <w:pStyle w:val="ListParagraph"/>
                        <w:numPr>
                          <w:ilvl w:val="1"/>
                          <w:numId w:val="10"/>
                        </w:numPr>
                        <w:spacing w:after="0" w:line="240" w:lineRule="auto"/>
                        <w:textAlignment w:val="baseline"/>
                        <w:rPr>
                          <w:rFonts w:eastAsia="Times New Roman"/>
                        </w:rPr>
                      </w:pPr>
                      <w:r>
                        <w:rPr>
                          <w:rFonts w:ascii="Arial" w:hAnsi="Arial" w:cs="Arial"/>
                          <w:kern w:val="24"/>
                          <w:lang w:val="en-US"/>
                        </w:rPr>
                        <w:t>Investment in rural development (particularly agri-environmental measures)</w:t>
                      </w:r>
                    </w:p>
                    <w:p>
                      <w:pPr>
                        <w:pStyle w:val="ListParagraph"/>
                        <w:numPr>
                          <w:ilvl w:val="0"/>
                          <w:numId w:val="10"/>
                        </w:numPr>
                        <w:spacing w:after="0" w:line="240" w:lineRule="auto"/>
                        <w:textAlignment w:val="baseline"/>
                        <w:rPr>
                          <w:rFonts w:eastAsia="Times New Roman"/>
                        </w:rPr>
                      </w:pPr>
                      <w:r>
                        <w:rPr>
                          <w:rFonts w:ascii="Arial" w:hAnsi="Arial" w:cs="Arial"/>
                          <w:b/>
                          <w:bCs/>
                          <w:kern w:val="24"/>
                        </w:rPr>
                        <w:t>Economic, social and territorial cohesion</w:t>
                      </w:r>
                    </w:p>
                    <w:p>
                      <w:pPr>
                        <w:pStyle w:val="ListParagraph"/>
                        <w:numPr>
                          <w:ilvl w:val="1"/>
                          <w:numId w:val="10"/>
                        </w:numPr>
                        <w:spacing w:after="0" w:line="240" w:lineRule="auto"/>
                        <w:textAlignment w:val="baseline"/>
                        <w:rPr>
                          <w:rFonts w:eastAsia="Times New Roman"/>
                        </w:rPr>
                      </w:pPr>
                      <w:r>
                        <w:rPr>
                          <w:rFonts w:ascii="Arial" w:hAnsi="Arial" w:cs="Arial"/>
                          <w:kern w:val="24"/>
                        </w:rPr>
                        <w:t>Investment for all regions at a lower level</w:t>
                      </w:r>
                    </w:p>
                    <w:p>
                      <w:pPr>
                        <w:pStyle w:val="ListParagraph"/>
                        <w:numPr>
                          <w:ilvl w:val="1"/>
                          <w:numId w:val="10"/>
                        </w:numPr>
                        <w:spacing w:after="0" w:line="240" w:lineRule="auto"/>
                        <w:textAlignment w:val="baseline"/>
                        <w:rPr>
                          <w:rFonts w:eastAsia="Times New Roman"/>
                        </w:rPr>
                      </w:pPr>
                      <w:r>
                        <w:rPr>
                          <w:rFonts w:ascii="Arial" w:hAnsi="Arial" w:cs="Arial"/>
                          <w:kern w:val="24"/>
                        </w:rPr>
                        <w:t>Higher levels of national co-financing and use of financial instruments</w:t>
                      </w:r>
                    </w:p>
                    <w:p>
                      <w:pPr>
                        <w:pStyle w:val="ListParagraph"/>
                        <w:numPr>
                          <w:ilvl w:val="1"/>
                          <w:numId w:val="10"/>
                        </w:numPr>
                        <w:spacing w:after="0" w:line="240" w:lineRule="auto"/>
                        <w:textAlignment w:val="baseline"/>
                        <w:rPr>
                          <w:rFonts w:eastAsia="Times New Roman"/>
                        </w:rPr>
                      </w:pPr>
                      <w:r>
                        <w:rPr>
                          <w:rFonts w:ascii="Arial" w:hAnsi="Arial" w:cs="Arial"/>
                          <w:kern w:val="24"/>
                          <w:lang w:val="en-US"/>
                        </w:rPr>
                        <w:t>Stronger focus on social inclusion, employment, skills, innovation, climate change, energy and environmental transition</w:t>
                      </w:r>
                    </w:p>
                    <w:p>
                      <w:pPr>
                        <w:pStyle w:val="ListParagraph"/>
                        <w:numPr>
                          <w:ilvl w:val="0"/>
                          <w:numId w:val="10"/>
                        </w:numPr>
                        <w:spacing w:after="0" w:line="240" w:lineRule="auto"/>
                        <w:textAlignment w:val="baseline"/>
                        <w:rPr>
                          <w:rFonts w:eastAsia="Times New Roman"/>
                        </w:rPr>
                      </w:pPr>
                      <w:r>
                        <w:rPr>
                          <w:rFonts w:ascii="Arial" w:hAnsi="Arial" w:cs="Arial"/>
                          <w:b/>
                          <w:bCs/>
                          <w:kern w:val="24"/>
                          <w:lang w:val="en-US"/>
                        </w:rPr>
                        <w:t>New priorities</w:t>
                      </w:r>
                    </w:p>
                    <w:p>
                      <w:pPr>
                        <w:pStyle w:val="ListParagraph"/>
                        <w:numPr>
                          <w:ilvl w:val="1"/>
                          <w:numId w:val="10"/>
                        </w:numPr>
                        <w:spacing w:after="0" w:line="240" w:lineRule="auto"/>
                        <w:textAlignment w:val="baseline"/>
                        <w:rPr>
                          <w:rFonts w:eastAsia="Times New Roman"/>
                        </w:rPr>
                      </w:pPr>
                      <w:r>
                        <w:rPr>
                          <w:rFonts w:ascii="Arial" w:hAnsi="Arial" w:cs="Arial"/>
                          <w:kern w:val="24"/>
                        </w:rPr>
                        <w:t>I</w:t>
                      </w:r>
                      <w:r>
                        <w:rPr>
                          <w:rFonts w:ascii="Arial" w:hAnsi="Arial" w:cs="Arial"/>
                          <w:kern w:val="24"/>
                          <w:lang w:val="en-US"/>
                        </w:rPr>
                        <w:t>nternal/external security, migration and border control;</w:t>
                      </w:r>
                      <w:r>
                        <w:rPr>
                          <w:rFonts w:ascii="Arial" w:hAnsi="Arial" w:cs="Arial"/>
                          <w:kern w:val="24"/>
                        </w:rPr>
                        <w:t xml:space="preserve"> defence</w:t>
                      </w:r>
                      <w:r>
                        <w:rPr>
                          <w:rFonts w:ascii="Arial" w:hAnsi="Arial" w:cs="Arial"/>
                          <w:kern w:val="24"/>
                          <w:lang w:val="en-US"/>
                        </w:rPr>
                        <w:t xml:space="preserve"> (Research &amp; Development, capabilities); </w:t>
                      </w:r>
                    </w:p>
                    <w:p>
                      <w:pPr>
                        <w:pStyle w:val="ListParagraph"/>
                        <w:numPr>
                          <w:ilvl w:val="0"/>
                          <w:numId w:val="10"/>
                        </w:numPr>
                        <w:spacing w:after="0" w:line="240" w:lineRule="auto"/>
                        <w:textAlignment w:val="baseline"/>
                        <w:rPr>
                          <w:rFonts w:eastAsia="Times New Roman"/>
                        </w:rPr>
                      </w:pPr>
                      <w:r>
                        <w:rPr>
                          <w:rFonts w:ascii="Arial" w:hAnsi="Arial" w:cs="Arial"/>
                          <w:b/>
                          <w:bCs/>
                          <w:kern w:val="24"/>
                          <w:lang w:val="en-US"/>
                        </w:rPr>
                        <w:t>Structural reforms linked to the European Semester</w:t>
                      </w:r>
                    </w:p>
                    <w:p>
                      <w:pPr>
                        <w:pStyle w:val="ListParagraph"/>
                        <w:numPr>
                          <w:ilvl w:val="1"/>
                          <w:numId w:val="10"/>
                        </w:numPr>
                        <w:spacing w:after="0" w:line="240" w:lineRule="auto"/>
                        <w:textAlignment w:val="baseline"/>
                        <w:rPr>
                          <w:rFonts w:eastAsia="Times New Roman"/>
                        </w:rPr>
                      </w:pPr>
                      <w:r>
                        <w:rPr>
                          <w:rFonts w:ascii="Arial" w:hAnsi="Arial" w:cs="Arial"/>
                          <w:kern w:val="24"/>
                          <w:lang w:val="en-US"/>
                        </w:rPr>
                        <w:t>Positive incentives either through cohesion policy or through a dedicated fund</w:t>
                      </w:r>
                    </w:p>
                    <w:p>
                      <w:pPr>
                        <w:pStyle w:val="NormalWeb"/>
                        <w:spacing w:after="0"/>
                        <w:textAlignment w:val="baseline"/>
                        <w:rPr>
                          <w:rFonts w:eastAsiaTheme="minorEastAsia"/>
                        </w:rPr>
                      </w:pPr>
                      <w:r>
                        <w:rPr>
                          <w:rFonts w:ascii="Arial" w:hAnsi="Arial" w:cs="Arial"/>
                          <w:b/>
                          <w:bCs/>
                          <w:kern w:val="24"/>
                          <w:sz w:val="28"/>
                          <w:szCs w:val="28"/>
                        </w:rPr>
                        <w:t>Revenue</w:t>
                      </w:r>
                    </w:p>
                    <w:p>
                      <w:pPr>
                        <w:pStyle w:val="ListParagraph"/>
                        <w:numPr>
                          <w:ilvl w:val="0"/>
                          <w:numId w:val="11"/>
                        </w:numPr>
                        <w:spacing w:after="0" w:line="240" w:lineRule="auto"/>
                        <w:textAlignment w:val="baseline"/>
                        <w:rPr>
                          <w:rFonts w:eastAsia="Times New Roman"/>
                        </w:rPr>
                      </w:pPr>
                      <w:r>
                        <w:rPr>
                          <w:rFonts w:ascii="Arial" w:hAnsi="Arial" w:cs="Arial"/>
                          <w:b/>
                          <w:bCs/>
                          <w:kern w:val="24"/>
                        </w:rPr>
                        <w:t xml:space="preserve">Current system without rebates </w:t>
                      </w:r>
                    </w:p>
                    <w:p>
                      <w:pPr>
                        <w:pStyle w:val="ListParagraph"/>
                        <w:numPr>
                          <w:ilvl w:val="0"/>
                          <w:numId w:val="11"/>
                        </w:numPr>
                        <w:spacing w:after="0" w:line="240" w:lineRule="auto"/>
                        <w:textAlignment w:val="baseline"/>
                        <w:rPr>
                          <w:rFonts w:eastAsia="Times New Roman"/>
                        </w:rPr>
                      </w:pPr>
                      <w:r>
                        <w:rPr>
                          <w:rFonts w:ascii="Arial" w:hAnsi="Arial" w:cs="Arial"/>
                          <w:b/>
                          <w:bCs/>
                          <w:kern w:val="24"/>
                          <w:lang w:val="en-US"/>
                        </w:rPr>
                        <w:t xml:space="preserve">Other sources of revenue or fees finance the EU budget </w:t>
                      </w:r>
                    </w:p>
                  </w:txbxContent>
                </v:textbox>
              </v:rect>
            </w:pict>
          </mc:Fallback>
        </mc:AlternateContent>
      </w:r>
      <w:r>
        <w:rPr>
          <w:rFonts w:ascii="Times New Roman" w:hAnsi="Times New Roman" w:cs="Times New Roman"/>
          <w:b/>
          <w:noProof/>
          <w:sz w:val="24"/>
          <w:szCs w:val="24"/>
          <w:lang w:eastAsia="en-GB"/>
        </w:rPr>
        <w:drawing>
          <wp:anchor distT="0" distB="0" distL="114300" distR="114300" simplePos="0" relativeHeight="251665408" behindDoc="0" locked="0" layoutInCell="1" allowOverlap="1">
            <wp:simplePos x="0" y="0"/>
            <wp:positionH relativeFrom="column">
              <wp:posOffset>7632848</wp:posOffset>
            </wp:positionH>
            <wp:positionV relativeFrom="paragraph">
              <wp:posOffset>97886</wp:posOffset>
            </wp:positionV>
            <wp:extent cx="864096" cy="605723"/>
            <wp:effectExtent l="0" t="0" r="0" b="4445"/>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64096" cy="605723"/>
                    </a:xfrm>
                    <a:prstGeom prst="rect">
                      <a:avLst/>
                    </a:prstGeom>
                  </pic:spPr>
                </pic:pic>
              </a:graphicData>
            </a:graphic>
          </wp:anchor>
        </w:drawing>
      </w:r>
      <w:r>
        <w:rPr>
          <w:rFonts w:ascii="Times New Roman" w:hAnsi="Times New Roman" w:cs="Times New Roman"/>
          <w:b/>
          <w:noProof/>
          <w:sz w:val="24"/>
          <w:szCs w:val="24"/>
        </w:rPr>
        <w:t xml:space="preserve"> </w:t>
      </w:r>
      <w:r>
        <w:rPr>
          <w:rFonts w:ascii="Times New Roman" w:hAnsi="Times New Roman" w:cs="Times New Roman"/>
          <w:b/>
          <w:noProof/>
          <w:sz w:val="24"/>
          <w:szCs w:val="24"/>
        </w:rPr>
        <w:br w:type="page"/>
      </w:r>
    </w:p>
    <w:p w:rsidR="001D2777" w:rsidRDefault="00767E0A">
      <w:pPr>
        <w:rPr>
          <w:rFonts w:ascii="Times New Roman" w:hAnsi="Times New Roman" w:cs="Times New Roman"/>
          <w:b/>
          <w:noProof/>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265564</wp:posOffset>
                </wp:positionH>
                <wp:positionV relativeFrom="paragraph">
                  <wp:posOffset>864096</wp:posOffset>
                </wp:positionV>
                <wp:extent cx="8411210" cy="3046095"/>
                <wp:effectExtent l="0" t="0" r="0" b="0"/>
                <wp:wrapNone/>
                <wp:docPr id="25" name="Rectangle 6"/>
                <wp:cNvGraphicFramePr/>
                <a:graphic xmlns:a="http://schemas.openxmlformats.org/drawingml/2006/main">
                  <a:graphicData uri="http://schemas.microsoft.com/office/word/2010/wordprocessingShape">
                    <wps:wsp>
                      <wps:cNvSpPr/>
                      <wps:spPr>
                        <a:xfrm>
                          <a:off x="0" y="0"/>
                          <a:ext cx="8411210" cy="3046095"/>
                        </a:xfrm>
                        <a:prstGeom prst="rect">
                          <a:avLst/>
                        </a:prstGeom>
                      </wps:spPr>
                      <wps:txbx>
                        <w:txbxContent>
                          <w:p w:rsidR="001D2777" w:rsidRDefault="00767E0A">
                            <w:pPr>
                              <w:pStyle w:val="NormalWeb"/>
                              <w:spacing w:after="0"/>
                              <w:textAlignment w:val="baseline"/>
                            </w:pPr>
                            <w:r>
                              <w:rPr>
                                <w:rFonts w:ascii="Arial" w:hAnsi="Arial" w:cs="Arial"/>
                                <w:b/>
                                <w:bCs/>
                                <w:kern w:val="24"/>
                                <w:sz w:val="28"/>
                                <w:szCs w:val="28"/>
                              </w:rPr>
                              <w:t>General trend and volume</w:t>
                            </w:r>
                          </w:p>
                          <w:p w:rsidR="001D2777" w:rsidRDefault="00767E0A">
                            <w:pPr>
                              <w:pStyle w:val="ListParagraph"/>
                              <w:numPr>
                                <w:ilvl w:val="0"/>
                                <w:numId w:val="12"/>
                              </w:numPr>
                              <w:spacing w:after="0" w:line="240" w:lineRule="auto"/>
                              <w:textAlignment w:val="baseline"/>
                              <w:rPr>
                                <w:rFonts w:eastAsia="Times New Roman"/>
                              </w:rPr>
                            </w:pPr>
                            <w:r>
                              <w:rPr>
                                <w:rFonts w:ascii="Arial" w:hAnsi="Arial" w:cs="Arial"/>
                                <w:b/>
                                <w:bCs/>
                                <w:kern w:val="24"/>
                              </w:rPr>
                              <w:t>Significantly reduced</w:t>
                            </w:r>
                          </w:p>
                          <w:p w:rsidR="001D2777" w:rsidRDefault="00767E0A">
                            <w:pPr>
                              <w:pStyle w:val="ListParagraph"/>
                              <w:numPr>
                                <w:ilvl w:val="0"/>
                                <w:numId w:val="12"/>
                              </w:numPr>
                              <w:spacing w:after="0" w:line="240" w:lineRule="auto"/>
                              <w:textAlignment w:val="baseline"/>
                              <w:rPr>
                                <w:rFonts w:eastAsia="Times New Roman"/>
                              </w:rPr>
                            </w:pPr>
                            <w:r>
                              <w:rPr>
                                <w:rFonts w:ascii="Arial" w:hAnsi="Arial" w:cs="Arial"/>
                                <w:b/>
                                <w:bCs/>
                                <w:kern w:val="24"/>
                              </w:rPr>
                              <w:t>Focus on internal market functioning</w:t>
                            </w:r>
                          </w:p>
                          <w:p w:rsidR="001D2777" w:rsidRDefault="00767E0A">
                            <w:pPr>
                              <w:pStyle w:val="ListParagraph"/>
                              <w:numPr>
                                <w:ilvl w:val="0"/>
                                <w:numId w:val="12"/>
                              </w:numPr>
                              <w:spacing w:after="0" w:line="240" w:lineRule="auto"/>
                              <w:textAlignment w:val="baseline"/>
                              <w:rPr>
                                <w:rFonts w:eastAsia="Times New Roman"/>
                              </w:rPr>
                            </w:pPr>
                            <w:r>
                              <w:rPr>
                                <w:rFonts w:ascii="Arial" w:hAnsi="Arial" w:cs="Arial"/>
                                <w:b/>
                                <w:bCs/>
                                <w:kern w:val="24"/>
                              </w:rPr>
                              <w:t>Amounts for Cohesion and Agriculture significantly reduced</w:t>
                            </w:r>
                          </w:p>
                          <w:p w:rsidR="001D2777" w:rsidRDefault="00767E0A">
                            <w:pPr>
                              <w:pStyle w:val="ListParagraph"/>
                              <w:numPr>
                                <w:ilvl w:val="0"/>
                                <w:numId w:val="12"/>
                              </w:numPr>
                              <w:spacing w:after="0" w:line="240" w:lineRule="auto"/>
                              <w:textAlignment w:val="baseline"/>
                              <w:rPr>
                                <w:rFonts w:eastAsia="Times New Roman"/>
                              </w:rPr>
                            </w:pPr>
                            <w:r>
                              <w:rPr>
                                <w:rFonts w:ascii="Arial" w:hAnsi="Arial" w:cs="Arial"/>
                                <w:b/>
                                <w:bCs/>
                                <w:kern w:val="24"/>
                              </w:rPr>
                              <w:t>Much higher use of financial instruments and guarantees</w:t>
                            </w:r>
                          </w:p>
                          <w:p w:rsidR="001D2777" w:rsidRDefault="00767E0A">
                            <w:pPr>
                              <w:pStyle w:val="NormalWeb"/>
                              <w:spacing w:after="0"/>
                              <w:textAlignment w:val="baseline"/>
                              <w:rPr>
                                <w:rFonts w:eastAsiaTheme="minorEastAsia"/>
                              </w:rPr>
                            </w:pPr>
                            <w:r>
                              <w:rPr>
                                <w:rFonts w:ascii="Arial" w:hAnsi="Arial" w:cs="Arial"/>
                                <w:b/>
                                <w:bCs/>
                                <w:kern w:val="24"/>
                                <w:sz w:val="28"/>
                                <w:szCs w:val="28"/>
                                <w:lang w:val="en-US"/>
                              </w:rPr>
                              <w:t>Expenditure</w:t>
                            </w:r>
                          </w:p>
                          <w:p w:rsidR="001D2777" w:rsidRDefault="00767E0A">
                            <w:pPr>
                              <w:pStyle w:val="ListParagraph"/>
                              <w:numPr>
                                <w:ilvl w:val="0"/>
                                <w:numId w:val="13"/>
                              </w:numPr>
                              <w:spacing w:after="0" w:line="240" w:lineRule="auto"/>
                              <w:textAlignment w:val="baseline"/>
                              <w:rPr>
                                <w:rFonts w:eastAsia="Times New Roman"/>
                              </w:rPr>
                            </w:pPr>
                            <w:r>
                              <w:rPr>
                                <w:rFonts w:ascii="Arial" w:hAnsi="Arial" w:cs="Arial"/>
                                <w:b/>
                                <w:bCs/>
                                <w:kern w:val="24"/>
                                <w:lang w:val="en-US"/>
                              </w:rPr>
                              <w:t xml:space="preserve">Common agricultural policy </w:t>
                            </w:r>
                          </w:p>
                          <w:p w:rsidR="001D2777" w:rsidRDefault="00767E0A">
                            <w:pPr>
                              <w:pStyle w:val="ListParagraph"/>
                              <w:numPr>
                                <w:ilvl w:val="1"/>
                                <w:numId w:val="13"/>
                              </w:numPr>
                              <w:spacing w:after="0" w:line="240" w:lineRule="auto"/>
                              <w:textAlignment w:val="baseline"/>
                              <w:rPr>
                                <w:rFonts w:eastAsia="Times New Roman"/>
                              </w:rPr>
                            </w:pPr>
                            <w:r>
                              <w:rPr>
                                <w:rFonts w:ascii="Arial" w:hAnsi="Arial" w:cs="Arial"/>
                                <w:kern w:val="24"/>
                                <w:lang w:val="en-US"/>
                              </w:rPr>
                              <w:t xml:space="preserve">Support only for farmers under special </w:t>
                            </w:r>
                            <w:r>
                              <w:rPr>
                                <w:rFonts w:ascii="Arial" w:hAnsi="Arial" w:cs="Arial"/>
                                <w:kern w:val="24"/>
                                <w:lang w:val="en-US"/>
                              </w:rPr>
                              <w:t>constraints (e.g. small farms, mountainous areas and sparsely populated regions)</w:t>
                            </w:r>
                          </w:p>
                          <w:p w:rsidR="001D2777" w:rsidRDefault="00767E0A">
                            <w:pPr>
                              <w:pStyle w:val="ListParagraph"/>
                              <w:numPr>
                                <w:ilvl w:val="1"/>
                                <w:numId w:val="13"/>
                              </w:numPr>
                              <w:spacing w:after="0" w:line="240" w:lineRule="auto"/>
                              <w:textAlignment w:val="baseline"/>
                              <w:rPr>
                                <w:rFonts w:eastAsia="Times New Roman"/>
                              </w:rPr>
                            </w:pPr>
                            <w:r>
                              <w:rPr>
                                <w:rFonts w:ascii="Arial" w:hAnsi="Arial" w:cs="Arial"/>
                                <w:kern w:val="24"/>
                                <w:lang w:val="en-US"/>
                              </w:rPr>
                              <w:t>Risk management tools for all farms</w:t>
                            </w:r>
                          </w:p>
                          <w:p w:rsidR="001D2777" w:rsidRDefault="00767E0A">
                            <w:pPr>
                              <w:pStyle w:val="ListParagraph"/>
                              <w:numPr>
                                <w:ilvl w:val="0"/>
                                <w:numId w:val="13"/>
                              </w:numPr>
                              <w:spacing w:after="0" w:line="240" w:lineRule="auto"/>
                              <w:textAlignment w:val="baseline"/>
                              <w:rPr>
                                <w:rFonts w:eastAsia="Times New Roman"/>
                              </w:rPr>
                            </w:pPr>
                            <w:r>
                              <w:rPr>
                                <w:rFonts w:ascii="Arial" w:hAnsi="Arial" w:cs="Arial"/>
                                <w:b/>
                                <w:bCs/>
                                <w:kern w:val="24"/>
                              </w:rPr>
                              <w:t>Economic, social and territorial cohesion</w:t>
                            </w:r>
                          </w:p>
                          <w:p w:rsidR="001D2777" w:rsidRDefault="00767E0A">
                            <w:pPr>
                              <w:pStyle w:val="ListParagraph"/>
                              <w:numPr>
                                <w:ilvl w:val="1"/>
                                <w:numId w:val="13"/>
                              </w:numPr>
                              <w:spacing w:after="0" w:line="240" w:lineRule="auto"/>
                              <w:textAlignment w:val="baseline"/>
                              <w:rPr>
                                <w:rFonts w:eastAsia="Times New Roman"/>
                              </w:rPr>
                            </w:pPr>
                            <w:r>
                              <w:rPr>
                                <w:rFonts w:ascii="Arial" w:hAnsi="Arial" w:cs="Arial"/>
                                <w:kern w:val="24"/>
                              </w:rPr>
                              <w:t xml:space="preserve">Support only to cohesion countries and cross-border co-operation </w:t>
                            </w:r>
                          </w:p>
                          <w:p w:rsidR="001D2777" w:rsidRDefault="00767E0A">
                            <w:pPr>
                              <w:pStyle w:val="ListParagraph"/>
                              <w:numPr>
                                <w:ilvl w:val="1"/>
                                <w:numId w:val="13"/>
                              </w:numPr>
                              <w:spacing w:after="0" w:line="240" w:lineRule="auto"/>
                              <w:textAlignment w:val="baseline"/>
                              <w:rPr>
                                <w:rFonts w:eastAsia="Times New Roman"/>
                              </w:rPr>
                            </w:pPr>
                            <w:r>
                              <w:rPr>
                                <w:rFonts w:ascii="Arial" w:hAnsi="Arial" w:cs="Arial"/>
                                <w:kern w:val="24"/>
                              </w:rPr>
                              <w:t>Focus exclusively on</w:t>
                            </w:r>
                            <w:r>
                              <w:rPr>
                                <w:rFonts w:ascii="Arial" w:hAnsi="Arial" w:cs="Arial"/>
                                <w:kern w:val="24"/>
                                <w:lang w:val="en-US"/>
                              </w:rPr>
                              <w:t xml:space="preserve"> social inc</w:t>
                            </w:r>
                            <w:r>
                              <w:rPr>
                                <w:rFonts w:ascii="Arial" w:hAnsi="Arial" w:cs="Arial"/>
                                <w:kern w:val="24"/>
                                <w:lang w:val="en-US"/>
                              </w:rPr>
                              <w:t xml:space="preserve">lusion, employment, skills, </w:t>
                            </w:r>
                            <w:r>
                              <w:rPr>
                                <w:rFonts w:ascii="Arial" w:hAnsi="Arial" w:cs="Arial"/>
                                <w:kern w:val="24"/>
                              </w:rPr>
                              <w:t xml:space="preserve"> </w:t>
                            </w:r>
                            <w:r>
                              <w:rPr>
                                <w:rFonts w:ascii="Arial" w:hAnsi="Arial" w:cs="Arial"/>
                                <w:kern w:val="24"/>
                                <w:lang w:val="en-US"/>
                              </w:rPr>
                              <w:t>innovation, climate change, energy and environmental transition</w:t>
                            </w:r>
                          </w:p>
                          <w:p w:rsidR="001D2777" w:rsidRDefault="00767E0A">
                            <w:pPr>
                              <w:pStyle w:val="ListParagraph"/>
                              <w:numPr>
                                <w:ilvl w:val="0"/>
                                <w:numId w:val="13"/>
                              </w:numPr>
                              <w:spacing w:after="0" w:line="240" w:lineRule="auto"/>
                              <w:textAlignment w:val="baseline"/>
                              <w:rPr>
                                <w:rFonts w:eastAsia="Times New Roman"/>
                              </w:rPr>
                            </w:pPr>
                            <w:r>
                              <w:rPr>
                                <w:rFonts w:ascii="Arial" w:hAnsi="Arial" w:cs="Arial"/>
                                <w:b/>
                                <w:bCs/>
                                <w:kern w:val="24"/>
                                <w:lang w:val="en-US"/>
                              </w:rPr>
                              <w:t xml:space="preserve">Single market programmes maintained </w:t>
                            </w:r>
                            <w:r>
                              <w:rPr>
                                <w:rFonts w:ascii="Arial" w:hAnsi="Arial" w:cs="Arial"/>
                                <w:kern w:val="24"/>
                                <w:lang w:val="en-US"/>
                              </w:rPr>
                              <w:t>(Trans-European networks, customs, consumer protection, agencies)</w:t>
                            </w:r>
                          </w:p>
                          <w:p w:rsidR="001D2777" w:rsidRDefault="00767E0A">
                            <w:pPr>
                              <w:pStyle w:val="ListParagraph"/>
                              <w:numPr>
                                <w:ilvl w:val="0"/>
                                <w:numId w:val="13"/>
                              </w:numPr>
                              <w:spacing w:after="0" w:line="240" w:lineRule="auto"/>
                              <w:textAlignment w:val="baseline"/>
                              <w:rPr>
                                <w:rFonts w:eastAsia="Times New Roman"/>
                              </w:rPr>
                            </w:pPr>
                            <w:r>
                              <w:rPr>
                                <w:rFonts w:ascii="Arial" w:hAnsi="Arial" w:cs="Arial"/>
                                <w:b/>
                                <w:bCs/>
                                <w:kern w:val="24"/>
                              </w:rPr>
                              <w:t xml:space="preserve">No financing for new priorities </w:t>
                            </w:r>
                            <w:r>
                              <w:rPr>
                                <w:rFonts w:ascii="Arial" w:hAnsi="Arial" w:cs="Arial"/>
                                <w:kern w:val="24"/>
                              </w:rPr>
                              <w:t>(security, border control, mi</w:t>
                            </w:r>
                            <w:r>
                              <w:rPr>
                                <w:rFonts w:ascii="Arial" w:hAnsi="Arial" w:cs="Arial"/>
                                <w:kern w:val="24"/>
                              </w:rPr>
                              <w:t>gration,defence)</w:t>
                            </w:r>
                          </w:p>
                          <w:p w:rsidR="001D2777" w:rsidRDefault="00767E0A">
                            <w:pPr>
                              <w:pStyle w:val="ListParagraph"/>
                              <w:numPr>
                                <w:ilvl w:val="0"/>
                                <w:numId w:val="13"/>
                              </w:numPr>
                              <w:spacing w:after="0" w:line="240" w:lineRule="auto"/>
                              <w:textAlignment w:val="baseline"/>
                              <w:rPr>
                                <w:rFonts w:eastAsia="Times New Roman"/>
                              </w:rPr>
                            </w:pPr>
                            <w:r>
                              <w:rPr>
                                <w:rFonts w:ascii="Arial" w:hAnsi="Arial" w:cs="Arial"/>
                                <w:b/>
                                <w:bCs/>
                                <w:kern w:val="24"/>
                                <w:lang w:val="en-US"/>
                              </w:rPr>
                              <w:t>Discontinue other programmes (</w:t>
                            </w:r>
                            <w:r>
                              <w:rPr>
                                <w:rFonts w:ascii="Arial" w:hAnsi="Arial" w:cs="Arial"/>
                                <w:kern w:val="24"/>
                                <w:lang w:val="en-US"/>
                              </w:rPr>
                              <w:t>Erasmus, research and innovation, aid to the most deprived, health, culture, citizenship…)</w:t>
                            </w:r>
                          </w:p>
                          <w:p w:rsidR="001D2777" w:rsidRDefault="00767E0A">
                            <w:pPr>
                              <w:pStyle w:val="NormalWeb"/>
                              <w:spacing w:after="0"/>
                              <w:textAlignment w:val="baseline"/>
                              <w:rPr>
                                <w:rFonts w:eastAsiaTheme="minorEastAsia"/>
                              </w:rPr>
                            </w:pPr>
                            <w:r>
                              <w:rPr>
                                <w:rFonts w:ascii="Arial" w:hAnsi="Arial" w:cs="Arial"/>
                                <w:b/>
                                <w:bCs/>
                                <w:kern w:val="24"/>
                                <w:sz w:val="28"/>
                                <w:szCs w:val="28"/>
                              </w:rPr>
                              <w:t>Revenue</w:t>
                            </w:r>
                          </w:p>
                          <w:p w:rsidR="001D2777" w:rsidRDefault="00767E0A">
                            <w:pPr>
                              <w:pStyle w:val="ListParagraph"/>
                              <w:numPr>
                                <w:ilvl w:val="0"/>
                                <w:numId w:val="14"/>
                              </w:numPr>
                              <w:spacing w:after="0" w:line="240" w:lineRule="auto"/>
                              <w:textAlignment w:val="baseline"/>
                              <w:rPr>
                                <w:rFonts w:eastAsia="Times New Roman"/>
                              </w:rPr>
                            </w:pPr>
                            <w:r>
                              <w:rPr>
                                <w:rFonts w:ascii="Arial" w:hAnsi="Arial" w:cs="Arial"/>
                                <w:b/>
                                <w:bCs/>
                                <w:kern w:val="24"/>
                              </w:rPr>
                              <w:t>Current system without rebates</w:t>
                            </w:r>
                          </w:p>
                        </w:txbxContent>
                      </wps:txbx>
                      <wps:bodyPr wrap="square">
                        <a:spAutoFit/>
                      </wps:bodyPr>
                    </wps:wsp>
                  </a:graphicData>
                </a:graphic>
              </wp:anchor>
            </w:drawing>
          </mc:Choice>
          <mc:Fallback>
            <w:pict>
              <v:rect id="_x0000_s1029" style="position:absolute;margin-left:20.9pt;margin-top:68.05pt;width:662.3pt;height:239.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" filled="f" stroked="f">
                <v:textbox style="mso-fit-shape-to-text:t">
                  <w:txbxContent>
                    <w:p>
                      <w:pPr>
                        <w:pStyle w:val="NormalWeb"/>
                        <w:spacing w:after="0"/>
                        <w:textAlignment w:val="baseline"/>
                      </w:pPr>
                      <w:r>
                        <w:rPr>
                          <w:rFonts w:ascii="Arial" w:hAnsi="Arial" w:cs="Arial"/>
                          <w:b/>
                          <w:bCs/>
                          <w:kern w:val="24"/>
                          <w:sz w:val="28"/>
                          <w:szCs w:val="28"/>
                        </w:rPr>
                        <w:t>General trend and volume</w:t>
                      </w:r>
                    </w:p>
                    <w:p>
                      <w:pPr>
                        <w:pStyle w:val="ListParagraph"/>
                        <w:numPr>
                          <w:ilvl w:val="0"/>
                          <w:numId w:val="12"/>
                        </w:numPr>
                        <w:spacing w:after="0" w:line="240" w:lineRule="auto"/>
                        <w:textAlignment w:val="baseline"/>
                        <w:rPr>
                          <w:rFonts w:eastAsia="Times New Roman"/>
                        </w:rPr>
                      </w:pPr>
                      <w:r>
                        <w:rPr>
                          <w:rFonts w:ascii="Arial" w:hAnsi="Arial" w:cs="Arial"/>
                          <w:b/>
                          <w:bCs/>
                          <w:kern w:val="24"/>
                        </w:rPr>
                        <w:t>Significantly reduced</w:t>
                      </w:r>
                    </w:p>
                    <w:p>
                      <w:pPr>
                        <w:pStyle w:val="ListParagraph"/>
                        <w:numPr>
                          <w:ilvl w:val="0"/>
                          <w:numId w:val="12"/>
                        </w:numPr>
                        <w:spacing w:after="0" w:line="240" w:lineRule="auto"/>
                        <w:textAlignment w:val="baseline"/>
                        <w:rPr>
                          <w:rFonts w:eastAsia="Times New Roman"/>
                        </w:rPr>
                      </w:pPr>
                      <w:r>
                        <w:rPr>
                          <w:rFonts w:ascii="Arial" w:hAnsi="Arial" w:cs="Arial"/>
                          <w:b/>
                          <w:bCs/>
                          <w:kern w:val="24"/>
                        </w:rPr>
                        <w:t>Focus on internal market functioning</w:t>
                      </w:r>
                    </w:p>
                    <w:p>
                      <w:pPr>
                        <w:pStyle w:val="ListParagraph"/>
                        <w:numPr>
                          <w:ilvl w:val="0"/>
                          <w:numId w:val="12"/>
                        </w:numPr>
                        <w:spacing w:after="0" w:line="240" w:lineRule="auto"/>
                        <w:textAlignment w:val="baseline"/>
                        <w:rPr>
                          <w:rFonts w:eastAsia="Times New Roman"/>
                        </w:rPr>
                      </w:pPr>
                      <w:r>
                        <w:rPr>
                          <w:rFonts w:ascii="Arial" w:hAnsi="Arial" w:cs="Arial"/>
                          <w:b/>
                          <w:bCs/>
                          <w:kern w:val="24"/>
                        </w:rPr>
                        <w:t>Amounts for Cohesion and Agriculture significantly reduced</w:t>
                      </w:r>
                    </w:p>
                    <w:p>
                      <w:pPr>
                        <w:pStyle w:val="ListParagraph"/>
                        <w:numPr>
                          <w:ilvl w:val="0"/>
                          <w:numId w:val="12"/>
                        </w:numPr>
                        <w:spacing w:after="0" w:line="240" w:lineRule="auto"/>
                        <w:textAlignment w:val="baseline"/>
                        <w:rPr>
                          <w:rFonts w:eastAsia="Times New Roman"/>
                        </w:rPr>
                      </w:pPr>
                      <w:r>
                        <w:rPr>
                          <w:rFonts w:ascii="Arial" w:hAnsi="Arial" w:cs="Arial"/>
                          <w:b/>
                          <w:bCs/>
                          <w:kern w:val="24"/>
                        </w:rPr>
                        <w:t>Much higher use of financial instruments and guarantees</w:t>
                      </w:r>
                    </w:p>
                    <w:p>
                      <w:pPr>
                        <w:pStyle w:val="NormalWeb"/>
                        <w:spacing w:after="0"/>
                        <w:textAlignment w:val="baseline"/>
                        <w:rPr>
                          <w:rFonts w:eastAsiaTheme="minorEastAsia"/>
                        </w:rPr>
                      </w:pPr>
                      <w:r>
                        <w:rPr>
                          <w:rFonts w:ascii="Arial" w:hAnsi="Arial" w:cs="Arial"/>
                          <w:b/>
                          <w:bCs/>
                          <w:kern w:val="24"/>
                          <w:sz w:val="28"/>
                          <w:szCs w:val="28"/>
                          <w:lang w:val="en-US"/>
                        </w:rPr>
                        <w:t>Expenditure</w:t>
                      </w:r>
                    </w:p>
                    <w:p>
                      <w:pPr>
                        <w:pStyle w:val="ListParagraph"/>
                        <w:numPr>
                          <w:ilvl w:val="0"/>
                          <w:numId w:val="13"/>
                        </w:numPr>
                        <w:spacing w:after="0" w:line="240" w:lineRule="auto"/>
                        <w:textAlignment w:val="baseline"/>
                        <w:rPr>
                          <w:rFonts w:eastAsia="Times New Roman"/>
                        </w:rPr>
                      </w:pPr>
                      <w:r>
                        <w:rPr>
                          <w:rFonts w:ascii="Arial" w:hAnsi="Arial" w:cs="Arial"/>
                          <w:b/>
                          <w:bCs/>
                          <w:kern w:val="24"/>
                          <w:lang w:val="en-US"/>
                        </w:rPr>
                        <w:t xml:space="preserve">Common agricultural policy </w:t>
                      </w:r>
                    </w:p>
                    <w:p>
                      <w:pPr>
                        <w:pStyle w:val="ListParagraph"/>
                        <w:numPr>
                          <w:ilvl w:val="1"/>
                          <w:numId w:val="13"/>
                        </w:numPr>
                        <w:spacing w:after="0" w:line="240" w:lineRule="auto"/>
                        <w:textAlignment w:val="baseline"/>
                        <w:rPr>
                          <w:rFonts w:eastAsia="Times New Roman"/>
                        </w:rPr>
                      </w:pPr>
                      <w:r>
                        <w:rPr>
                          <w:rFonts w:ascii="Arial" w:hAnsi="Arial" w:cs="Arial"/>
                          <w:kern w:val="24"/>
                          <w:lang w:val="en-US"/>
                        </w:rPr>
                        <w:t>Support only for farmers under special constraints (e.g. small farms, mountainous areas and sparsely populated regions)</w:t>
                      </w:r>
                    </w:p>
                    <w:p>
                      <w:pPr>
                        <w:pStyle w:val="ListParagraph"/>
                        <w:numPr>
                          <w:ilvl w:val="1"/>
                          <w:numId w:val="13"/>
                        </w:numPr>
                        <w:spacing w:after="0" w:line="240" w:lineRule="auto"/>
                        <w:textAlignment w:val="baseline"/>
                        <w:rPr>
                          <w:rFonts w:eastAsia="Times New Roman"/>
                        </w:rPr>
                      </w:pPr>
                      <w:r>
                        <w:rPr>
                          <w:rFonts w:ascii="Arial" w:hAnsi="Arial" w:cs="Arial"/>
                          <w:kern w:val="24"/>
                          <w:lang w:val="en-US"/>
                        </w:rPr>
                        <w:t>Risk management tools for all farms</w:t>
                      </w:r>
                    </w:p>
                    <w:p>
                      <w:pPr>
                        <w:pStyle w:val="ListParagraph"/>
                        <w:numPr>
                          <w:ilvl w:val="0"/>
                          <w:numId w:val="13"/>
                        </w:numPr>
                        <w:spacing w:after="0" w:line="240" w:lineRule="auto"/>
                        <w:textAlignment w:val="baseline"/>
                        <w:rPr>
                          <w:rFonts w:eastAsia="Times New Roman"/>
                        </w:rPr>
                      </w:pPr>
                      <w:r>
                        <w:rPr>
                          <w:rFonts w:ascii="Arial" w:hAnsi="Arial" w:cs="Arial"/>
                          <w:b/>
                          <w:bCs/>
                          <w:kern w:val="24"/>
                        </w:rPr>
                        <w:t>Economic, social and territorial cohesion</w:t>
                      </w:r>
                    </w:p>
                    <w:p>
                      <w:pPr>
                        <w:pStyle w:val="ListParagraph"/>
                        <w:numPr>
                          <w:ilvl w:val="1"/>
                          <w:numId w:val="13"/>
                        </w:numPr>
                        <w:spacing w:after="0" w:line="240" w:lineRule="auto"/>
                        <w:textAlignment w:val="baseline"/>
                        <w:rPr>
                          <w:rFonts w:eastAsia="Times New Roman"/>
                        </w:rPr>
                      </w:pPr>
                      <w:r>
                        <w:rPr>
                          <w:rFonts w:ascii="Arial" w:hAnsi="Arial" w:cs="Arial"/>
                          <w:kern w:val="24"/>
                        </w:rPr>
                        <w:t xml:space="preserve">Support only to cohesion countries and cross-border co-operation </w:t>
                      </w:r>
                    </w:p>
                    <w:p>
                      <w:pPr>
                        <w:pStyle w:val="ListParagraph"/>
                        <w:numPr>
                          <w:ilvl w:val="1"/>
                          <w:numId w:val="13"/>
                        </w:numPr>
                        <w:spacing w:after="0" w:line="240" w:lineRule="auto"/>
                        <w:textAlignment w:val="baseline"/>
                        <w:rPr>
                          <w:rFonts w:eastAsia="Times New Roman"/>
                        </w:rPr>
                      </w:pPr>
                      <w:r>
                        <w:rPr>
                          <w:rFonts w:ascii="Arial" w:hAnsi="Arial" w:cs="Arial"/>
                          <w:kern w:val="24"/>
                        </w:rPr>
                        <w:t>Focus exclusively on</w:t>
                      </w:r>
                      <w:r>
                        <w:rPr>
                          <w:rFonts w:ascii="Arial" w:hAnsi="Arial" w:cs="Arial"/>
                          <w:kern w:val="24"/>
                          <w:lang w:val="en-US"/>
                        </w:rPr>
                        <w:t xml:space="preserve"> social inclusion, employment, skills, </w:t>
                      </w:r>
                      <w:r>
                        <w:rPr>
                          <w:rFonts w:ascii="Arial" w:hAnsi="Arial" w:cs="Arial"/>
                          <w:kern w:val="24"/>
                        </w:rPr>
                        <w:t xml:space="preserve"> </w:t>
                      </w:r>
                      <w:r>
                        <w:rPr>
                          <w:rFonts w:ascii="Arial" w:hAnsi="Arial" w:cs="Arial"/>
                          <w:kern w:val="24"/>
                          <w:lang w:val="en-US"/>
                        </w:rPr>
                        <w:t>innovation, climate change, energy and environmental transition</w:t>
                      </w:r>
                    </w:p>
                    <w:p>
                      <w:pPr>
                        <w:pStyle w:val="ListParagraph"/>
                        <w:numPr>
                          <w:ilvl w:val="0"/>
                          <w:numId w:val="13"/>
                        </w:numPr>
                        <w:spacing w:after="0" w:line="240" w:lineRule="auto"/>
                        <w:textAlignment w:val="baseline"/>
                        <w:rPr>
                          <w:rFonts w:eastAsia="Times New Roman"/>
                        </w:rPr>
                      </w:pPr>
                      <w:r>
                        <w:rPr>
                          <w:rFonts w:ascii="Arial" w:hAnsi="Arial" w:cs="Arial"/>
                          <w:b/>
                          <w:bCs/>
                          <w:kern w:val="24"/>
                          <w:lang w:val="en-US"/>
                        </w:rPr>
                        <w:t xml:space="preserve">Single market programmes maintained </w:t>
                      </w:r>
                      <w:r>
                        <w:rPr>
                          <w:rFonts w:ascii="Arial" w:hAnsi="Arial" w:cs="Arial"/>
                          <w:kern w:val="24"/>
                          <w:lang w:val="en-US"/>
                        </w:rPr>
                        <w:t>(Trans-European networks, customs, consumer protection, agencies)</w:t>
                      </w:r>
                    </w:p>
                    <w:p>
                      <w:pPr>
                        <w:pStyle w:val="ListParagraph"/>
                        <w:numPr>
                          <w:ilvl w:val="0"/>
                          <w:numId w:val="13"/>
                        </w:numPr>
                        <w:spacing w:after="0" w:line="240" w:lineRule="auto"/>
                        <w:textAlignment w:val="baseline"/>
                        <w:rPr>
                          <w:rFonts w:eastAsia="Times New Roman"/>
                        </w:rPr>
                      </w:pPr>
                      <w:r>
                        <w:rPr>
                          <w:rFonts w:ascii="Arial" w:hAnsi="Arial" w:cs="Arial"/>
                          <w:b/>
                          <w:bCs/>
                          <w:kern w:val="24"/>
                        </w:rPr>
                        <w:t xml:space="preserve">No financing for new priorities </w:t>
                      </w:r>
                      <w:r>
                        <w:rPr>
                          <w:rFonts w:ascii="Arial" w:hAnsi="Arial" w:cs="Arial"/>
                          <w:kern w:val="24"/>
                        </w:rPr>
                        <w:t>(security, border control, migration,defence)</w:t>
                      </w:r>
                    </w:p>
                    <w:p>
                      <w:pPr>
                        <w:pStyle w:val="ListParagraph"/>
                        <w:numPr>
                          <w:ilvl w:val="0"/>
                          <w:numId w:val="13"/>
                        </w:numPr>
                        <w:spacing w:after="0" w:line="240" w:lineRule="auto"/>
                        <w:textAlignment w:val="baseline"/>
                        <w:rPr>
                          <w:rFonts w:eastAsia="Times New Roman"/>
                        </w:rPr>
                      </w:pPr>
                      <w:r>
                        <w:rPr>
                          <w:rFonts w:ascii="Arial" w:hAnsi="Arial" w:cs="Arial"/>
                          <w:b/>
                          <w:bCs/>
                          <w:kern w:val="24"/>
                          <w:lang w:val="en-US"/>
                        </w:rPr>
                        <w:t>Discontinue other programmes (</w:t>
                      </w:r>
                      <w:r>
                        <w:rPr>
                          <w:rFonts w:ascii="Arial" w:hAnsi="Arial" w:cs="Arial"/>
                          <w:kern w:val="24"/>
                          <w:lang w:val="en-US"/>
                        </w:rPr>
                        <w:t>Erasmus, research and innovation, aid to the most deprived, health, culture, citizenship…)</w:t>
                      </w:r>
                    </w:p>
                    <w:p>
                      <w:pPr>
                        <w:pStyle w:val="NormalWeb"/>
                        <w:spacing w:after="0"/>
                        <w:textAlignment w:val="baseline"/>
                        <w:rPr>
                          <w:rFonts w:eastAsiaTheme="minorEastAsia"/>
                        </w:rPr>
                      </w:pPr>
                      <w:r>
                        <w:rPr>
                          <w:rFonts w:ascii="Arial" w:hAnsi="Arial" w:cs="Arial"/>
                          <w:b/>
                          <w:bCs/>
                          <w:kern w:val="24"/>
                          <w:sz w:val="28"/>
                          <w:szCs w:val="28"/>
                        </w:rPr>
                        <w:t>Revenue</w:t>
                      </w:r>
                    </w:p>
                    <w:p>
                      <w:pPr>
                        <w:pStyle w:val="ListParagraph"/>
                        <w:numPr>
                          <w:ilvl w:val="0"/>
                          <w:numId w:val="14"/>
                        </w:numPr>
                        <w:spacing w:after="0" w:line="240" w:lineRule="auto"/>
                        <w:textAlignment w:val="baseline"/>
                        <w:rPr>
                          <w:rFonts w:eastAsia="Times New Roman"/>
                        </w:rPr>
                      </w:pPr>
                      <w:r>
                        <w:rPr>
                          <w:rFonts w:ascii="Arial" w:hAnsi="Arial" w:cs="Arial"/>
                          <w:b/>
                          <w:bCs/>
                          <w:kern w:val="24"/>
                        </w:rPr>
                        <w:t>Current system without rebates</w:t>
                      </w:r>
                    </w:p>
                  </w:txbxContent>
                </v:textbox>
              </v:rect>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504056</wp:posOffset>
                </wp:positionH>
                <wp:positionV relativeFrom="paragraph">
                  <wp:posOffset>0</wp:posOffset>
                </wp:positionV>
                <wp:extent cx="7920880" cy="825851"/>
                <wp:effectExtent l="0" t="0" r="4445" b="0"/>
                <wp:wrapNone/>
                <wp:docPr id="26" name="Rectangle 18"/>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18" o:spid="_x0000_s1026" style="position:absolute;margin-left:39.7pt;margin-top:0;width:623.7pt;height:65.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144016</wp:posOffset>
                </wp:positionV>
                <wp:extent cx="2893782" cy="1152128"/>
                <wp:effectExtent l="0" t="0" r="0" b="0"/>
                <wp:wrapNone/>
                <wp:docPr id="27" name="TextBox 19"/>
                <wp:cNvGraphicFramePr/>
                <a:graphic xmlns:a="http://schemas.openxmlformats.org/drawingml/2006/main">
                  <a:graphicData uri="http://schemas.microsoft.com/office/word/2010/wordprocessingShape">
                    <wps:wsp>
                      <wps:cNvSpPr txBox="1"/>
                      <wps:spPr>
                        <a:xfrm>
                          <a:off x="0" y="0"/>
                          <a:ext cx="2893782" cy="1152128"/>
                        </a:xfrm>
                        <a:prstGeom prst="rect">
                          <a:avLst/>
                        </a:prstGeom>
                        <a:noFill/>
                      </wps:spPr>
                      <wps:txbx>
                        <w:txbxContent>
                          <w:p w:rsidR="001D2777" w:rsidRDefault="00767E0A">
                            <w:pPr>
                              <w:pStyle w:val="NormalWeb"/>
                              <w:spacing w:after="0"/>
                              <w:jc w:val="center"/>
                              <w:textAlignment w:val="baseline"/>
                            </w:pPr>
                            <w:r>
                              <w:rPr>
                                <w:rFonts w:ascii="Arial" w:hAnsi="Arial" w:cs="Arial"/>
                                <w:b/>
                                <w:bCs/>
                                <w:color w:val="1F497D" w:themeColor="text2"/>
                                <w:kern w:val="24"/>
                                <w:sz w:val="96"/>
                                <w:szCs w:val="96"/>
                              </w:rPr>
                              <w:t>2</w:t>
                            </w:r>
                            <w:r>
                              <w:rPr>
                                <w:rFonts w:ascii="Arial" w:hAnsi="Arial" w:cs="Arial"/>
                                <w:b/>
                                <w:bCs/>
                                <w:color w:val="1F497D" w:themeColor="text2"/>
                                <w:kern w:val="24"/>
                              </w:rPr>
                              <w:t>Doing less together</w:t>
                            </w:r>
                          </w:p>
                        </w:txbxContent>
                      </wps:txbx>
                      <wps:bodyPr wrap="square" rtlCol="0">
                        <a:noAutofit/>
                      </wps:bodyPr>
                    </wps:wsp>
                  </a:graphicData>
                </a:graphic>
              </wp:anchor>
            </w:drawing>
          </mc:Choice>
          <mc:Fallback>
            <w:pict>
              <v:shape id="TextBox 19" o:spid="_x0000_s1030" type="#_x0000_t202" style="position:absolute;margin-left:0;margin-top:11.35pt;width:227.85pt;height:90.7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" filled="f" stroked="f">
                <v:textbox>
                  <w:txbxContent>
                    <w:p>
                      <w:pPr>
                        <w:pStyle w:val="NormalWeb"/>
                        <w:spacing w:after="0"/>
                        <w:jc w:val="center"/>
                        <w:textAlignment w:val="baseline"/>
                      </w:pPr>
                      <w:r>
                        <w:rPr>
                          <w:rFonts w:ascii="Arial" w:hAnsi="Arial" w:cs="Arial"/>
                          <w:b/>
                          <w:bCs/>
                          <w:color w:val="1F497D" w:themeColor="text2"/>
                          <w:kern w:val="24"/>
                          <w:sz w:val="96"/>
                          <w:szCs w:val="96"/>
                        </w:rPr>
                        <w:t>2</w:t>
                      </w:r>
                      <w:r>
                        <w:rPr>
                          <w:rFonts w:ascii="Arial" w:hAnsi="Arial" w:cs="Arial"/>
                          <w:b/>
                          <w:bCs/>
                          <w:color w:val="1F497D" w:themeColor="text2"/>
                          <w:kern w:val="24"/>
                        </w:rPr>
                        <w:t>Doing less together</w:t>
                      </w:r>
                    </w:p>
                  </w:txbxContent>
                </v:textbox>
              </v:shape>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504056</wp:posOffset>
                </wp:positionH>
                <wp:positionV relativeFrom="paragraph">
                  <wp:posOffset>0</wp:posOffset>
                </wp:positionV>
                <wp:extent cx="5616575" cy="427355"/>
                <wp:effectExtent l="0" t="0" r="0" b="0"/>
                <wp:wrapNone/>
                <wp:docPr id="28" name="TextBox 20"/>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1D2777" w:rsidRDefault="00767E0A">
                            <w:pPr>
                              <w:pStyle w:val="NormalWeb"/>
                              <w:spacing w:after="0"/>
                              <w:textAlignment w:val="baseline"/>
                            </w:pPr>
                            <w:r>
                              <w:rPr>
                                <w:rFonts w:ascii="Arial" w:hAnsi="Arial" w:cs="Arial"/>
                                <w:b/>
                                <w:bCs/>
                                <w:color w:val="000000" w:themeColor="text1"/>
                                <w:kern w:val="24"/>
                                <w:sz w:val="40"/>
                                <w:szCs w:val="40"/>
                              </w:rPr>
                              <w:t>Scenario</w:t>
                            </w:r>
                          </w:p>
                        </w:txbxContent>
                      </wps:txbx>
                      <wps:bodyPr wrap="square" rtlCol="0">
                        <a:spAutoFit/>
                      </wps:bodyPr>
                    </wps:wsp>
                  </a:graphicData>
                </a:graphic>
              </wp:anchor>
            </w:drawing>
          </mc:Choice>
          <mc:Fallback>
            <w:pict>
              <v:shape id="TextBox 20" o:spid="_x0000_s1031" type="#_x0000_t202" style="position:absolute;margin-left:39.7pt;margin-top:0;width:442.25pt;height:33.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" filled="f" stroked="f">
                <v:textbox style="mso-fit-shape-to-text:t">
                  <w:txbxContent>
                    <w:p>
                      <w:pPr>
                        <w:pStyle w:val="NormalWeb"/>
                        <w:spacing w:after="0"/>
                        <w:textAlignment w:val="baseline"/>
                      </w:pPr>
                      <w:r>
                        <w:rPr>
                          <w:rFonts w:ascii="Arial" w:hAnsi="Arial" w:cs="Arial"/>
                          <w:b/>
                          <w:bCs/>
                          <w:color w:val="000000" w:themeColor="text1"/>
                          <w:kern w:val="24"/>
                          <w:sz w:val="40"/>
                          <w:szCs w:val="40"/>
                        </w:rPr>
                        <w:t>Scenario</w:t>
                      </w:r>
                    </w:p>
                  </w:txbxContent>
                </v:textbox>
              </v:shape>
            </w:pict>
          </mc:Fallback>
        </mc:AlternateContent>
      </w:r>
      <w:r>
        <w:rPr>
          <w:rFonts w:ascii="Times New Roman" w:hAnsi="Times New Roman" w:cs="Times New Roman"/>
          <w:b/>
          <w:noProof/>
          <w:sz w:val="24"/>
          <w:szCs w:val="24"/>
          <w:lang w:eastAsia="en-GB"/>
        </w:rPr>
        <w:drawing>
          <wp:anchor distT="0" distB="0" distL="114300" distR="114300" simplePos="0" relativeHeight="251671552" behindDoc="0" locked="0" layoutInCell="1" allowOverlap="1">
            <wp:simplePos x="0" y="0"/>
            <wp:positionH relativeFrom="column">
              <wp:posOffset>7214541</wp:posOffset>
            </wp:positionH>
            <wp:positionV relativeFrom="paragraph">
              <wp:posOffset>72008</wp:posOffset>
            </wp:positionV>
            <wp:extent cx="922363" cy="646567"/>
            <wp:effectExtent l="0" t="0" r="0" b="1270"/>
            <wp:wrapNone/>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2363" cy="646567"/>
                    </a:xfrm>
                    <a:prstGeom prst="rect">
                      <a:avLst/>
                    </a:prstGeom>
                  </pic:spPr>
                </pic:pic>
              </a:graphicData>
            </a:graphic>
          </wp:anchor>
        </w:drawing>
      </w:r>
      <w:r>
        <w:rPr>
          <w:rFonts w:ascii="Times New Roman" w:hAnsi="Times New Roman" w:cs="Times New Roman"/>
          <w:b/>
          <w:noProof/>
          <w:sz w:val="24"/>
          <w:szCs w:val="24"/>
        </w:rPr>
        <w:t xml:space="preserve"> </w:t>
      </w:r>
    </w:p>
    <w:p w:rsidR="001D2777" w:rsidRDefault="00767E0A">
      <w:pPr>
        <w:rPr>
          <w:rFonts w:ascii="Times New Roman" w:hAnsi="Times New Roman" w:cs="Times New Roman"/>
          <w:b/>
          <w:noProof/>
          <w:sz w:val="24"/>
          <w:szCs w:val="24"/>
        </w:rPr>
      </w:pPr>
      <w:r>
        <w:rPr>
          <w:rFonts w:ascii="Times New Roman" w:hAnsi="Times New Roman" w:cs="Times New Roman"/>
          <w:b/>
          <w:noProof/>
          <w:sz w:val="24"/>
          <w:szCs w:val="24"/>
        </w:rPr>
        <w:br w:type="page"/>
      </w:r>
    </w:p>
    <w:p w:rsidR="001D2777" w:rsidRDefault="00767E0A">
      <w:pPr>
        <w:rPr>
          <w:rFonts w:ascii="Times New Roman" w:hAnsi="Times New Roman" w:cs="Times New Roman"/>
          <w:b/>
          <w:noProof/>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73600" behindDoc="0" locked="0" layoutInCell="1" allowOverlap="1">
                <wp:simplePos x="0" y="0"/>
                <wp:positionH relativeFrom="column">
                  <wp:posOffset>661534</wp:posOffset>
                </wp:positionH>
                <wp:positionV relativeFrom="paragraph">
                  <wp:posOffset>0</wp:posOffset>
                </wp:positionV>
                <wp:extent cx="7920880" cy="825851"/>
                <wp:effectExtent l="0" t="0" r="4445" b="0"/>
                <wp:wrapNone/>
                <wp:docPr id="35" name="Rectangle 7"/>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7" o:spid="_x0000_s1026" style="position:absolute;margin-left:52.1pt;margin-top:0;width:623.7pt;height:65.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674624" behindDoc="0" locked="0" layoutInCell="1" allowOverlap="1">
                <wp:simplePos x="0" y="0"/>
                <wp:positionH relativeFrom="column">
                  <wp:posOffset>0</wp:posOffset>
                </wp:positionH>
                <wp:positionV relativeFrom="paragraph">
                  <wp:posOffset>144016</wp:posOffset>
                </wp:positionV>
                <wp:extent cx="2893782" cy="1152128"/>
                <wp:effectExtent l="0" t="0" r="0" b="0"/>
                <wp:wrapNone/>
                <wp:docPr id="36" name="TextBox 8"/>
                <wp:cNvGraphicFramePr/>
                <a:graphic xmlns:a="http://schemas.openxmlformats.org/drawingml/2006/main">
                  <a:graphicData uri="http://schemas.microsoft.com/office/word/2010/wordprocessingShape">
                    <wps:wsp>
                      <wps:cNvSpPr txBox="1"/>
                      <wps:spPr>
                        <a:xfrm>
                          <a:off x="0" y="0"/>
                          <a:ext cx="2893782" cy="1152128"/>
                        </a:xfrm>
                        <a:prstGeom prst="rect">
                          <a:avLst/>
                        </a:prstGeom>
                        <a:noFill/>
                      </wps:spPr>
                      <wps:txbx>
                        <w:txbxContent>
                          <w:p w:rsidR="001D2777" w:rsidRDefault="00767E0A">
                            <w:pPr>
                              <w:pStyle w:val="NormalWeb"/>
                              <w:spacing w:after="0"/>
                              <w:jc w:val="center"/>
                              <w:textAlignment w:val="baseline"/>
                            </w:pPr>
                            <w:r>
                              <w:rPr>
                                <w:rFonts w:ascii="Arial" w:hAnsi="Arial" w:cs="Arial"/>
                                <w:b/>
                                <w:bCs/>
                                <w:color w:val="1F497D" w:themeColor="text2"/>
                                <w:kern w:val="24"/>
                                <w:sz w:val="96"/>
                                <w:szCs w:val="96"/>
                              </w:rPr>
                              <w:t>3</w:t>
                            </w:r>
                            <w:r>
                              <w:rPr>
                                <w:rFonts w:ascii="Arial" w:hAnsi="Arial" w:cs="Arial"/>
                                <w:b/>
                                <w:bCs/>
                                <w:color w:val="1F497D" w:themeColor="text2"/>
                                <w:kern w:val="24"/>
                              </w:rPr>
                              <w:t>Some do more</w:t>
                            </w:r>
                          </w:p>
                        </w:txbxContent>
                      </wps:txbx>
                      <wps:bodyPr wrap="square" rtlCol="0">
                        <a:noAutofit/>
                      </wps:bodyPr>
                    </wps:wsp>
                  </a:graphicData>
                </a:graphic>
              </wp:anchor>
            </w:drawing>
          </mc:Choice>
          <mc:Fallback>
            <w:pict>
              <v:shape id="TextBox 8" o:spid="_x0000_s1032" type="#_x0000_t202" style="position:absolute;margin-left:0;margin-top:11.35pt;width:227.85pt;height:90.7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" filled="f" stroked="f">
                <v:textbox>
                  <w:txbxContent>
                    <w:p>
                      <w:pPr>
                        <w:pStyle w:val="NormalWeb"/>
                        <w:spacing w:after="0"/>
                        <w:jc w:val="center"/>
                        <w:textAlignment w:val="baseline"/>
                      </w:pPr>
                      <w:r>
                        <w:rPr>
                          <w:rFonts w:ascii="Arial" w:hAnsi="Arial" w:cs="Arial"/>
                          <w:b/>
                          <w:bCs/>
                          <w:color w:val="1F497D" w:themeColor="text2"/>
                          <w:kern w:val="24"/>
                          <w:sz w:val="96"/>
                          <w:szCs w:val="96"/>
                        </w:rPr>
                        <w:t>3</w:t>
                      </w:r>
                      <w:r>
                        <w:rPr>
                          <w:rFonts w:ascii="Arial" w:hAnsi="Arial" w:cs="Arial"/>
                          <w:b/>
                          <w:bCs/>
                          <w:color w:val="1F497D" w:themeColor="text2"/>
                          <w:kern w:val="24"/>
                        </w:rPr>
                        <w:t>Some do more</w:t>
                      </w:r>
                    </w:p>
                  </w:txbxContent>
                </v:textbox>
              </v:shape>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675648" behindDoc="0" locked="0" layoutInCell="1" allowOverlap="1">
                <wp:simplePos x="0" y="0"/>
                <wp:positionH relativeFrom="column">
                  <wp:posOffset>661534</wp:posOffset>
                </wp:positionH>
                <wp:positionV relativeFrom="paragraph">
                  <wp:posOffset>0</wp:posOffset>
                </wp:positionV>
                <wp:extent cx="5616575" cy="427355"/>
                <wp:effectExtent l="0" t="0" r="0" b="0"/>
                <wp:wrapNone/>
                <wp:docPr id="37" name="TextBox 9"/>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1D2777" w:rsidRDefault="00767E0A">
                            <w:pPr>
                              <w:pStyle w:val="NormalWeb"/>
                              <w:spacing w:after="0"/>
                              <w:textAlignment w:val="baseline"/>
                            </w:pPr>
                            <w:r>
                              <w:rPr>
                                <w:rFonts w:ascii="Arial" w:hAnsi="Arial" w:cs="Arial"/>
                                <w:b/>
                                <w:bCs/>
                                <w:color w:val="000000" w:themeColor="text1"/>
                                <w:kern w:val="24"/>
                                <w:sz w:val="40"/>
                                <w:szCs w:val="40"/>
                              </w:rPr>
                              <w:t>Scenario</w:t>
                            </w:r>
                          </w:p>
                        </w:txbxContent>
                      </wps:txbx>
                      <wps:bodyPr wrap="square" rtlCol="0">
                        <a:spAutoFit/>
                      </wps:bodyPr>
                    </wps:wsp>
                  </a:graphicData>
                </a:graphic>
              </wp:anchor>
            </w:drawing>
          </mc:Choice>
          <mc:Fallback>
            <w:pict>
              <v:shape id="TextBox 9" o:spid="_x0000_s1033" type="#_x0000_t202" style="position:absolute;margin-left:52.1pt;margin-top:0;width:442.25pt;height:33.6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" filled="f" stroked="f">
                <v:textbox style="mso-fit-shape-to-text:t">
                  <w:txbxContent>
                    <w:p>
                      <w:pPr>
                        <w:pStyle w:val="NormalWeb"/>
                        <w:spacing w:after="0"/>
                        <w:textAlignment w:val="baseline"/>
                      </w:pPr>
                      <w:r>
                        <w:rPr>
                          <w:rFonts w:ascii="Arial" w:hAnsi="Arial" w:cs="Arial"/>
                          <w:b/>
                          <w:bCs/>
                          <w:color w:val="000000" w:themeColor="text1"/>
                          <w:kern w:val="24"/>
                          <w:sz w:val="40"/>
                          <w:szCs w:val="40"/>
                        </w:rPr>
                        <w:t>Scenario</w:t>
                      </w:r>
                    </w:p>
                  </w:txbxContent>
                </v:textbox>
              </v:shape>
            </w:pict>
          </mc:Fallback>
        </mc:AlternateContent>
      </w:r>
      <w:r>
        <w:rPr>
          <w:rFonts w:ascii="Times New Roman" w:hAnsi="Times New Roman" w:cs="Times New Roman"/>
          <w:b/>
          <w:noProof/>
          <w:sz w:val="24"/>
          <w:szCs w:val="24"/>
          <w:lang w:eastAsia="en-GB"/>
        </w:rPr>
        <w:drawing>
          <wp:anchor distT="0" distB="0" distL="114300" distR="114300" simplePos="0" relativeHeight="251676672" behindDoc="0" locked="0" layoutInCell="1" allowOverlap="1">
            <wp:simplePos x="0" y="0"/>
            <wp:positionH relativeFrom="column">
              <wp:posOffset>7430286</wp:posOffset>
            </wp:positionH>
            <wp:positionV relativeFrom="paragraph">
              <wp:posOffset>84825</wp:posOffset>
            </wp:positionV>
            <wp:extent cx="936104" cy="656200"/>
            <wp:effectExtent l="0" t="0" r="0" b="0"/>
            <wp:wrapNone/>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936104" cy="656200"/>
                    </a:xfrm>
                    <a:prstGeom prst="rect">
                      <a:avLst/>
                    </a:prstGeom>
                  </pic:spPr>
                </pic:pic>
              </a:graphicData>
            </a:graphic>
          </wp:anchor>
        </w:drawing>
      </w:r>
      <w:r>
        <w:rPr>
          <w:rFonts w:ascii="Times New Roman" w:hAnsi="Times New Roman" w:cs="Times New Roman"/>
          <w:b/>
          <w:noProof/>
          <w:sz w:val="24"/>
          <w:szCs w:val="24"/>
          <w:lang w:eastAsia="en-GB"/>
        </w:rPr>
        <mc:AlternateContent>
          <mc:Choice Requires="wps">
            <w:drawing>
              <wp:anchor distT="0" distB="0" distL="114300" distR="114300" simplePos="0" relativeHeight="251677696" behindDoc="0" locked="0" layoutInCell="1" allowOverlap="1">
                <wp:simplePos x="0" y="0"/>
                <wp:positionH relativeFrom="column">
                  <wp:posOffset>423042</wp:posOffset>
                </wp:positionH>
                <wp:positionV relativeFrom="paragraph">
                  <wp:posOffset>864096</wp:posOffset>
                </wp:positionV>
                <wp:extent cx="8411210" cy="3441700"/>
                <wp:effectExtent l="0" t="0" r="0" b="0"/>
                <wp:wrapNone/>
                <wp:docPr id="38" name="Rectangle 12"/>
                <wp:cNvGraphicFramePr/>
                <a:graphic xmlns:a="http://schemas.openxmlformats.org/drawingml/2006/main">
                  <a:graphicData uri="http://schemas.microsoft.com/office/word/2010/wordprocessingShape">
                    <wps:wsp>
                      <wps:cNvSpPr/>
                      <wps:spPr>
                        <a:xfrm>
                          <a:off x="0" y="0"/>
                          <a:ext cx="8411210" cy="3441700"/>
                        </a:xfrm>
                        <a:prstGeom prst="rect">
                          <a:avLst/>
                        </a:prstGeom>
                      </wps:spPr>
                      <wps:txbx>
                        <w:txbxContent>
                          <w:p w:rsidR="001D2777" w:rsidRDefault="00767E0A">
                            <w:pPr>
                              <w:pStyle w:val="NormalWeb"/>
                              <w:spacing w:after="0"/>
                              <w:textAlignment w:val="baseline"/>
                            </w:pPr>
                            <w:r>
                              <w:rPr>
                                <w:rFonts w:ascii="Arial" w:hAnsi="Arial" w:cs="Arial"/>
                                <w:b/>
                                <w:bCs/>
                                <w:kern w:val="24"/>
                                <w:sz w:val="28"/>
                                <w:szCs w:val="28"/>
                              </w:rPr>
                              <w:t>General trend and volume</w:t>
                            </w:r>
                          </w:p>
                          <w:p w:rsidR="001D2777" w:rsidRDefault="00767E0A">
                            <w:pPr>
                              <w:pStyle w:val="ListParagraph"/>
                              <w:numPr>
                                <w:ilvl w:val="0"/>
                                <w:numId w:val="15"/>
                              </w:numPr>
                              <w:spacing w:after="0" w:line="240" w:lineRule="auto"/>
                              <w:textAlignment w:val="baseline"/>
                              <w:rPr>
                                <w:rFonts w:eastAsia="Times New Roman"/>
                              </w:rPr>
                            </w:pPr>
                            <w:r>
                              <w:rPr>
                                <w:rFonts w:ascii="Arial" w:hAnsi="Arial" w:cs="Arial"/>
                                <w:b/>
                                <w:bCs/>
                                <w:kern w:val="24"/>
                              </w:rPr>
                              <w:t>Broadly stable with a potential increase to cover the areas of joint action</w:t>
                            </w:r>
                          </w:p>
                          <w:p w:rsidR="001D2777" w:rsidRDefault="00767E0A">
                            <w:pPr>
                              <w:pStyle w:val="ListParagraph"/>
                              <w:numPr>
                                <w:ilvl w:val="0"/>
                                <w:numId w:val="15"/>
                              </w:numPr>
                              <w:spacing w:after="0" w:line="240" w:lineRule="auto"/>
                              <w:textAlignment w:val="baseline"/>
                              <w:rPr>
                                <w:rFonts w:eastAsia="Times New Roman"/>
                              </w:rPr>
                            </w:pPr>
                            <w:r>
                              <w:rPr>
                                <w:rFonts w:ascii="Arial" w:hAnsi="Arial" w:cs="Arial"/>
                                <w:b/>
                                <w:bCs/>
                                <w:kern w:val="24"/>
                              </w:rPr>
                              <w:t>Higher use of financial instruments and guarantees</w:t>
                            </w:r>
                          </w:p>
                          <w:p w:rsidR="001D2777" w:rsidRDefault="00767E0A">
                            <w:pPr>
                              <w:pStyle w:val="NormalWeb"/>
                              <w:spacing w:after="0"/>
                              <w:textAlignment w:val="baseline"/>
                              <w:rPr>
                                <w:rFonts w:eastAsiaTheme="minorEastAsia"/>
                              </w:rPr>
                            </w:pPr>
                            <w:r>
                              <w:rPr>
                                <w:rFonts w:ascii="Arial" w:hAnsi="Arial" w:cs="Arial"/>
                                <w:b/>
                                <w:bCs/>
                                <w:kern w:val="24"/>
                                <w:sz w:val="28"/>
                                <w:szCs w:val="28"/>
                                <w:lang w:val="en-US"/>
                              </w:rPr>
                              <w:t>Expenditure</w:t>
                            </w:r>
                          </w:p>
                          <w:p w:rsidR="001D2777" w:rsidRDefault="00767E0A">
                            <w:pPr>
                              <w:pStyle w:val="ListParagraph"/>
                              <w:numPr>
                                <w:ilvl w:val="0"/>
                                <w:numId w:val="16"/>
                              </w:numPr>
                              <w:spacing w:after="0" w:line="240" w:lineRule="auto"/>
                              <w:textAlignment w:val="baseline"/>
                              <w:rPr>
                                <w:rFonts w:eastAsia="Times New Roman"/>
                              </w:rPr>
                            </w:pPr>
                            <w:r>
                              <w:rPr>
                                <w:rFonts w:ascii="Arial" w:hAnsi="Arial" w:cs="Arial"/>
                                <w:b/>
                                <w:bCs/>
                                <w:kern w:val="24"/>
                                <w:lang w:val="en-US"/>
                              </w:rPr>
                              <w:t>As in Scenario 1</w:t>
                            </w:r>
                          </w:p>
                          <w:p w:rsidR="001D2777" w:rsidRDefault="00767E0A">
                            <w:pPr>
                              <w:pStyle w:val="NormalWeb"/>
                              <w:spacing w:after="0"/>
                              <w:textAlignment w:val="baseline"/>
                              <w:rPr>
                                <w:rFonts w:eastAsiaTheme="minorEastAsia"/>
                              </w:rPr>
                            </w:pPr>
                            <w:r>
                              <w:rPr>
                                <w:rFonts w:ascii="Arial" w:hAnsi="Arial" w:cs="Arial"/>
                                <w:b/>
                                <w:bCs/>
                                <w:kern w:val="24"/>
                                <w:sz w:val="28"/>
                                <w:szCs w:val="28"/>
                              </w:rPr>
                              <w:t>Additional budgets and innovative financing</w:t>
                            </w:r>
                          </w:p>
                          <w:p w:rsidR="001D2777" w:rsidRDefault="00767E0A">
                            <w:pPr>
                              <w:pStyle w:val="ListParagraph"/>
                              <w:numPr>
                                <w:ilvl w:val="0"/>
                                <w:numId w:val="17"/>
                              </w:numPr>
                              <w:spacing w:after="0" w:line="240" w:lineRule="auto"/>
                              <w:textAlignment w:val="baseline"/>
                              <w:rPr>
                                <w:rFonts w:eastAsia="Times New Roman"/>
                              </w:rPr>
                            </w:pPr>
                            <w:r>
                              <w:rPr>
                                <w:rFonts w:ascii="Arial" w:hAnsi="Arial" w:cs="Arial"/>
                                <w:b/>
                                <w:bCs/>
                                <w:kern w:val="24"/>
                              </w:rPr>
                              <w:t xml:space="preserve">Enhanced cooperation  </w:t>
                            </w:r>
                            <w:r>
                              <w:rPr>
                                <w:rFonts w:ascii="Arial" w:hAnsi="Arial" w:cs="Arial"/>
                                <w:b/>
                                <w:bCs/>
                                <w:kern w:val="24"/>
                              </w:rPr>
                              <w:t>expenditure  included in the EU budget (like European Public Prosecutor's Office)</w:t>
                            </w:r>
                          </w:p>
                          <w:p w:rsidR="001D2777" w:rsidRDefault="00767E0A">
                            <w:pPr>
                              <w:pStyle w:val="ListParagraph"/>
                              <w:numPr>
                                <w:ilvl w:val="0"/>
                                <w:numId w:val="17"/>
                              </w:numPr>
                              <w:spacing w:after="0" w:line="240" w:lineRule="auto"/>
                              <w:textAlignment w:val="baseline"/>
                              <w:rPr>
                                <w:rFonts w:eastAsia="Times New Roman"/>
                              </w:rPr>
                            </w:pPr>
                            <w:r>
                              <w:rPr>
                                <w:rFonts w:ascii="Arial" w:hAnsi="Arial" w:cs="Arial"/>
                                <w:b/>
                                <w:bCs/>
                                <w:kern w:val="24"/>
                                <w:lang w:val="en-US"/>
                              </w:rPr>
                              <w:t>Pooling of funding beyond the EU budget</w:t>
                            </w:r>
                          </w:p>
                          <w:p w:rsidR="001D2777" w:rsidRDefault="00767E0A">
                            <w:pPr>
                              <w:pStyle w:val="ListParagraph"/>
                              <w:numPr>
                                <w:ilvl w:val="1"/>
                                <w:numId w:val="17"/>
                              </w:numPr>
                              <w:spacing w:after="0" w:line="240" w:lineRule="auto"/>
                              <w:textAlignment w:val="baseline"/>
                              <w:rPr>
                                <w:rFonts w:eastAsia="Times New Roman"/>
                              </w:rPr>
                            </w:pPr>
                            <w:r>
                              <w:rPr>
                                <w:rFonts w:ascii="Arial" w:hAnsi="Arial" w:cs="Arial"/>
                                <w:kern w:val="24"/>
                                <w:lang w:val="en-US"/>
                              </w:rPr>
                              <w:t>trust funds</w:t>
                            </w:r>
                          </w:p>
                          <w:p w:rsidR="001D2777" w:rsidRDefault="00767E0A">
                            <w:pPr>
                              <w:pStyle w:val="ListParagraph"/>
                              <w:numPr>
                                <w:ilvl w:val="1"/>
                                <w:numId w:val="17"/>
                              </w:numPr>
                              <w:spacing w:after="0" w:line="240" w:lineRule="auto"/>
                              <w:textAlignment w:val="baseline"/>
                              <w:rPr>
                                <w:rFonts w:eastAsia="Times New Roman"/>
                              </w:rPr>
                            </w:pPr>
                            <w:r>
                              <w:rPr>
                                <w:rFonts w:ascii="Arial" w:hAnsi="Arial" w:cs="Arial"/>
                                <w:kern w:val="24"/>
                                <w:lang w:val="en-US"/>
                              </w:rPr>
                              <w:t xml:space="preserve">assigned revenues </w:t>
                            </w:r>
                          </w:p>
                          <w:p w:rsidR="001D2777" w:rsidRDefault="00767E0A">
                            <w:pPr>
                              <w:pStyle w:val="ListParagraph"/>
                              <w:numPr>
                                <w:ilvl w:val="1"/>
                                <w:numId w:val="17"/>
                              </w:numPr>
                              <w:spacing w:after="0" w:line="240" w:lineRule="auto"/>
                              <w:textAlignment w:val="baseline"/>
                              <w:rPr>
                                <w:rFonts w:eastAsia="Times New Roman"/>
                              </w:rPr>
                            </w:pPr>
                            <w:r>
                              <w:rPr>
                                <w:rFonts w:ascii="Arial" w:hAnsi="Arial" w:cs="Arial"/>
                                <w:kern w:val="24"/>
                                <w:lang w:val="en-US"/>
                              </w:rPr>
                              <w:t>channeled through the EU budget but not subject to the constraints of the Multi-annual Financial Framew</w:t>
                            </w:r>
                            <w:r>
                              <w:rPr>
                                <w:rFonts w:ascii="Arial" w:hAnsi="Arial" w:cs="Arial"/>
                                <w:kern w:val="24"/>
                                <w:lang w:val="en-US"/>
                              </w:rPr>
                              <w:t>ork</w:t>
                            </w:r>
                          </w:p>
                          <w:p w:rsidR="001D2777" w:rsidRDefault="00767E0A">
                            <w:pPr>
                              <w:pStyle w:val="ListParagraph"/>
                              <w:numPr>
                                <w:ilvl w:val="0"/>
                                <w:numId w:val="17"/>
                              </w:numPr>
                              <w:spacing w:after="0" w:line="240" w:lineRule="auto"/>
                              <w:textAlignment w:val="baseline"/>
                              <w:rPr>
                                <w:rFonts w:eastAsia="Times New Roman"/>
                              </w:rPr>
                            </w:pPr>
                            <w:r>
                              <w:rPr>
                                <w:rFonts w:ascii="Arial" w:hAnsi="Arial" w:cs="Arial"/>
                                <w:b/>
                                <w:bCs/>
                                <w:kern w:val="24"/>
                                <w:lang w:val="en-US"/>
                              </w:rPr>
                              <w:t xml:space="preserve">Eurozone </w:t>
                            </w:r>
                          </w:p>
                          <w:p w:rsidR="001D2777" w:rsidRDefault="00767E0A">
                            <w:pPr>
                              <w:pStyle w:val="ListParagraph"/>
                              <w:numPr>
                                <w:ilvl w:val="1"/>
                                <w:numId w:val="17"/>
                              </w:numPr>
                              <w:spacing w:after="0" w:line="240" w:lineRule="auto"/>
                              <w:textAlignment w:val="baseline"/>
                              <w:rPr>
                                <w:rFonts w:eastAsia="Times New Roman"/>
                              </w:rPr>
                            </w:pPr>
                            <w:r>
                              <w:rPr>
                                <w:rFonts w:ascii="Arial" w:hAnsi="Arial" w:cs="Arial"/>
                                <w:kern w:val="24"/>
                                <w:lang w:val="en-US"/>
                              </w:rPr>
                              <w:t>Euro-zone macro-economic</w:t>
                            </w:r>
                            <w:r>
                              <w:rPr>
                                <w:rFonts w:ascii="Arial" w:hAnsi="Arial" w:cs="Arial"/>
                                <w:kern w:val="24"/>
                              </w:rPr>
                              <w:t xml:space="preserve"> stabilisation</w:t>
                            </w:r>
                            <w:r>
                              <w:rPr>
                                <w:rFonts w:ascii="Arial" w:hAnsi="Arial" w:cs="Arial"/>
                                <w:kern w:val="24"/>
                                <w:lang w:val="en-US"/>
                              </w:rPr>
                              <w:t xml:space="preserve"> (investment protection/unemployment re-insurance/rainy day fund)</w:t>
                            </w:r>
                          </w:p>
                          <w:p w:rsidR="001D2777" w:rsidRDefault="00767E0A">
                            <w:pPr>
                              <w:pStyle w:val="NormalWeb"/>
                              <w:spacing w:after="0"/>
                              <w:textAlignment w:val="baseline"/>
                              <w:rPr>
                                <w:rFonts w:eastAsiaTheme="minorEastAsia"/>
                              </w:rPr>
                            </w:pPr>
                            <w:r>
                              <w:rPr>
                                <w:rFonts w:ascii="Arial" w:hAnsi="Arial" w:cs="Arial"/>
                                <w:b/>
                                <w:bCs/>
                                <w:kern w:val="24"/>
                                <w:sz w:val="28"/>
                                <w:szCs w:val="28"/>
                              </w:rPr>
                              <w:t>Revenue</w:t>
                            </w:r>
                          </w:p>
                          <w:p w:rsidR="001D2777" w:rsidRDefault="00767E0A">
                            <w:pPr>
                              <w:pStyle w:val="ListParagraph"/>
                              <w:numPr>
                                <w:ilvl w:val="0"/>
                                <w:numId w:val="18"/>
                              </w:numPr>
                              <w:spacing w:after="0" w:line="240" w:lineRule="auto"/>
                              <w:textAlignment w:val="baseline"/>
                              <w:rPr>
                                <w:rFonts w:eastAsia="Times New Roman"/>
                              </w:rPr>
                            </w:pPr>
                            <w:r>
                              <w:rPr>
                                <w:rFonts w:ascii="Arial" w:hAnsi="Arial" w:cs="Arial"/>
                                <w:b/>
                                <w:bCs/>
                                <w:kern w:val="24"/>
                              </w:rPr>
                              <w:t>As in Scenario 1 + new policies financed only by participating Member States, either through current system or</w:t>
                            </w:r>
                          </w:p>
                          <w:p w:rsidR="001D2777" w:rsidRDefault="00767E0A">
                            <w:pPr>
                              <w:pStyle w:val="ListParagraph"/>
                              <w:numPr>
                                <w:ilvl w:val="0"/>
                                <w:numId w:val="18"/>
                              </w:numPr>
                              <w:spacing w:after="0" w:line="240" w:lineRule="auto"/>
                              <w:textAlignment w:val="baseline"/>
                              <w:rPr>
                                <w:rFonts w:eastAsia="Times New Roman"/>
                              </w:rPr>
                            </w:pPr>
                            <w:r>
                              <w:rPr>
                                <w:rFonts w:ascii="Arial" w:hAnsi="Arial" w:cs="Arial"/>
                                <w:b/>
                                <w:bCs/>
                                <w:kern w:val="24"/>
                              </w:rPr>
                              <w:t xml:space="preserve">A new own resource </w:t>
                            </w:r>
                            <w:r>
                              <w:rPr>
                                <w:rFonts w:ascii="Arial" w:hAnsi="Arial" w:cs="Arial"/>
                                <w:b/>
                                <w:bCs/>
                                <w:kern w:val="24"/>
                              </w:rPr>
                              <w:t>(e.g. Financial Transaction Tax)</w:t>
                            </w:r>
                          </w:p>
                          <w:p w:rsidR="001D2777" w:rsidRDefault="00767E0A">
                            <w:pPr>
                              <w:pStyle w:val="ListParagraph"/>
                              <w:numPr>
                                <w:ilvl w:val="1"/>
                                <w:numId w:val="18"/>
                              </w:numPr>
                              <w:spacing w:after="0" w:line="240" w:lineRule="auto"/>
                              <w:textAlignment w:val="baseline"/>
                              <w:rPr>
                                <w:rFonts w:eastAsia="Times New Roman"/>
                              </w:rPr>
                            </w:pPr>
                            <w:r>
                              <w:rPr>
                                <w:rFonts w:ascii="Arial" w:hAnsi="Arial" w:cs="Arial"/>
                                <w:bCs/>
                                <w:kern w:val="24"/>
                              </w:rPr>
                              <w:t xml:space="preserve">A new stream of revenue outside the current financing system </w:t>
                            </w:r>
                          </w:p>
                          <w:p w:rsidR="001D2777" w:rsidRDefault="00767E0A">
                            <w:pPr>
                              <w:pStyle w:val="ListParagraph"/>
                              <w:numPr>
                                <w:ilvl w:val="1"/>
                                <w:numId w:val="18"/>
                              </w:numPr>
                              <w:spacing w:after="0" w:line="240" w:lineRule="auto"/>
                              <w:textAlignment w:val="baseline"/>
                              <w:rPr>
                                <w:rFonts w:eastAsia="Times New Roman"/>
                              </w:rPr>
                            </w:pPr>
                            <w:r>
                              <w:rPr>
                                <w:rFonts w:ascii="Arial" w:hAnsi="Arial" w:cs="Arial"/>
                                <w:bCs/>
                                <w:kern w:val="24"/>
                              </w:rPr>
                              <w:t>or ad-hoc financial contributions</w:t>
                            </w:r>
                          </w:p>
                        </w:txbxContent>
                      </wps:txbx>
                      <wps:bodyPr wrap="square">
                        <a:spAutoFit/>
                      </wps:bodyPr>
                    </wps:wsp>
                  </a:graphicData>
                </a:graphic>
              </wp:anchor>
            </w:drawing>
          </mc:Choice>
          <mc:Fallback>
            <w:pict>
              <v:rect id="Rectangle 12" o:spid="_x0000_s1034" style="position:absolute;margin-left:33.3pt;margin-top:68.05pt;width:662.3pt;height:27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" filled="f" stroked="f">
                <v:textbox style="mso-fit-shape-to-text:t">
                  <w:txbxContent>
                    <w:p>
                      <w:pPr>
                        <w:pStyle w:val="NormalWeb"/>
                        <w:spacing w:after="0"/>
                        <w:textAlignment w:val="baseline"/>
                      </w:pPr>
                      <w:r>
                        <w:rPr>
                          <w:rFonts w:ascii="Arial" w:hAnsi="Arial" w:cs="Arial"/>
                          <w:b/>
                          <w:bCs/>
                          <w:kern w:val="24"/>
                          <w:sz w:val="28"/>
                          <w:szCs w:val="28"/>
                        </w:rPr>
                        <w:t>General trend and volume</w:t>
                      </w:r>
                    </w:p>
                    <w:p>
                      <w:pPr>
                        <w:pStyle w:val="ListParagraph"/>
                        <w:numPr>
                          <w:ilvl w:val="0"/>
                          <w:numId w:val="15"/>
                        </w:numPr>
                        <w:spacing w:after="0" w:line="240" w:lineRule="auto"/>
                        <w:textAlignment w:val="baseline"/>
                        <w:rPr>
                          <w:rFonts w:eastAsia="Times New Roman"/>
                        </w:rPr>
                      </w:pPr>
                      <w:r>
                        <w:rPr>
                          <w:rFonts w:ascii="Arial" w:hAnsi="Arial" w:cs="Arial"/>
                          <w:b/>
                          <w:bCs/>
                          <w:kern w:val="24"/>
                        </w:rPr>
                        <w:t>Broadly stable with a potential increase to cover the areas of joint action</w:t>
                      </w:r>
                    </w:p>
                    <w:p>
                      <w:pPr>
                        <w:pStyle w:val="ListParagraph"/>
                        <w:numPr>
                          <w:ilvl w:val="0"/>
                          <w:numId w:val="15"/>
                        </w:numPr>
                        <w:spacing w:after="0" w:line="240" w:lineRule="auto"/>
                        <w:textAlignment w:val="baseline"/>
                        <w:rPr>
                          <w:rFonts w:eastAsia="Times New Roman"/>
                        </w:rPr>
                      </w:pPr>
                      <w:r>
                        <w:rPr>
                          <w:rFonts w:ascii="Arial" w:hAnsi="Arial" w:cs="Arial"/>
                          <w:b/>
                          <w:bCs/>
                          <w:kern w:val="24"/>
                        </w:rPr>
                        <w:t>Higher use of financial instruments and guarantees</w:t>
                      </w:r>
                    </w:p>
                    <w:p>
                      <w:pPr>
                        <w:pStyle w:val="NormalWeb"/>
                        <w:spacing w:after="0"/>
                        <w:textAlignment w:val="baseline"/>
                        <w:rPr>
                          <w:rFonts w:eastAsiaTheme="minorEastAsia"/>
                        </w:rPr>
                      </w:pPr>
                      <w:r>
                        <w:rPr>
                          <w:rFonts w:ascii="Arial" w:hAnsi="Arial" w:cs="Arial"/>
                          <w:b/>
                          <w:bCs/>
                          <w:kern w:val="24"/>
                          <w:sz w:val="28"/>
                          <w:szCs w:val="28"/>
                          <w:lang w:val="en-US"/>
                        </w:rPr>
                        <w:t>Expenditure</w:t>
                      </w:r>
                    </w:p>
                    <w:p>
                      <w:pPr>
                        <w:pStyle w:val="ListParagraph"/>
                        <w:numPr>
                          <w:ilvl w:val="0"/>
                          <w:numId w:val="16"/>
                        </w:numPr>
                        <w:spacing w:after="0" w:line="240" w:lineRule="auto"/>
                        <w:textAlignment w:val="baseline"/>
                        <w:rPr>
                          <w:rFonts w:eastAsia="Times New Roman"/>
                        </w:rPr>
                      </w:pPr>
                      <w:r>
                        <w:rPr>
                          <w:rFonts w:ascii="Arial" w:hAnsi="Arial" w:cs="Arial"/>
                          <w:b/>
                          <w:bCs/>
                          <w:kern w:val="24"/>
                          <w:lang w:val="en-US"/>
                        </w:rPr>
                        <w:t>As in Scenario 1</w:t>
                      </w:r>
                    </w:p>
                    <w:p>
                      <w:pPr>
                        <w:pStyle w:val="NormalWeb"/>
                        <w:spacing w:after="0"/>
                        <w:textAlignment w:val="baseline"/>
                        <w:rPr>
                          <w:rFonts w:eastAsiaTheme="minorEastAsia"/>
                        </w:rPr>
                      </w:pPr>
                      <w:r>
                        <w:rPr>
                          <w:rFonts w:ascii="Arial" w:hAnsi="Arial" w:cs="Arial"/>
                          <w:b/>
                          <w:bCs/>
                          <w:kern w:val="24"/>
                          <w:sz w:val="28"/>
                          <w:szCs w:val="28"/>
                        </w:rPr>
                        <w:t>Additional budgets and innovative financing</w:t>
                      </w:r>
                    </w:p>
                    <w:p>
                      <w:pPr>
                        <w:pStyle w:val="ListParagraph"/>
                        <w:numPr>
                          <w:ilvl w:val="0"/>
                          <w:numId w:val="17"/>
                        </w:numPr>
                        <w:spacing w:after="0" w:line="240" w:lineRule="auto"/>
                        <w:textAlignment w:val="baseline"/>
                        <w:rPr>
                          <w:rFonts w:eastAsia="Times New Roman"/>
                        </w:rPr>
                      </w:pPr>
                      <w:r>
                        <w:rPr>
                          <w:rFonts w:ascii="Arial" w:hAnsi="Arial" w:cs="Arial"/>
                          <w:b/>
                          <w:bCs/>
                          <w:kern w:val="24"/>
                        </w:rPr>
                        <w:t>Enhanced cooperation  expenditure  included in the EU budget (like European Public Prosecutor's Office)</w:t>
                      </w:r>
                    </w:p>
                    <w:p>
                      <w:pPr>
                        <w:pStyle w:val="ListParagraph"/>
                        <w:numPr>
                          <w:ilvl w:val="0"/>
                          <w:numId w:val="17"/>
                        </w:numPr>
                        <w:spacing w:after="0" w:line="240" w:lineRule="auto"/>
                        <w:textAlignment w:val="baseline"/>
                        <w:rPr>
                          <w:rFonts w:eastAsia="Times New Roman"/>
                        </w:rPr>
                      </w:pPr>
                      <w:r>
                        <w:rPr>
                          <w:rFonts w:ascii="Arial" w:hAnsi="Arial" w:cs="Arial"/>
                          <w:b/>
                          <w:bCs/>
                          <w:kern w:val="24"/>
                          <w:lang w:val="en-US"/>
                        </w:rPr>
                        <w:t>Pooling of funding beyond the EU budget</w:t>
                      </w:r>
                    </w:p>
                    <w:p>
                      <w:pPr>
                        <w:pStyle w:val="ListParagraph"/>
                        <w:numPr>
                          <w:ilvl w:val="1"/>
                          <w:numId w:val="17"/>
                        </w:numPr>
                        <w:spacing w:after="0" w:line="240" w:lineRule="auto"/>
                        <w:textAlignment w:val="baseline"/>
                        <w:rPr>
                          <w:rFonts w:eastAsia="Times New Roman"/>
                        </w:rPr>
                      </w:pPr>
                      <w:r>
                        <w:rPr>
                          <w:rFonts w:ascii="Arial" w:hAnsi="Arial" w:cs="Arial"/>
                          <w:kern w:val="24"/>
                          <w:lang w:val="en-US"/>
                        </w:rPr>
                        <w:t>trust funds</w:t>
                      </w:r>
                    </w:p>
                    <w:p>
                      <w:pPr>
                        <w:pStyle w:val="ListParagraph"/>
                        <w:numPr>
                          <w:ilvl w:val="1"/>
                          <w:numId w:val="17"/>
                        </w:numPr>
                        <w:spacing w:after="0" w:line="240" w:lineRule="auto"/>
                        <w:textAlignment w:val="baseline"/>
                        <w:rPr>
                          <w:rFonts w:eastAsia="Times New Roman"/>
                        </w:rPr>
                      </w:pPr>
                      <w:r>
                        <w:rPr>
                          <w:rFonts w:ascii="Arial" w:hAnsi="Arial" w:cs="Arial"/>
                          <w:kern w:val="24"/>
                          <w:lang w:val="en-US"/>
                        </w:rPr>
                        <w:t xml:space="preserve">assigned revenues </w:t>
                      </w:r>
                    </w:p>
                    <w:p>
                      <w:pPr>
                        <w:pStyle w:val="ListParagraph"/>
                        <w:numPr>
                          <w:ilvl w:val="1"/>
                          <w:numId w:val="17"/>
                        </w:numPr>
                        <w:spacing w:after="0" w:line="240" w:lineRule="auto"/>
                        <w:textAlignment w:val="baseline"/>
                        <w:rPr>
                          <w:rFonts w:eastAsia="Times New Roman"/>
                        </w:rPr>
                      </w:pPr>
                      <w:r>
                        <w:rPr>
                          <w:rFonts w:ascii="Arial" w:hAnsi="Arial" w:cs="Arial"/>
                          <w:kern w:val="24"/>
                          <w:lang w:val="en-US"/>
                        </w:rPr>
                        <w:t>channeled through the EU budget but not subject to the constraints of the Multi-annual Financial Framework</w:t>
                      </w:r>
                    </w:p>
                    <w:p>
                      <w:pPr>
                        <w:pStyle w:val="ListParagraph"/>
                        <w:numPr>
                          <w:ilvl w:val="0"/>
                          <w:numId w:val="17"/>
                        </w:numPr>
                        <w:spacing w:after="0" w:line="240" w:lineRule="auto"/>
                        <w:textAlignment w:val="baseline"/>
                        <w:rPr>
                          <w:rFonts w:eastAsia="Times New Roman"/>
                        </w:rPr>
                      </w:pPr>
                      <w:r>
                        <w:rPr>
                          <w:rFonts w:ascii="Arial" w:hAnsi="Arial" w:cs="Arial"/>
                          <w:b/>
                          <w:bCs/>
                          <w:kern w:val="24"/>
                          <w:lang w:val="en-US"/>
                        </w:rPr>
                        <w:t xml:space="preserve">Eurozone </w:t>
                      </w:r>
                    </w:p>
                    <w:p>
                      <w:pPr>
                        <w:pStyle w:val="ListParagraph"/>
                        <w:numPr>
                          <w:ilvl w:val="1"/>
                          <w:numId w:val="17"/>
                        </w:numPr>
                        <w:spacing w:after="0" w:line="240" w:lineRule="auto"/>
                        <w:textAlignment w:val="baseline"/>
                        <w:rPr>
                          <w:rFonts w:eastAsia="Times New Roman"/>
                        </w:rPr>
                      </w:pPr>
                      <w:r>
                        <w:rPr>
                          <w:rFonts w:ascii="Arial" w:hAnsi="Arial" w:cs="Arial"/>
                          <w:kern w:val="24"/>
                          <w:lang w:val="en-US"/>
                        </w:rPr>
                        <w:t>Euro-zone macro-economic</w:t>
                      </w:r>
                      <w:r>
                        <w:rPr>
                          <w:rFonts w:ascii="Arial" w:hAnsi="Arial" w:cs="Arial"/>
                          <w:kern w:val="24"/>
                        </w:rPr>
                        <w:t xml:space="preserve"> stabilisation</w:t>
                      </w:r>
                      <w:r>
                        <w:rPr>
                          <w:rFonts w:ascii="Arial" w:hAnsi="Arial" w:cs="Arial"/>
                          <w:kern w:val="24"/>
                          <w:lang w:val="en-US"/>
                        </w:rPr>
                        <w:t xml:space="preserve"> (investment protection/unemployment re-insurance/rainy day fund)</w:t>
                      </w:r>
                    </w:p>
                    <w:p>
                      <w:pPr>
                        <w:pStyle w:val="NormalWeb"/>
                        <w:spacing w:after="0"/>
                        <w:textAlignment w:val="baseline"/>
                        <w:rPr>
                          <w:rFonts w:eastAsiaTheme="minorEastAsia"/>
                        </w:rPr>
                      </w:pPr>
                      <w:r>
                        <w:rPr>
                          <w:rFonts w:ascii="Arial" w:hAnsi="Arial" w:cs="Arial"/>
                          <w:b/>
                          <w:bCs/>
                          <w:kern w:val="24"/>
                          <w:sz w:val="28"/>
                          <w:szCs w:val="28"/>
                        </w:rPr>
                        <w:t>Revenue</w:t>
                      </w:r>
                    </w:p>
                    <w:p>
                      <w:pPr>
                        <w:pStyle w:val="ListParagraph"/>
                        <w:numPr>
                          <w:ilvl w:val="0"/>
                          <w:numId w:val="18"/>
                        </w:numPr>
                        <w:spacing w:after="0" w:line="240" w:lineRule="auto"/>
                        <w:textAlignment w:val="baseline"/>
                        <w:rPr>
                          <w:rFonts w:eastAsia="Times New Roman"/>
                        </w:rPr>
                      </w:pPr>
                      <w:r>
                        <w:rPr>
                          <w:rFonts w:ascii="Arial" w:hAnsi="Arial" w:cs="Arial"/>
                          <w:b/>
                          <w:bCs/>
                          <w:kern w:val="24"/>
                        </w:rPr>
                        <w:t>As in Scenario 1 + new policies financed only by participating Member States, either through current system or</w:t>
                      </w:r>
                    </w:p>
                    <w:p>
                      <w:pPr>
                        <w:pStyle w:val="ListParagraph"/>
                        <w:numPr>
                          <w:ilvl w:val="0"/>
                          <w:numId w:val="18"/>
                        </w:numPr>
                        <w:spacing w:after="0" w:line="240" w:lineRule="auto"/>
                        <w:textAlignment w:val="baseline"/>
                        <w:rPr>
                          <w:rFonts w:eastAsia="Times New Roman"/>
                        </w:rPr>
                      </w:pPr>
                      <w:r>
                        <w:rPr>
                          <w:rFonts w:ascii="Arial" w:hAnsi="Arial" w:cs="Arial"/>
                          <w:b/>
                          <w:bCs/>
                          <w:kern w:val="24"/>
                        </w:rPr>
                        <w:t>A new own resource (e.g. Financial Transaction Tax)</w:t>
                      </w:r>
                    </w:p>
                    <w:p>
                      <w:pPr>
                        <w:pStyle w:val="ListParagraph"/>
                        <w:numPr>
                          <w:ilvl w:val="1"/>
                          <w:numId w:val="18"/>
                        </w:numPr>
                        <w:spacing w:after="0" w:line="240" w:lineRule="auto"/>
                        <w:textAlignment w:val="baseline"/>
                        <w:rPr>
                          <w:rFonts w:eastAsia="Times New Roman"/>
                        </w:rPr>
                      </w:pPr>
                      <w:r>
                        <w:rPr>
                          <w:rFonts w:ascii="Arial" w:hAnsi="Arial" w:cs="Arial"/>
                          <w:bCs/>
                          <w:kern w:val="24"/>
                        </w:rPr>
                        <w:t xml:space="preserve">A new stream of revenue outside the current financing system </w:t>
                      </w:r>
                    </w:p>
                    <w:p>
                      <w:pPr>
                        <w:pStyle w:val="ListParagraph"/>
                        <w:numPr>
                          <w:ilvl w:val="1"/>
                          <w:numId w:val="18"/>
                        </w:numPr>
                        <w:spacing w:after="0" w:line="240" w:lineRule="auto"/>
                        <w:textAlignment w:val="baseline"/>
                        <w:rPr>
                          <w:rFonts w:eastAsia="Times New Roman"/>
                        </w:rPr>
                      </w:pPr>
                      <w:r>
                        <w:rPr>
                          <w:rFonts w:ascii="Arial" w:hAnsi="Arial" w:cs="Arial"/>
                          <w:bCs/>
                          <w:kern w:val="24"/>
                        </w:rPr>
                        <w:t>or ad-hoc financial contributions</w:t>
                      </w:r>
                    </w:p>
                  </w:txbxContent>
                </v:textbox>
              </v:rect>
            </w:pict>
          </mc:Fallback>
        </mc:AlternateContent>
      </w:r>
      <w:r>
        <w:rPr>
          <w:rFonts w:ascii="Times New Roman" w:hAnsi="Times New Roman" w:cs="Times New Roman"/>
          <w:b/>
          <w:noProof/>
          <w:sz w:val="24"/>
          <w:szCs w:val="24"/>
        </w:rPr>
        <w:t xml:space="preserve"> </w:t>
      </w:r>
      <w:r>
        <w:rPr>
          <w:rFonts w:ascii="Times New Roman" w:hAnsi="Times New Roman" w:cs="Times New Roman"/>
          <w:b/>
          <w:noProof/>
          <w:sz w:val="24"/>
          <w:szCs w:val="24"/>
        </w:rPr>
        <w:br w:type="page"/>
      </w:r>
    </w:p>
    <w:p w:rsidR="001D2777" w:rsidRDefault="00767E0A">
      <w:pPr>
        <w:rPr>
          <w:rFonts w:ascii="Times New Roman" w:hAnsi="Times New Roman" w:cs="Times New Roman"/>
          <w:b/>
          <w:noProof/>
          <w:sz w:val="28"/>
          <w:szCs w:val="24"/>
        </w:rPr>
      </w:pPr>
      <w:r>
        <w:rPr>
          <w:rFonts w:ascii="Times New Roman" w:hAnsi="Times New Roman" w:cs="Times New Roman"/>
          <w:b/>
          <w:noProof/>
          <w:sz w:val="28"/>
          <w:szCs w:val="24"/>
          <w:lang w:eastAsia="en-GB"/>
        </w:rPr>
        <mc:AlternateContent>
          <mc:Choice Requires="wps">
            <w:drawing>
              <wp:anchor distT="0" distB="0" distL="114300" distR="114300" simplePos="0" relativeHeight="251681792" behindDoc="0" locked="0" layoutInCell="1" allowOverlap="1">
                <wp:simplePos x="0" y="0"/>
                <wp:positionH relativeFrom="column">
                  <wp:posOffset>0</wp:posOffset>
                </wp:positionH>
                <wp:positionV relativeFrom="paragraph">
                  <wp:posOffset>143510</wp:posOffset>
                </wp:positionV>
                <wp:extent cx="2893695" cy="770890"/>
                <wp:effectExtent l="0" t="0" r="0" b="0"/>
                <wp:wrapNone/>
                <wp:docPr id="43" name="TextBox 8"/>
                <wp:cNvGraphicFramePr/>
                <a:graphic xmlns:a="http://schemas.openxmlformats.org/drawingml/2006/main">
                  <a:graphicData uri="http://schemas.microsoft.com/office/word/2010/wordprocessingShape">
                    <wps:wsp>
                      <wps:cNvSpPr txBox="1"/>
                      <wps:spPr>
                        <a:xfrm>
                          <a:off x="0" y="0"/>
                          <a:ext cx="2893695" cy="770890"/>
                        </a:xfrm>
                        <a:prstGeom prst="rect">
                          <a:avLst/>
                        </a:prstGeom>
                        <a:noFill/>
                      </wps:spPr>
                      <wps:txbx>
                        <w:txbxContent>
                          <w:p w:rsidR="001D2777" w:rsidRDefault="00767E0A">
                            <w:pPr>
                              <w:pStyle w:val="NormalWeb"/>
                              <w:spacing w:after="0"/>
                              <w:jc w:val="center"/>
                              <w:textAlignment w:val="baseline"/>
                            </w:pPr>
                            <w:r>
                              <w:rPr>
                                <w:rFonts w:ascii="Arial" w:hAnsi="Arial" w:cs="Arial"/>
                                <w:b/>
                                <w:bCs/>
                                <w:color w:val="1F497D" w:themeColor="text2"/>
                                <w:kern w:val="24"/>
                                <w:sz w:val="96"/>
                                <w:szCs w:val="96"/>
                              </w:rPr>
                              <w:t>4</w:t>
                            </w:r>
                            <w:r>
                              <w:rPr>
                                <w:rFonts w:ascii="Arial" w:hAnsi="Arial" w:cs="Arial"/>
                                <w:b/>
                                <w:bCs/>
                                <w:color w:val="1F497D" w:themeColor="text2"/>
                                <w:kern w:val="24"/>
                              </w:rPr>
                              <w:t>Radical redesign</w:t>
                            </w:r>
                          </w:p>
                        </w:txbxContent>
                      </wps:txbx>
                      <wps:bodyPr wrap="square" rtlCol="0">
                        <a:noAutofit/>
                      </wps:bodyPr>
                    </wps:wsp>
                  </a:graphicData>
                </a:graphic>
                <wp14:sizeRelV relativeFrom="margin">
                  <wp14:pctHeight>0</wp14:pctHeight>
                </wp14:sizeRelV>
              </wp:anchor>
            </w:drawing>
          </mc:Choice>
          <mc:Fallback>
            <w:pict>
              <v:shape id="_x0000_s1035" type="#_x0000_t202" style="position:absolute;margin-left:0;margin-top:11.3pt;width:227.85pt;height:60.7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" filled="f" stroked="f">
                <v:textbox>
                  <w:txbxContent>
                    <w:p>
                      <w:pPr>
                        <w:pStyle w:val="NormalWeb"/>
                        <w:spacing w:after="0"/>
                        <w:jc w:val="center"/>
                        <w:textAlignment w:val="baseline"/>
                      </w:pPr>
                      <w:r>
                        <w:rPr>
                          <w:rFonts w:ascii="Arial" w:hAnsi="Arial" w:cs="Arial"/>
                          <w:b/>
                          <w:bCs/>
                          <w:color w:val="1F497D" w:themeColor="text2"/>
                          <w:kern w:val="24"/>
                          <w:sz w:val="96"/>
                          <w:szCs w:val="96"/>
                        </w:rPr>
                        <w:t>4</w:t>
                      </w:r>
                      <w:r>
                        <w:rPr>
                          <w:rFonts w:ascii="Arial" w:hAnsi="Arial" w:cs="Arial"/>
                          <w:b/>
                          <w:bCs/>
                          <w:color w:val="1F497D" w:themeColor="text2"/>
                          <w:kern w:val="24"/>
                        </w:rPr>
                        <w:t>Radical redesign</w:t>
                      </w:r>
                    </w:p>
                  </w:txbxContent>
                </v:textbox>
              </v:shape>
            </w:pict>
          </mc:Fallback>
        </mc:AlternateContent>
      </w:r>
      <w:r>
        <w:rPr>
          <w:rFonts w:ascii="Times New Roman" w:hAnsi="Times New Roman" w:cs="Times New Roman"/>
          <w:b/>
          <w:noProof/>
          <w:sz w:val="28"/>
          <w:szCs w:val="24"/>
          <w:lang w:eastAsia="en-GB"/>
        </w:rPr>
        <mc:AlternateContent>
          <mc:Choice Requires="wps">
            <w:drawing>
              <wp:anchor distT="0" distB="0" distL="114300" distR="114300" simplePos="0" relativeHeight="251679744" behindDoc="0" locked="0" layoutInCell="1" allowOverlap="1">
                <wp:simplePos x="0" y="0"/>
                <wp:positionH relativeFrom="column">
                  <wp:posOffset>423042</wp:posOffset>
                </wp:positionH>
                <wp:positionV relativeFrom="paragraph">
                  <wp:posOffset>936104</wp:posOffset>
                </wp:positionV>
                <wp:extent cx="8411210" cy="4812665"/>
                <wp:effectExtent l="0" t="0" r="0" b="0"/>
                <wp:wrapNone/>
                <wp:docPr id="40" name="Rectangle 6"/>
                <wp:cNvGraphicFramePr/>
                <a:graphic xmlns:a="http://schemas.openxmlformats.org/drawingml/2006/main">
                  <a:graphicData uri="http://schemas.microsoft.com/office/word/2010/wordprocessingShape">
                    <wps:wsp>
                      <wps:cNvSpPr/>
                      <wps:spPr>
                        <a:xfrm>
                          <a:off x="0" y="0"/>
                          <a:ext cx="8411210" cy="4812665"/>
                        </a:xfrm>
                        <a:prstGeom prst="rect">
                          <a:avLst/>
                        </a:prstGeom>
                      </wps:spPr>
                      <wps:txbx>
                        <w:txbxContent>
                          <w:p w:rsidR="001D2777" w:rsidRDefault="00767E0A">
                            <w:pPr>
                              <w:pStyle w:val="NormalWeb"/>
                              <w:spacing w:after="0"/>
                              <w:textAlignment w:val="baseline"/>
                            </w:pPr>
                            <w:r>
                              <w:rPr>
                                <w:rFonts w:ascii="Arial" w:hAnsi="Arial" w:cs="Arial"/>
                                <w:b/>
                                <w:bCs/>
                                <w:kern w:val="24"/>
                                <w:sz w:val="28"/>
                                <w:szCs w:val="28"/>
                              </w:rPr>
                              <w:t>General trend and volume</w:t>
                            </w:r>
                          </w:p>
                          <w:p w:rsidR="001D2777" w:rsidRDefault="00767E0A">
                            <w:pPr>
                              <w:pStyle w:val="ListParagraph"/>
                              <w:numPr>
                                <w:ilvl w:val="0"/>
                                <w:numId w:val="19"/>
                              </w:numPr>
                              <w:spacing w:after="0" w:line="240" w:lineRule="auto"/>
                              <w:textAlignment w:val="baseline"/>
                              <w:rPr>
                                <w:rFonts w:eastAsia="Times New Roman"/>
                              </w:rPr>
                            </w:pPr>
                            <w:r>
                              <w:rPr>
                                <w:rFonts w:ascii="Arial" w:hAnsi="Arial" w:cs="Arial"/>
                                <w:b/>
                                <w:bCs/>
                                <w:kern w:val="24"/>
                              </w:rPr>
                              <w:t xml:space="preserve">Lower </w:t>
                            </w:r>
                          </w:p>
                          <w:p w:rsidR="001D2777" w:rsidRDefault="00767E0A">
                            <w:pPr>
                              <w:pStyle w:val="ListParagraph"/>
                              <w:numPr>
                                <w:ilvl w:val="0"/>
                                <w:numId w:val="19"/>
                              </w:numPr>
                              <w:spacing w:after="0" w:line="240" w:lineRule="auto"/>
                              <w:textAlignment w:val="baseline"/>
                              <w:rPr>
                                <w:rFonts w:eastAsia="Times New Roman"/>
                              </w:rPr>
                            </w:pPr>
                            <w:r>
                              <w:rPr>
                                <w:rFonts w:ascii="Arial" w:hAnsi="Arial" w:cs="Arial"/>
                                <w:b/>
                                <w:bCs/>
                                <w:kern w:val="24"/>
                              </w:rPr>
                              <w:t>Share of Cohesion  and Common Agricultural Policy  reduced</w:t>
                            </w:r>
                          </w:p>
                          <w:p w:rsidR="001D2777" w:rsidRDefault="00767E0A">
                            <w:pPr>
                              <w:pStyle w:val="ListParagraph"/>
                              <w:numPr>
                                <w:ilvl w:val="0"/>
                                <w:numId w:val="19"/>
                              </w:numPr>
                              <w:spacing w:after="0" w:line="240" w:lineRule="auto"/>
                              <w:textAlignment w:val="baseline"/>
                              <w:rPr>
                                <w:rFonts w:eastAsia="Times New Roman"/>
                              </w:rPr>
                            </w:pPr>
                            <w:r>
                              <w:rPr>
                                <w:rFonts w:ascii="Arial" w:hAnsi="Arial" w:cs="Arial"/>
                                <w:b/>
                                <w:bCs/>
                                <w:kern w:val="24"/>
                              </w:rPr>
                              <w:t xml:space="preserve">Focus on </w:t>
                            </w:r>
                            <w:r>
                              <w:rPr>
                                <w:rFonts w:ascii="Arial" w:hAnsi="Arial" w:cs="Arial"/>
                                <w:b/>
                                <w:bCs/>
                                <w:kern w:val="24"/>
                              </w:rPr>
                              <w:t>priorities with very high EU value added</w:t>
                            </w:r>
                          </w:p>
                          <w:p w:rsidR="001D2777" w:rsidRDefault="00767E0A">
                            <w:pPr>
                              <w:pStyle w:val="ListParagraph"/>
                              <w:numPr>
                                <w:ilvl w:val="0"/>
                                <w:numId w:val="19"/>
                              </w:numPr>
                              <w:spacing w:after="0" w:line="240" w:lineRule="auto"/>
                              <w:textAlignment w:val="baseline"/>
                              <w:rPr>
                                <w:rFonts w:eastAsia="Times New Roman"/>
                              </w:rPr>
                            </w:pPr>
                            <w:r>
                              <w:rPr>
                                <w:rFonts w:ascii="Arial" w:hAnsi="Arial" w:cs="Arial"/>
                                <w:b/>
                                <w:bCs/>
                                <w:kern w:val="24"/>
                              </w:rPr>
                              <w:t>Much higher use of financial instruments and guarantees</w:t>
                            </w:r>
                          </w:p>
                          <w:p w:rsidR="001D2777" w:rsidRDefault="00767E0A">
                            <w:pPr>
                              <w:pStyle w:val="NormalWeb"/>
                              <w:spacing w:after="0"/>
                              <w:textAlignment w:val="baseline"/>
                              <w:rPr>
                                <w:rFonts w:eastAsiaTheme="minorEastAsia"/>
                              </w:rPr>
                            </w:pPr>
                            <w:r>
                              <w:rPr>
                                <w:rFonts w:ascii="Arial" w:hAnsi="Arial" w:cs="Arial"/>
                                <w:b/>
                                <w:bCs/>
                                <w:kern w:val="24"/>
                                <w:sz w:val="28"/>
                                <w:szCs w:val="28"/>
                              </w:rPr>
                              <w:t>Expenditure</w:t>
                            </w:r>
                          </w:p>
                          <w:p w:rsidR="001D2777" w:rsidRDefault="00767E0A">
                            <w:pPr>
                              <w:pStyle w:val="ListParagraph"/>
                              <w:numPr>
                                <w:ilvl w:val="0"/>
                                <w:numId w:val="20"/>
                              </w:numPr>
                              <w:spacing w:after="0" w:line="240" w:lineRule="auto"/>
                              <w:textAlignment w:val="baseline"/>
                              <w:rPr>
                                <w:rFonts w:eastAsia="Times New Roman"/>
                              </w:rPr>
                            </w:pPr>
                            <w:r>
                              <w:rPr>
                                <w:rFonts w:ascii="Arial" w:hAnsi="Arial" w:cs="Arial"/>
                                <w:b/>
                                <w:bCs/>
                                <w:kern w:val="24"/>
                              </w:rPr>
                              <w:t>Common agricultural policy</w:t>
                            </w:r>
                          </w:p>
                          <w:p w:rsidR="001D2777" w:rsidRDefault="00767E0A">
                            <w:pPr>
                              <w:pStyle w:val="ListParagraph"/>
                              <w:numPr>
                                <w:ilvl w:val="1"/>
                                <w:numId w:val="20"/>
                              </w:numPr>
                              <w:spacing w:after="0" w:line="240" w:lineRule="auto"/>
                              <w:textAlignment w:val="baseline"/>
                              <w:rPr>
                                <w:rFonts w:eastAsia="Times New Roman"/>
                              </w:rPr>
                            </w:pPr>
                            <w:r>
                              <w:rPr>
                                <w:rFonts w:ascii="Arial" w:hAnsi="Arial" w:cs="Arial"/>
                                <w:kern w:val="24"/>
                                <w:lang w:val="en-US"/>
                              </w:rPr>
                              <w:t>Reduced direct payments</w:t>
                            </w:r>
                          </w:p>
                          <w:p w:rsidR="001D2777" w:rsidRDefault="00767E0A">
                            <w:pPr>
                              <w:pStyle w:val="ListParagraph"/>
                              <w:numPr>
                                <w:ilvl w:val="1"/>
                                <w:numId w:val="20"/>
                              </w:numPr>
                              <w:spacing w:after="0" w:line="240" w:lineRule="auto"/>
                              <w:textAlignment w:val="baseline"/>
                              <w:rPr>
                                <w:rFonts w:eastAsia="Times New Roman"/>
                              </w:rPr>
                            </w:pPr>
                            <w:r>
                              <w:rPr>
                                <w:rFonts w:ascii="Arial" w:hAnsi="Arial" w:cs="Arial"/>
                                <w:kern w:val="24"/>
                              </w:rPr>
                              <w:t xml:space="preserve">Focus on farmers under special constraints </w:t>
                            </w:r>
                            <w:r>
                              <w:rPr>
                                <w:rFonts w:ascii="Arial" w:hAnsi="Arial" w:cs="Arial"/>
                                <w:kern w:val="24"/>
                                <w:lang w:val="en-US"/>
                              </w:rPr>
                              <w:t>(e.g. small farms, mountainous areas and sparsely pop</w:t>
                            </w:r>
                            <w:r>
                              <w:rPr>
                                <w:rFonts w:ascii="Arial" w:hAnsi="Arial" w:cs="Arial"/>
                                <w:kern w:val="24"/>
                                <w:lang w:val="en-US"/>
                              </w:rPr>
                              <w:t>ulated regions)</w:t>
                            </w:r>
                          </w:p>
                          <w:p w:rsidR="001D2777" w:rsidRDefault="00767E0A">
                            <w:pPr>
                              <w:pStyle w:val="ListParagraph"/>
                              <w:numPr>
                                <w:ilvl w:val="1"/>
                                <w:numId w:val="20"/>
                              </w:numPr>
                              <w:spacing w:after="0" w:line="240" w:lineRule="auto"/>
                              <w:textAlignment w:val="baseline"/>
                              <w:rPr>
                                <w:rFonts w:eastAsia="Times New Roman"/>
                              </w:rPr>
                            </w:pPr>
                            <w:r>
                              <w:rPr>
                                <w:rFonts w:ascii="Arial" w:hAnsi="Arial" w:cs="Arial"/>
                                <w:kern w:val="24"/>
                                <w:lang w:val="en-US"/>
                              </w:rPr>
                              <w:t>A</w:t>
                            </w:r>
                            <w:r>
                              <w:rPr>
                                <w:rFonts w:ascii="Arial" w:hAnsi="Arial" w:cs="Arial"/>
                                <w:kern w:val="24"/>
                              </w:rPr>
                              <w:t>gri-environment-climate actions and risk management tools for all farms</w:t>
                            </w:r>
                          </w:p>
                          <w:p w:rsidR="001D2777" w:rsidRDefault="00767E0A">
                            <w:pPr>
                              <w:pStyle w:val="ListParagraph"/>
                              <w:numPr>
                                <w:ilvl w:val="0"/>
                                <w:numId w:val="20"/>
                              </w:numPr>
                              <w:spacing w:after="0" w:line="240" w:lineRule="auto"/>
                              <w:textAlignment w:val="baseline"/>
                              <w:rPr>
                                <w:rFonts w:eastAsia="Times New Roman"/>
                              </w:rPr>
                            </w:pPr>
                            <w:r>
                              <w:rPr>
                                <w:rFonts w:ascii="Arial" w:hAnsi="Arial" w:cs="Arial"/>
                                <w:b/>
                                <w:bCs/>
                                <w:kern w:val="24"/>
                              </w:rPr>
                              <w:t>Economic, social and territorial cohesion</w:t>
                            </w:r>
                          </w:p>
                          <w:p w:rsidR="001D2777" w:rsidRDefault="00767E0A">
                            <w:pPr>
                              <w:pStyle w:val="ListParagraph"/>
                              <w:numPr>
                                <w:ilvl w:val="1"/>
                                <w:numId w:val="20"/>
                              </w:numPr>
                              <w:spacing w:after="0" w:line="240" w:lineRule="auto"/>
                              <w:textAlignment w:val="baseline"/>
                              <w:rPr>
                                <w:rFonts w:eastAsia="Times New Roman"/>
                              </w:rPr>
                            </w:pPr>
                            <w:r>
                              <w:rPr>
                                <w:rFonts w:ascii="Arial" w:hAnsi="Arial" w:cs="Arial"/>
                                <w:kern w:val="24"/>
                              </w:rPr>
                              <w:t>Support only to poorer regions and cross border co-operation</w:t>
                            </w:r>
                          </w:p>
                          <w:p w:rsidR="001D2777" w:rsidRDefault="00767E0A">
                            <w:pPr>
                              <w:pStyle w:val="ListParagraph"/>
                              <w:numPr>
                                <w:ilvl w:val="1"/>
                                <w:numId w:val="20"/>
                              </w:numPr>
                              <w:spacing w:after="0" w:line="240" w:lineRule="auto"/>
                              <w:textAlignment w:val="baseline"/>
                              <w:rPr>
                                <w:rFonts w:eastAsia="Times New Roman"/>
                              </w:rPr>
                            </w:pPr>
                            <w:r>
                              <w:rPr>
                                <w:rFonts w:ascii="Arial" w:hAnsi="Arial" w:cs="Arial"/>
                                <w:kern w:val="24"/>
                              </w:rPr>
                              <w:t>Focus exclusively on</w:t>
                            </w:r>
                            <w:r>
                              <w:rPr>
                                <w:rFonts w:ascii="Arial" w:hAnsi="Arial" w:cs="Arial"/>
                                <w:kern w:val="24"/>
                                <w:lang w:val="en-US"/>
                              </w:rPr>
                              <w:t xml:space="preserve"> social inclusion, employment, skills, </w:t>
                            </w:r>
                            <w:r>
                              <w:rPr>
                                <w:rFonts w:ascii="Arial" w:hAnsi="Arial" w:cs="Arial"/>
                                <w:kern w:val="24"/>
                              </w:rPr>
                              <w:t xml:space="preserve"> </w:t>
                            </w:r>
                            <w:r>
                              <w:rPr>
                                <w:rFonts w:ascii="Arial" w:hAnsi="Arial" w:cs="Arial"/>
                                <w:kern w:val="24"/>
                                <w:lang w:val="en-US"/>
                              </w:rPr>
                              <w:t>inno</w:t>
                            </w:r>
                            <w:r>
                              <w:rPr>
                                <w:rFonts w:ascii="Arial" w:hAnsi="Arial" w:cs="Arial"/>
                                <w:kern w:val="24"/>
                                <w:lang w:val="en-US"/>
                              </w:rPr>
                              <w:t>vation, climate change, energy and environmental transition</w:t>
                            </w:r>
                          </w:p>
                          <w:p w:rsidR="001D2777" w:rsidRDefault="00767E0A">
                            <w:pPr>
                              <w:pStyle w:val="ListParagraph"/>
                              <w:numPr>
                                <w:ilvl w:val="0"/>
                                <w:numId w:val="20"/>
                              </w:numPr>
                              <w:spacing w:after="0" w:line="240" w:lineRule="auto"/>
                              <w:textAlignment w:val="baseline"/>
                              <w:rPr>
                                <w:rFonts w:eastAsia="Times New Roman"/>
                              </w:rPr>
                            </w:pPr>
                            <w:r>
                              <w:rPr>
                                <w:rFonts w:ascii="Arial" w:hAnsi="Arial" w:cs="Arial"/>
                                <w:b/>
                                <w:bCs/>
                                <w:kern w:val="24"/>
                              </w:rPr>
                              <w:t>New priorities</w:t>
                            </w:r>
                          </w:p>
                          <w:p w:rsidR="001D2777" w:rsidRDefault="00767E0A">
                            <w:pPr>
                              <w:pStyle w:val="ListParagraph"/>
                              <w:numPr>
                                <w:ilvl w:val="1"/>
                                <w:numId w:val="20"/>
                              </w:numPr>
                              <w:spacing w:after="0" w:line="240" w:lineRule="auto"/>
                              <w:textAlignment w:val="baseline"/>
                              <w:rPr>
                                <w:rFonts w:eastAsia="Times New Roman"/>
                              </w:rPr>
                            </w:pPr>
                            <w:r>
                              <w:rPr>
                                <w:rFonts w:ascii="Arial" w:hAnsi="Arial" w:cs="Arial"/>
                                <w:kern w:val="24"/>
                              </w:rPr>
                              <w:t>Security and defence (joint financing of key capabilities, joint procurement)</w:t>
                            </w:r>
                          </w:p>
                          <w:p w:rsidR="001D2777" w:rsidRDefault="00767E0A">
                            <w:pPr>
                              <w:pStyle w:val="ListParagraph"/>
                              <w:numPr>
                                <w:ilvl w:val="1"/>
                                <w:numId w:val="20"/>
                              </w:numPr>
                              <w:spacing w:after="0" w:line="240" w:lineRule="auto"/>
                              <w:textAlignment w:val="baseline"/>
                              <w:rPr>
                                <w:rFonts w:eastAsia="Times New Roman"/>
                              </w:rPr>
                            </w:pPr>
                            <w:r>
                              <w:rPr>
                                <w:rFonts w:ascii="Arial" w:hAnsi="Arial" w:cs="Arial"/>
                                <w:kern w:val="24"/>
                              </w:rPr>
                              <w:t>Counter terrorism agency and migration management with border control and coast guard with joint equipm</w:t>
                            </w:r>
                            <w:r>
                              <w:rPr>
                                <w:rFonts w:ascii="Arial" w:hAnsi="Arial" w:cs="Arial"/>
                                <w:kern w:val="24"/>
                              </w:rPr>
                              <w:t>ent</w:t>
                            </w:r>
                          </w:p>
                          <w:p w:rsidR="001D2777" w:rsidRDefault="00767E0A">
                            <w:pPr>
                              <w:pStyle w:val="ListParagraph"/>
                              <w:numPr>
                                <w:ilvl w:val="0"/>
                                <w:numId w:val="20"/>
                              </w:numPr>
                              <w:spacing w:after="0" w:line="240" w:lineRule="auto"/>
                              <w:textAlignment w:val="baseline"/>
                              <w:rPr>
                                <w:rFonts w:eastAsia="Times New Roman"/>
                              </w:rPr>
                            </w:pPr>
                            <w:r>
                              <w:rPr>
                                <w:rFonts w:ascii="Arial" w:hAnsi="Arial" w:cs="Arial"/>
                                <w:b/>
                                <w:bCs/>
                                <w:kern w:val="24"/>
                              </w:rPr>
                              <w:t>Reinforcement of existing priorities</w:t>
                            </w:r>
                          </w:p>
                          <w:p w:rsidR="001D2777" w:rsidRDefault="00767E0A">
                            <w:pPr>
                              <w:pStyle w:val="ListParagraph"/>
                              <w:numPr>
                                <w:ilvl w:val="1"/>
                                <w:numId w:val="20"/>
                              </w:numPr>
                              <w:spacing w:after="0" w:line="240" w:lineRule="auto"/>
                              <w:textAlignment w:val="baseline"/>
                              <w:rPr>
                                <w:rFonts w:eastAsia="Times New Roman"/>
                              </w:rPr>
                            </w:pPr>
                            <w:r>
                              <w:rPr>
                                <w:rFonts w:ascii="Arial" w:hAnsi="Arial" w:cs="Arial"/>
                                <w:kern w:val="24"/>
                                <w:lang w:val="en-US"/>
                              </w:rPr>
                              <w:t xml:space="preserve">Smart transport and energy grids, </w:t>
                            </w:r>
                            <w:r>
                              <w:rPr>
                                <w:rFonts w:ascii="Arial" w:hAnsi="Arial" w:cs="Arial"/>
                                <w:kern w:val="24"/>
                              </w:rPr>
                              <w:t>high-performance computing, world-class Research &amp; Development, e-transport</w:t>
                            </w:r>
                          </w:p>
                          <w:p w:rsidR="001D2777" w:rsidRDefault="00767E0A">
                            <w:pPr>
                              <w:pStyle w:val="ListParagraph"/>
                              <w:numPr>
                                <w:ilvl w:val="1"/>
                                <w:numId w:val="20"/>
                              </w:numPr>
                              <w:spacing w:after="0" w:line="240" w:lineRule="auto"/>
                              <w:textAlignment w:val="baseline"/>
                              <w:rPr>
                                <w:rFonts w:eastAsia="Times New Roman"/>
                              </w:rPr>
                            </w:pPr>
                            <w:r>
                              <w:rPr>
                                <w:rFonts w:ascii="Arial" w:hAnsi="Arial" w:cs="Arial"/>
                                <w:kern w:val="24"/>
                              </w:rPr>
                              <w:t>External policies</w:t>
                            </w:r>
                          </w:p>
                          <w:p w:rsidR="001D2777" w:rsidRDefault="00767E0A">
                            <w:pPr>
                              <w:pStyle w:val="ListParagraph"/>
                              <w:numPr>
                                <w:ilvl w:val="0"/>
                                <w:numId w:val="20"/>
                              </w:numPr>
                              <w:spacing w:after="0" w:line="240" w:lineRule="auto"/>
                              <w:textAlignment w:val="baseline"/>
                              <w:rPr>
                                <w:rFonts w:eastAsia="Times New Roman"/>
                              </w:rPr>
                            </w:pPr>
                            <w:r>
                              <w:rPr>
                                <w:rFonts w:ascii="Arial" w:hAnsi="Arial" w:cs="Arial"/>
                                <w:b/>
                                <w:bCs/>
                                <w:kern w:val="24"/>
                                <w:lang w:val="en-US"/>
                              </w:rPr>
                              <w:t>Structural reforms linked to the European Semester</w:t>
                            </w:r>
                          </w:p>
                          <w:p w:rsidR="001D2777" w:rsidRDefault="00767E0A">
                            <w:pPr>
                              <w:pStyle w:val="ListParagraph"/>
                              <w:numPr>
                                <w:ilvl w:val="1"/>
                                <w:numId w:val="20"/>
                              </w:numPr>
                              <w:spacing w:after="0" w:line="240" w:lineRule="auto"/>
                              <w:textAlignment w:val="baseline"/>
                              <w:rPr>
                                <w:rFonts w:eastAsia="Times New Roman"/>
                              </w:rPr>
                            </w:pPr>
                            <w:r>
                              <w:rPr>
                                <w:rFonts w:ascii="Arial" w:hAnsi="Arial" w:cs="Arial"/>
                                <w:kern w:val="24"/>
                                <w:lang w:val="en-US"/>
                              </w:rPr>
                              <w:t xml:space="preserve">Positive incentives either through </w:t>
                            </w:r>
                            <w:r>
                              <w:rPr>
                                <w:rFonts w:ascii="Arial" w:hAnsi="Arial" w:cs="Arial"/>
                                <w:kern w:val="24"/>
                                <w:lang w:val="en-US"/>
                              </w:rPr>
                              <w:t>cohesion policy or through a dedicated fund</w:t>
                            </w:r>
                          </w:p>
                          <w:p w:rsidR="001D2777" w:rsidRDefault="00767E0A">
                            <w:pPr>
                              <w:pStyle w:val="NormalWeb"/>
                              <w:spacing w:after="0"/>
                              <w:textAlignment w:val="baseline"/>
                              <w:rPr>
                                <w:rFonts w:eastAsiaTheme="minorEastAsia"/>
                              </w:rPr>
                            </w:pPr>
                            <w:r>
                              <w:rPr>
                                <w:rFonts w:ascii="Arial" w:hAnsi="Arial" w:cs="Arial"/>
                                <w:b/>
                                <w:bCs/>
                                <w:kern w:val="24"/>
                                <w:sz w:val="28"/>
                                <w:szCs w:val="28"/>
                              </w:rPr>
                              <w:t>Revenue</w:t>
                            </w:r>
                          </w:p>
                          <w:p w:rsidR="001D2777" w:rsidRDefault="00767E0A">
                            <w:pPr>
                              <w:pStyle w:val="ListParagraph"/>
                              <w:numPr>
                                <w:ilvl w:val="0"/>
                                <w:numId w:val="21"/>
                              </w:numPr>
                              <w:spacing w:after="0" w:line="240" w:lineRule="auto"/>
                              <w:textAlignment w:val="baseline"/>
                              <w:rPr>
                                <w:rFonts w:eastAsia="Times New Roman"/>
                              </w:rPr>
                            </w:pPr>
                            <w:r>
                              <w:rPr>
                                <w:rFonts w:ascii="Arial" w:hAnsi="Arial" w:cs="Arial"/>
                                <w:b/>
                                <w:bCs/>
                                <w:kern w:val="24"/>
                                <w:lang w:val="en-US"/>
                              </w:rPr>
                              <w:t>Simplification of current system: abolish all rebates, reform or abolish Value Added Tax-based own resource</w:t>
                            </w:r>
                          </w:p>
                          <w:p w:rsidR="001D2777" w:rsidRDefault="00767E0A">
                            <w:pPr>
                              <w:pStyle w:val="ListParagraph"/>
                              <w:numPr>
                                <w:ilvl w:val="0"/>
                                <w:numId w:val="21"/>
                              </w:numPr>
                              <w:spacing w:after="0" w:line="240" w:lineRule="auto"/>
                              <w:textAlignment w:val="baseline"/>
                              <w:rPr>
                                <w:rFonts w:eastAsia="Times New Roman"/>
                              </w:rPr>
                            </w:pPr>
                            <w:r>
                              <w:rPr>
                                <w:rFonts w:ascii="Arial" w:hAnsi="Arial" w:cs="Arial"/>
                                <w:b/>
                                <w:bCs/>
                                <w:kern w:val="24"/>
                                <w:lang w:val="en-US"/>
                              </w:rPr>
                              <w:t>New Own Resources finance a share of the EU budget and contribute to achieving policy objectives</w:t>
                            </w:r>
                            <w:r>
                              <w:rPr>
                                <w:rFonts w:ascii="Arial" w:hAnsi="Arial" w:cs="Arial"/>
                                <w:b/>
                                <w:bCs/>
                                <w:kern w:val="24"/>
                                <w:lang w:val="en-US"/>
                              </w:rPr>
                              <w:t xml:space="preserve"> (e.g. green tax, Financial Transaction Tax, Common Consolidated Corporate Tax Base)</w:t>
                            </w:r>
                          </w:p>
                          <w:p w:rsidR="001D2777" w:rsidRDefault="00767E0A">
                            <w:pPr>
                              <w:pStyle w:val="ListParagraph"/>
                              <w:numPr>
                                <w:ilvl w:val="0"/>
                                <w:numId w:val="21"/>
                              </w:numPr>
                              <w:spacing w:after="0" w:line="240" w:lineRule="auto"/>
                              <w:textAlignment w:val="baseline"/>
                              <w:rPr>
                                <w:rFonts w:eastAsia="Times New Roman"/>
                              </w:rPr>
                            </w:pPr>
                            <w:r>
                              <w:rPr>
                                <w:rFonts w:ascii="Arial" w:hAnsi="Arial" w:cs="Arial"/>
                                <w:b/>
                                <w:bCs/>
                                <w:kern w:val="24"/>
                                <w:lang w:val="en-US"/>
                              </w:rPr>
                              <w:t xml:space="preserve">Other sources of revenue or fees finance the EU budget </w:t>
                            </w:r>
                          </w:p>
                        </w:txbxContent>
                      </wps:txbx>
                      <wps:bodyPr wrap="square">
                        <a:spAutoFit/>
                      </wps:bodyPr>
                    </wps:wsp>
                  </a:graphicData>
                </a:graphic>
              </wp:anchor>
            </w:drawing>
          </mc:Choice>
          <mc:Fallback>
            <w:pict>
              <v:rect id="_x0000_s1036" style="position:absolute;margin-left:33.3pt;margin-top:73.7pt;width:662.3pt;height:378.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" filled="f" stroked="f">
                <v:textbox style="mso-fit-shape-to-text:t">
                  <w:txbxContent>
                    <w:p>
                      <w:pPr>
                        <w:pStyle w:val="NormalWeb"/>
                        <w:spacing w:after="0"/>
                        <w:textAlignment w:val="baseline"/>
                      </w:pPr>
                      <w:r>
                        <w:rPr>
                          <w:rFonts w:ascii="Arial" w:hAnsi="Arial" w:cs="Arial"/>
                          <w:b/>
                          <w:bCs/>
                          <w:kern w:val="24"/>
                          <w:sz w:val="28"/>
                          <w:szCs w:val="28"/>
                        </w:rPr>
                        <w:t>General trend and volume</w:t>
                      </w:r>
                    </w:p>
                    <w:p>
                      <w:pPr>
                        <w:pStyle w:val="ListParagraph"/>
                        <w:numPr>
                          <w:ilvl w:val="0"/>
                          <w:numId w:val="19"/>
                        </w:numPr>
                        <w:spacing w:after="0" w:line="240" w:lineRule="auto"/>
                        <w:textAlignment w:val="baseline"/>
                        <w:rPr>
                          <w:rFonts w:eastAsia="Times New Roman"/>
                        </w:rPr>
                      </w:pPr>
                      <w:r>
                        <w:rPr>
                          <w:rFonts w:ascii="Arial" w:hAnsi="Arial" w:cs="Arial"/>
                          <w:b/>
                          <w:bCs/>
                          <w:kern w:val="24"/>
                        </w:rPr>
                        <w:t xml:space="preserve">Lower </w:t>
                      </w:r>
                    </w:p>
                    <w:p>
                      <w:pPr>
                        <w:pStyle w:val="ListParagraph"/>
                        <w:numPr>
                          <w:ilvl w:val="0"/>
                          <w:numId w:val="19"/>
                        </w:numPr>
                        <w:spacing w:after="0" w:line="240" w:lineRule="auto"/>
                        <w:textAlignment w:val="baseline"/>
                        <w:rPr>
                          <w:rFonts w:eastAsia="Times New Roman"/>
                        </w:rPr>
                      </w:pPr>
                      <w:r>
                        <w:rPr>
                          <w:rFonts w:ascii="Arial" w:hAnsi="Arial" w:cs="Arial"/>
                          <w:b/>
                          <w:bCs/>
                          <w:kern w:val="24"/>
                        </w:rPr>
                        <w:t>Share of Cohesion  and Common Agricultural Policy  reduced</w:t>
                      </w:r>
                    </w:p>
                    <w:p>
                      <w:pPr>
                        <w:pStyle w:val="ListParagraph"/>
                        <w:numPr>
                          <w:ilvl w:val="0"/>
                          <w:numId w:val="19"/>
                        </w:numPr>
                        <w:spacing w:after="0" w:line="240" w:lineRule="auto"/>
                        <w:textAlignment w:val="baseline"/>
                        <w:rPr>
                          <w:rFonts w:eastAsia="Times New Roman"/>
                        </w:rPr>
                      </w:pPr>
                      <w:r>
                        <w:rPr>
                          <w:rFonts w:ascii="Arial" w:hAnsi="Arial" w:cs="Arial"/>
                          <w:b/>
                          <w:bCs/>
                          <w:kern w:val="24"/>
                        </w:rPr>
                        <w:t>Focus on priorities with very high EU value added</w:t>
                      </w:r>
                    </w:p>
                    <w:p>
                      <w:pPr>
                        <w:pStyle w:val="ListParagraph"/>
                        <w:numPr>
                          <w:ilvl w:val="0"/>
                          <w:numId w:val="19"/>
                        </w:numPr>
                        <w:spacing w:after="0" w:line="240" w:lineRule="auto"/>
                        <w:textAlignment w:val="baseline"/>
                        <w:rPr>
                          <w:rFonts w:eastAsia="Times New Roman"/>
                        </w:rPr>
                      </w:pPr>
                      <w:r>
                        <w:rPr>
                          <w:rFonts w:ascii="Arial" w:hAnsi="Arial" w:cs="Arial"/>
                          <w:b/>
                          <w:bCs/>
                          <w:kern w:val="24"/>
                        </w:rPr>
                        <w:t>Much higher use of financial instruments and guarantees</w:t>
                      </w:r>
                    </w:p>
                    <w:p>
                      <w:pPr>
                        <w:pStyle w:val="NormalWeb"/>
                        <w:spacing w:after="0"/>
                        <w:textAlignment w:val="baseline"/>
                        <w:rPr>
                          <w:rFonts w:eastAsiaTheme="minorEastAsia"/>
                        </w:rPr>
                      </w:pPr>
                      <w:r>
                        <w:rPr>
                          <w:rFonts w:ascii="Arial" w:hAnsi="Arial" w:cs="Arial"/>
                          <w:b/>
                          <w:bCs/>
                          <w:kern w:val="24"/>
                          <w:sz w:val="28"/>
                          <w:szCs w:val="28"/>
                        </w:rPr>
                        <w:t>Expenditure</w:t>
                      </w:r>
                    </w:p>
                    <w:p>
                      <w:pPr>
                        <w:pStyle w:val="ListParagraph"/>
                        <w:numPr>
                          <w:ilvl w:val="0"/>
                          <w:numId w:val="20"/>
                        </w:numPr>
                        <w:spacing w:after="0" w:line="240" w:lineRule="auto"/>
                        <w:textAlignment w:val="baseline"/>
                        <w:rPr>
                          <w:rFonts w:eastAsia="Times New Roman"/>
                        </w:rPr>
                      </w:pPr>
                      <w:r>
                        <w:rPr>
                          <w:rFonts w:ascii="Arial" w:hAnsi="Arial" w:cs="Arial"/>
                          <w:b/>
                          <w:bCs/>
                          <w:kern w:val="24"/>
                        </w:rPr>
                        <w:t>Common agricultural policy</w:t>
                      </w:r>
                    </w:p>
                    <w:p>
                      <w:pPr>
                        <w:pStyle w:val="ListParagraph"/>
                        <w:numPr>
                          <w:ilvl w:val="1"/>
                          <w:numId w:val="20"/>
                        </w:numPr>
                        <w:spacing w:after="0" w:line="240" w:lineRule="auto"/>
                        <w:textAlignment w:val="baseline"/>
                        <w:rPr>
                          <w:rFonts w:eastAsia="Times New Roman"/>
                        </w:rPr>
                      </w:pPr>
                      <w:r>
                        <w:rPr>
                          <w:rFonts w:ascii="Arial" w:hAnsi="Arial" w:cs="Arial"/>
                          <w:kern w:val="24"/>
                          <w:lang w:val="en-US"/>
                        </w:rPr>
                        <w:t>Reduced direct payments</w:t>
                      </w:r>
                    </w:p>
                    <w:p>
                      <w:pPr>
                        <w:pStyle w:val="ListParagraph"/>
                        <w:numPr>
                          <w:ilvl w:val="1"/>
                          <w:numId w:val="20"/>
                        </w:numPr>
                        <w:spacing w:after="0" w:line="240" w:lineRule="auto"/>
                        <w:textAlignment w:val="baseline"/>
                        <w:rPr>
                          <w:rFonts w:eastAsia="Times New Roman"/>
                        </w:rPr>
                      </w:pPr>
                      <w:r>
                        <w:rPr>
                          <w:rFonts w:ascii="Arial" w:hAnsi="Arial" w:cs="Arial"/>
                          <w:kern w:val="24"/>
                        </w:rPr>
                        <w:t xml:space="preserve">Focus on farmers under special constraints </w:t>
                      </w:r>
                      <w:r>
                        <w:rPr>
                          <w:rFonts w:ascii="Arial" w:hAnsi="Arial" w:cs="Arial"/>
                          <w:kern w:val="24"/>
                          <w:lang w:val="en-US"/>
                        </w:rPr>
                        <w:t>(e.g. small farms, mountainous areas and sparsely populated regions)</w:t>
                      </w:r>
                    </w:p>
                    <w:p>
                      <w:pPr>
                        <w:pStyle w:val="ListParagraph"/>
                        <w:numPr>
                          <w:ilvl w:val="1"/>
                          <w:numId w:val="20"/>
                        </w:numPr>
                        <w:spacing w:after="0" w:line="240" w:lineRule="auto"/>
                        <w:textAlignment w:val="baseline"/>
                        <w:rPr>
                          <w:rFonts w:eastAsia="Times New Roman"/>
                        </w:rPr>
                      </w:pPr>
                      <w:r>
                        <w:rPr>
                          <w:rFonts w:ascii="Arial" w:hAnsi="Arial" w:cs="Arial"/>
                          <w:kern w:val="24"/>
                          <w:lang w:val="en-US"/>
                        </w:rPr>
                        <w:t>A</w:t>
                      </w:r>
                      <w:r>
                        <w:rPr>
                          <w:rFonts w:ascii="Arial" w:hAnsi="Arial" w:cs="Arial"/>
                          <w:kern w:val="24"/>
                        </w:rPr>
                        <w:t>gri-environment-climate actions and risk management tools for all farms</w:t>
                      </w:r>
                    </w:p>
                    <w:p>
                      <w:pPr>
                        <w:pStyle w:val="ListParagraph"/>
                        <w:numPr>
                          <w:ilvl w:val="0"/>
                          <w:numId w:val="20"/>
                        </w:numPr>
                        <w:spacing w:after="0" w:line="240" w:lineRule="auto"/>
                        <w:textAlignment w:val="baseline"/>
                        <w:rPr>
                          <w:rFonts w:eastAsia="Times New Roman"/>
                        </w:rPr>
                      </w:pPr>
                      <w:r>
                        <w:rPr>
                          <w:rFonts w:ascii="Arial" w:hAnsi="Arial" w:cs="Arial"/>
                          <w:b/>
                          <w:bCs/>
                          <w:kern w:val="24"/>
                        </w:rPr>
                        <w:t>Economic, social and territorial cohesion</w:t>
                      </w:r>
                    </w:p>
                    <w:p>
                      <w:pPr>
                        <w:pStyle w:val="ListParagraph"/>
                        <w:numPr>
                          <w:ilvl w:val="1"/>
                          <w:numId w:val="20"/>
                        </w:numPr>
                        <w:spacing w:after="0" w:line="240" w:lineRule="auto"/>
                        <w:textAlignment w:val="baseline"/>
                        <w:rPr>
                          <w:rFonts w:eastAsia="Times New Roman"/>
                        </w:rPr>
                      </w:pPr>
                      <w:r>
                        <w:rPr>
                          <w:rFonts w:ascii="Arial" w:hAnsi="Arial" w:cs="Arial"/>
                          <w:kern w:val="24"/>
                        </w:rPr>
                        <w:t>Support only to poorer regions and cross border co-operation</w:t>
                      </w:r>
                    </w:p>
                    <w:p>
                      <w:pPr>
                        <w:pStyle w:val="ListParagraph"/>
                        <w:numPr>
                          <w:ilvl w:val="1"/>
                          <w:numId w:val="20"/>
                        </w:numPr>
                        <w:spacing w:after="0" w:line="240" w:lineRule="auto"/>
                        <w:textAlignment w:val="baseline"/>
                        <w:rPr>
                          <w:rFonts w:eastAsia="Times New Roman"/>
                        </w:rPr>
                      </w:pPr>
                      <w:r>
                        <w:rPr>
                          <w:rFonts w:ascii="Arial" w:hAnsi="Arial" w:cs="Arial"/>
                          <w:kern w:val="24"/>
                        </w:rPr>
                        <w:t>Focus exclusively on</w:t>
                      </w:r>
                      <w:r>
                        <w:rPr>
                          <w:rFonts w:ascii="Arial" w:hAnsi="Arial" w:cs="Arial"/>
                          <w:kern w:val="24"/>
                          <w:lang w:val="en-US"/>
                        </w:rPr>
                        <w:t xml:space="preserve"> social inclusion, employment, skills, </w:t>
                      </w:r>
                      <w:r>
                        <w:rPr>
                          <w:rFonts w:ascii="Arial" w:hAnsi="Arial" w:cs="Arial"/>
                          <w:kern w:val="24"/>
                        </w:rPr>
                        <w:t xml:space="preserve"> </w:t>
                      </w:r>
                      <w:r>
                        <w:rPr>
                          <w:rFonts w:ascii="Arial" w:hAnsi="Arial" w:cs="Arial"/>
                          <w:kern w:val="24"/>
                          <w:lang w:val="en-US"/>
                        </w:rPr>
                        <w:t>innovation, climate change, energy and environmental transition</w:t>
                      </w:r>
                    </w:p>
                    <w:p>
                      <w:pPr>
                        <w:pStyle w:val="ListParagraph"/>
                        <w:numPr>
                          <w:ilvl w:val="0"/>
                          <w:numId w:val="20"/>
                        </w:numPr>
                        <w:spacing w:after="0" w:line="240" w:lineRule="auto"/>
                        <w:textAlignment w:val="baseline"/>
                        <w:rPr>
                          <w:rFonts w:eastAsia="Times New Roman"/>
                        </w:rPr>
                      </w:pPr>
                      <w:r>
                        <w:rPr>
                          <w:rFonts w:ascii="Arial" w:hAnsi="Arial" w:cs="Arial"/>
                          <w:b/>
                          <w:bCs/>
                          <w:kern w:val="24"/>
                        </w:rPr>
                        <w:t>New priorities</w:t>
                      </w:r>
                    </w:p>
                    <w:p>
                      <w:pPr>
                        <w:pStyle w:val="ListParagraph"/>
                        <w:numPr>
                          <w:ilvl w:val="1"/>
                          <w:numId w:val="20"/>
                        </w:numPr>
                        <w:spacing w:after="0" w:line="240" w:lineRule="auto"/>
                        <w:textAlignment w:val="baseline"/>
                        <w:rPr>
                          <w:rFonts w:eastAsia="Times New Roman"/>
                        </w:rPr>
                      </w:pPr>
                      <w:r>
                        <w:rPr>
                          <w:rFonts w:ascii="Arial" w:hAnsi="Arial" w:cs="Arial"/>
                          <w:kern w:val="24"/>
                        </w:rPr>
                        <w:t>Security and defence (joint financing of key capabilities, joint procurement)</w:t>
                      </w:r>
                    </w:p>
                    <w:p>
                      <w:pPr>
                        <w:pStyle w:val="ListParagraph"/>
                        <w:numPr>
                          <w:ilvl w:val="1"/>
                          <w:numId w:val="20"/>
                        </w:numPr>
                        <w:spacing w:after="0" w:line="240" w:lineRule="auto"/>
                        <w:textAlignment w:val="baseline"/>
                        <w:rPr>
                          <w:rFonts w:eastAsia="Times New Roman"/>
                        </w:rPr>
                      </w:pPr>
                      <w:r>
                        <w:rPr>
                          <w:rFonts w:ascii="Arial" w:hAnsi="Arial" w:cs="Arial"/>
                          <w:kern w:val="24"/>
                        </w:rPr>
                        <w:t>Counter terrorism agency and migration management with border control and coast guard with joint equipment</w:t>
                      </w:r>
                    </w:p>
                    <w:p>
                      <w:pPr>
                        <w:pStyle w:val="ListParagraph"/>
                        <w:numPr>
                          <w:ilvl w:val="0"/>
                          <w:numId w:val="20"/>
                        </w:numPr>
                        <w:spacing w:after="0" w:line="240" w:lineRule="auto"/>
                        <w:textAlignment w:val="baseline"/>
                        <w:rPr>
                          <w:rFonts w:eastAsia="Times New Roman"/>
                        </w:rPr>
                      </w:pPr>
                      <w:r>
                        <w:rPr>
                          <w:rFonts w:ascii="Arial" w:hAnsi="Arial" w:cs="Arial"/>
                          <w:b/>
                          <w:bCs/>
                          <w:kern w:val="24"/>
                        </w:rPr>
                        <w:t>Reinforcement of existing priorities</w:t>
                      </w:r>
                    </w:p>
                    <w:p>
                      <w:pPr>
                        <w:pStyle w:val="ListParagraph"/>
                        <w:numPr>
                          <w:ilvl w:val="1"/>
                          <w:numId w:val="20"/>
                        </w:numPr>
                        <w:spacing w:after="0" w:line="240" w:lineRule="auto"/>
                        <w:textAlignment w:val="baseline"/>
                        <w:rPr>
                          <w:rFonts w:eastAsia="Times New Roman"/>
                        </w:rPr>
                      </w:pPr>
                      <w:r>
                        <w:rPr>
                          <w:rFonts w:ascii="Arial" w:hAnsi="Arial" w:cs="Arial"/>
                          <w:kern w:val="24"/>
                          <w:lang w:val="en-US"/>
                        </w:rPr>
                        <w:t xml:space="preserve">Smart transport and energy grids, </w:t>
                      </w:r>
                      <w:r>
                        <w:rPr>
                          <w:rFonts w:ascii="Arial" w:hAnsi="Arial" w:cs="Arial"/>
                          <w:kern w:val="24"/>
                        </w:rPr>
                        <w:t>high-performance computing, world-class Research &amp; Development, e-transport</w:t>
                      </w:r>
                    </w:p>
                    <w:p>
                      <w:pPr>
                        <w:pStyle w:val="ListParagraph"/>
                        <w:numPr>
                          <w:ilvl w:val="1"/>
                          <w:numId w:val="20"/>
                        </w:numPr>
                        <w:spacing w:after="0" w:line="240" w:lineRule="auto"/>
                        <w:textAlignment w:val="baseline"/>
                        <w:rPr>
                          <w:rFonts w:eastAsia="Times New Roman"/>
                        </w:rPr>
                      </w:pPr>
                      <w:r>
                        <w:rPr>
                          <w:rFonts w:ascii="Arial" w:hAnsi="Arial" w:cs="Arial"/>
                          <w:kern w:val="24"/>
                        </w:rPr>
                        <w:t>External policies</w:t>
                      </w:r>
                    </w:p>
                    <w:p>
                      <w:pPr>
                        <w:pStyle w:val="ListParagraph"/>
                        <w:numPr>
                          <w:ilvl w:val="0"/>
                          <w:numId w:val="20"/>
                        </w:numPr>
                        <w:spacing w:after="0" w:line="240" w:lineRule="auto"/>
                        <w:textAlignment w:val="baseline"/>
                        <w:rPr>
                          <w:rFonts w:eastAsia="Times New Roman"/>
                        </w:rPr>
                      </w:pPr>
                      <w:r>
                        <w:rPr>
                          <w:rFonts w:ascii="Arial" w:hAnsi="Arial" w:cs="Arial"/>
                          <w:b/>
                          <w:bCs/>
                          <w:kern w:val="24"/>
                          <w:lang w:val="en-US"/>
                        </w:rPr>
                        <w:t>Structural reforms linked to the European Semester</w:t>
                      </w:r>
                    </w:p>
                    <w:p>
                      <w:pPr>
                        <w:pStyle w:val="ListParagraph"/>
                        <w:numPr>
                          <w:ilvl w:val="1"/>
                          <w:numId w:val="20"/>
                        </w:numPr>
                        <w:spacing w:after="0" w:line="240" w:lineRule="auto"/>
                        <w:textAlignment w:val="baseline"/>
                        <w:rPr>
                          <w:rFonts w:eastAsia="Times New Roman"/>
                        </w:rPr>
                      </w:pPr>
                      <w:r>
                        <w:rPr>
                          <w:rFonts w:ascii="Arial" w:hAnsi="Arial" w:cs="Arial"/>
                          <w:kern w:val="24"/>
                          <w:lang w:val="en-US"/>
                        </w:rPr>
                        <w:t>Positive incentives either through cohesion policy or through a dedicated fund</w:t>
                      </w:r>
                    </w:p>
                    <w:p>
                      <w:pPr>
                        <w:pStyle w:val="NormalWeb"/>
                        <w:spacing w:after="0"/>
                        <w:textAlignment w:val="baseline"/>
                        <w:rPr>
                          <w:rFonts w:eastAsiaTheme="minorEastAsia"/>
                        </w:rPr>
                      </w:pPr>
                      <w:r>
                        <w:rPr>
                          <w:rFonts w:ascii="Arial" w:hAnsi="Arial" w:cs="Arial"/>
                          <w:b/>
                          <w:bCs/>
                          <w:kern w:val="24"/>
                          <w:sz w:val="28"/>
                          <w:szCs w:val="28"/>
                        </w:rPr>
                        <w:t>Revenue</w:t>
                      </w:r>
                    </w:p>
                    <w:p>
                      <w:pPr>
                        <w:pStyle w:val="ListParagraph"/>
                        <w:numPr>
                          <w:ilvl w:val="0"/>
                          <w:numId w:val="21"/>
                        </w:numPr>
                        <w:spacing w:after="0" w:line="240" w:lineRule="auto"/>
                        <w:textAlignment w:val="baseline"/>
                        <w:rPr>
                          <w:rFonts w:eastAsia="Times New Roman"/>
                        </w:rPr>
                      </w:pPr>
                      <w:r>
                        <w:rPr>
                          <w:rFonts w:ascii="Arial" w:hAnsi="Arial" w:cs="Arial"/>
                          <w:b/>
                          <w:bCs/>
                          <w:kern w:val="24"/>
                          <w:lang w:val="en-US"/>
                        </w:rPr>
                        <w:t>Simplification of current system: abolish all rebates, reform or abolish Value Added Tax-based own resource</w:t>
                      </w:r>
                    </w:p>
                    <w:p>
                      <w:pPr>
                        <w:pStyle w:val="ListParagraph"/>
                        <w:numPr>
                          <w:ilvl w:val="0"/>
                          <w:numId w:val="21"/>
                        </w:numPr>
                        <w:spacing w:after="0" w:line="240" w:lineRule="auto"/>
                        <w:textAlignment w:val="baseline"/>
                        <w:rPr>
                          <w:rFonts w:eastAsia="Times New Roman"/>
                        </w:rPr>
                      </w:pPr>
                      <w:r>
                        <w:rPr>
                          <w:rFonts w:ascii="Arial" w:hAnsi="Arial" w:cs="Arial"/>
                          <w:b/>
                          <w:bCs/>
                          <w:kern w:val="24"/>
                          <w:lang w:val="en-US"/>
                        </w:rPr>
                        <w:t>New Own Resources finance a share of the EU budget and contribute to achieving policy objectives (e.g. green tax, Financial Transaction Tax, Common Consolidated Corporate Tax Base)</w:t>
                      </w:r>
                    </w:p>
                    <w:p>
                      <w:pPr>
                        <w:pStyle w:val="ListParagraph"/>
                        <w:numPr>
                          <w:ilvl w:val="0"/>
                          <w:numId w:val="21"/>
                        </w:numPr>
                        <w:spacing w:after="0" w:line="240" w:lineRule="auto"/>
                        <w:textAlignment w:val="baseline"/>
                        <w:rPr>
                          <w:rFonts w:eastAsia="Times New Roman"/>
                        </w:rPr>
                      </w:pPr>
                      <w:r>
                        <w:rPr>
                          <w:rFonts w:ascii="Arial" w:hAnsi="Arial" w:cs="Arial"/>
                          <w:b/>
                          <w:bCs/>
                          <w:kern w:val="24"/>
                          <w:lang w:val="en-US"/>
                        </w:rPr>
                        <w:t xml:space="preserve">Other sources of revenue or fees finance the EU budget </w:t>
                      </w:r>
                    </w:p>
                  </w:txbxContent>
                </v:textbox>
              </v:rect>
            </w:pict>
          </mc:Fallback>
        </mc:AlternateContent>
      </w:r>
      <w:r>
        <w:rPr>
          <w:rFonts w:ascii="Times New Roman" w:hAnsi="Times New Roman" w:cs="Times New Roman"/>
          <w:b/>
          <w:noProof/>
          <w:sz w:val="28"/>
          <w:szCs w:val="24"/>
          <w:lang w:eastAsia="en-GB"/>
        </w:rPr>
        <mc:AlternateContent>
          <mc:Choice Requires="wps">
            <w:drawing>
              <wp:anchor distT="0" distB="0" distL="114300" distR="114300" simplePos="0" relativeHeight="251680768" behindDoc="0" locked="0" layoutInCell="1" allowOverlap="1">
                <wp:simplePos x="0" y="0"/>
                <wp:positionH relativeFrom="column">
                  <wp:posOffset>661534</wp:posOffset>
                </wp:positionH>
                <wp:positionV relativeFrom="paragraph">
                  <wp:posOffset>0</wp:posOffset>
                </wp:positionV>
                <wp:extent cx="7920880" cy="825851"/>
                <wp:effectExtent l="0" t="0" r="4445" b="0"/>
                <wp:wrapNone/>
                <wp:docPr id="41" name="Rectangle 7"/>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7" o:spid="_x0000_s1026" style="position:absolute;margin-left:52.1pt;margin-top:0;width:623.7pt;height:65.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8"/>
          <w:szCs w:val="24"/>
          <w:lang w:eastAsia="en-GB"/>
        </w:rPr>
        <mc:AlternateContent>
          <mc:Choice Requires="wps">
            <w:drawing>
              <wp:anchor distT="0" distB="0" distL="114300" distR="114300" simplePos="0" relativeHeight="251682816" behindDoc="0" locked="0" layoutInCell="1" allowOverlap="1">
                <wp:simplePos x="0" y="0"/>
                <wp:positionH relativeFrom="column">
                  <wp:posOffset>661534</wp:posOffset>
                </wp:positionH>
                <wp:positionV relativeFrom="paragraph">
                  <wp:posOffset>0</wp:posOffset>
                </wp:positionV>
                <wp:extent cx="5616575" cy="427355"/>
                <wp:effectExtent l="0" t="0" r="0" b="0"/>
                <wp:wrapNone/>
                <wp:docPr id="44" name="TextBox 9"/>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1D2777" w:rsidRDefault="00767E0A">
                            <w:pPr>
                              <w:pStyle w:val="NormalWeb"/>
                              <w:spacing w:after="0"/>
                              <w:textAlignment w:val="baseline"/>
                            </w:pPr>
                            <w:r>
                              <w:rPr>
                                <w:rFonts w:ascii="Arial" w:hAnsi="Arial" w:cs="Arial"/>
                                <w:b/>
                                <w:bCs/>
                                <w:color w:val="000000" w:themeColor="text1"/>
                                <w:kern w:val="24"/>
                                <w:sz w:val="40"/>
                                <w:szCs w:val="40"/>
                              </w:rPr>
                              <w:t>Scenario</w:t>
                            </w:r>
                          </w:p>
                        </w:txbxContent>
                      </wps:txbx>
                      <wps:bodyPr wrap="square" rtlCol="0">
                        <a:spAutoFit/>
                      </wps:bodyPr>
                    </wps:wsp>
                  </a:graphicData>
                </a:graphic>
              </wp:anchor>
            </w:drawing>
          </mc:Choice>
          <mc:Fallback>
            <w:pict>
              <v:shape id="_x0000_s1037" type="#_x0000_t202" style="position:absolute;margin-left:52.1pt;margin-top:0;width:442.25pt;height:33.6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" filled="f" stroked="f">
                <v:textbox style="mso-fit-shape-to-text:t">
                  <w:txbxContent>
                    <w:p>
                      <w:pPr>
                        <w:pStyle w:val="NormalWeb"/>
                        <w:spacing w:after="0"/>
                        <w:textAlignment w:val="baseline"/>
                      </w:pPr>
                      <w:r>
                        <w:rPr>
                          <w:rFonts w:ascii="Arial" w:hAnsi="Arial" w:cs="Arial"/>
                          <w:b/>
                          <w:bCs/>
                          <w:color w:val="000000" w:themeColor="text1"/>
                          <w:kern w:val="24"/>
                          <w:sz w:val="40"/>
                          <w:szCs w:val="40"/>
                        </w:rPr>
                        <w:t>Scenario</w:t>
                      </w:r>
                    </w:p>
                  </w:txbxContent>
                </v:textbox>
              </v:shape>
            </w:pict>
          </mc:Fallback>
        </mc:AlternateContent>
      </w:r>
      <w:r>
        <w:rPr>
          <w:rFonts w:ascii="Times New Roman" w:hAnsi="Times New Roman" w:cs="Times New Roman"/>
          <w:b/>
          <w:noProof/>
          <w:sz w:val="28"/>
          <w:szCs w:val="24"/>
          <w:lang w:eastAsia="en-GB"/>
        </w:rPr>
        <w:drawing>
          <wp:anchor distT="0" distB="0" distL="114300" distR="114300" simplePos="0" relativeHeight="251683840" behindDoc="0" locked="0" layoutInCell="1" allowOverlap="1">
            <wp:simplePos x="0" y="0"/>
            <wp:positionH relativeFrom="column">
              <wp:posOffset>7504259</wp:posOffset>
            </wp:positionH>
            <wp:positionV relativeFrom="paragraph">
              <wp:posOffset>118780</wp:posOffset>
            </wp:positionV>
            <wp:extent cx="857787" cy="601300"/>
            <wp:effectExtent l="0" t="0" r="0" b="8890"/>
            <wp:wrapNone/>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57787" cy="601300"/>
                    </a:xfrm>
                    <a:prstGeom prst="rect">
                      <a:avLst/>
                    </a:prstGeom>
                  </pic:spPr>
                </pic:pic>
              </a:graphicData>
            </a:graphic>
          </wp:anchor>
        </w:drawing>
      </w:r>
      <w:r>
        <w:rPr>
          <w:rFonts w:ascii="Times New Roman" w:hAnsi="Times New Roman" w:cs="Times New Roman"/>
          <w:b/>
          <w:noProof/>
          <w:sz w:val="28"/>
          <w:szCs w:val="24"/>
        </w:rPr>
        <w:t xml:space="preserve"> </w:t>
      </w:r>
      <w:r>
        <w:rPr>
          <w:rFonts w:ascii="Times New Roman" w:hAnsi="Times New Roman" w:cs="Times New Roman"/>
          <w:b/>
          <w:noProof/>
          <w:sz w:val="28"/>
          <w:szCs w:val="24"/>
        </w:rPr>
        <w:br w:type="page"/>
      </w:r>
    </w:p>
    <w:p w:rsidR="001D2777" w:rsidRDefault="001D2777">
      <w:pPr>
        <w:rPr>
          <w:rFonts w:ascii="Times New Roman" w:hAnsi="Times New Roman" w:cs="Times New Roman"/>
          <w:b/>
          <w:noProof/>
          <w:sz w:val="24"/>
          <w:szCs w:val="24"/>
        </w:rPr>
      </w:pPr>
    </w:p>
    <w:p w:rsidR="001D2777" w:rsidRDefault="00767E0A">
      <w:pPr>
        <w:rPr>
          <w:rFonts w:ascii="Times New Roman" w:hAnsi="Times New Roman" w:cs="Times New Roman"/>
          <w:b/>
          <w:noProof/>
          <w:sz w:val="24"/>
          <w:szCs w:val="24"/>
        </w:rPr>
      </w:pPr>
      <w:r>
        <w:rPr>
          <w:rFonts w:ascii="Times New Roman" w:hAnsi="Times New Roman" w:cs="Times New Roman"/>
          <w:b/>
          <w:noProof/>
          <w:sz w:val="24"/>
          <w:szCs w:val="24"/>
          <w:lang w:eastAsia="en-GB"/>
        </w:rPr>
        <mc:AlternateContent>
          <mc:Choice Requires="wps">
            <w:drawing>
              <wp:anchor distT="0" distB="0" distL="114300" distR="114300" simplePos="0" relativeHeight="251685888" behindDoc="0" locked="0" layoutInCell="1" allowOverlap="1">
                <wp:simplePos x="0" y="0"/>
                <wp:positionH relativeFrom="column">
                  <wp:posOffset>517518</wp:posOffset>
                </wp:positionH>
                <wp:positionV relativeFrom="paragraph">
                  <wp:posOffset>0</wp:posOffset>
                </wp:positionV>
                <wp:extent cx="7920880" cy="825851"/>
                <wp:effectExtent l="0" t="0" r="4445" b="0"/>
                <wp:wrapNone/>
                <wp:docPr id="46" name="Rectangle 7"/>
                <wp:cNvGraphicFramePr/>
                <a:graphic xmlns:a="http://schemas.openxmlformats.org/drawingml/2006/main">
                  <a:graphicData uri="http://schemas.microsoft.com/office/word/2010/wordprocessingShape">
                    <wps:wsp>
                      <wps:cNvSpPr/>
                      <wps:spPr bwMode="auto">
                        <a:xfrm>
                          <a:off x="0" y="0"/>
                          <a:ext cx="7920880" cy="825851"/>
                        </a:xfrm>
                        <a:prstGeom prst="rect">
                          <a:avLst/>
                        </a:prstGeom>
                        <a:gradFill flip="none" rotWithShape="1">
                          <a:gsLst>
                            <a:gs pos="0">
                              <a:schemeClr val="accent6"/>
                            </a:gs>
                            <a:gs pos="100000">
                              <a:schemeClr val="bg1"/>
                            </a:gs>
                            <a:gs pos="100000">
                              <a:schemeClr val="accent6"/>
                            </a:gs>
                          </a:gsLst>
                          <a:path path="circle">
                            <a:fillToRect l="100000" t="100000"/>
                          </a:path>
                          <a:tileRect r="-100000" b="-100000"/>
                        </a:gradFill>
                        <a:ln>
                          <a:noFill/>
                        </a:ln>
                        <a:effectLst/>
                        <a:extLst/>
                      </wps:spPr>
                      <wps:bodyPr vert="horz" wrap="square" lIns="91440" tIns="45720" rIns="91440" bIns="45720" numCol="1" rtlCol="0" anchor="ctr" anchorCtr="0" compatLnSpc="1">
                        <a:prstTxWarp prst="textNoShape">
                          <a:avLst/>
                        </a:prstTxWarp>
                      </wps:bodyPr>
                    </wps:wsp>
                  </a:graphicData>
                </a:graphic>
              </wp:anchor>
            </w:drawing>
          </mc:Choice>
          <mc:Fallback>
            <w:pict>
              <v:rect id="Rectangle 7" o:spid="_x0000_s1026" style="position:absolute;margin-left:40.75pt;margin-top:0;width:623.7pt;height:65.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" fillcolor="#f79646 [3209]" stroked="f">
                <v:fill color2="white [3212]" rotate="t" focusposition="1,1" focussize="" focus="100%" type="gradientRadial"/>
              </v:rect>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686912" behindDoc="0" locked="0" layoutInCell="1" allowOverlap="1">
                <wp:simplePos x="0" y="0"/>
                <wp:positionH relativeFrom="column">
                  <wp:posOffset>0</wp:posOffset>
                </wp:positionH>
                <wp:positionV relativeFrom="paragraph">
                  <wp:posOffset>144016</wp:posOffset>
                </wp:positionV>
                <wp:extent cx="2893782" cy="1152128"/>
                <wp:effectExtent l="0" t="0" r="0" b="0"/>
                <wp:wrapNone/>
                <wp:docPr id="47" name="TextBox 8"/>
                <wp:cNvGraphicFramePr/>
                <a:graphic xmlns:a="http://schemas.openxmlformats.org/drawingml/2006/main">
                  <a:graphicData uri="http://schemas.microsoft.com/office/word/2010/wordprocessingShape">
                    <wps:wsp>
                      <wps:cNvSpPr txBox="1"/>
                      <wps:spPr>
                        <a:xfrm>
                          <a:off x="0" y="0"/>
                          <a:ext cx="2893782" cy="1152128"/>
                        </a:xfrm>
                        <a:prstGeom prst="rect">
                          <a:avLst/>
                        </a:prstGeom>
                        <a:noFill/>
                      </wps:spPr>
                      <wps:txbx>
                        <w:txbxContent>
                          <w:p w:rsidR="001D2777" w:rsidRDefault="00767E0A">
                            <w:pPr>
                              <w:pStyle w:val="NormalWeb"/>
                              <w:spacing w:after="0"/>
                              <w:jc w:val="center"/>
                              <w:textAlignment w:val="baseline"/>
                            </w:pPr>
                            <w:r>
                              <w:rPr>
                                <w:rFonts w:ascii="Arial" w:hAnsi="Arial" w:cs="Arial"/>
                                <w:b/>
                                <w:bCs/>
                                <w:color w:val="1F497D" w:themeColor="text2"/>
                                <w:kern w:val="24"/>
                                <w:sz w:val="96"/>
                                <w:szCs w:val="96"/>
                              </w:rPr>
                              <w:t>5</w:t>
                            </w:r>
                            <w:r>
                              <w:rPr>
                                <w:rFonts w:ascii="Arial" w:hAnsi="Arial" w:cs="Arial"/>
                                <w:b/>
                                <w:bCs/>
                                <w:color w:val="1F497D" w:themeColor="text2"/>
                                <w:kern w:val="24"/>
                              </w:rPr>
                              <w:t>Doing much more together</w:t>
                            </w:r>
                          </w:p>
                        </w:txbxContent>
                      </wps:txbx>
                      <wps:bodyPr wrap="square" rtlCol="0">
                        <a:noAutofit/>
                      </wps:bodyPr>
                    </wps:wsp>
                  </a:graphicData>
                </a:graphic>
              </wp:anchor>
            </w:drawing>
          </mc:Choice>
          <mc:Fallback>
            <w:pict>
              <v:shape id="_x0000_s1038" type="#_x0000_t202" style="position:absolute;margin-left:0;margin-top:11.35pt;width:227.85pt;height:90.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" filled="f" stroked="f">
                <v:textbox>
                  <w:txbxContent>
                    <w:p>
                      <w:pPr>
                        <w:pStyle w:val="NormalWeb"/>
                        <w:spacing w:after="0"/>
                        <w:jc w:val="center"/>
                        <w:textAlignment w:val="baseline"/>
                      </w:pPr>
                      <w:r>
                        <w:rPr>
                          <w:rFonts w:ascii="Arial" w:hAnsi="Arial" w:cs="Arial"/>
                          <w:b/>
                          <w:bCs/>
                          <w:color w:val="1F497D" w:themeColor="text2"/>
                          <w:kern w:val="24"/>
                          <w:sz w:val="96"/>
                          <w:szCs w:val="96"/>
                        </w:rPr>
                        <w:t>5</w:t>
                      </w:r>
                      <w:r>
                        <w:rPr>
                          <w:rFonts w:ascii="Arial" w:hAnsi="Arial" w:cs="Arial"/>
                          <w:b/>
                          <w:bCs/>
                          <w:color w:val="1F497D" w:themeColor="text2"/>
                          <w:kern w:val="24"/>
                        </w:rPr>
                        <w:t>Doing much more together</w:t>
                      </w:r>
                    </w:p>
                  </w:txbxContent>
                </v:textbox>
              </v:shape>
            </w:pict>
          </mc:Fallback>
        </mc:AlternateContent>
      </w:r>
      <w:r>
        <w:rPr>
          <w:rFonts w:ascii="Times New Roman" w:hAnsi="Times New Roman" w:cs="Times New Roman"/>
          <w:b/>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517518</wp:posOffset>
                </wp:positionH>
                <wp:positionV relativeFrom="paragraph">
                  <wp:posOffset>0</wp:posOffset>
                </wp:positionV>
                <wp:extent cx="5616575" cy="427355"/>
                <wp:effectExtent l="0" t="0" r="0" b="0"/>
                <wp:wrapNone/>
                <wp:docPr id="48" name="TextBox 9"/>
                <wp:cNvGraphicFramePr/>
                <a:graphic xmlns:a="http://schemas.openxmlformats.org/drawingml/2006/main">
                  <a:graphicData uri="http://schemas.microsoft.com/office/word/2010/wordprocessingShape">
                    <wps:wsp>
                      <wps:cNvSpPr txBox="1"/>
                      <wps:spPr>
                        <a:xfrm>
                          <a:off x="0" y="0"/>
                          <a:ext cx="5616575" cy="427355"/>
                        </a:xfrm>
                        <a:prstGeom prst="rect">
                          <a:avLst/>
                        </a:prstGeom>
                        <a:noFill/>
                      </wps:spPr>
                      <wps:txbx>
                        <w:txbxContent>
                          <w:p w:rsidR="001D2777" w:rsidRDefault="00767E0A">
                            <w:pPr>
                              <w:pStyle w:val="NormalWeb"/>
                              <w:spacing w:after="0"/>
                              <w:textAlignment w:val="baseline"/>
                            </w:pPr>
                            <w:r>
                              <w:rPr>
                                <w:rFonts w:ascii="Arial" w:hAnsi="Arial" w:cs="Arial"/>
                                <w:b/>
                                <w:bCs/>
                                <w:color w:val="000000" w:themeColor="text1"/>
                                <w:kern w:val="24"/>
                                <w:sz w:val="40"/>
                                <w:szCs w:val="40"/>
                              </w:rPr>
                              <w:t>Scenario</w:t>
                            </w:r>
                          </w:p>
                        </w:txbxContent>
                      </wps:txbx>
                      <wps:bodyPr wrap="square" rtlCol="0">
                        <a:spAutoFit/>
                      </wps:bodyPr>
                    </wps:wsp>
                  </a:graphicData>
                </a:graphic>
              </wp:anchor>
            </w:drawing>
          </mc:Choice>
          <mc:Fallback>
            <w:pict>
              <v:shape id="_x0000_s1039" type="#_x0000_t202" style="position:absolute;margin-left:40.75pt;margin-top:0;width:442.25pt;height:33.6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" filled="f" stroked="f">
                <v:textbox style="mso-fit-shape-to-text:t">
                  <w:txbxContent>
                    <w:p>
                      <w:pPr>
                        <w:pStyle w:val="NormalWeb"/>
                        <w:spacing w:after="0"/>
                        <w:textAlignment w:val="baseline"/>
                      </w:pPr>
                      <w:r>
                        <w:rPr>
                          <w:rFonts w:ascii="Arial" w:hAnsi="Arial" w:cs="Arial"/>
                          <w:b/>
                          <w:bCs/>
                          <w:color w:val="000000" w:themeColor="text1"/>
                          <w:kern w:val="24"/>
                          <w:sz w:val="40"/>
                          <w:szCs w:val="40"/>
                        </w:rPr>
                        <w:t>Scenario</w:t>
                      </w:r>
                    </w:p>
                  </w:txbxContent>
                </v:textbox>
              </v:shape>
            </w:pict>
          </mc:Fallback>
        </mc:AlternateContent>
      </w:r>
      <w:r>
        <w:rPr>
          <w:rFonts w:ascii="Times New Roman" w:hAnsi="Times New Roman" w:cs="Times New Roman"/>
          <w:b/>
          <w:noProof/>
          <w:sz w:val="24"/>
          <w:szCs w:val="24"/>
          <w:lang w:eastAsia="en-GB"/>
        </w:rPr>
        <w:drawing>
          <wp:anchor distT="0" distB="0" distL="114300" distR="114300" simplePos="0" relativeHeight="251688960" behindDoc="0" locked="0" layoutInCell="1" allowOverlap="1">
            <wp:simplePos x="0" y="0"/>
            <wp:positionH relativeFrom="column">
              <wp:posOffset>7274645</wp:posOffset>
            </wp:positionH>
            <wp:positionV relativeFrom="paragraph">
              <wp:posOffset>89902</wp:posOffset>
            </wp:positionV>
            <wp:extent cx="864095" cy="605722"/>
            <wp:effectExtent l="0" t="0" r="0" b="4445"/>
            <wp:wrapNone/>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64095" cy="605722"/>
                    </a:xfrm>
                    <a:prstGeom prst="rect">
                      <a:avLst/>
                    </a:prstGeom>
                  </pic:spPr>
                </pic:pic>
              </a:graphicData>
            </a:graphic>
          </wp:anchor>
        </w:drawing>
      </w:r>
      <w:r>
        <w:rPr>
          <w:rFonts w:ascii="Times New Roman" w:hAnsi="Times New Roman" w:cs="Times New Roman"/>
          <w:b/>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279026</wp:posOffset>
                </wp:positionH>
                <wp:positionV relativeFrom="paragraph">
                  <wp:posOffset>864096</wp:posOffset>
                </wp:positionV>
                <wp:extent cx="8411210" cy="4009390"/>
                <wp:effectExtent l="0" t="0" r="0" b="0"/>
                <wp:wrapNone/>
                <wp:docPr id="49" name="Rectangle 17"/>
                <wp:cNvGraphicFramePr/>
                <a:graphic xmlns:a="http://schemas.openxmlformats.org/drawingml/2006/main">
                  <a:graphicData uri="http://schemas.microsoft.com/office/word/2010/wordprocessingShape">
                    <wps:wsp>
                      <wps:cNvSpPr/>
                      <wps:spPr>
                        <a:xfrm>
                          <a:off x="0" y="0"/>
                          <a:ext cx="8411210" cy="4009390"/>
                        </a:xfrm>
                        <a:prstGeom prst="rect">
                          <a:avLst/>
                        </a:prstGeom>
                      </wps:spPr>
                      <wps:txbx>
                        <w:txbxContent>
                          <w:p w:rsidR="001D2777" w:rsidRDefault="00767E0A">
                            <w:pPr>
                              <w:pStyle w:val="NormalWeb"/>
                              <w:spacing w:after="0"/>
                              <w:textAlignment w:val="baseline"/>
                            </w:pPr>
                            <w:r>
                              <w:rPr>
                                <w:rFonts w:ascii="Arial" w:hAnsi="Arial" w:cs="Arial"/>
                                <w:b/>
                                <w:bCs/>
                                <w:kern w:val="24"/>
                                <w:sz w:val="28"/>
                                <w:szCs w:val="28"/>
                              </w:rPr>
                              <w:t>General trend and volume</w:t>
                            </w:r>
                          </w:p>
                          <w:p w:rsidR="001D2777" w:rsidRDefault="00767E0A">
                            <w:pPr>
                              <w:pStyle w:val="ListParagraph"/>
                              <w:numPr>
                                <w:ilvl w:val="0"/>
                                <w:numId w:val="22"/>
                              </w:numPr>
                              <w:spacing w:after="0" w:line="240" w:lineRule="auto"/>
                              <w:textAlignment w:val="baseline"/>
                              <w:rPr>
                                <w:rFonts w:eastAsia="Times New Roman"/>
                              </w:rPr>
                            </w:pPr>
                            <w:r>
                              <w:rPr>
                                <w:rFonts w:ascii="Arial" w:hAnsi="Arial" w:cs="Arial"/>
                                <w:b/>
                                <w:bCs/>
                                <w:kern w:val="24"/>
                              </w:rPr>
                              <w:t>Significantly increased</w:t>
                            </w:r>
                          </w:p>
                          <w:p w:rsidR="001D2777" w:rsidRDefault="00767E0A">
                            <w:pPr>
                              <w:pStyle w:val="ListParagraph"/>
                              <w:numPr>
                                <w:ilvl w:val="0"/>
                                <w:numId w:val="22"/>
                              </w:numPr>
                              <w:spacing w:after="0" w:line="240" w:lineRule="auto"/>
                              <w:textAlignment w:val="baseline"/>
                              <w:rPr>
                                <w:rFonts w:eastAsia="Times New Roman"/>
                              </w:rPr>
                            </w:pPr>
                            <w:r>
                              <w:rPr>
                                <w:rFonts w:ascii="Arial" w:hAnsi="Arial" w:cs="Arial"/>
                                <w:b/>
                                <w:bCs/>
                                <w:kern w:val="24"/>
                                <w:lang w:val="en-US"/>
                              </w:rPr>
                              <w:t>Significant additional financing of new priorities and external action</w:t>
                            </w:r>
                          </w:p>
                          <w:p w:rsidR="001D2777" w:rsidRDefault="00767E0A">
                            <w:pPr>
                              <w:pStyle w:val="ListParagraph"/>
                              <w:numPr>
                                <w:ilvl w:val="0"/>
                                <w:numId w:val="22"/>
                              </w:numPr>
                              <w:spacing w:after="0" w:line="240" w:lineRule="auto"/>
                              <w:textAlignment w:val="baseline"/>
                              <w:rPr>
                                <w:rFonts w:eastAsia="Times New Roman"/>
                              </w:rPr>
                            </w:pPr>
                            <w:r>
                              <w:rPr>
                                <w:rFonts w:ascii="Arial" w:hAnsi="Arial" w:cs="Arial"/>
                                <w:b/>
                                <w:bCs/>
                                <w:kern w:val="24"/>
                              </w:rPr>
                              <w:t>Higher use of financial instruments and guarantees</w:t>
                            </w:r>
                          </w:p>
                          <w:p w:rsidR="001D2777" w:rsidRDefault="00767E0A">
                            <w:pPr>
                              <w:pStyle w:val="ListParagraph"/>
                              <w:numPr>
                                <w:ilvl w:val="0"/>
                                <w:numId w:val="22"/>
                              </w:numPr>
                              <w:spacing w:after="0" w:line="240" w:lineRule="auto"/>
                              <w:textAlignment w:val="baseline"/>
                              <w:rPr>
                                <w:rFonts w:eastAsia="Times New Roman"/>
                              </w:rPr>
                            </w:pPr>
                            <w:r>
                              <w:rPr>
                                <w:rFonts w:ascii="Arial" w:hAnsi="Arial" w:cs="Arial"/>
                                <w:b/>
                                <w:bCs/>
                                <w:kern w:val="24"/>
                                <w:lang w:val="en-US"/>
                              </w:rPr>
                              <w:t>Increase of own resources ceiling</w:t>
                            </w:r>
                          </w:p>
                          <w:p w:rsidR="001D2777" w:rsidRDefault="00767E0A">
                            <w:pPr>
                              <w:pStyle w:val="NormalWeb"/>
                              <w:spacing w:after="0"/>
                              <w:textAlignment w:val="baseline"/>
                              <w:rPr>
                                <w:rFonts w:eastAsiaTheme="minorEastAsia"/>
                              </w:rPr>
                            </w:pPr>
                            <w:r>
                              <w:rPr>
                                <w:rFonts w:ascii="Arial" w:hAnsi="Arial" w:cs="Arial"/>
                                <w:b/>
                                <w:bCs/>
                                <w:kern w:val="24"/>
                                <w:sz w:val="28"/>
                                <w:szCs w:val="28"/>
                                <w:lang w:val="en-US"/>
                              </w:rPr>
                              <w:t>Expenditure</w:t>
                            </w:r>
                          </w:p>
                          <w:p w:rsidR="001D2777" w:rsidRDefault="00767E0A">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 xml:space="preserve">Common agricultural policy—higher amount </w:t>
                            </w:r>
                          </w:p>
                          <w:p w:rsidR="001D2777" w:rsidRDefault="00767E0A">
                            <w:pPr>
                              <w:pStyle w:val="ListParagraph"/>
                              <w:numPr>
                                <w:ilvl w:val="0"/>
                                <w:numId w:val="23"/>
                              </w:numPr>
                              <w:spacing w:after="0" w:line="240" w:lineRule="auto"/>
                              <w:textAlignment w:val="baseline"/>
                              <w:rPr>
                                <w:rFonts w:eastAsia="Times New Roman"/>
                              </w:rPr>
                            </w:pPr>
                            <w:r>
                              <w:rPr>
                                <w:rFonts w:ascii="Arial" w:hAnsi="Arial" w:cs="Arial"/>
                                <w:b/>
                                <w:bCs/>
                                <w:kern w:val="24"/>
                              </w:rPr>
                              <w:t xml:space="preserve">Economic, social and territorial cohesion </w:t>
                            </w:r>
                            <w:r>
                              <w:rPr>
                                <w:rFonts w:ascii="Arial" w:hAnsi="Arial" w:cs="Arial"/>
                                <w:b/>
                                <w:bCs/>
                                <w:kern w:val="24"/>
                                <w:lang w:val="en-US"/>
                              </w:rPr>
                              <w:t>as i</w:t>
                            </w:r>
                            <w:r>
                              <w:rPr>
                                <w:rFonts w:ascii="Arial" w:hAnsi="Arial" w:cs="Arial"/>
                                <w:b/>
                                <w:bCs/>
                                <w:kern w:val="24"/>
                                <w:lang w:val="en-US"/>
                              </w:rPr>
                              <w:t>n scenario 1 plus:</w:t>
                            </w:r>
                          </w:p>
                          <w:p w:rsidR="001D2777" w:rsidRDefault="00767E0A">
                            <w:pPr>
                              <w:pStyle w:val="ListParagraph"/>
                              <w:numPr>
                                <w:ilvl w:val="1"/>
                                <w:numId w:val="23"/>
                              </w:numPr>
                              <w:spacing w:after="0" w:line="240" w:lineRule="auto"/>
                              <w:textAlignment w:val="baseline"/>
                              <w:rPr>
                                <w:rFonts w:eastAsia="Times New Roman"/>
                              </w:rPr>
                            </w:pPr>
                            <w:r>
                              <w:rPr>
                                <w:rFonts w:ascii="Arial" w:hAnsi="Arial" w:cs="Arial"/>
                                <w:kern w:val="24"/>
                              </w:rPr>
                              <w:t>Reinforced social dimension (e.g. Child Guarantee)</w:t>
                            </w:r>
                          </w:p>
                          <w:p w:rsidR="001D2777" w:rsidRDefault="00767E0A">
                            <w:pPr>
                              <w:pStyle w:val="ListParagraph"/>
                              <w:numPr>
                                <w:ilvl w:val="1"/>
                                <w:numId w:val="23"/>
                              </w:numPr>
                              <w:spacing w:after="0" w:line="240" w:lineRule="auto"/>
                              <w:textAlignment w:val="baseline"/>
                              <w:rPr>
                                <w:rFonts w:eastAsia="Times New Roman"/>
                              </w:rPr>
                            </w:pPr>
                            <w:r>
                              <w:rPr>
                                <w:rFonts w:ascii="Arial" w:hAnsi="Arial" w:cs="Arial"/>
                                <w:kern w:val="24"/>
                              </w:rPr>
                              <w:t>Reinforced territorial cooperation dimension</w:t>
                            </w:r>
                          </w:p>
                          <w:p w:rsidR="001D2777" w:rsidRDefault="00767E0A">
                            <w:pPr>
                              <w:pStyle w:val="ListParagraph"/>
                              <w:numPr>
                                <w:ilvl w:val="1"/>
                                <w:numId w:val="23"/>
                              </w:numPr>
                              <w:spacing w:after="0" w:line="240" w:lineRule="auto"/>
                              <w:textAlignment w:val="baseline"/>
                              <w:rPr>
                                <w:rFonts w:eastAsia="Times New Roman"/>
                              </w:rPr>
                            </w:pPr>
                            <w:r>
                              <w:rPr>
                                <w:rFonts w:ascii="Arial" w:hAnsi="Arial" w:cs="Arial"/>
                                <w:kern w:val="24"/>
                              </w:rPr>
                              <w:t>Reinforced urban dimension</w:t>
                            </w:r>
                          </w:p>
                          <w:p w:rsidR="001D2777" w:rsidRDefault="00767E0A">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New priorities and high value added priorities as in scenario 4</w:t>
                            </w:r>
                          </w:p>
                          <w:p w:rsidR="001D2777" w:rsidRDefault="00767E0A">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Structural reforms linked to the European Semester</w:t>
                            </w:r>
                          </w:p>
                          <w:p w:rsidR="001D2777" w:rsidRDefault="00767E0A">
                            <w:pPr>
                              <w:pStyle w:val="ListParagraph"/>
                              <w:numPr>
                                <w:ilvl w:val="1"/>
                                <w:numId w:val="23"/>
                              </w:numPr>
                              <w:spacing w:after="0" w:line="240" w:lineRule="auto"/>
                              <w:textAlignment w:val="baseline"/>
                              <w:rPr>
                                <w:rFonts w:eastAsia="Times New Roman"/>
                              </w:rPr>
                            </w:pPr>
                            <w:r>
                              <w:rPr>
                                <w:rFonts w:ascii="Arial" w:hAnsi="Arial" w:cs="Arial"/>
                                <w:kern w:val="24"/>
                                <w:lang w:val="en-US"/>
                              </w:rPr>
                              <w:t>Positive incentives either through cohesion policy or through a dedicated fund</w:t>
                            </w:r>
                          </w:p>
                          <w:p w:rsidR="001D2777" w:rsidRDefault="00767E0A">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Common Security &amp;</w:t>
                            </w:r>
                            <w:r>
                              <w:rPr>
                                <w:rFonts w:ascii="Arial" w:hAnsi="Arial" w:cs="Arial"/>
                                <w:b/>
                                <w:bCs/>
                                <w:kern w:val="24"/>
                              </w:rPr>
                              <w:t xml:space="preserve"> Defence</w:t>
                            </w:r>
                            <w:r>
                              <w:rPr>
                                <w:rFonts w:ascii="Arial" w:hAnsi="Arial" w:cs="Arial"/>
                                <w:b/>
                                <w:bCs/>
                                <w:kern w:val="24"/>
                                <w:lang w:val="en-US"/>
                              </w:rPr>
                              <w:t xml:space="preserve">, common financing &amp; procurement, EU budget complemented by an extra-budgetary fund </w:t>
                            </w:r>
                          </w:p>
                          <w:p w:rsidR="001D2777" w:rsidRDefault="00767E0A">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Venture Capital Fund facility</w:t>
                            </w:r>
                          </w:p>
                          <w:p w:rsidR="001D2777" w:rsidRDefault="00767E0A">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Fully-fledged Euro area budget and E</w:t>
                            </w:r>
                            <w:r>
                              <w:rPr>
                                <w:rFonts w:ascii="Arial" w:hAnsi="Arial" w:cs="Arial"/>
                                <w:b/>
                                <w:bCs/>
                                <w:kern w:val="24"/>
                                <w:lang w:val="en-US"/>
                              </w:rPr>
                              <w:t>uropean Monetary Fund</w:t>
                            </w:r>
                          </w:p>
                          <w:p w:rsidR="001D2777" w:rsidRDefault="00767E0A">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Reinforced external action; European Development Fund in the budget</w:t>
                            </w:r>
                          </w:p>
                          <w:p w:rsidR="001D2777" w:rsidRDefault="00767E0A">
                            <w:pPr>
                              <w:pStyle w:val="NormalWeb"/>
                              <w:spacing w:after="0"/>
                              <w:textAlignment w:val="baseline"/>
                              <w:rPr>
                                <w:rFonts w:eastAsiaTheme="minorEastAsia"/>
                              </w:rPr>
                            </w:pPr>
                            <w:r>
                              <w:rPr>
                                <w:rFonts w:ascii="Arial" w:hAnsi="Arial" w:cs="Arial"/>
                                <w:b/>
                                <w:bCs/>
                                <w:kern w:val="24"/>
                                <w:sz w:val="28"/>
                                <w:szCs w:val="28"/>
                              </w:rPr>
                              <w:t>Revenue</w:t>
                            </w:r>
                          </w:p>
                          <w:p w:rsidR="001D2777" w:rsidRDefault="00767E0A">
                            <w:pPr>
                              <w:pStyle w:val="ListParagraph"/>
                              <w:numPr>
                                <w:ilvl w:val="0"/>
                                <w:numId w:val="24"/>
                              </w:numPr>
                              <w:spacing w:after="0" w:line="240" w:lineRule="auto"/>
                              <w:textAlignment w:val="baseline"/>
                              <w:rPr>
                                <w:rFonts w:eastAsia="Times New Roman"/>
                              </w:rPr>
                            </w:pPr>
                            <w:r>
                              <w:rPr>
                                <w:rFonts w:ascii="Arial" w:hAnsi="Arial" w:cs="Arial"/>
                                <w:b/>
                                <w:bCs/>
                                <w:kern w:val="24"/>
                              </w:rPr>
                              <w:t>In-depth reform beyond scenario 4</w:t>
                            </w:r>
                          </w:p>
                          <w:p w:rsidR="001D2777" w:rsidRDefault="00767E0A">
                            <w:pPr>
                              <w:pStyle w:val="ListParagraph"/>
                              <w:numPr>
                                <w:ilvl w:val="0"/>
                                <w:numId w:val="24"/>
                              </w:numPr>
                              <w:spacing w:after="0" w:line="240" w:lineRule="auto"/>
                              <w:textAlignment w:val="baseline"/>
                              <w:rPr>
                                <w:rFonts w:eastAsia="Times New Roman"/>
                              </w:rPr>
                            </w:pPr>
                            <w:r>
                              <w:rPr>
                                <w:rFonts w:ascii="Arial" w:hAnsi="Arial" w:cs="Arial"/>
                                <w:b/>
                                <w:bCs/>
                                <w:kern w:val="24"/>
                              </w:rPr>
                              <w:t xml:space="preserve">New own  resources </w:t>
                            </w:r>
                            <w:r>
                              <w:rPr>
                                <w:rFonts w:ascii="Arial" w:hAnsi="Arial" w:cs="Arial"/>
                                <w:b/>
                                <w:bCs/>
                                <w:kern w:val="24"/>
                                <w:lang w:val="en-US"/>
                              </w:rPr>
                              <w:t xml:space="preserve">finance a large share of the EU budget and contribute to achieving policy objectives </w:t>
                            </w:r>
                          </w:p>
                          <w:p w:rsidR="001D2777" w:rsidRDefault="00767E0A">
                            <w:pPr>
                              <w:pStyle w:val="ListParagraph"/>
                              <w:numPr>
                                <w:ilvl w:val="0"/>
                                <w:numId w:val="24"/>
                              </w:numPr>
                              <w:spacing w:after="0" w:line="240" w:lineRule="auto"/>
                              <w:textAlignment w:val="baseline"/>
                              <w:rPr>
                                <w:rFonts w:eastAsia="Times New Roman"/>
                              </w:rPr>
                            </w:pPr>
                            <w:r>
                              <w:rPr>
                                <w:rFonts w:ascii="Arial" w:hAnsi="Arial" w:cs="Arial"/>
                                <w:b/>
                                <w:bCs/>
                                <w:kern w:val="24"/>
                                <w:lang w:val="en-US"/>
                              </w:rPr>
                              <w:t xml:space="preserve">Other sources of revenue or fees finance the EU budget </w:t>
                            </w:r>
                          </w:p>
                        </w:txbxContent>
                      </wps:txbx>
                      <wps:bodyPr wrap="square">
                        <a:spAutoFit/>
                      </wps:bodyPr>
                    </wps:wsp>
                  </a:graphicData>
                </a:graphic>
              </wp:anchor>
            </w:drawing>
          </mc:Choice>
          <mc:Fallback>
            <w:pict>
              <v:rect id="Rectangle 17" o:spid="_x0000_s1040" style="position:absolute;margin-left:21.95pt;margin-top:68.05pt;width:662.3pt;height:315.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" filled="f" stroked="f">
                <v:textbox style="mso-fit-shape-to-text:t">
                  <w:txbxContent>
                    <w:p>
                      <w:pPr>
                        <w:pStyle w:val="NormalWeb"/>
                        <w:spacing w:after="0"/>
                        <w:textAlignment w:val="baseline"/>
                      </w:pPr>
                      <w:r>
                        <w:rPr>
                          <w:rFonts w:ascii="Arial" w:hAnsi="Arial" w:cs="Arial"/>
                          <w:b/>
                          <w:bCs/>
                          <w:kern w:val="24"/>
                          <w:sz w:val="28"/>
                          <w:szCs w:val="28"/>
                        </w:rPr>
                        <w:t>General trend and volume</w:t>
                      </w:r>
                    </w:p>
                    <w:p>
                      <w:pPr>
                        <w:pStyle w:val="ListParagraph"/>
                        <w:numPr>
                          <w:ilvl w:val="0"/>
                          <w:numId w:val="22"/>
                        </w:numPr>
                        <w:spacing w:after="0" w:line="240" w:lineRule="auto"/>
                        <w:textAlignment w:val="baseline"/>
                        <w:rPr>
                          <w:rFonts w:eastAsia="Times New Roman"/>
                        </w:rPr>
                      </w:pPr>
                      <w:r>
                        <w:rPr>
                          <w:rFonts w:ascii="Arial" w:hAnsi="Arial" w:cs="Arial"/>
                          <w:b/>
                          <w:bCs/>
                          <w:kern w:val="24"/>
                        </w:rPr>
                        <w:t>Significantly increased</w:t>
                      </w:r>
                    </w:p>
                    <w:p>
                      <w:pPr>
                        <w:pStyle w:val="ListParagraph"/>
                        <w:numPr>
                          <w:ilvl w:val="0"/>
                          <w:numId w:val="22"/>
                        </w:numPr>
                        <w:spacing w:after="0" w:line="240" w:lineRule="auto"/>
                        <w:textAlignment w:val="baseline"/>
                        <w:rPr>
                          <w:rFonts w:eastAsia="Times New Roman"/>
                        </w:rPr>
                      </w:pPr>
                      <w:r>
                        <w:rPr>
                          <w:rFonts w:ascii="Arial" w:hAnsi="Arial" w:cs="Arial"/>
                          <w:b/>
                          <w:bCs/>
                          <w:kern w:val="24"/>
                          <w:lang w:val="en-US"/>
                        </w:rPr>
                        <w:t>Significant additional financing of new priorities and external action</w:t>
                      </w:r>
                    </w:p>
                    <w:p>
                      <w:pPr>
                        <w:pStyle w:val="ListParagraph"/>
                        <w:numPr>
                          <w:ilvl w:val="0"/>
                          <w:numId w:val="22"/>
                        </w:numPr>
                        <w:spacing w:after="0" w:line="240" w:lineRule="auto"/>
                        <w:textAlignment w:val="baseline"/>
                        <w:rPr>
                          <w:rFonts w:eastAsia="Times New Roman"/>
                        </w:rPr>
                      </w:pPr>
                      <w:r>
                        <w:rPr>
                          <w:rFonts w:ascii="Arial" w:hAnsi="Arial" w:cs="Arial"/>
                          <w:b/>
                          <w:bCs/>
                          <w:kern w:val="24"/>
                        </w:rPr>
                        <w:t>Higher use of financial instruments and guarantees</w:t>
                      </w:r>
                    </w:p>
                    <w:p>
                      <w:pPr>
                        <w:pStyle w:val="ListParagraph"/>
                        <w:numPr>
                          <w:ilvl w:val="0"/>
                          <w:numId w:val="22"/>
                        </w:numPr>
                        <w:spacing w:after="0" w:line="240" w:lineRule="auto"/>
                        <w:textAlignment w:val="baseline"/>
                        <w:rPr>
                          <w:rFonts w:eastAsia="Times New Roman"/>
                        </w:rPr>
                      </w:pPr>
                      <w:r>
                        <w:rPr>
                          <w:rFonts w:ascii="Arial" w:hAnsi="Arial" w:cs="Arial"/>
                          <w:b/>
                          <w:bCs/>
                          <w:kern w:val="24"/>
                          <w:lang w:val="en-US"/>
                        </w:rPr>
                        <w:t>Increase of own resources ceiling</w:t>
                      </w:r>
                    </w:p>
                    <w:p>
                      <w:pPr>
                        <w:pStyle w:val="NormalWeb"/>
                        <w:spacing w:after="0"/>
                        <w:textAlignment w:val="baseline"/>
                        <w:rPr>
                          <w:rFonts w:eastAsiaTheme="minorEastAsia"/>
                        </w:rPr>
                      </w:pPr>
                      <w:r>
                        <w:rPr>
                          <w:rFonts w:ascii="Arial" w:hAnsi="Arial" w:cs="Arial"/>
                          <w:b/>
                          <w:bCs/>
                          <w:kern w:val="24"/>
                          <w:sz w:val="28"/>
                          <w:szCs w:val="28"/>
                          <w:lang w:val="en-US"/>
                        </w:rPr>
                        <w:t>Expenditure</w:t>
                      </w:r>
                    </w:p>
                    <w:p>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 xml:space="preserve">Common agricultural policy—higher amount </w:t>
                      </w:r>
                    </w:p>
                    <w:p>
                      <w:pPr>
                        <w:pStyle w:val="ListParagraph"/>
                        <w:numPr>
                          <w:ilvl w:val="0"/>
                          <w:numId w:val="23"/>
                        </w:numPr>
                        <w:spacing w:after="0" w:line="240" w:lineRule="auto"/>
                        <w:textAlignment w:val="baseline"/>
                        <w:rPr>
                          <w:rFonts w:eastAsia="Times New Roman"/>
                        </w:rPr>
                      </w:pPr>
                      <w:r>
                        <w:rPr>
                          <w:rFonts w:ascii="Arial" w:hAnsi="Arial" w:cs="Arial"/>
                          <w:b/>
                          <w:bCs/>
                          <w:kern w:val="24"/>
                        </w:rPr>
                        <w:t xml:space="preserve">Economic, social and territorial cohesion </w:t>
                      </w:r>
                      <w:r>
                        <w:rPr>
                          <w:rFonts w:ascii="Arial" w:hAnsi="Arial" w:cs="Arial"/>
                          <w:b/>
                          <w:bCs/>
                          <w:kern w:val="24"/>
                          <w:lang w:val="en-US"/>
                        </w:rPr>
                        <w:t>as in scenario 1 plus:</w:t>
                      </w:r>
                    </w:p>
                    <w:p>
                      <w:pPr>
                        <w:pStyle w:val="ListParagraph"/>
                        <w:numPr>
                          <w:ilvl w:val="1"/>
                          <w:numId w:val="23"/>
                        </w:numPr>
                        <w:spacing w:after="0" w:line="240" w:lineRule="auto"/>
                        <w:textAlignment w:val="baseline"/>
                        <w:rPr>
                          <w:rFonts w:eastAsia="Times New Roman"/>
                        </w:rPr>
                      </w:pPr>
                      <w:r>
                        <w:rPr>
                          <w:rFonts w:ascii="Arial" w:hAnsi="Arial" w:cs="Arial"/>
                          <w:kern w:val="24"/>
                        </w:rPr>
                        <w:t>Reinforced social dimension (e.g. Child Guarantee)</w:t>
                      </w:r>
                    </w:p>
                    <w:p>
                      <w:pPr>
                        <w:pStyle w:val="ListParagraph"/>
                        <w:numPr>
                          <w:ilvl w:val="1"/>
                          <w:numId w:val="23"/>
                        </w:numPr>
                        <w:spacing w:after="0" w:line="240" w:lineRule="auto"/>
                        <w:textAlignment w:val="baseline"/>
                        <w:rPr>
                          <w:rFonts w:eastAsia="Times New Roman"/>
                        </w:rPr>
                      </w:pPr>
                      <w:r>
                        <w:rPr>
                          <w:rFonts w:ascii="Arial" w:hAnsi="Arial" w:cs="Arial"/>
                          <w:kern w:val="24"/>
                        </w:rPr>
                        <w:t>Reinforced territorial cooperation dimension</w:t>
                      </w:r>
                    </w:p>
                    <w:p>
                      <w:pPr>
                        <w:pStyle w:val="ListParagraph"/>
                        <w:numPr>
                          <w:ilvl w:val="1"/>
                          <w:numId w:val="23"/>
                        </w:numPr>
                        <w:spacing w:after="0" w:line="240" w:lineRule="auto"/>
                        <w:textAlignment w:val="baseline"/>
                        <w:rPr>
                          <w:rFonts w:eastAsia="Times New Roman"/>
                        </w:rPr>
                      </w:pPr>
                      <w:r>
                        <w:rPr>
                          <w:rFonts w:ascii="Arial" w:hAnsi="Arial" w:cs="Arial"/>
                          <w:kern w:val="24"/>
                        </w:rPr>
                        <w:t>Reinforced urban dimension</w:t>
                      </w:r>
                    </w:p>
                    <w:p>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New priorities and high value added priorities as in scenario 4</w:t>
                      </w:r>
                    </w:p>
                    <w:p>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Structural reforms linked to the European Semester</w:t>
                      </w:r>
                    </w:p>
                    <w:p>
                      <w:pPr>
                        <w:pStyle w:val="ListParagraph"/>
                        <w:numPr>
                          <w:ilvl w:val="1"/>
                          <w:numId w:val="23"/>
                        </w:numPr>
                        <w:spacing w:after="0" w:line="240" w:lineRule="auto"/>
                        <w:textAlignment w:val="baseline"/>
                        <w:rPr>
                          <w:rFonts w:eastAsia="Times New Roman"/>
                        </w:rPr>
                      </w:pPr>
                      <w:r>
                        <w:rPr>
                          <w:rFonts w:ascii="Arial" w:hAnsi="Arial" w:cs="Arial"/>
                          <w:kern w:val="24"/>
                          <w:lang w:val="en-US"/>
                        </w:rPr>
                        <w:t>Positive incentives either through cohesion policy or through a dedicated fund</w:t>
                      </w:r>
                    </w:p>
                    <w:p>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Common Security &amp;</w:t>
                      </w:r>
                      <w:r>
                        <w:rPr>
                          <w:rFonts w:ascii="Arial" w:hAnsi="Arial" w:cs="Arial"/>
                          <w:b/>
                          <w:bCs/>
                          <w:kern w:val="24"/>
                        </w:rPr>
                        <w:t xml:space="preserve"> Defence</w:t>
                      </w:r>
                      <w:r>
                        <w:rPr>
                          <w:rFonts w:ascii="Arial" w:hAnsi="Arial" w:cs="Arial"/>
                          <w:b/>
                          <w:bCs/>
                          <w:kern w:val="24"/>
                          <w:lang w:val="en-US"/>
                        </w:rPr>
                        <w:t xml:space="preserve">, common financing &amp; procurement, EU budget complemented by an extra-budgetary fund </w:t>
                      </w:r>
                    </w:p>
                    <w:p>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Venture Capital Fund facility</w:t>
                      </w:r>
                    </w:p>
                    <w:p>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Fully-fledged Euro area budget and European Monetary Fund</w:t>
                      </w:r>
                    </w:p>
                    <w:p>
                      <w:pPr>
                        <w:pStyle w:val="ListParagraph"/>
                        <w:numPr>
                          <w:ilvl w:val="0"/>
                          <w:numId w:val="23"/>
                        </w:numPr>
                        <w:spacing w:after="0" w:line="240" w:lineRule="auto"/>
                        <w:textAlignment w:val="baseline"/>
                        <w:rPr>
                          <w:rFonts w:eastAsia="Times New Roman"/>
                        </w:rPr>
                      </w:pPr>
                      <w:r>
                        <w:rPr>
                          <w:rFonts w:ascii="Arial" w:hAnsi="Arial" w:cs="Arial"/>
                          <w:b/>
                          <w:bCs/>
                          <w:kern w:val="24"/>
                          <w:lang w:val="en-US"/>
                        </w:rPr>
                        <w:t>Reinforced external action; European Development Fund in the budget</w:t>
                      </w:r>
                    </w:p>
                    <w:p>
                      <w:pPr>
                        <w:pStyle w:val="NormalWeb"/>
                        <w:spacing w:after="0"/>
                        <w:textAlignment w:val="baseline"/>
                        <w:rPr>
                          <w:rFonts w:eastAsiaTheme="minorEastAsia"/>
                        </w:rPr>
                      </w:pPr>
                      <w:r>
                        <w:rPr>
                          <w:rFonts w:ascii="Arial" w:hAnsi="Arial" w:cs="Arial"/>
                          <w:b/>
                          <w:bCs/>
                          <w:kern w:val="24"/>
                          <w:sz w:val="28"/>
                          <w:szCs w:val="28"/>
                        </w:rPr>
                        <w:t>Revenue</w:t>
                      </w:r>
                    </w:p>
                    <w:p>
                      <w:pPr>
                        <w:pStyle w:val="ListParagraph"/>
                        <w:numPr>
                          <w:ilvl w:val="0"/>
                          <w:numId w:val="24"/>
                        </w:numPr>
                        <w:spacing w:after="0" w:line="240" w:lineRule="auto"/>
                        <w:textAlignment w:val="baseline"/>
                        <w:rPr>
                          <w:rFonts w:eastAsia="Times New Roman"/>
                        </w:rPr>
                      </w:pPr>
                      <w:r>
                        <w:rPr>
                          <w:rFonts w:ascii="Arial" w:hAnsi="Arial" w:cs="Arial"/>
                          <w:b/>
                          <w:bCs/>
                          <w:kern w:val="24"/>
                        </w:rPr>
                        <w:t>In-depth reform beyond scenario 4</w:t>
                      </w:r>
                    </w:p>
                    <w:p>
                      <w:pPr>
                        <w:pStyle w:val="ListParagraph"/>
                        <w:numPr>
                          <w:ilvl w:val="0"/>
                          <w:numId w:val="24"/>
                        </w:numPr>
                        <w:spacing w:after="0" w:line="240" w:lineRule="auto"/>
                        <w:textAlignment w:val="baseline"/>
                        <w:rPr>
                          <w:rFonts w:eastAsia="Times New Roman"/>
                        </w:rPr>
                      </w:pPr>
                      <w:r>
                        <w:rPr>
                          <w:rFonts w:ascii="Arial" w:hAnsi="Arial" w:cs="Arial"/>
                          <w:b/>
                          <w:bCs/>
                          <w:kern w:val="24"/>
                        </w:rPr>
                        <w:t xml:space="preserve">New own  resources </w:t>
                      </w:r>
                      <w:r>
                        <w:rPr>
                          <w:rFonts w:ascii="Arial" w:hAnsi="Arial" w:cs="Arial"/>
                          <w:b/>
                          <w:bCs/>
                          <w:kern w:val="24"/>
                          <w:lang w:val="en-US"/>
                        </w:rPr>
                        <w:t xml:space="preserve">finance a large share of the EU budget and contribute to achieving policy objectives </w:t>
                      </w:r>
                    </w:p>
                    <w:p>
                      <w:pPr>
                        <w:pStyle w:val="ListParagraph"/>
                        <w:numPr>
                          <w:ilvl w:val="0"/>
                          <w:numId w:val="24"/>
                        </w:numPr>
                        <w:spacing w:after="0" w:line="240" w:lineRule="auto"/>
                        <w:textAlignment w:val="baseline"/>
                        <w:rPr>
                          <w:rFonts w:eastAsia="Times New Roman"/>
                        </w:rPr>
                      </w:pPr>
                      <w:r>
                        <w:rPr>
                          <w:rFonts w:ascii="Arial" w:hAnsi="Arial" w:cs="Arial"/>
                          <w:b/>
                          <w:bCs/>
                          <w:kern w:val="24"/>
                          <w:lang w:val="en-US"/>
                        </w:rPr>
                        <w:t xml:space="preserve">Other sources of revenue or fees finance the EU budget </w:t>
                      </w:r>
                    </w:p>
                  </w:txbxContent>
                </v:textbox>
              </v:rect>
            </w:pict>
          </mc:Fallback>
        </mc:AlternateContent>
      </w:r>
      <w:r>
        <w:rPr>
          <w:rFonts w:ascii="Times New Roman" w:hAnsi="Times New Roman" w:cs="Times New Roman"/>
          <w:b/>
          <w:noProof/>
          <w:sz w:val="24"/>
          <w:szCs w:val="24"/>
        </w:rPr>
        <w:t xml:space="preserve"> </w:t>
      </w:r>
    </w:p>
    <w:p w:rsidR="001D2777" w:rsidRDefault="001D2777">
      <w:pPr>
        <w:rPr>
          <w:rFonts w:ascii="Times New Roman" w:hAnsi="Times New Roman" w:cs="Times New Roman"/>
          <w:b/>
          <w:noProof/>
          <w:sz w:val="24"/>
          <w:szCs w:val="24"/>
        </w:rPr>
        <w:sectPr w:rsidR="001D2777">
          <w:headerReference w:type="even" r:id="rId42"/>
          <w:headerReference w:type="default" r:id="rId43"/>
          <w:footerReference w:type="even" r:id="rId44"/>
          <w:footerReference w:type="default" r:id="rId45"/>
          <w:headerReference w:type="first" r:id="rId46"/>
          <w:footerReference w:type="first" r:id="rId47"/>
          <w:pgSz w:w="16838" w:h="11906" w:orient="landscape"/>
          <w:pgMar w:top="1417" w:right="1134" w:bottom="1106" w:left="960" w:header="709" w:footer="709" w:gutter="0"/>
          <w:cols w:space="720"/>
          <w:docGrid w:linePitch="299"/>
        </w:sectPr>
      </w:pPr>
    </w:p>
    <w:p w:rsidR="001D2777" w:rsidRDefault="00767E0A">
      <w:pPr>
        <w:pStyle w:val="Heading1"/>
        <w:spacing w:before="120" w:after="240"/>
        <w:ind w:left="709" w:hanging="709"/>
        <w:rPr>
          <w:noProof/>
        </w:rPr>
      </w:pPr>
      <w:r>
        <w:rPr>
          <w:noProof/>
        </w:rPr>
        <w:t>6.</w:t>
      </w:r>
      <w:r>
        <w:rPr>
          <w:noProof/>
        </w:rPr>
        <w:tab/>
        <w:t>CONCLUSIONS: FINANCING THE EU'S FUTURE</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EU budget, and indeed the European Union as a whole, will change after 2020.  This is certain – the status quo is not an option for our Union.  The EU budget will need to be simpler, more flexible, more streamlined and must enable more efficient spendi</w:t>
      </w:r>
      <w:r>
        <w:rPr>
          <w:rFonts w:ascii="Times New Roman" w:hAnsi="Times New Roman" w:cs="Times New Roman"/>
          <w:noProof/>
          <w:sz w:val="24"/>
          <w:szCs w:val="24"/>
        </w:rPr>
        <w:t xml:space="preserve">ng.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How the budget changes – and what it is used for – depends on what future we want for our Union and on the level of ambition we chose to work together to shape that future.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reflection paper has set out a series of options and scenarios regardi</w:t>
      </w:r>
      <w:r>
        <w:rPr>
          <w:rFonts w:ascii="Times New Roman" w:hAnsi="Times New Roman" w:cs="Times New Roman"/>
          <w:noProof/>
          <w:sz w:val="24"/>
          <w:szCs w:val="24"/>
        </w:rPr>
        <w:t xml:space="preserve">ng the future direction of the budget and how it could be used. It is intended to stimulate further debate about where the Union is going and what we want to achieve together.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is the last of the 5 reflection papers following the White Paper on the F</w:t>
      </w:r>
      <w:r>
        <w:rPr>
          <w:rFonts w:ascii="Times New Roman" w:hAnsi="Times New Roman" w:cs="Times New Roman"/>
          <w:noProof/>
          <w:sz w:val="24"/>
          <w:szCs w:val="24"/>
        </w:rPr>
        <w:t xml:space="preserve">uture of Europe.  Taken together, the 6 documents have set out a range of ideas, concepts and possibilities for the future of the EU27.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breadth and depth of debate and discussion that the White Paper and the reflection papers have stimulated so far s</w:t>
      </w:r>
      <w:r>
        <w:rPr>
          <w:rFonts w:ascii="Times New Roman" w:hAnsi="Times New Roman" w:cs="Times New Roman"/>
          <w:noProof/>
          <w:sz w:val="24"/>
          <w:szCs w:val="24"/>
        </w:rPr>
        <w:t>how how important these issues are.  This discussion should continue in the second half of 2017 with as broad a debate as possible to ensure that Europe as a whole reflects carefully on its future. President Juncker will take these ideas forward and give h</w:t>
      </w:r>
      <w:r>
        <w:rPr>
          <w:rFonts w:ascii="Times New Roman" w:hAnsi="Times New Roman" w:cs="Times New Roman"/>
          <w:noProof/>
          <w:sz w:val="24"/>
          <w:szCs w:val="24"/>
        </w:rPr>
        <w:t xml:space="preserve">is personal views in his State of the Union speech in September.  </w:t>
      </w:r>
    </w:p>
    <w:p w:rsidR="001D2777" w:rsidRDefault="00767E0A">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When it comes to the future Multi-Annual Financial Framework, the Commission will examine all reactions and responses to the White Paper and the reflection papers. This will enable the Comm</w:t>
      </w:r>
      <w:r>
        <w:rPr>
          <w:rFonts w:ascii="Times New Roman" w:hAnsi="Times New Roman" w:cs="Times New Roman"/>
          <w:noProof/>
          <w:sz w:val="24"/>
          <w:szCs w:val="24"/>
        </w:rPr>
        <w:t xml:space="preserve">ission to present its proposals for the next multi-annual financial framework around the middle of 2018. </w:t>
      </w:r>
    </w:p>
    <w:sectPr w:rsidR="001D2777">
      <w:headerReference w:type="even" r:id="rId48"/>
      <w:headerReference w:type="default" r:id="rId49"/>
      <w:footerReference w:type="even" r:id="rId50"/>
      <w:footerReference w:type="default" r:id="rId51"/>
      <w:headerReference w:type="first" r:id="rId52"/>
      <w:footerReference w:type="first" r:id="rId53"/>
      <w:pgSz w:w="11906" w:h="16838"/>
      <w:pgMar w:top="1134" w:right="1106" w:bottom="960" w:left="1417" w:header="709" w:footer="709"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F5C9BA" w15:done="0"/>
  <w15:commentEx w15:paraId="72908F17" w15:done="0"/>
  <w15:commentEx w15:paraId="16A61272" w15:done="0"/>
  <w15:commentEx w15:paraId="7C1E6877" w15:done="0"/>
  <w15:commentEx w15:paraId="2C44732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777" w:rsidRDefault="00767E0A">
      <w:pPr>
        <w:spacing w:after="0" w:line="240" w:lineRule="auto"/>
      </w:pPr>
      <w:r>
        <w:separator/>
      </w:r>
    </w:p>
  </w:endnote>
  <w:endnote w:type="continuationSeparator" w:id="0">
    <w:p w:rsidR="001D2777" w:rsidRDefault="00767E0A">
      <w:pPr>
        <w:spacing w:after="0" w:line="240" w:lineRule="auto"/>
      </w:pPr>
      <w:r>
        <w:continuationSeparator/>
      </w:r>
    </w:p>
  </w:endnote>
  <w:endnote w:type="continuationNotice" w:id="1">
    <w:p w:rsidR="001D2777" w:rsidRDefault="001D2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C Square Sans Pro">
    <w:panose1 w:val="020B0506040000020004"/>
    <w:charset w:val="00"/>
    <w:family w:val="swiss"/>
    <w:pitch w:val="variable"/>
    <w:sig w:usb0="A00002B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EC Square Sans Pro Light">
    <w:altName w:val="Corbel"/>
    <w:panose1 w:val="020B0506000000020004"/>
    <w:charset w:val="00"/>
    <w:family w:val="swiss"/>
    <w:pitch w:val="variable"/>
    <w:sig w:usb0="A00002BF" w:usb1="5000E0F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9523574"/>
      <w:docPartObj>
        <w:docPartGallery w:val="Page Numbers (Bottom of Page)"/>
        <w:docPartUnique/>
      </w:docPartObj>
    </w:sdtPr>
    <w:sdtEndPr>
      <w:rPr>
        <w:noProof/>
      </w:rPr>
    </w:sdtEndPr>
    <w:sdtContent>
      <w:p w:rsidR="001D2777" w:rsidRDefault="00767E0A">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767E0A">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349413"/>
      <w:docPartObj>
        <w:docPartGallery w:val="Page Numbers (Bottom of Page)"/>
        <w:docPartUnique/>
      </w:docPartObj>
    </w:sdtPr>
    <w:sdtEndPr>
      <w:rPr>
        <w:noProof/>
      </w:rPr>
    </w:sdtEndPr>
    <w:sdtContent>
      <w:p w:rsidR="001D2777" w:rsidRDefault="00767E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6982818"/>
      <w:docPartObj>
        <w:docPartGallery w:val="Page Numbers (Bottom of Page)"/>
        <w:docPartUnique/>
      </w:docPartObj>
    </w:sdtPr>
    <w:sdtEndPr>
      <w:rPr>
        <w:noProof/>
      </w:rPr>
    </w:sdtEndPr>
    <w:sdtContent>
      <w:p w:rsidR="001D2777" w:rsidRDefault="00767E0A">
        <w:pPr>
          <w:pStyle w:val="Footer"/>
          <w:jc w:val="center"/>
        </w:pPr>
        <w:r>
          <w:fldChar w:fldCharType="begin"/>
        </w:r>
        <w:r>
          <w:instrText xml:space="preserve"> PAGE   \* MERGEFORMAT </w:instrText>
        </w:r>
        <w:r>
          <w:fldChar w:fldCharType="separate"/>
        </w:r>
        <w:r>
          <w:rPr>
            <w:noProof/>
          </w:rPr>
          <w:t>31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777" w:rsidRDefault="00767E0A">
      <w:pPr>
        <w:spacing w:after="0" w:line="240" w:lineRule="auto"/>
      </w:pPr>
      <w:r>
        <w:separator/>
      </w:r>
    </w:p>
  </w:footnote>
  <w:footnote w:type="continuationSeparator" w:id="0">
    <w:p w:rsidR="001D2777" w:rsidRDefault="00767E0A">
      <w:pPr>
        <w:spacing w:after="0" w:line="240" w:lineRule="auto"/>
      </w:pPr>
      <w:r>
        <w:continuationSeparator/>
      </w:r>
    </w:p>
  </w:footnote>
  <w:footnote w:type="continuationNotice" w:id="1">
    <w:p w:rsidR="001D2777" w:rsidRDefault="001D2777">
      <w:pPr>
        <w:spacing w:after="0" w:line="240" w:lineRule="auto"/>
      </w:pPr>
    </w:p>
  </w:footnote>
  <w:footnote w:id="2">
    <w:p w:rsidR="001D2777" w:rsidRDefault="00767E0A">
      <w:pPr>
        <w:pStyle w:val="FootnoteText"/>
      </w:pPr>
      <w:r>
        <w:rPr>
          <w:rStyle w:val="FootnoteReference"/>
        </w:rPr>
        <w:footnoteRef/>
      </w:r>
      <w:r>
        <w:t xml:space="preserve"> In September 2016, the Commission proposed a reinforcement and extension of the European Fund for Strat</w:t>
      </w:r>
      <w:r>
        <w:t>egic Investments until 2020.</w:t>
      </w:r>
    </w:p>
  </w:footnote>
  <w:footnote w:id="3">
    <w:p w:rsidR="001D2777" w:rsidRDefault="00767E0A">
      <w:pPr>
        <w:pStyle w:val="FootnoteText"/>
        <w:jc w:val="both"/>
      </w:pPr>
      <w:r>
        <w:rPr>
          <w:rStyle w:val="FootnoteReference"/>
        </w:rPr>
        <w:footnoteRef/>
      </w:r>
      <w:r>
        <w:t xml:space="preserve"> Galileo is the European global navigation satellite system, providing a range of positioning, navigation and timing services to users worldwide. Copernicus is the EU programme for earth observation and monitoring for the purp</w:t>
      </w:r>
      <w:r>
        <w:t xml:space="preserve">oses of e.g. agriculture, climate analysis, civil protection and emergency management. International Thermonuclear Experimental Reactor (ITER) is the world’s largest scientific partnership that aims to demonstrate fusion is a viable and sustainable source </w:t>
      </w:r>
      <w:r>
        <w:t>of energy, with the EU being the biggest contributor in partnership also with Japan, China, India, South Korea, Russia and the United States.</w:t>
      </w:r>
    </w:p>
  </w:footnote>
  <w:footnote w:id="4">
    <w:p w:rsidR="001D2777" w:rsidRDefault="00767E0A">
      <w:pPr>
        <w:pStyle w:val="FootnoteText"/>
      </w:pPr>
      <w:r>
        <w:rPr>
          <w:rStyle w:val="FootnoteReference"/>
        </w:rPr>
        <w:footnoteRef/>
      </w:r>
      <w:r>
        <w:t xml:space="preserve"> See the Special Eurobarometer 461, Designing Europe’s Future, published 28 June 2017.</w:t>
      </w:r>
    </w:p>
  </w:footnote>
  <w:footnote w:id="5">
    <w:p w:rsidR="001D2777" w:rsidRDefault="00767E0A">
      <w:pPr>
        <w:pStyle w:val="FootnoteText"/>
        <w:ind w:left="426" w:hanging="426"/>
      </w:pPr>
      <w:r>
        <w:rPr>
          <w:rStyle w:val="FootnoteReference"/>
        </w:rPr>
        <w:footnoteRef/>
      </w:r>
      <w:r>
        <w:t xml:space="preserve"> </w:t>
      </w:r>
      <w:r>
        <w:tab/>
        <w:t>The Global Strategy for</w:t>
      </w:r>
      <w:r>
        <w:t xml:space="preserve"> the EU Foreign and Security Policy, presented by the High Representative and Vice-President of the European Commission Federica Mogherini to the European Council in June 2016.</w:t>
      </w:r>
    </w:p>
  </w:footnote>
  <w:footnote w:id="6">
    <w:p w:rsidR="001D2777" w:rsidRDefault="00767E0A">
      <w:pPr>
        <w:pStyle w:val="FootnoteText"/>
        <w:ind w:left="426" w:hanging="426"/>
      </w:pPr>
      <w:r>
        <w:rPr>
          <w:rStyle w:val="FootnoteReference"/>
        </w:rPr>
        <w:footnoteRef/>
      </w:r>
      <w:r>
        <w:t xml:space="preserve"> </w:t>
      </w:r>
      <w:r>
        <w:tab/>
        <w:t>The EU programme for the Competitiveness of Enterprises and Small and Medium</w:t>
      </w:r>
      <w:r>
        <w:t>-sized Enterprises</w:t>
      </w:r>
    </w:p>
  </w:footnote>
  <w:footnote w:id="7">
    <w:p w:rsidR="001D2777" w:rsidRDefault="00767E0A">
      <w:pPr>
        <w:pStyle w:val="FootnoteText"/>
      </w:pPr>
      <w:r>
        <w:rPr>
          <w:rStyle w:val="FootnoteReference"/>
        </w:rPr>
        <w:footnoteRef/>
      </w:r>
      <w:r>
        <w:t xml:space="preserve"> The EU Justice Scoreboard monitors a number of factors related to the quality, independence and efficiency of national justice systems, such as the independence of judges.</w:t>
      </w:r>
    </w:p>
  </w:footnote>
  <w:footnote w:id="8">
    <w:p w:rsidR="001D2777" w:rsidRDefault="00767E0A">
      <w:pPr>
        <w:pStyle w:val="FootnoteText"/>
        <w:ind w:left="426" w:hanging="426"/>
      </w:pPr>
      <w:r>
        <w:rPr>
          <w:rStyle w:val="FootnoteReference"/>
        </w:rPr>
        <w:footnoteRef/>
      </w:r>
      <w:r>
        <w:t xml:space="preserve"> </w:t>
      </w:r>
      <w:r>
        <w:tab/>
      </w:r>
      <w:hyperlink r:id="rId1" w:history="1">
        <w:r>
          <w:rPr>
            <w:rStyle w:val="Hyperlink"/>
          </w:rPr>
          <w:t>http://ec.europa.eu/budget/mff/hlgor/library/reports-communication/hlgor-report_20170104.pdf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767E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171" o:spid="_x0000_s2050" type="#_x0000_t136" style="position:absolute;margin-left:0;margin-top:0;width:508.8pt;height:152.6pt;rotation:315;z-index:-251658239;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Header"/>
      <w:rPr>
        <w:lang w:val="fr-BE"/>
      </w:rPr>
    </w:pPr>
  </w:p>
  <w:p w:rsidR="001D2777" w:rsidRDefault="001D2777">
    <w:pPr>
      <w:pStyle w:val="Header"/>
      <w:rPr>
        <w:lang w:val="fr-B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767E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13170" o:spid="_x0000_s2049" type="#_x0000_t136" style="position:absolute;margin-left:0;margin-top:0;width:508.8pt;height:152.6pt;rotation:315;z-index:-251658240;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767E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08.8pt;height:152.6pt;rotation:315;z-index:-251653118;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767E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508.8pt;height:152.6pt;rotation:315;z-index:-251651070;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767E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508.8pt;height:152.6pt;rotation:315;z-index:-251646974;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1D277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777" w:rsidRDefault="00767E0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508.8pt;height:152.6pt;rotation:315;z-index:-251649022;mso-position-horizontal:center;mso-position-horizontal-relative:margin;mso-position-vertical:center;mso-position-vertical-relative:margin" o:allowincell="f" fillcolor="silver" stroked="f">
          <v:fill opacity=".5"/>
          <v:textpath style="font-family:&quot;Calibri&quot;;font-size:1pt" string="RESTRICTE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23D48"/>
    <w:multiLevelType w:val="hybridMultilevel"/>
    <w:tmpl w:val="703656DA"/>
    <w:lvl w:ilvl="0" w:tplc="5F1E91E0">
      <w:start w:val="1"/>
      <w:numFmt w:val="bullet"/>
      <w:lvlText w:val="•"/>
      <w:lvlJc w:val="left"/>
      <w:pPr>
        <w:tabs>
          <w:tab w:val="num" w:pos="720"/>
        </w:tabs>
        <w:ind w:left="720" w:hanging="360"/>
      </w:pPr>
      <w:rPr>
        <w:rFonts w:ascii="Arial" w:hAnsi="Arial" w:hint="default"/>
      </w:rPr>
    </w:lvl>
    <w:lvl w:ilvl="1" w:tplc="BC3A6E86">
      <w:start w:val="1"/>
      <w:numFmt w:val="bullet"/>
      <w:lvlText w:val="•"/>
      <w:lvlJc w:val="left"/>
      <w:pPr>
        <w:tabs>
          <w:tab w:val="num" w:pos="1440"/>
        </w:tabs>
        <w:ind w:left="1440" w:hanging="360"/>
      </w:pPr>
      <w:rPr>
        <w:rFonts w:ascii="Arial" w:hAnsi="Arial" w:hint="default"/>
      </w:rPr>
    </w:lvl>
    <w:lvl w:ilvl="2" w:tplc="661EFD6A">
      <w:start w:val="6158"/>
      <w:numFmt w:val="bullet"/>
      <w:lvlText w:val="•"/>
      <w:lvlJc w:val="left"/>
      <w:pPr>
        <w:tabs>
          <w:tab w:val="num" w:pos="2160"/>
        </w:tabs>
        <w:ind w:left="2160" w:hanging="360"/>
      </w:pPr>
      <w:rPr>
        <w:rFonts w:ascii="Arial" w:hAnsi="Arial" w:hint="default"/>
      </w:rPr>
    </w:lvl>
    <w:lvl w:ilvl="3" w:tplc="62D05E2E" w:tentative="1">
      <w:start w:val="1"/>
      <w:numFmt w:val="bullet"/>
      <w:lvlText w:val="•"/>
      <w:lvlJc w:val="left"/>
      <w:pPr>
        <w:tabs>
          <w:tab w:val="num" w:pos="2880"/>
        </w:tabs>
        <w:ind w:left="2880" w:hanging="360"/>
      </w:pPr>
      <w:rPr>
        <w:rFonts w:ascii="Arial" w:hAnsi="Arial" w:hint="default"/>
      </w:rPr>
    </w:lvl>
    <w:lvl w:ilvl="4" w:tplc="7F323024" w:tentative="1">
      <w:start w:val="1"/>
      <w:numFmt w:val="bullet"/>
      <w:lvlText w:val="•"/>
      <w:lvlJc w:val="left"/>
      <w:pPr>
        <w:tabs>
          <w:tab w:val="num" w:pos="3600"/>
        </w:tabs>
        <w:ind w:left="3600" w:hanging="360"/>
      </w:pPr>
      <w:rPr>
        <w:rFonts w:ascii="Arial" w:hAnsi="Arial" w:hint="default"/>
      </w:rPr>
    </w:lvl>
    <w:lvl w:ilvl="5" w:tplc="5172E744" w:tentative="1">
      <w:start w:val="1"/>
      <w:numFmt w:val="bullet"/>
      <w:lvlText w:val="•"/>
      <w:lvlJc w:val="left"/>
      <w:pPr>
        <w:tabs>
          <w:tab w:val="num" w:pos="4320"/>
        </w:tabs>
        <w:ind w:left="4320" w:hanging="360"/>
      </w:pPr>
      <w:rPr>
        <w:rFonts w:ascii="Arial" w:hAnsi="Arial" w:hint="default"/>
      </w:rPr>
    </w:lvl>
    <w:lvl w:ilvl="6" w:tplc="A4FABE68" w:tentative="1">
      <w:start w:val="1"/>
      <w:numFmt w:val="bullet"/>
      <w:lvlText w:val="•"/>
      <w:lvlJc w:val="left"/>
      <w:pPr>
        <w:tabs>
          <w:tab w:val="num" w:pos="5040"/>
        </w:tabs>
        <w:ind w:left="5040" w:hanging="360"/>
      </w:pPr>
      <w:rPr>
        <w:rFonts w:ascii="Arial" w:hAnsi="Arial" w:hint="default"/>
      </w:rPr>
    </w:lvl>
    <w:lvl w:ilvl="7" w:tplc="55BEC692" w:tentative="1">
      <w:start w:val="1"/>
      <w:numFmt w:val="bullet"/>
      <w:lvlText w:val="•"/>
      <w:lvlJc w:val="left"/>
      <w:pPr>
        <w:tabs>
          <w:tab w:val="num" w:pos="5760"/>
        </w:tabs>
        <w:ind w:left="5760" w:hanging="360"/>
      </w:pPr>
      <w:rPr>
        <w:rFonts w:ascii="Arial" w:hAnsi="Arial" w:hint="default"/>
      </w:rPr>
    </w:lvl>
    <w:lvl w:ilvl="8" w:tplc="84CC0B36" w:tentative="1">
      <w:start w:val="1"/>
      <w:numFmt w:val="bullet"/>
      <w:lvlText w:val="•"/>
      <w:lvlJc w:val="left"/>
      <w:pPr>
        <w:tabs>
          <w:tab w:val="num" w:pos="6480"/>
        </w:tabs>
        <w:ind w:left="6480" w:hanging="360"/>
      </w:pPr>
      <w:rPr>
        <w:rFonts w:ascii="Arial" w:hAnsi="Arial" w:hint="default"/>
      </w:rPr>
    </w:lvl>
  </w:abstractNum>
  <w:abstractNum w:abstractNumId="1">
    <w:nsid w:val="0DD605A2"/>
    <w:multiLevelType w:val="hybridMultilevel"/>
    <w:tmpl w:val="7702E52E"/>
    <w:lvl w:ilvl="0" w:tplc="9F1CA04E">
      <w:start w:val="1"/>
      <w:numFmt w:val="bullet"/>
      <w:lvlText w:val="•"/>
      <w:lvlJc w:val="left"/>
      <w:pPr>
        <w:tabs>
          <w:tab w:val="num" w:pos="720"/>
        </w:tabs>
        <w:ind w:left="720" w:hanging="360"/>
      </w:pPr>
      <w:rPr>
        <w:rFonts w:ascii="Arial" w:hAnsi="Arial" w:hint="default"/>
      </w:rPr>
    </w:lvl>
    <w:lvl w:ilvl="1" w:tplc="6012EA22">
      <w:start w:val="4435"/>
      <w:numFmt w:val="bullet"/>
      <w:lvlText w:val="•"/>
      <w:lvlJc w:val="left"/>
      <w:pPr>
        <w:tabs>
          <w:tab w:val="num" w:pos="1440"/>
        </w:tabs>
        <w:ind w:left="1440" w:hanging="360"/>
      </w:pPr>
      <w:rPr>
        <w:rFonts w:ascii="Arial" w:hAnsi="Arial" w:hint="default"/>
      </w:rPr>
    </w:lvl>
    <w:lvl w:ilvl="2" w:tplc="BB1800B6" w:tentative="1">
      <w:start w:val="1"/>
      <w:numFmt w:val="bullet"/>
      <w:lvlText w:val="•"/>
      <w:lvlJc w:val="left"/>
      <w:pPr>
        <w:tabs>
          <w:tab w:val="num" w:pos="2160"/>
        </w:tabs>
        <w:ind w:left="2160" w:hanging="360"/>
      </w:pPr>
      <w:rPr>
        <w:rFonts w:ascii="Arial" w:hAnsi="Arial" w:hint="default"/>
      </w:rPr>
    </w:lvl>
    <w:lvl w:ilvl="3" w:tplc="C108C6AC" w:tentative="1">
      <w:start w:val="1"/>
      <w:numFmt w:val="bullet"/>
      <w:lvlText w:val="•"/>
      <w:lvlJc w:val="left"/>
      <w:pPr>
        <w:tabs>
          <w:tab w:val="num" w:pos="2880"/>
        </w:tabs>
        <w:ind w:left="2880" w:hanging="360"/>
      </w:pPr>
      <w:rPr>
        <w:rFonts w:ascii="Arial" w:hAnsi="Arial" w:hint="default"/>
      </w:rPr>
    </w:lvl>
    <w:lvl w:ilvl="4" w:tplc="34BA1B46" w:tentative="1">
      <w:start w:val="1"/>
      <w:numFmt w:val="bullet"/>
      <w:lvlText w:val="•"/>
      <w:lvlJc w:val="left"/>
      <w:pPr>
        <w:tabs>
          <w:tab w:val="num" w:pos="3600"/>
        </w:tabs>
        <w:ind w:left="3600" w:hanging="360"/>
      </w:pPr>
      <w:rPr>
        <w:rFonts w:ascii="Arial" w:hAnsi="Arial" w:hint="default"/>
      </w:rPr>
    </w:lvl>
    <w:lvl w:ilvl="5" w:tplc="9880DEC8" w:tentative="1">
      <w:start w:val="1"/>
      <w:numFmt w:val="bullet"/>
      <w:lvlText w:val="•"/>
      <w:lvlJc w:val="left"/>
      <w:pPr>
        <w:tabs>
          <w:tab w:val="num" w:pos="4320"/>
        </w:tabs>
        <w:ind w:left="4320" w:hanging="360"/>
      </w:pPr>
      <w:rPr>
        <w:rFonts w:ascii="Arial" w:hAnsi="Arial" w:hint="default"/>
      </w:rPr>
    </w:lvl>
    <w:lvl w:ilvl="6" w:tplc="47D8B54C" w:tentative="1">
      <w:start w:val="1"/>
      <w:numFmt w:val="bullet"/>
      <w:lvlText w:val="•"/>
      <w:lvlJc w:val="left"/>
      <w:pPr>
        <w:tabs>
          <w:tab w:val="num" w:pos="5040"/>
        </w:tabs>
        <w:ind w:left="5040" w:hanging="360"/>
      </w:pPr>
      <w:rPr>
        <w:rFonts w:ascii="Arial" w:hAnsi="Arial" w:hint="default"/>
      </w:rPr>
    </w:lvl>
    <w:lvl w:ilvl="7" w:tplc="DB001BD0" w:tentative="1">
      <w:start w:val="1"/>
      <w:numFmt w:val="bullet"/>
      <w:lvlText w:val="•"/>
      <w:lvlJc w:val="left"/>
      <w:pPr>
        <w:tabs>
          <w:tab w:val="num" w:pos="5760"/>
        </w:tabs>
        <w:ind w:left="5760" w:hanging="360"/>
      </w:pPr>
      <w:rPr>
        <w:rFonts w:ascii="Arial" w:hAnsi="Arial" w:hint="default"/>
      </w:rPr>
    </w:lvl>
    <w:lvl w:ilvl="8" w:tplc="54940CF0" w:tentative="1">
      <w:start w:val="1"/>
      <w:numFmt w:val="bullet"/>
      <w:lvlText w:val="•"/>
      <w:lvlJc w:val="left"/>
      <w:pPr>
        <w:tabs>
          <w:tab w:val="num" w:pos="6480"/>
        </w:tabs>
        <w:ind w:left="6480" w:hanging="360"/>
      </w:pPr>
      <w:rPr>
        <w:rFonts w:ascii="Arial" w:hAnsi="Arial" w:hint="default"/>
      </w:rPr>
    </w:lvl>
  </w:abstractNum>
  <w:abstractNum w:abstractNumId="2">
    <w:nsid w:val="10D9063E"/>
    <w:multiLevelType w:val="hybridMultilevel"/>
    <w:tmpl w:val="4CB2C56A"/>
    <w:lvl w:ilvl="0" w:tplc="0AA83EFA">
      <w:start w:val="1"/>
      <w:numFmt w:val="bullet"/>
      <w:lvlText w:val="•"/>
      <w:lvlJc w:val="left"/>
      <w:pPr>
        <w:tabs>
          <w:tab w:val="num" w:pos="720"/>
        </w:tabs>
        <w:ind w:left="720" w:hanging="360"/>
      </w:pPr>
      <w:rPr>
        <w:rFonts w:ascii="Arial" w:hAnsi="Arial" w:hint="default"/>
      </w:rPr>
    </w:lvl>
    <w:lvl w:ilvl="1" w:tplc="890E4680" w:tentative="1">
      <w:start w:val="1"/>
      <w:numFmt w:val="bullet"/>
      <w:lvlText w:val="•"/>
      <w:lvlJc w:val="left"/>
      <w:pPr>
        <w:tabs>
          <w:tab w:val="num" w:pos="1440"/>
        </w:tabs>
        <w:ind w:left="1440" w:hanging="360"/>
      </w:pPr>
      <w:rPr>
        <w:rFonts w:ascii="Arial" w:hAnsi="Arial" w:hint="default"/>
      </w:rPr>
    </w:lvl>
    <w:lvl w:ilvl="2" w:tplc="33140B98" w:tentative="1">
      <w:start w:val="1"/>
      <w:numFmt w:val="bullet"/>
      <w:lvlText w:val="•"/>
      <w:lvlJc w:val="left"/>
      <w:pPr>
        <w:tabs>
          <w:tab w:val="num" w:pos="2160"/>
        </w:tabs>
        <w:ind w:left="2160" w:hanging="360"/>
      </w:pPr>
      <w:rPr>
        <w:rFonts w:ascii="Arial" w:hAnsi="Arial" w:hint="default"/>
      </w:rPr>
    </w:lvl>
    <w:lvl w:ilvl="3" w:tplc="07049836" w:tentative="1">
      <w:start w:val="1"/>
      <w:numFmt w:val="bullet"/>
      <w:lvlText w:val="•"/>
      <w:lvlJc w:val="left"/>
      <w:pPr>
        <w:tabs>
          <w:tab w:val="num" w:pos="2880"/>
        </w:tabs>
        <w:ind w:left="2880" w:hanging="360"/>
      </w:pPr>
      <w:rPr>
        <w:rFonts w:ascii="Arial" w:hAnsi="Arial" w:hint="default"/>
      </w:rPr>
    </w:lvl>
    <w:lvl w:ilvl="4" w:tplc="BC6E63DC" w:tentative="1">
      <w:start w:val="1"/>
      <w:numFmt w:val="bullet"/>
      <w:lvlText w:val="•"/>
      <w:lvlJc w:val="left"/>
      <w:pPr>
        <w:tabs>
          <w:tab w:val="num" w:pos="3600"/>
        </w:tabs>
        <w:ind w:left="3600" w:hanging="360"/>
      </w:pPr>
      <w:rPr>
        <w:rFonts w:ascii="Arial" w:hAnsi="Arial" w:hint="default"/>
      </w:rPr>
    </w:lvl>
    <w:lvl w:ilvl="5" w:tplc="88F47378" w:tentative="1">
      <w:start w:val="1"/>
      <w:numFmt w:val="bullet"/>
      <w:lvlText w:val="•"/>
      <w:lvlJc w:val="left"/>
      <w:pPr>
        <w:tabs>
          <w:tab w:val="num" w:pos="4320"/>
        </w:tabs>
        <w:ind w:left="4320" w:hanging="360"/>
      </w:pPr>
      <w:rPr>
        <w:rFonts w:ascii="Arial" w:hAnsi="Arial" w:hint="default"/>
      </w:rPr>
    </w:lvl>
    <w:lvl w:ilvl="6" w:tplc="312255F0" w:tentative="1">
      <w:start w:val="1"/>
      <w:numFmt w:val="bullet"/>
      <w:lvlText w:val="•"/>
      <w:lvlJc w:val="left"/>
      <w:pPr>
        <w:tabs>
          <w:tab w:val="num" w:pos="5040"/>
        </w:tabs>
        <w:ind w:left="5040" w:hanging="360"/>
      </w:pPr>
      <w:rPr>
        <w:rFonts w:ascii="Arial" w:hAnsi="Arial" w:hint="default"/>
      </w:rPr>
    </w:lvl>
    <w:lvl w:ilvl="7" w:tplc="7478B69A" w:tentative="1">
      <w:start w:val="1"/>
      <w:numFmt w:val="bullet"/>
      <w:lvlText w:val="•"/>
      <w:lvlJc w:val="left"/>
      <w:pPr>
        <w:tabs>
          <w:tab w:val="num" w:pos="5760"/>
        </w:tabs>
        <w:ind w:left="5760" w:hanging="360"/>
      </w:pPr>
      <w:rPr>
        <w:rFonts w:ascii="Arial" w:hAnsi="Arial" w:hint="default"/>
      </w:rPr>
    </w:lvl>
    <w:lvl w:ilvl="8" w:tplc="DC46FF98" w:tentative="1">
      <w:start w:val="1"/>
      <w:numFmt w:val="bullet"/>
      <w:lvlText w:val="•"/>
      <w:lvlJc w:val="left"/>
      <w:pPr>
        <w:tabs>
          <w:tab w:val="num" w:pos="6480"/>
        </w:tabs>
        <w:ind w:left="6480" w:hanging="360"/>
      </w:pPr>
      <w:rPr>
        <w:rFonts w:ascii="Arial" w:hAnsi="Arial" w:hint="default"/>
      </w:rPr>
    </w:lvl>
  </w:abstractNum>
  <w:abstractNum w:abstractNumId="3">
    <w:nsid w:val="121D041C"/>
    <w:multiLevelType w:val="hybridMultilevel"/>
    <w:tmpl w:val="EC063248"/>
    <w:lvl w:ilvl="0" w:tplc="B8B21A10">
      <w:start w:val="1"/>
      <w:numFmt w:val="bullet"/>
      <w:pStyle w:val="Tiret1"/>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nsid w:val="13206DD2"/>
    <w:multiLevelType w:val="hybridMultilevel"/>
    <w:tmpl w:val="AF5E14BE"/>
    <w:lvl w:ilvl="0" w:tplc="24425D76">
      <w:start w:val="1"/>
      <w:numFmt w:val="bullet"/>
      <w:lvlText w:val="•"/>
      <w:lvlJc w:val="left"/>
      <w:pPr>
        <w:tabs>
          <w:tab w:val="num" w:pos="720"/>
        </w:tabs>
        <w:ind w:left="720" w:hanging="360"/>
      </w:pPr>
      <w:rPr>
        <w:rFonts w:ascii="Arial" w:hAnsi="Arial" w:hint="default"/>
      </w:rPr>
    </w:lvl>
    <w:lvl w:ilvl="1" w:tplc="CBAE7DE6">
      <w:start w:val="1"/>
      <w:numFmt w:val="bullet"/>
      <w:lvlText w:val="•"/>
      <w:lvlJc w:val="left"/>
      <w:pPr>
        <w:tabs>
          <w:tab w:val="num" w:pos="1440"/>
        </w:tabs>
        <w:ind w:left="1440" w:hanging="360"/>
      </w:pPr>
      <w:rPr>
        <w:rFonts w:ascii="Arial" w:hAnsi="Arial" w:hint="default"/>
      </w:rPr>
    </w:lvl>
    <w:lvl w:ilvl="2" w:tplc="80B63768" w:tentative="1">
      <w:start w:val="1"/>
      <w:numFmt w:val="bullet"/>
      <w:lvlText w:val="•"/>
      <w:lvlJc w:val="left"/>
      <w:pPr>
        <w:tabs>
          <w:tab w:val="num" w:pos="2160"/>
        </w:tabs>
        <w:ind w:left="2160" w:hanging="360"/>
      </w:pPr>
      <w:rPr>
        <w:rFonts w:ascii="Arial" w:hAnsi="Arial" w:hint="default"/>
      </w:rPr>
    </w:lvl>
    <w:lvl w:ilvl="3" w:tplc="1520EC8A" w:tentative="1">
      <w:start w:val="1"/>
      <w:numFmt w:val="bullet"/>
      <w:lvlText w:val="•"/>
      <w:lvlJc w:val="left"/>
      <w:pPr>
        <w:tabs>
          <w:tab w:val="num" w:pos="2880"/>
        </w:tabs>
        <w:ind w:left="2880" w:hanging="360"/>
      </w:pPr>
      <w:rPr>
        <w:rFonts w:ascii="Arial" w:hAnsi="Arial" w:hint="default"/>
      </w:rPr>
    </w:lvl>
    <w:lvl w:ilvl="4" w:tplc="EBBC44A0" w:tentative="1">
      <w:start w:val="1"/>
      <w:numFmt w:val="bullet"/>
      <w:lvlText w:val="•"/>
      <w:lvlJc w:val="left"/>
      <w:pPr>
        <w:tabs>
          <w:tab w:val="num" w:pos="3600"/>
        </w:tabs>
        <w:ind w:left="3600" w:hanging="360"/>
      </w:pPr>
      <w:rPr>
        <w:rFonts w:ascii="Arial" w:hAnsi="Arial" w:hint="default"/>
      </w:rPr>
    </w:lvl>
    <w:lvl w:ilvl="5" w:tplc="456EF3A0" w:tentative="1">
      <w:start w:val="1"/>
      <w:numFmt w:val="bullet"/>
      <w:lvlText w:val="•"/>
      <w:lvlJc w:val="left"/>
      <w:pPr>
        <w:tabs>
          <w:tab w:val="num" w:pos="4320"/>
        </w:tabs>
        <w:ind w:left="4320" w:hanging="360"/>
      </w:pPr>
      <w:rPr>
        <w:rFonts w:ascii="Arial" w:hAnsi="Arial" w:hint="default"/>
      </w:rPr>
    </w:lvl>
    <w:lvl w:ilvl="6" w:tplc="0BCCE2BA" w:tentative="1">
      <w:start w:val="1"/>
      <w:numFmt w:val="bullet"/>
      <w:lvlText w:val="•"/>
      <w:lvlJc w:val="left"/>
      <w:pPr>
        <w:tabs>
          <w:tab w:val="num" w:pos="5040"/>
        </w:tabs>
        <w:ind w:left="5040" w:hanging="360"/>
      </w:pPr>
      <w:rPr>
        <w:rFonts w:ascii="Arial" w:hAnsi="Arial" w:hint="default"/>
      </w:rPr>
    </w:lvl>
    <w:lvl w:ilvl="7" w:tplc="B53E9A0A" w:tentative="1">
      <w:start w:val="1"/>
      <w:numFmt w:val="bullet"/>
      <w:lvlText w:val="•"/>
      <w:lvlJc w:val="left"/>
      <w:pPr>
        <w:tabs>
          <w:tab w:val="num" w:pos="5760"/>
        </w:tabs>
        <w:ind w:left="5760" w:hanging="360"/>
      </w:pPr>
      <w:rPr>
        <w:rFonts w:ascii="Arial" w:hAnsi="Arial" w:hint="default"/>
      </w:rPr>
    </w:lvl>
    <w:lvl w:ilvl="8" w:tplc="13ACFE1A" w:tentative="1">
      <w:start w:val="1"/>
      <w:numFmt w:val="bullet"/>
      <w:lvlText w:val="•"/>
      <w:lvlJc w:val="left"/>
      <w:pPr>
        <w:tabs>
          <w:tab w:val="num" w:pos="6480"/>
        </w:tabs>
        <w:ind w:left="6480" w:hanging="360"/>
      </w:pPr>
      <w:rPr>
        <w:rFonts w:ascii="Arial" w:hAnsi="Arial" w:hint="default"/>
      </w:rPr>
    </w:lvl>
  </w:abstractNum>
  <w:abstractNum w:abstractNumId="5">
    <w:nsid w:val="17C21CCA"/>
    <w:multiLevelType w:val="hybridMultilevel"/>
    <w:tmpl w:val="6204BE4A"/>
    <w:lvl w:ilvl="0" w:tplc="61DCCF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DD3599"/>
    <w:multiLevelType w:val="multilevel"/>
    <w:tmpl w:val="E04EAB78"/>
    <w:lvl w:ilvl="0">
      <w:start w:val="1"/>
      <w:numFmt w:val="decimal"/>
      <w:pStyle w:val="ListContinue5"/>
      <w:lvlText w:val="(%1)"/>
      <w:lvlJc w:val="left"/>
      <w:pPr>
        <w:tabs>
          <w:tab w:val="num" w:pos="709"/>
        </w:tabs>
        <w:ind w:left="709" w:hanging="709"/>
      </w:pPr>
      <w:rPr>
        <w:rFonts w:cs="Times New Roman"/>
        <w:i w:val="0"/>
      </w:rPr>
    </w:lvl>
    <w:lvl w:ilvl="1">
      <w:start w:val="1"/>
      <w:numFmt w:val="lowerLetter"/>
      <w:pStyle w:val="ListNumber1"/>
      <w:lvlText w:val="(%2)"/>
      <w:lvlJc w:val="left"/>
      <w:pPr>
        <w:tabs>
          <w:tab w:val="num" w:pos="1417"/>
        </w:tabs>
        <w:ind w:left="1417" w:hanging="708"/>
      </w:pPr>
      <w:rPr>
        <w:rFonts w:cs="Times New Roman"/>
      </w:rPr>
    </w:lvl>
    <w:lvl w:ilvl="2">
      <w:start w:val="1"/>
      <w:numFmt w:val="bullet"/>
      <w:pStyle w:val="ListNumber1Level2"/>
      <w:lvlText w:val="–"/>
      <w:lvlJc w:val="left"/>
      <w:pPr>
        <w:tabs>
          <w:tab w:val="num" w:pos="2126"/>
        </w:tabs>
        <w:ind w:left="2126" w:hanging="709"/>
      </w:pPr>
      <w:rPr>
        <w:rFonts w:ascii="Times New Roman" w:hAnsi="Times New Roman"/>
      </w:rPr>
    </w:lvl>
    <w:lvl w:ilvl="3">
      <w:start w:val="1"/>
      <w:numFmt w:val="bullet"/>
      <w:pStyle w:val="ListNumber1Level3"/>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2D8B6AFE"/>
    <w:multiLevelType w:val="hybridMultilevel"/>
    <w:tmpl w:val="E0D612AC"/>
    <w:lvl w:ilvl="0" w:tplc="9ADEC4BA">
      <w:start w:val="1"/>
      <w:numFmt w:val="bullet"/>
      <w:lvlText w:val="•"/>
      <w:lvlJc w:val="left"/>
      <w:pPr>
        <w:tabs>
          <w:tab w:val="num" w:pos="720"/>
        </w:tabs>
        <w:ind w:left="720" w:hanging="360"/>
      </w:pPr>
      <w:rPr>
        <w:rFonts w:ascii="Arial" w:hAnsi="Arial" w:hint="default"/>
      </w:rPr>
    </w:lvl>
    <w:lvl w:ilvl="1" w:tplc="CC128102">
      <w:start w:val="5308"/>
      <w:numFmt w:val="bullet"/>
      <w:lvlText w:val="•"/>
      <w:lvlJc w:val="left"/>
      <w:pPr>
        <w:tabs>
          <w:tab w:val="num" w:pos="1440"/>
        </w:tabs>
        <w:ind w:left="1440" w:hanging="360"/>
      </w:pPr>
      <w:rPr>
        <w:rFonts w:ascii="Arial" w:hAnsi="Arial" w:hint="default"/>
      </w:rPr>
    </w:lvl>
    <w:lvl w:ilvl="2" w:tplc="979E2718" w:tentative="1">
      <w:start w:val="1"/>
      <w:numFmt w:val="bullet"/>
      <w:lvlText w:val="•"/>
      <w:lvlJc w:val="left"/>
      <w:pPr>
        <w:tabs>
          <w:tab w:val="num" w:pos="2160"/>
        </w:tabs>
        <w:ind w:left="2160" w:hanging="360"/>
      </w:pPr>
      <w:rPr>
        <w:rFonts w:ascii="Arial" w:hAnsi="Arial" w:hint="default"/>
      </w:rPr>
    </w:lvl>
    <w:lvl w:ilvl="3" w:tplc="076E67BE" w:tentative="1">
      <w:start w:val="1"/>
      <w:numFmt w:val="bullet"/>
      <w:lvlText w:val="•"/>
      <w:lvlJc w:val="left"/>
      <w:pPr>
        <w:tabs>
          <w:tab w:val="num" w:pos="2880"/>
        </w:tabs>
        <w:ind w:left="2880" w:hanging="360"/>
      </w:pPr>
      <w:rPr>
        <w:rFonts w:ascii="Arial" w:hAnsi="Arial" w:hint="default"/>
      </w:rPr>
    </w:lvl>
    <w:lvl w:ilvl="4" w:tplc="64740F06" w:tentative="1">
      <w:start w:val="1"/>
      <w:numFmt w:val="bullet"/>
      <w:lvlText w:val="•"/>
      <w:lvlJc w:val="left"/>
      <w:pPr>
        <w:tabs>
          <w:tab w:val="num" w:pos="3600"/>
        </w:tabs>
        <w:ind w:left="3600" w:hanging="360"/>
      </w:pPr>
      <w:rPr>
        <w:rFonts w:ascii="Arial" w:hAnsi="Arial" w:hint="default"/>
      </w:rPr>
    </w:lvl>
    <w:lvl w:ilvl="5" w:tplc="B2A4C516" w:tentative="1">
      <w:start w:val="1"/>
      <w:numFmt w:val="bullet"/>
      <w:lvlText w:val="•"/>
      <w:lvlJc w:val="left"/>
      <w:pPr>
        <w:tabs>
          <w:tab w:val="num" w:pos="4320"/>
        </w:tabs>
        <w:ind w:left="4320" w:hanging="360"/>
      </w:pPr>
      <w:rPr>
        <w:rFonts w:ascii="Arial" w:hAnsi="Arial" w:hint="default"/>
      </w:rPr>
    </w:lvl>
    <w:lvl w:ilvl="6" w:tplc="808ACFFC" w:tentative="1">
      <w:start w:val="1"/>
      <w:numFmt w:val="bullet"/>
      <w:lvlText w:val="•"/>
      <w:lvlJc w:val="left"/>
      <w:pPr>
        <w:tabs>
          <w:tab w:val="num" w:pos="5040"/>
        </w:tabs>
        <w:ind w:left="5040" w:hanging="360"/>
      </w:pPr>
      <w:rPr>
        <w:rFonts w:ascii="Arial" w:hAnsi="Arial" w:hint="default"/>
      </w:rPr>
    </w:lvl>
    <w:lvl w:ilvl="7" w:tplc="771A9A7A" w:tentative="1">
      <w:start w:val="1"/>
      <w:numFmt w:val="bullet"/>
      <w:lvlText w:val="•"/>
      <w:lvlJc w:val="left"/>
      <w:pPr>
        <w:tabs>
          <w:tab w:val="num" w:pos="5760"/>
        </w:tabs>
        <w:ind w:left="5760" w:hanging="360"/>
      </w:pPr>
      <w:rPr>
        <w:rFonts w:ascii="Arial" w:hAnsi="Arial" w:hint="default"/>
      </w:rPr>
    </w:lvl>
    <w:lvl w:ilvl="8" w:tplc="D7EE656E" w:tentative="1">
      <w:start w:val="1"/>
      <w:numFmt w:val="bullet"/>
      <w:lvlText w:val="•"/>
      <w:lvlJc w:val="left"/>
      <w:pPr>
        <w:tabs>
          <w:tab w:val="num" w:pos="6480"/>
        </w:tabs>
        <w:ind w:left="6480" w:hanging="360"/>
      </w:pPr>
      <w:rPr>
        <w:rFonts w:ascii="Arial" w:hAnsi="Arial" w:hint="default"/>
      </w:rPr>
    </w:lvl>
  </w:abstractNum>
  <w:abstractNum w:abstractNumId="8">
    <w:nsid w:val="347E038C"/>
    <w:multiLevelType w:val="hybridMultilevel"/>
    <w:tmpl w:val="D3AE6278"/>
    <w:lvl w:ilvl="0" w:tplc="ED846C16">
      <w:start w:val="1"/>
      <w:numFmt w:val="bullet"/>
      <w:pStyle w:val="LTTBody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F002A16"/>
    <w:multiLevelType w:val="hybridMultilevel"/>
    <w:tmpl w:val="562C371E"/>
    <w:lvl w:ilvl="0" w:tplc="EF22B400">
      <w:numFmt w:val="bullet"/>
      <w:pStyle w:val="LTTbody2"/>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2CA78F1"/>
    <w:multiLevelType w:val="hybridMultilevel"/>
    <w:tmpl w:val="0D385FAE"/>
    <w:lvl w:ilvl="0" w:tplc="33FA8A02">
      <w:start w:val="1"/>
      <w:numFmt w:val="bullet"/>
      <w:lvlText w:val="•"/>
      <w:lvlJc w:val="left"/>
      <w:pPr>
        <w:tabs>
          <w:tab w:val="num" w:pos="720"/>
        </w:tabs>
        <w:ind w:left="720" w:hanging="360"/>
      </w:pPr>
      <w:rPr>
        <w:rFonts w:ascii="Arial" w:hAnsi="Arial" w:hint="default"/>
      </w:rPr>
    </w:lvl>
    <w:lvl w:ilvl="1" w:tplc="E3B05668" w:tentative="1">
      <w:start w:val="1"/>
      <w:numFmt w:val="bullet"/>
      <w:lvlText w:val="•"/>
      <w:lvlJc w:val="left"/>
      <w:pPr>
        <w:tabs>
          <w:tab w:val="num" w:pos="1440"/>
        </w:tabs>
        <w:ind w:left="1440" w:hanging="360"/>
      </w:pPr>
      <w:rPr>
        <w:rFonts w:ascii="Arial" w:hAnsi="Arial" w:hint="default"/>
      </w:rPr>
    </w:lvl>
    <w:lvl w:ilvl="2" w:tplc="41D03ABA" w:tentative="1">
      <w:start w:val="1"/>
      <w:numFmt w:val="bullet"/>
      <w:lvlText w:val="•"/>
      <w:lvlJc w:val="left"/>
      <w:pPr>
        <w:tabs>
          <w:tab w:val="num" w:pos="2160"/>
        </w:tabs>
        <w:ind w:left="2160" w:hanging="360"/>
      </w:pPr>
      <w:rPr>
        <w:rFonts w:ascii="Arial" w:hAnsi="Arial" w:hint="default"/>
      </w:rPr>
    </w:lvl>
    <w:lvl w:ilvl="3" w:tplc="56902D50" w:tentative="1">
      <w:start w:val="1"/>
      <w:numFmt w:val="bullet"/>
      <w:lvlText w:val="•"/>
      <w:lvlJc w:val="left"/>
      <w:pPr>
        <w:tabs>
          <w:tab w:val="num" w:pos="2880"/>
        </w:tabs>
        <w:ind w:left="2880" w:hanging="360"/>
      </w:pPr>
      <w:rPr>
        <w:rFonts w:ascii="Arial" w:hAnsi="Arial" w:hint="default"/>
      </w:rPr>
    </w:lvl>
    <w:lvl w:ilvl="4" w:tplc="CE0C4250" w:tentative="1">
      <w:start w:val="1"/>
      <w:numFmt w:val="bullet"/>
      <w:lvlText w:val="•"/>
      <w:lvlJc w:val="left"/>
      <w:pPr>
        <w:tabs>
          <w:tab w:val="num" w:pos="3600"/>
        </w:tabs>
        <w:ind w:left="3600" w:hanging="360"/>
      </w:pPr>
      <w:rPr>
        <w:rFonts w:ascii="Arial" w:hAnsi="Arial" w:hint="default"/>
      </w:rPr>
    </w:lvl>
    <w:lvl w:ilvl="5" w:tplc="86642ADA" w:tentative="1">
      <w:start w:val="1"/>
      <w:numFmt w:val="bullet"/>
      <w:lvlText w:val="•"/>
      <w:lvlJc w:val="left"/>
      <w:pPr>
        <w:tabs>
          <w:tab w:val="num" w:pos="4320"/>
        </w:tabs>
        <w:ind w:left="4320" w:hanging="360"/>
      </w:pPr>
      <w:rPr>
        <w:rFonts w:ascii="Arial" w:hAnsi="Arial" w:hint="default"/>
      </w:rPr>
    </w:lvl>
    <w:lvl w:ilvl="6" w:tplc="3DDA485E" w:tentative="1">
      <w:start w:val="1"/>
      <w:numFmt w:val="bullet"/>
      <w:lvlText w:val="•"/>
      <w:lvlJc w:val="left"/>
      <w:pPr>
        <w:tabs>
          <w:tab w:val="num" w:pos="5040"/>
        </w:tabs>
        <w:ind w:left="5040" w:hanging="360"/>
      </w:pPr>
      <w:rPr>
        <w:rFonts w:ascii="Arial" w:hAnsi="Arial" w:hint="default"/>
      </w:rPr>
    </w:lvl>
    <w:lvl w:ilvl="7" w:tplc="8BE8E688" w:tentative="1">
      <w:start w:val="1"/>
      <w:numFmt w:val="bullet"/>
      <w:lvlText w:val="•"/>
      <w:lvlJc w:val="left"/>
      <w:pPr>
        <w:tabs>
          <w:tab w:val="num" w:pos="5760"/>
        </w:tabs>
        <w:ind w:left="5760" w:hanging="360"/>
      </w:pPr>
      <w:rPr>
        <w:rFonts w:ascii="Arial" w:hAnsi="Arial" w:hint="default"/>
      </w:rPr>
    </w:lvl>
    <w:lvl w:ilvl="8" w:tplc="8C94B5E6" w:tentative="1">
      <w:start w:val="1"/>
      <w:numFmt w:val="bullet"/>
      <w:lvlText w:val="•"/>
      <w:lvlJc w:val="left"/>
      <w:pPr>
        <w:tabs>
          <w:tab w:val="num" w:pos="6480"/>
        </w:tabs>
        <w:ind w:left="6480" w:hanging="360"/>
      </w:pPr>
      <w:rPr>
        <w:rFonts w:ascii="Arial" w:hAnsi="Arial" w:hint="default"/>
      </w:rPr>
    </w:lvl>
  </w:abstractNum>
  <w:abstractNum w:abstractNumId="11">
    <w:nsid w:val="43D22394"/>
    <w:multiLevelType w:val="hybridMultilevel"/>
    <w:tmpl w:val="4E44FCD2"/>
    <w:lvl w:ilvl="0" w:tplc="B956D0DE">
      <w:start w:val="1"/>
      <w:numFmt w:val="bullet"/>
      <w:lvlText w:val="•"/>
      <w:lvlJc w:val="left"/>
      <w:pPr>
        <w:tabs>
          <w:tab w:val="num" w:pos="720"/>
        </w:tabs>
        <w:ind w:left="720" w:hanging="360"/>
      </w:pPr>
      <w:rPr>
        <w:rFonts w:ascii="Arial" w:hAnsi="Arial" w:hint="default"/>
      </w:rPr>
    </w:lvl>
    <w:lvl w:ilvl="1" w:tplc="729ADFFE">
      <w:start w:val="5369"/>
      <w:numFmt w:val="bullet"/>
      <w:lvlText w:val="•"/>
      <w:lvlJc w:val="left"/>
      <w:pPr>
        <w:tabs>
          <w:tab w:val="num" w:pos="1440"/>
        </w:tabs>
        <w:ind w:left="1440" w:hanging="360"/>
      </w:pPr>
      <w:rPr>
        <w:rFonts w:ascii="Arial" w:hAnsi="Arial" w:hint="default"/>
      </w:rPr>
    </w:lvl>
    <w:lvl w:ilvl="2" w:tplc="9D428322" w:tentative="1">
      <w:start w:val="1"/>
      <w:numFmt w:val="bullet"/>
      <w:lvlText w:val="•"/>
      <w:lvlJc w:val="left"/>
      <w:pPr>
        <w:tabs>
          <w:tab w:val="num" w:pos="2160"/>
        </w:tabs>
        <w:ind w:left="2160" w:hanging="360"/>
      </w:pPr>
      <w:rPr>
        <w:rFonts w:ascii="Arial" w:hAnsi="Arial" w:hint="default"/>
      </w:rPr>
    </w:lvl>
    <w:lvl w:ilvl="3" w:tplc="4A5AF332" w:tentative="1">
      <w:start w:val="1"/>
      <w:numFmt w:val="bullet"/>
      <w:lvlText w:val="•"/>
      <w:lvlJc w:val="left"/>
      <w:pPr>
        <w:tabs>
          <w:tab w:val="num" w:pos="2880"/>
        </w:tabs>
        <w:ind w:left="2880" w:hanging="360"/>
      </w:pPr>
      <w:rPr>
        <w:rFonts w:ascii="Arial" w:hAnsi="Arial" w:hint="default"/>
      </w:rPr>
    </w:lvl>
    <w:lvl w:ilvl="4" w:tplc="8BDAA604" w:tentative="1">
      <w:start w:val="1"/>
      <w:numFmt w:val="bullet"/>
      <w:lvlText w:val="•"/>
      <w:lvlJc w:val="left"/>
      <w:pPr>
        <w:tabs>
          <w:tab w:val="num" w:pos="3600"/>
        </w:tabs>
        <w:ind w:left="3600" w:hanging="360"/>
      </w:pPr>
      <w:rPr>
        <w:rFonts w:ascii="Arial" w:hAnsi="Arial" w:hint="default"/>
      </w:rPr>
    </w:lvl>
    <w:lvl w:ilvl="5" w:tplc="8ACE79E8" w:tentative="1">
      <w:start w:val="1"/>
      <w:numFmt w:val="bullet"/>
      <w:lvlText w:val="•"/>
      <w:lvlJc w:val="left"/>
      <w:pPr>
        <w:tabs>
          <w:tab w:val="num" w:pos="4320"/>
        </w:tabs>
        <w:ind w:left="4320" w:hanging="360"/>
      </w:pPr>
      <w:rPr>
        <w:rFonts w:ascii="Arial" w:hAnsi="Arial" w:hint="default"/>
      </w:rPr>
    </w:lvl>
    <w:lvl w:ilvl="6" w:tplc="35685DE0" w:tentative="1">
      <w:start w:val="1"/>
      <w:numFmt w:val="bullet"/>
      <w:lvlText w:val="•"/>
      <w:lvlJc w:val="left"/>
      <w:pPr>
        <w:tabs>
          <w:tab w:val="num" w:pos="5040"/>
        </w:tabs>
        <w:ind w:left="5040" w:hanging="360"/>
      </w:pPr>
      <w:rPr>
        <w:rFonts w:ascii="Arial" w:hAnsi="Arial" w:hint="default"/>
      </w:rPr>
    </w:lvl>
    <w:lvl w:ilvl="7" w:tplc="BC30125E" w:tentative="1">
      <w:start w:val="1"/>
      <w:numFmt w:val="bullet"/>
      <w:lvlText w:val="•"/>
      <w:lvlJc w:val="left"/>
      <w:pPr>
        <w:tabs>
          <w:tab w:val="num" w:pos="5760"/>
        </w:tabs>
        <w:ind w:left="5760" w:hanging="360"/>
      </w:pPr>
      <w:rPr>
        <w:rFonts w:ascii="Arial" w:hAnsi="Arial" w:hint="default"/>
      </w:rPr>
    </w:lvl>
    <w:lvl w:ilvl="8" w:tplc="E29613CA" w:tentative="1">
      <w:start w:val="1"/>
      <w:numFmt w:val="bullet"/>
      <w:lvlText w:val="•"/>
      <w:lvlJc w:val="left"/>
      <w:pPr>
        <w:tabs>
          <w:tab w:val="num" w:pos="6480"/>
        </w:tabs>
        <w:ind w:left="6480" w:hanging="360"/>
      </w:pPr>
      <w:rPr>
        <w:rFonts w:ascii="Arial" w:hAnsi="Arial" w:hint="default"/>
      </w:rPr>
    </w:lvl>
  </w:abstractNum>
  <w:abstractNum w:abstractNumId="12">
    <w:nsid w:val="458D6A60"/>
    <w:multiLevelType w:val="multilevel"/>
    <w:tmpl w:val="88B890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4BF07AE9"/>
    <w:multiLevelType w:val="hybridMultilevel"/>
    <w:tmpl w:val="1CB0F0EA"/>
    <w:lvl w:ilvl="0" w:tplc="E14A6A0E">
      <w:start w:val="1"/>
      <w:numFmt w:val="bullet"/>
      <w:lvlText w:val="•"/>
      <w:lvlJc w:val="left"/>
      <w:pPr>
        <w:tabs>
          <w:tab w:val="num" w:pos="720"/>
        </w:tabs>
        <w:ind w:left="720" w:hanging="360"/>
      </w:pPr>
      <w:rPr>
        <w:rFonts w:ascii="Arial" w:hAnsi="Arial" w:hint="default"/>
      </w:rPr>
    </w:lvl>
    <w:lvl w:ilvl="1" w:tplc="239A4986" w:tentative="1">
      <w:start w:val="1"/>
      <w:numFmt w:val="bullet"/>
      <w:lvlText w:val="•"/>
      <w:lvlJc w:val="left"/>
      <w:pPr>
        <w:tabs>
          <w:tab w:val="num" w:pos="1440"/>
        </w:tabs>
        <w:ind w:left="1440" w:hanging="360"/>
      </w:pPr>
      <w:rPr>
        <w:rFonts w:ascii="Arial" w:hAnsi="Arial" w:hint="default"/>
      </w:rPr>
    </w:lvl>
    <w:lvl w:ilvl="2" w:tplc="0616C006" w:tentative="1">
      <w:start w:val="1"/>
      <w:numFmt w:val="bullet"/>
      <w:lvlText w:val="•"/>
      <w:lvlJc w:val="left"/>
      <w:pPr>
        <w:tabs>
          <w:tab w:val="num" w:pos="2160"/>
        </w:tabs>
        <w:ind w:left="2160" w:hanging="360"/>
      </w:pPr>
      <w:rPr>
        <w:rFonts w:ascii="Arial" w:hAnsi="Arial" w:hint="default"/>
      </w:rPr>
    </w:lvl>
    <w:lvl w:ilvl="3" w:tplc="1E5621AC" w:tentative="1">
      <w:start w:val="1"/>
      <w:numFmt w:val="bullet"/>
      <w:lvlText w:val="•"/>
      <w:lvlJc w:val="left"/>
      <w:pPr>
        <w:tabs>
          <w:tab w:val="num" w:pos="2880"/>
        </w:tabs>
        <w:ind w:left="2880" w:hanging="360"/>
      </w:pPr>
      <w:rPr>
        <w:rFonts w:ascii="Arial" w:hAnsi="Arial" w:hint="default"/>
      </w:rPr>
    </w:lvl>
    <w:lvl w:ilvl="4" w:tplc="1782529E" w:tentative="1">
      <w:start w:val="1"/>
      <w:numFmt w:val="bullet"/>
      <w:lvlText w:val="•"/>
      <w:lvlJc w:val="left"/>
      <w:pPr>
        <w:tabs>
          <w:tab w:val="num" w:pos="3600"/>
        </w:tabs>
        <w:ind w:left="3600" w:hanging="360"/>
      </w:pPr>
      <w:rPr>
        <w:rFonts w:ascii="Arial" w:hAnsi="Arial" w:hint="default"/>
      </w:rPr>
    </w:lvl>
    <w:lvl w:ilvl="5" w:tplc="0178C3F0" w:tentative="1">
      <w:start w:val="1"/>
      <w:numFmt w:val="bullet"/>
      <w:lvlText w:val="•"/>
      <w:lvlJc w:val="left"/>
      <w:pPr>
        <w:tabs>
          <w:tab w:val="num" w:pos="4320"/>
        </w:tabs>
        <w:ind w:left="4320" w:hanging="360"/>
      </w:pPr>
      <w:rPr>
        <w:rFonts w:ascii="Arial" w:hAnsi="Arial" w:hint="default"/>
      </w:rPr>
    </w:lvl>
    <w:lvl w:ilvl="6" w:tplc="411425C6" w:tentative="1">
      <w:start w:val="1"/>
      <w:numFmt w:val="bullet"/>
      <w:lvlText w:val="•"/>
      <w:lvlJc w:val="left"/>
      <w:pPr>
        <w:tabs>
          <w:tab w:val="num" w:pos="5040"/>
        </w:tabs>
        <w:ind w:left="5040" w:hanging="360"/>
      </w:pPr>
      <w:rPr>
        <w:rFonts w:ascii="Arial" w:hAnsi="Arial" w:hint="default"/>
      </w:rPr>
    </w:lvl>
    <w:lvl w:ilvl="7" w:tplc="9AE4BDF8" w:tentative="1">
      <w:start w:val="1"/>
      <w:numFmt w:val="bullet"/>
      <w:lvlText w:val="•"/>
      <w:lvlJc w:val="left"/>
      <w:pPr>
        <w:tabs>
          <w:tab w:val="num" w:pos="5760"/>
        </w:tabs>
        <w:ind w:left="5760" w:hanging="360"/>
      </w:pPr>
      <w:rPr>
        <w:rFonts w:ascii="Arial" w:hAnsi="Arial" w:hint="default"/>
      </w:rPr>
    </w:lvl>
    <w:lvl w:ilvl="8" w:tplc="42BC75D6" w:tentative="1">
      <w:start w:val="1"/>
      <w:numFmt w:val="bullet"/>
      <w:lvlText w:val="•"/>
      <w:lvlJc w:val="left"/>
      <w:pPr>
        <w:tabs>
          <w:tab w:val="num" w:pos="6480"/>
        </w:tabs>
        <w:ind w:left="6480" w:hanging="360"/>
      </w:pPr>
      <w:rPr>
        <w:rFonts w:ascii="Arial" w:hAnsi="Arial" w:hint="default"/>
      </w:rPr>
    </w:lvl>
  </w:abstractNum>
  <w:abstractNum w:abstractNumId="14">
    <w:nsid w:val="4C9531FC"/>
    <w:multiLevelType w:val="hybridMultilevel"/>
    <w:tmpl w:val="8E745AEA"/>
    <w:lvl w:ilvl="0" w:tplc="20DAA5EE">
      <w:start w:val="1"/>
      <w:numFmt w:val="bullet"/>
      <w:lvlText w:val="•"/>
      <w:lvlJc w:val="left"/>
      <w:pPr>
        <w:tabs>
          <w:tab w:val="num" w:pos="720"/>
        </w:tabs>
        <w:ind w:left="720" w:hanging="360"/>
      </w:pPr>
      <w:rPr>
        <w:rFonts w:ascii="Arial" w:hAnsi="Arial" w:hint="default"/>
      </w:rPr>
    </w:lvl>
    <w:lvl w:ilvl="1" w:tplc="336AE9FC" w:tentative="1">
      <w:start w:val="1"/>
      <w:numFmt w:val="bullet"/>
      <w:lvlText w:val="•"/>
      <w:lvlJc w:val="left"/>
      <w:pPr>
        <w:tabs>
          <w:tab w:val="num" w:pos="1440"/>
        </w:tabs>
        <w:ind w:left="1440" w:hanging="360"/>
      </w:pPr>
      <w:rPr>
        <w:rFonts w:ascii="Arial" w:hAnsi="Arial" w:hint="default"/>
      </w:rPr>
    </w:lvl>
    <w:lvl w:ilvl="2" w:tplc="FC7E18F8" w:tentative="1">
      <w:start w:val="1"/>
      <w:numFmt w:val="bullet"/>
      <w:lvlText w:val="•"/>
      <w:lvlJc w:val="left"/>
      <w:pPr>
        <w:tabs>
          <w:tab w:val="num" w:pos="2160"/>
        </w:tabs>
        <w:ind w:left="2160" w:hanging="360"/>
      </w:pPr>
      <w:rPr>
        <w:rFonts w:ascii="Arial" w:hAnsi="Arial" w:hint="default"/>
      </w:rPr>
    </w:lvl>
    <w:lvl w:ilvl="3" w:tplc="3A901F54" w:tentative="1">
      <w:start w:val="1"/>
      <w:numFmt w:val="bullet"/>
      <w:lvlText w:val="•"/>
      <w:lvlJc w:val="left"/>
      <w:pPr>
        <w:tabs>
          <w:tab w:val="num" w:pos="2880"/>
        </w:tabs>
        <w:ind w:left="2880" w:hanging="360"/>
      </w:pPr>
      <w:rPr>
        <w:rFonts w:ascii="Arial" w:hAnsi="Arial" w:hint="default"/>
      </w:rPr>
    </w:lvl>
    <w:lvl w:ilvl="4" w:tplc="1F486882" w:tentative="1">
      <w:start w:val="1"/>
      <w:numFmt w:val="bullet"/>
      <w:lvlText w:val="•"/>
      <w:lvlJc w:val="left"/>
      <w:pPr>
        <w:tabs>
          <w:tab w:val="num" w:pos="3600"/>
        </w:tabs>
        <w:ind w:left="3600" w:hanging="360"/>
      </w:pPr>
      <w:rPr>
        <w:rFonts w:ascii="Arial" w:hAnsi="Arial" w:hint="default"/>
      </w:rPr>
    </w:lvl>
    <w:lvl w:ilvl="5" w:tplc="AB846E9C" w:tentative="1">
      <w:start w:val="1"/>
      <w:numFmt w:val="bullet"/>
      <w:lvlText w:val="•"/>
      <w:lvlJc w:val="left"/>
      <w:pPr>
        <w:tabs>
          <w:tab w:val="num" w:pos="4320"/>
        </w:tabs>
        <w:ind w:left="4320" w:hanging="360"/>
      </w:pPr>
      <w:rPr>
        <w:rFonts w:ascii="Arial" w:hAnsi="Arial" w:hint="default"/>
      </w:rPr>
    </w:lvl>
    <w:lvl w:ilvl="6" w:tplc="EB74791A" w:tentative="1">
      <w:start w:val="1"/>
      <w:numFmt w:val="bullet"/>
      <w:lvlText w:val="•"/>
      <w:lvlJc w:val="left"/>
      <w:pPr>
        <w:tabs>
          <w:tab w:val="num" w:pos="5040"/>
        </w:tabs>
        <w:ind w:left="5040" w:hanging="360"/>
      </w:pPr>
      <w:rPr>
        <w:rFonts w:ascii="Arial" w:hAnsi="Arial" w:hint="default"/>
      </w:rPr>
    </w:lvl>
    <w:lvl w:ilvl="7" w:tplc="787002B2" w:tentative="1">
      <w:start w:val="1"/>
      <w:numFmt w:val="bullet"/>
      <w:lvlText w:val="•"/>
      <w:lvlJc w:val="left"/>
      <w:pPr>
        <w:tabs>
          <w:tab w:val="num" w:pos="5760"/>
        </w:tabs>
        <w:ind w:left="5760" w:hanging="360"/>
      </w:pPr>
      <w:rPr>
        <w:rFonts w:ascii="Arial" w:hAnsi="Arial" w:hint="default"/>
      </w:rPr>
    </w:lvl>
    <w:lvl w:ilvl="8" w:tplc="CE9A8CEE" w:tentative="1">
      <w:start w:val="1"/>
      <w:numFmt w:val="bullet"/>
      <w:lvlText w:val="•"/>
      <w:lvlJc w:val="left"/>
      <w:pPr>
        <w:tabs>
          <w:tab w:val="num" w:pos="6480"/>
        </w:tabs>
        <w:ind w:left="6480" w:hanging="360"/>
      </w:pPr>
      <w:rPr>
        <w:rFonts w:ascii="Arial" w:hAnsi="Arial" w:hint="default"/>
      </w:rPr>
    </w:lvl>
  </w:abstractNum>
  <w:abstractNum w:abstractNumId="15">
    <w:nsid w:val="4F5239BE"/>
    <w:multiLevelType w:val="hybridMultilevel"/>
    <w:tmpl w:val="FC46B75E"/>
    <w:lvl w:ilvl="0" w:tplc="0A20A8D4">
      <w:start w:val="1"/>
      <w:numFmt w:val="bullet"/>
      <w:lvlText w:val="•"/>
      <w:lvlJc w:val="left"/>
      <w:pPr>
        <w:tabs>
          <w:tab w:val="num" w:pos="720"/>
        </w:tabs>
        <w:ind w:left="720" w:hanging="360"/>
      </w:pPr>
      <w:rPr>
        <w:rFonts w:ascii="Arial" w:hAnsi="Arial" w:hint="default"/>
      </w:rPr>
    </w:lvl>
    <w:lvl w:ilvl="1" w:tplc="74822AA4" w:tentative="1">
      <w:start w:val="1"/>
      <w:numFmt w:val="bullet"/>
      <w:lvlText w:val="•"/>
      <w:lvlJc w:val="left"/>
      <w:pPr>
        <w:tabs>
          <w:tab w:val="num" w:pos="1440"/>
        </w:tabs>
        <w:ind w:left="1440" w:hanging="360"/>
      </w:pPr>
      <w:rPr>
        <w:rFonts w:ascii="Arial" w:hAnsi="Arial" w:hint="default"/>
      </w:rPr>
    </w:lvl>
    <w:lvl w:ilvl="2" w:tplc="4CB42432" w:tentative="1">
      <w:start w:val="1"/>
      <w:numFmt w:val="bullet"/>
      <w:lvlText w:val="•"/>
      <w:lvlJc w:val="left"/>
      <w:pPr>
        <w:tabs>
          <w:tab w:val="num" w:pos="2160"/>
        </w:tabs>
        <w:ind w:left="2160" w:hanging="360"/>
      </w:pPr>
      <w:rPr>
        <w:rFonts w:ascii="Arial" w:hAnsi="Arial" w:hint="default"/>
      </w:rPr>
    </w:lvl>
    <w:lvl w:ilvl="3" w:tplc="D46A6A60" w:tentative="1">
      <w:start w:val="1"/>
      <w:numFmt w:val="bullet"/>
      <w:lvlText w:val="•"/>
      <w:lvlJc w:val="left"/>
      <w:pPr>
        <w:tabs>
          <w:tab w:val="num" w:pos="2880"/>
        </w:tabs>
        <w:ind w:left="2880" w:hanging="360"/>
      </w:pPr>
      <w:rPr>
        <w:rFonts w:ascii="Arial" w:hAnsi="Arial" w:hint="default"/>
      </w:rPr>
    </w:lvl>
    <w:lvl w:ilvl="4" w:tplc="4FF6257C" w:tentative="1">
      <w:start w:val="1"/>
      <w:numFmt w:val="bullet"/>
      <w:lvlText w:val="•"/>
      <w:lvlJc w:val="left"/>
      <w:pPr>
        <w:tabs>
          <w:tab w:val="num" w:pos="3600"/>
        </w:tabs>
        <w:ind w:left="3600" w:hanging="360"/>
      </w:pPr>
      <w:rPr>
        <w:rFonts w:ascii="Arial" w:hAnsi="Arial" w:hint="default"/>
      </w:rPr>
    </w:lvl>
    <w:lvl w:ilvl="5" w:tplc="5142BD62" w:tentative="1">
      <w:start w:val="1"/>
      <w:numFmt w:val="bullet"/>
      <w:lvlText w:val="•"/>
      <w:lvlJc w:val="left"/>
      <w:pPr>
        <w:tabs>
          <w:tab w:val="num" w:pos="4320"/>
        </w:tabs>
        <w:ind w:left="4320" w:hanging="360"/>
      </w:pPr>
      <w:rPr>
        <w:rFonts w:ascii="Arial" w:hAnsi="Arial" w:hint="default"/>
      </w:rPr>
    </w:lvl>
    <w:lvl w:ilvl="6" w:tplc="DB8E7572" w:tentative="1">
      <w:start w:val="1"/>
      <w:numFmt w:val="bullet"/>
      <w:lvlText w:val="•"/>
      <w:lvlJc w:val="left"/>
      <w:pPr>
        <w:tabs>
          <w:tab w:val="num" w:pos="5040"/>
        </w:tabs>
        <w:ind w:left="5040" w:hanging="360"/>
      </w:pPr>
      <w:rPr>
        <w:rFonts w:ascii="Arial" w:hAnsi="Arial" w:hint="default"/>
      </w:rPr>
    </w:lvl>
    <w:lvl w:ilvl="7" w:tplc="FDA2C6BE" w:tentative="1">
      <w:start w:val="1"/>
      <w:numFmt w:val="bullet"/>
      <w:lvlText w:val="•"/>
      <w:lvlJc w:val="left"/>
      <w:pPr>
        <w:tabs>
          <w:tab w:val="num" w:pos="5760"/>
        </w:tabs>
        <w:ind w:left="5760" w:hanging="360"/>
      </w:pPr>
      <w:rPr>
        <w:rFonts w:ascii="Arial" w:hAnsi="Arial" w:hint="default"/>
      </w:rPr>
    </w:lvl>
    <w:lvl w:ilvl="8" w:tplc="DE8E7CAC" w:tentative="1">
      <w:start w:val="1"/>
      <w:numFmt w:val="bullet"/>
      <w:lvlText w:val="•"/>
      <w:lvlJc w:val="left"/>
      <w:pPr>
        <w:tabs>
          <w:tab w:val="num" w:pos="6480"/>
        </w:tabs>
        <w:ind w:left="6480" w:hanging="360"/>
      </w:pPr>
      <w:rPr>
        <w:rFonts w:ascii="Arial" w:hAnsi="Arial" w:hint="default"/>
      </w:rPr>
    </w:lvl>
  </w:abstractNum>
  <w:abstractNum w:abstractNumId="16">
    <w:nsid w:val="5092364C"/>
    <w:multiLevelType w:val="hybridMultilevel"/>
    <w:tmpl w:val="6B80A1EE"/>
    <w:lvl w:ilvl="0" w:tplc="91304718">
      <w:start w:val="1"/>
      <w:numFmt w:val="bullet"/>
      <w:lvlText w:val="•"/>
      <w:lvlJc w:val="left"/>
      <w:pPr>
        <w:tabs>
          <w:tab w:val="num" w:pos="720"/>
        </w:tabs>
        <w:ind w:left="720" w:hanging="360"/>
      </w:pPr>
      <w:rPr>
        <w:rFonts w:ascii="Arial" w:hAnsi="Arial" w:hint="default"/>
      </w:rPr>
    </w:lvl>
    <w:lvl w:ilvl="1" w:tplc="EE166586">
      <w:start w:val="6635"/>
      <w:numFmt w:val="bullet"/>
      <w:lvlText w:val="•"/>
      <w:lvlJc w:val="left"/>
      <w:pPr>
        <w:tabs>
          <w:tab w:val="num" w:pos="1440"/>
        </w:tabs>
        <w:ind w:left="1440" w:hanging="360"/>
      </w:pPr>
      <w:rPr>
        <w:rFonts w:ascii="Arial" w:hAnsi="Arial" w:hint="default"/>
      </w:rPr>
    </w:lvl>
    <w:lvl w:ilvl="2" w:tplc="60B691FE" w:tentative="1">
      <w:start w:val="1"/>
      <w:numFmt w:val="bullet"/>
      <w:lvlText w:val="•"/>
      <w:lvlJc w:val="left"/>
      <w:pPr>
        <w:tabs>
          <w:tab w:val="num" w:pos="2160"/>
        </w:tabs>
        <w:ind w:left="2160" w:hanging="360"/>
      </w:pPr>
      <w:rPr>
        <w:rFonts w:ascii="Arial" w:hAnsi="Arial" w:hint="default"/>
      </w:rPr>
    </w:lvl>
    <w:lvl w:ilvl="3" w:tplc="2E6C38C6" w:tentative="1">
      <w:start w:val="1"/>
      <w:numFmt w:val="bullet"/>
      <w:lvlText w:val="•"/>
      <w:lvlJc w:val="left"/>
      <w:pPr>
        <w:tabs>
          <w:tab w:val="num" w:pos="2880"/>
        </w:tabs>
        <w:ind w:left="2880" w:hanging="360"/>
      </w:pPr>
      <w:rPr>
        <w:rFonts w:ascii="Arial" w:hAnsi="Arial" w:hint="default"/>
      </w:rPr>
    </w:lvl>
    <w:lvl w:ilvl="4" w:tplc="9090666E" w:tentative="1">
      <w:start w:val="1"/>
      <w:numFmt w:val="bullet"/>
      <w:lvlText w:val="•"/>
      <w:lvlJc w:val="left"/>
      <w:pPr>
        <w:tabs>
          <w:tab w:val="num" w:pos="3600"/>
        </w:tabs>
        <w:ind w:left="3600" w:hanging="360"/>
      </w:pPr>
      <w:rPr>
        <w:rFonts w:ascii="Arial" w:hAnsi="Arial" w:hint="default"/>
      </w:rPr>
    </w:lvl>
    <w:lvl w:ilvl="5" w:tplc="FBCA40D4" w:tentative="1">
      <w:start w:val="1"/>
      <w:numFmt w:val="bullet"/>
      <w:lvlText w:val="•"/>
      <w:lvlJc w:val="left"/>
      <w:pPr>
        <w:tabs>
          <w:tab w:val="num" w:pos="4320"/>
        </w:tabs>
        <w:ind w:left="4320" w:hanging="360"/>
      </w:pPr>
      <w:rPr>
        <w:rFonts w:ascii="Arial" w:hAnsi="Arial" w:hint="default"/>
      </w:rPr>
    </w:lvl>
    <w:lvl w:ilvl="6" w:tplc="746487F4" w:tentative="1">
      <w:start w:val="1"/>
      <w:numFmt w:val="bullet"/>
      <w:lvlText w:val="•"/>
      <w:lvlJc w:val="left"/>
      <w:pPr>
        <w:tabs>
          <w:tab w:val="num" w:pos="5040"/>
        </w:tabs>
        <w:ind w:left="5040" w:hanging="360"/>
      </w:pPr>
      <w:rPr>
        <w:rFonts w:ascii="Arial" w:hAnsi="Arial" w:hint="default"/>
      </w:rPr>
    </w:lvl>
    <w:lvl w:ilvl="7" w:tplc="0986AE5C" w:tentative="1">
      <w:start w:val="1"/>
      <w:numFmt w:val="bullet"/>
      <w:lvlText w:val="•"/>
      <w:lvlJc w:val="left"/>
      <w:pPr>
        <w:tabs>
          <w:tab w:val="num" w:pos="5760"/>
        </w:tabs>
        <w:ind w:left="5760" w:hanging="360"/>
      </w:pPr>
      <w:rPr>
        <w:rFonts w:ascii="Arial" w:hAnsi="Arial" w:hint="default"/>
      </w:rPr>
    </w:lvl>
    <w:lvl w:ilvl="8" w:tplc="ADD67FA2" w:tentative="1">
      <w:start w:val="1"/>
      <w:numFmt w:val="bullet"/>
      <w:lvlText w:val="•"/>
      <w:lvlJc w:val="left"/>
      <w:pPr>
        <w:tabs>
          <w:tab w:val="num" w:pos="6480"/>
        </w:tabs>
        <w:ind w:left="6480" w:hanging="360"/>
      </w:pPr>
      <w:rPr>
        <w:rFonts w:ascii="Arial" w:hAnsi="Arial" w:hint="default"/>
      </w:rPr>
    </w:lvl>
  </w:abstractNum>
  <w:abstractNum w:abstractNumId="17">
    <w:nsid w:val="53FF2D8D"/>
    <w:multiLevelType w:val="hybridMultilevel"/>
    <w:tmpl w:val="7DFEF548"/>
    <w:lvl w:ilvl="0" w:tplc="65B2D89A">
      <w:start w:val="1"/>
      <w:numFmt w:val="bullet"/>
      <w:lvlText w:val="•"/>
      <w:lvlJc w:val="left"/>
      <w:pPr>
        <w:tabs>
          <w:tab w:val="num" w:pos="720"/>
        </w:tabs>
        <w:ind w:left="720" w:hanging="360"/>
      </w:pPr>
      <w:rPr>
        <w:rFonts w:ascii="Arial" w:hAnsi="Arial" w:hint="default"/>
      </w:rPr>
    </w:lvl>
    <w:lvl w:ilvl="1" w:tplc="121AD10E" w:tentative="1">
      <w:start w:val="1"/>
      <w:numFmt w:val="bullet"/>
      <w:lvlText w:val="•"/>
      <w:lvlJc w:val="left"/>
      <w:pPr>
        <w:tabs>
          <w:tab w:val="num" w:pos="1440"/>
        </w:tabs>
        <w:ind w:left="1440" w:hanging="360"/>
      </w:pPr>
      <w:rPr>
        <w:rFonts w:ascii="Arial" w:hAnsi="Arial" w:hint="default"/>
      </w:rPr>
    </w:lvl>
    <w:lvl w:ilvl="2" w:tplc="AE1CFCCA" w:tentative="1">
      <w:start w:val="1"/>
      <w:numFmt w:val="bullet"/>
      <w:lvlText w:val="•"/>
      <w:lvlJc w:val="left"/>
      <w:pPr>
        <w:tabs>
          <w:tab w:val="num" w:pos="2160"/>
        </w:tabs>
        <w:ind w:left="2160" w:hanging="360"/>
      </w:pPr>
      <w:rPr>
        <w:rFonts w:ascii="Arial" w:hAnsi="Arial" w:hint="default"/>
      </w:rPr>
    </w:lvl>
    <w:lvl w:ilvl="3" w:tplc="991429FA" w:tentative="1">
      <w:start w:val="1"/>
      <w:numFmt w:val="bullet"/>
      <w:lvlText w:val="•"/>
      <w:lvlJc w:val="left"/>
      <w:pPr>
        <w:tabs>
          <w:tab w:val="num" w:pos="2880"/>
        </w:tabs>
        <w:ind w:left="2880" w:hanging="360"/>
      </w:pPr>
      <w:rPr>
        <w:rFonts w:ascii="Arial" w:hAnsi="Arial" w:hint="default"/>
      </w:rPr>
    </w:lvl>
    <w:lvl w:ilvl="4" w:tplc="B38C7B24" w:tentative="1">
      <w:start w:val="1"/>
      <w:numFmt w:val="bullet"/>
      <w:lvlText w:val="•"/>
      <w:lvlJc w:val="left"/>
      <w:pPr>
        <w:tabs>
          <w:tab w:val="num" w:pos="3600"/>
        </w:tabs>
        <w:ind w:left="3600" w:hanging="360"/>
      </w:pPr>
      <w:rPr>
        <w:rFonts w:ascii="Arial" w:hAnsi="Arial" w:hint="default"/>
      </w:rPr>
    </w:lvl>
    <w:lvl w:ilvl="5" w:tplc="86FE3A44" w:tentative="1">
      <w:start w:val="1"/>
      <w:numFmt w:val="bullet"/>
      <w:lvlText w:val="•"/>
      <w:lvlJc w:val="left"/>
      <w:pPr>
        <w:tabs>
          <w:tab w:val="num" w:pos="4320"/>
        </w:tabs>
        <w:ind w:left="4320" w:hanging="360"/>
      </w:pPr>
      <w:rPr>
        <w:rFonts w:ascii="Arial" w:hAnsi="Arial" w:hint="default"/>
      </w:rPr>
    </w:lvl>
    <w:lvl w:ilvl="6" w:tplc="C6E60360" w:tentative="1">
      <w:start w:val="1"/>
      <w:numFmt w:val="bullet"/>
      <w:lvlText w:val="•"/>
      <w:lvlJc w:val="left"/>
      <w:pPr>
        <w:tabs>
          <w:tab w:val="num" w:pos="5040"/>
        </w:tabs>
        <w:ind w:left="5040" w:hanging="360"/>
      </w:pPr>
      <w:rPr>
        <w:rFonts w:ascii="Arial" w:hAnsi="Arial" w:hint="default"/>
      </w:rPr>
    </w:lvl>
    <w:lvl w:ilvl="7" w:tplc="B810C99C" w:tentative="1">
      <w:start w:val="1"/>
      <w:numFmt w:val="bullet"/>
      <w:lvlText w:val="•"/>
      <w:lvlJc w:val="left"/>
      <w:pPr>
        <w:tabs>
          <w:tab w:val="num" w:pos="5760"/>
        </w:tabs>
        <w:ind w:left="5760" w:hanging="360"/>
      </w:pPr>
      <w:rPr>
        <w:rFonts w:ascii="Arial" w:hAnsi="Arial" w:hint="default"/>
      </w:rPr>
    </w:lvl>
    <w:lvl w:ilvl="8" w:tplc="E13093AA" w:tentative="1">
      <w:start w:val="1"/>
      <w:numFmt w:val="bullet"/>
      <w:lvlText w:val="•"/>
      <w:lvlJc w:val="left"/>
      <w:pPr>
        <w:tabs>
          <w:tab w:val="num" w:pos="6480"/>
        </w:tabs>
        <w:ind w:left="6480" w:hanging="360"/>
      </w:pPr>
      <w:rPr>
        <w:rFonts w:ascii="Arial" w:hAnsi="Arial" w:hint="default"/>
      </w:rPr>
    </w:lvl>
  </w:abstractNum>
  <w:abstractNum w:abstractNumId="18">
    <w:nsid w:val="555F62D2"/>
    <w:multiLevelType w:val="hybridMultilevel"/>
    <w:tmpl w:val="CB5C326A"/>
    <w:lvl w:ilvl="0" w:tplc="83D863A2">
      <w:start w:val="1"/>
      <w:numFmt w:val="bullet"/>
      <w:lvlText w:val="•"/>
      <w:lvlJc w:val="left"/>
      <w:pPr>
        <w:tabs>
          <w:tab w:val="num" w:pos="720"/>
        </w:tabs>
        <w:ind w:left="720" w:hanging="360"/>
      </w:pPr>
      <w:rPr>
        <w:rFonts w:ascii="Arial" w:hAnsi="Arial" w:hint="default"/>
      </w:rPr>
    </w:lvl>
    <w:lvl w:ilvl="1" w:tplc="BA34E2C8" w:tentative="1">
      <w:start w:val="1"/>
      <w:numFmt w:val="bullet"/>
      <w:lvlText w:val="•"/>
      <w:lvlJc w:val="left"/>
      <w:pPr>
        <w:tabs>
          <w:tab w:val="num" w:pos="1440"/>
        </w:tabs>
        <w:ind w:left="1440" w:hanging="360"/>
      </w:pPr>
      <w:rPr>
        <w:rFonts w:ascii="Arial" w:hAnsi="Arial" w:hint="default"/>
      </w:rPr>
    </w:lvl>
    <w:lvl w:ilvl="2" w:tplc="98C65178" w:tentative="1">
      <w:start w:val="1"/>
      <w:numFmt w:val="bullet"/>
      <w:lvlText w:val="•"/>
      <w:lvlJc w:val="left"/>
      <w:pPr>
        <w:tabs>
          <w:tab w:val="num" w:pos="2160"/>
        </w:tabs>
        <w:ind w:left="2160" w:hanging="360"/>
      </w:pPr>
      <w:rPr>
        <w:rFonts w:ascii="Arial" w:hAnsi="Arial" w:hint="default"/>
      </w:rPr>
    </w:lvl>
    <w:lvl w:ilvl="3" w:tplc="DFA45216" w:tentative="1">
      <w:start w:val="1"/>
      <w:numFmt w:val="bullet"/>
      <w:lvlText w:val="•"/>
      <w:lvlJc w:val="left"/>
      <w:pPr>
        <w:tabs>
          <w:tab w:val="num" w:pos="2880"/>
        </w:tabs>
        <w:ind w:left="2880" w:hanging="360"/>
      </w:pPr>
      <w:rPr>
        <w:rFonts w:ascii="Arial" w:hAnsi="Arial" w:hint="default"/>
      </w:rPr>
    </w:lvl>
    <w:lvl w:ilvl="4" w:tplc="AEE060D2" w:tentative="1">
      <w:start w:val="1"/>
      <w:numFmt w:val="bullet"/>
      <w:lvlText w:val="•"/>
      <w:lvlJc w:val="left"/>
      <w:pPr>
        <w:tabs>
          <w:tab w:val="num" w:pos="3600"/>
        </w:tabs>
        <w:ind w:left="3600" w:hanging="360"/>
      </w:pPr>
      <w:rPr>
        <w:rFonts w:ascii="Arial" w:hAnsi="Arial" w:hint="default"/>
      </w:rPr>
    </w:lvl>
    <w:lvl w:ilvl="5" w:tplc="AC8E5DA2" w:tentative="1">
      <w:start w:val="1"/>
      <w:numFmt w:val="bullet"/>
      <w:lvlText w:val="•"/>
      <w:lvlJc w:val="left"/>
      <w:pPr>
        <w:tabs>
          <w:tab w:val="num" w:pos="4320"/>
        </w:tabs>
        <w:ind w:left="4320" w:hanging="360"/>
      </w:pPr>
      <w:rPr>
        <w:rFonts w:ascii="Arial" w:hAnsi="Arial" w:hint="default"/>
      </w:rPr>
    </w:lvl>
    <w:lvl w:ilvl="6" w:tplc="6FE2AB34" w:tentative="1">
      <w:start w:val="1"/>
      <w:numFmt w:val="bullet"/>
      <w:lvlText w:val="•"/>
      <w:lvlJc w:val="left"/>
      <w:pPr>
        <w:tabs>
          <w:tab w:val="num" w:pos="5040"/>
        </w:tabs>
        <w:ind w:left="5040" w:hanging="360"/>
      </w:pPr>
      <w:rPr>
        <w:rFonts w:ascii="Arial" w:hAnsi="Arial" w:hint="default"/>
      </w:rPr>
    </w:lvl>
    <w:lvl w:ilvl="7" w:tplc="9FD08854" w:tentative="1">
      <w:start w:val="1"/>
      <w:numFmt w:val="bullet"/>
      <w:lvlText w:val="•"/>
      <w:lvlJc w:val="left"/>
      <w:pPr>
        <w:tabs>
          <w:tab w:val="num" w:pos="5760"/>
        </w:tabs>
        <w:ind w:left="5760" w:hanging="360"/>
      </w:pPr>
      <w:rPr>
        <w:rFonts w:ascii="Arial" w:hAnsi="Arial" w:hint="default"/>
      </w:rPr>
    </w:lvl>
    <w:lvl w:ilvl="8" w:tplc="89E20334" w:tentative="1">
      <w:start w:val="1"/>
      <w:numFmt w:val="bullet"/>
      <w:lvlText w:val="•"/>
      <w:lvlJc w:val="left"/>
      <w:pPr>
        <w:tabs>
          <w:tab w:val="num" w:pos="6480"/>
        </w:tabs>
        <w:ind w:left="6480" w:hanging="360"/>
      </w:pPr>
      <w:rPr>
        <w:rFonts w:ascii="Arial" w:hAnsi="Arial" w:hint="default"/>
      </w:rPr>
    </w:lvl>
  </w:abstractNum>
  <w:abstractNum w:abstractNumId="19">
    <w:nsid w:val="55630F21"/>
    <w:multiLevelType w:val="hybridMultilevel"/>
    <w:tmpl w:val="42E84D96"/>
    <w:lvl w:ilvl="0" w:tplc="C1EC2F7E">
      <w:start w:val="1"/>
      <w:numFmt w:val="bullet"/>
      <w:lvlText w:val="•"/>
      <w:lvlJc w:val="left"/>
      <w:pPr>
        <w:tabs>
          <w:tab w:val="num" w:pos="720"/>
        </w:tabs>
        <w:ind w:left="720" w:hanging="360"/>
      </w:pPr>
      <w:rPr>
        <w:rFonts w:ascii="Arial" w:hAnsi="Arial" w:hint="default"/>
      </w:rPr>
    </w:lvl>
    <w:lvl w:ilvl="1" w:tplc="5BEA769A" w:tentative="1">
      <w:start w:val="1"/>
      <w:numFmt w:val="bullet"/>
      <w:lvlText w:val="•"/>
      <w:lvlJc w:val="left"/>
      <w:pPr>
        <w:tabs>
          <w:tab w:val="num" w:pos="1440"/>
        </w:tabs>
        <w:ind w:left="1440" w:hanging="360"/>
      </w:pPr>
      <w:rPr>
        <w:rFonts w:ascii="Arial" w:hAnsi="Arial" w:hint="default"/>
      </w:rPr>
    </w:lvl>
    <w:lvl w:ilvl="2" w:tplc="82E619DE" w:tentative="1">
      <w:start w:val="1"/>
      <w:numFmt w:val="bullet"/>
      <w:lvlText w:val="•"/>
      <w:lvlJc w:val="left"/>
      <w:pPr>
        <w:tabs>
          <w:tab w:val="num" w:pos="2160"/>
        </w:tabs>
        <w:ind w:left="2160" w:hanging="360"/>
      </w:pPr>
      <w:rPr>
        <w:rFonts w:ascii="Arial" w:hAnsi="Arial" w:hint="default"/>
      </w:rPr>
    </w:lvl>
    <w:lvl w:ilvl="3" w:tplc="DD22EFAE" w:tentative="1">
      <w:start w:val="1"/>
      <w:numFmt w:val="bullet"/>
      <w:lvlText w:val="•"/>
      <w:lvlJc w:val="left"/>
      <w:pPr>
        <w:tabs>
          <w:tab w:val="num" w:pos="2880"/>
        </w:tabs>
        <w:ind w:left="2880" w:hanging="360"/>
      </w:pPr>
      <w:rPr>
        <w:rFonts w:ascii="Arial" w:hAnsi="Arial" w:hint="default"/>
      </w:rPr>
    </w:lvl>
    <w:lvl w:ilvl="4" w:tplc="90E07D30" w:tentative="1">
      <w:start w:val="1"/>
      <w:numFmt w:val="bullet"/>
      <w:lvlText w:val="•"/>
      <w:lvlJc w:val="left"/>
      <w:pPr>
        <w:tabs>
          <w:tab w:val="num" w:pos="3600"/>
        </w:tabs>
        <w:ind w:left="3600" w:hanging="360"/>
      </w:pPr>
      <w:rPr>
        <w:rFonts w:ascii="Arial" w:hAnsi="Arial" w:hint="default"/>
      </w:rPr>
    </w:lvl>
    <w:lvl w:ilvl="5" w:tplc="1B56F778" w:tentative="1">
      <w:start w:val="1"/>
      <w:numFmt w:val="bullet"/>
      <w:lvlText w:val="•"/>
      <w:lvlJc w:val="left"/>
      <w:pPr>
        <w:tabs>
          <w:tab w:val="num" w:pos="4320"/>
        </w:tabs>
        <w:ind w:left="4320" w:hanging="360"/>
      </w:pPr>
      <w:rPr>
        <w:rFonts w:ascii="Arial" w:hAnsi="Arial" w:hint="default"/>
      </w:rPr>
    </w:lvl>
    <w:lvl w:ilvl="6" w:tplc="4A2A9B9C" w:tentative="1">
      <w:start w:val="1"/>
      <w:numFmt w:val="bullet"/>
      <w:lvlText w:val="•"/>
      <w:lvlJc w:val="left"/>
      <w:pPr>
        <w:tabs>
          <w:tab w:val="num" w:pos="5040"/>
        </w:tabs>
        <w:ind w:left="5040" w:hanging="360"/>
      </w:pPr>
      <w:rPr>
        <w:rFonts w:ascii="Arial" w:hAnsi="Arial" w:hint="default"/>
      </w:rPr>
    </w:lvl>
    <w:lvl w:ilvl="7" w:tplc="2BEE9BD2" w:tentative="1">
      <w:start w:val="1"/>
      <w:numFmt w:val="bullet"/>
      <w:lvlText w:val="•"/>
      <w:lvlJc w:val="left"/>
      <w:pPr>
        <w:tabs>
          <w:tab w:val="num" w:pos="5760"/>
        </w:tabs>
        <w:ind w:left="5760" w:hanging="360"/>
      </w:pPr>
      <w:rPr>
        <w:rFonts w:ascii="Arial" w:hAnsi="Arial" w:hint="default"/>
      </w:rPr>
    </w:lvl>
    <w:lvl w:ilvl="8" w:tplc="305812CC" w:tentative="1">
      <w:start w:val="1"/>
      <w:numFmt w:val="bullet"/>
      <w:lvlText w:val="•"/>
      <w:lvlJc w:val="left"/>
      <w:pPr>
        <w:tabs>
          <w:tab w:val="num" w:pos="6480"/>
        </w:tabs>
        <w:ind w:left="6480" w:hanging="360"/>
      </w:pPr>
      <w:rPr>
        <w:rFonts w:ascii="Arial" w:hAnsi="Arial" w:hint="default"/>
      </w:rPr>
    </w:lvl>
  </w:abstractNum>
  <w:abstractNum w:abstractNumId="20">
    <w:nsid w:val="58057D46"/>
    <w:multiLevelType w:val="hybridMultilevel"/>
    <w:tmpl w:val="F288FC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A0F3B6B"/>
    <w:multiLevelType w:val="hybridMultilevel"/>
    <w:tmpl w:val="715C3B44"/>
    <w:lvl w:ilvl="0" w:tplc="08090001">
      <w:start w:val="1"/>
      <w:numFmt w:val="bullet"/>
      <w:lvlText w:val=""/>
      <w:lvlJc w:val="left"/>
      <w:pPr>
        <w:ind w:left="4560" w:hanging="360"/>
      </w:pPr>
      <w:rPr>
        <w:rFonts w:ascii="Symbol" w:hAnsi="Symbol" w:hint="default"/>
      </w:rPr>
    </w:lvl>
    <w:lvl w:ilvl="1" w:tplc="08090003">
      <w:start w:val="1"/>
      <w:numFmt w:val="bullet"/>
      <w:lvlText w:val="o"/>
      <w:lvlJc w:val="left"/>
      <w:pPr>
        <w:ind w:left="5280" w:hanging="360"/>
      </w:pPr>
      <w:rPr>
        <w:rFonts w:ascii="Courier New" w:hAnsi="Courier New" w:cs="Courier New" w:hint="default"/>
      </w:rPr>
    </w:lvl>
    <w:lvl w:ilvl="2" w:tplc="08090005" w:tentative="1">
      <w:start w:val="1"/>
      <w:numFmt w:val="bullet"/>
      <w:lvlText w:val=""/>
      <w:lvlJc w:val="left"/>
      <w:pPr>
        <w:ind w:left="6000" w:hanging="360"/>
      </w:pPr>
      <w:rPr>
        <w:rFonts w:ascii="Wingdings" w:hAnsi="Wingdings" w:hint="default"/>
      </w:rPr>
    </w:lvl>
    <w:lvl w:ilvl="3" w:tplc="08090001" w:tentative="1">
      <w:start w:val="1"/>
      <w:numFmt w:val="bullet"/>
      <w:lvlText w:val=""/>
      <w:lvlJc w:val="left"/>
      <w:pPr>
        <w:ind w:left="6720" w:hanging="360"/>
      </w:pPr>
      <w:rPr>
        <w:rFonts w:ascii="Symbol" w:hAnsi="Symbol" w:hint="default"/>
      </w:rPr>
    </w:lvl>
    <w:lvl w:ilvl="4" w:tplc="08090003" w:tentative="1">
      <w:start w:val="1"/>
      <w:numFmt w:val="bullet"/>
      <w:lvlText w:val="o"/>
      <w:lvlJc w:val="left"/>
      <w:pPr>
        <w:ind w:left="7440" w:hanging="360"/>
      </w:pPr>
      <w:rPr>
        <w:rFonts w:ascii="Courier New" w:hAnsi="Courier New" w:cs="Courier New" w:hint="default"/>
      </w:rPr>
    </w:lvl>
    <w:lvl w:ilvl="5" w:tplc="08090005" w:tentative="1">
      <w:start w:val="1"/>
      <w:numFmt w:val="bullet"/>
      <w:lvlText w:val=""/>
      <w:lvlJc w:val="left"/>
      <w:pPr>
        <w:ind w:left="8160" w:hanging="360"/>
      </w:pPr>
      <w:rPr>
        <w:rFonts w:ascii="Wingdings" w:hAnsi="Wingdings" w:hint="default"/>
      </w:rPr>
    </w:lvl>
    <w:lvl w:ilvl="6" w:tplc="08090001" w:tentative="1">
      <w:start w:val="1"/>
      <w:numFmt w:val="bullet"/>
      <w:lvlText w:val=""/>
      <w:lvlJc w:val="left"/>
      <w:pPr>
        <w:ind w:left="8880" w:hanging="360"/>
      </w:pPr>
      <w:rPr>
        <w:rFonts w:ascii="Symbol" w:hAnsi="Symbol" w:hint="default"/>
      </w:rPr>
    </w:lvl>
    <w:lvl w:ilvl="7" w:tplc="08090003" w:tentative="1">
      <w:start w:val="1"/>
      <w:numFmt w:val="bullet"/>
      <w:lvlText w:val="o"/>
      <w:lvlJc w:val="left"/>
      <w:pPr>
        <w:ind w:left="9600" w:hanging="360"/>
      </w:pPr>
      <w:rPr>
        <w:rFonts w:ascii="Courier New" w:hAnsi="Courier New" w:cs="Courier New" w:hint="default"/>
      </w:rPr>
    </w:lvl>
    <w:lvl w:ilvl="8" w:tplc="08090005" w:tentative="1">
      <w:start w:val="1"/>
      <w:numFmt w:val="bullet"/>
      <w:lvlText w:val=""/>
      <w:lvlJc w:val="left"/>
      <w:pPr>
        <w:ind w:left="10320" w:hanging="360"/>
      </w:pPr>
      <w:rPr>
        <w:rFonts w:ascii="Wingdings" w:hAnsi="Wingdings" w:hint="default"/>
      </w:rPr>
    </w:lvl>
  </w:abstractNum>
  <w:abstractNum w:abstractNumId="22">
    <w:nsid w:val="5D8D3F32"/>
    <w:multiLevelType w:val="hybridMultilevel"/>
    <w:tmpl w:val="4224ED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5EAF3AEC"/>
    <w:multiLevelType w:val="hybridMultilevel"/>
    <w:tmpl w:val="7DE07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E270D87"/>
    <w:multiLevelType w:val="hybridMultilevel"/>
    <w:tmpl w:val="34D416EA"/>
    <w:lvl w:ilvl="0" w:tplc="78C0F516">
      <w:start w:val="1"/>
      <w:numFmt w:val="bullet"/>
      <w:lvlText w:val="•"/>
      <w:lvlJc w:val="left"/>
      <w:pPr>
        <w:tabs>
          <w:tab w:val="num" w:pos="720"/>
        </w:tabs>
        <w:ind w:left="720" w:hanging="360"/>
      </w:pPr>
      <w:rPr>
        <w:rFonts w:ascii="Arial" w:hAnsi="Arial" w:hint="default"/>
      </w:rPr>
    </w:lvl>
    <w:lvl w:ilvl="1" w:tplc="FD8EEC92" w:tentative="1">
      <w:start w:val="1"/>
      <w:numFmt w:val="bullet"/>
      <w:lvlText w:val="•"/>
      <w:lvlJc w:val="left"/>
      <w:pPr>
        <w:tabs>
          <w:tab w:val="num" w:pos="1440"/>
        </w:tabs>
        <w:ind w:left="1440" w:hanging="360"/>
      </w:pPr>
      <w:rPr>
        <w:rFonts w:ascii="Arial" w:hAnsi="Arial" w:hint="default"/>
      </w:rPr>
    </w:lvl>
    <w:lvl w:ilvl="2" w:tplc="3C9A6B1E" w:tentative="1">
      <w:start w:val="1"/>
      <w:numFmt w:val="bullet"/>
      <w:lvlText w:val="•"/>
      <w:lvlJc w:val="left"/>
      <w:pPr>
        <w:tabs>
          <w:tab w:val="num" w:pos="2160"/>
        </w:tabs>
        <w:ind w:left="2160" w:hanging="360"/>
      </w:pPr>
      <w:rPr>
        <w:rFonts w:ascii="Arial" w:hAnsi="Arial" w:hint="default"/>
      </w:rPr>
    </w:lvl>
    <w:lvl w:ilvl="3" w:tplc="F3047F12" w:tentative="1">
      <w:start w:val="1"/>
      <w:numFmt w:val="bullet"/>
      <w:lvlText w:val="•"/>
      <w:lvlJc w:val="left"/>
      <w:pPr>
        <w:tabs>
          <w:tab w:val="num" w:pos="2880"/>
        </w:tabs>
        <w:ind w:left="2880" w:hanging="360"/>
      </w:pPr>
      <w:rPr>
        <w:rFonts w:ascii="Arial" w:hAnsi="Arial" w:hint="default"/>
      </w:rPr>
    </w:lvl>
    <w:lvl w:ilvl="4" w:tplc="3844D182" w:tentative="1">
      <w:start w:val="1"/>
      <w:numFmt w:val="bullet"/>
      <w:lvlText w:val="•"/>
      <w:lvlJc w:val="left"/>
      <w:pPr>
        <w:tabs>
          <w:tab w:val="num" w:pos="3600"/>
        </w:tabs>
        <w:ind w:left="3600" w:hanging="360"/>
      </w:pPr>
      <w:rPr>
        <w:rFonts w:ascii="Arial" w:hAnsi="Arial" w:hint="default"/>
      </w:rPr>
    </w:lvl>
    <w:lvl w:ilvl="5" w:tplc="28F0E250" w:tentative="1">
      <w:start w:val="1"/>
      <w:numFmt w:val="bullet"/>
      <w:lvlText w:val="•"/>
      <w:lvlJc w:val="left"/>
      <w:pPr>
        <w:tabs>
          <w:tab w:val="num" w:pos="4320"/>
        </w:tabs>
        <w:ind w:left="4320" w:hanging="360"/>
      </w:pPr>
      <w:rPr>
        <w:rFonts w:ascii="Arial" w:hAnsi="Arial" w:hint="default"/>
      </w:rPr>
    </w:lvl>
    <w:lvl w:ilvl="6" w:tplc="AC5E3658" w:tentative="1">
      <w:start w:val="1"/>
      <w:numFmt w:val="bullet"/>
      <w:lvlText w:val="•"/>
      <w:lvlJc w:val="left"/>
      <w:pPr>
        <w:tabs>
          <w:tab w:val="num" w:pos="5040"/>
        </w:tabs>
        <w:ind w:left="5040" w:hanging="360"/>
      </w:pPr>
      <w:rPr>
        <w:rFonts w:ascii="Arial" w:hAnsi="Arial" w:hint="default"/>
      </w:rPr>
    </w:lvl>
    <w:lvl w:ilvl="7" w:tplc="5CE05154" w:tentative="1">
      <w:start w:val="1"/>
      <w:numFmt w:val="bullet"/>
      <w:lvlText w:val="•"/>
      <w:lvlJc w:val="left"/>
      <w:pPr>
        <w:tabs>
          <w:tab w:val="num" w:pos="5760"/>
        </w:tabs>
        <w:ind w:left="5760" w:hanging="360"/>
      </w:pPr>
      <w:rPr>
        <w:rFonts w:ascii="Arial" w:hAnsi="Arial" w:hint="default"/>
      </w:rPr>
    </w:lvl>
    <w:lvl w:ilvl="8" w:tplc="6D98C95E" w:tentative="1">
      <w:start w:val="1"/>
      <w:numFmt w:val="bullet"/>
      <w:lvlText w:val="•"/>
      <w:lvlJc w:val="left"/>
      <w:pPr>
        <w:tabs>
          <w:tab w:val="num" w:pos="6480"/>
        </w:tabs>
        <w:ind w:left="6480" w:hanging="360"/>
      </w:pPr>
      <w:rPr>
        <w:rFonts w:ascii="Arial" w:hAnsi="Arial" w:hint="default"/>
      </w:rPr>
    </w:lvl>
  </w:abstractNum>
  <w:abstractNum w:abstractNumId="25">
    <w:nsid w:val="710632FF"/>
    <w:multiLevelType w:val="hybridMultilevel"/>
    <w:tmpl w:val="5128DD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5B56E33"/>
    <w:multiLevelType w:val="hybridMultilevel"/>
    <w:tmpl w:val="B6A428D8"/>
    <w:lvl w:ilvl="0" w:tplc="6F7448F0">
      <w:start w:val="1"/>
      <w:numFmt w:val="bullet"/>
      <w:lvlText w:val="•"/>
      <w:lvlJc w:val="left"/>
      <w:pPr>
        <w:tabs>
          <w:tab w:val="num" w:pos="720"/>
        </w:tabs>
        <w:ind w:left="720" w:hanging="360"/>
      </w:pPr>
      <w:rPr>
        <w:rFonts w:ascii="Arial" w:hAnsi="Arial" w:hint="default"/>
      </w:rPr>
    </w:lvl>
    <w:lvl w:ilvl="1" w:tplc="A5842478">
      <w:start w:val="6158"/>
      <w:numFmt w:val="bullet"/>
      <w:lvlText w:val="•"/>
      <w:lvlJc w:val="left"/>
      <w:pPr>
        <w:tabs>
          <w:tab w:val="num" w:pos="1440"/>
        </w:tabs>
        <w:ind w:left="1440" w:hanging="360"/>
      </w:pPr>
      <w:rPr>
        <w:rFonts w:ascii="Arial" w:hAnsi="Arial" w:hint="default"/>
      </w:rPr>
    </w:lvl>
    <w:lvl w:ilvl="2" w:tplc="6F266520">
      <w:start w:val="6158"/>
      <w:numFmt w:val="bullet"/>
      <w:lvlText w:val="•"/>
      <w:lvlJc w:val="left"/>
      <w:pPr>
        <w:tabs>
          <w:tab w:val="num" w:pos="2160"/>
        </w:tabs>
        <w:ind w:left="2160" w:hanging="360"/>
      </w:pPr>
      <w:rPr>
        <w:rFonts w:ascii="Arial" w:hAnsi="Arial" w:hint="default"/>
      </w:rPr>
    </w:lvl>
    <w:lvl w:ilvl="3" w:tplc="E51E5546" w:tentative="1">
      <w:start w:val="1"/>
      <w:numFmt w:val="bullet"/>
      <w:lvlText w:val="•"/>
      <w:lvlJc w:val="left"/>
      <w:pPr>
        <w:tabs>
          <w:tab w:val="num" w:pos="2880"/>
        </w:tabs>
        <w:ind w:left="2880" w:hanging="360"/>
      </w:pPr>
      <w:rPr>
        <w:rFonts w:ascii="Arial" w:hAnsi="Arial" w:hint="default"/>
      </w:rPr>
    </w:lvl>
    <w:lvl w:ilvl="4" w:tplc="F9664050" w:tentative="1">
      <w:start w:val="1"/>
      <w:numFmt w:val="bullet"/>
      <w:lvlText w:val="•"/>
      <w:lvlJc w:val="left"/>
      <w:pPr>
        <w:tabs>
          <w:tab w:val="num" w:pos="3600"/>
        </w:tabs>
        <w:ind w:left="3600" w:hanging="360"/>
      </w:pPr>
      <w:rPr>
        <w:rFonts w:ascii="Arial" w:hAnsi="Arial" w:hint="default"/>
      </w:rPr>
    </w:lvl>
    <w:lvl w:ilvl="5" w:tplc="C5909F10" w:tentative="1">
      <w:start w:val="1"/>
      <w:numFmt w:val="bullet"/>
      <w:lvlText w:val="•"/>
      <w:lvlJc w:val="left"/>
      <w:pPr>
        <w:tabs>
          <w:tab w:val="num" w:pos="4320"/>
        </w:tabs>
        <w:ind w:left="4320" w:hanging="360"/>
      </w:pPr>
      <w:rPr>
        <w:rFonts w:ascii="Arial" w:hAnsi="Arial" w:hint="default"/>
      </w:rPr>
    </w:lvl>
    <w:lvl w:ilvl="6" w:tplc="C0389FE8" w:tentative="1">
      <w:start w:val="1"/>
      <w:numFmt w:val="bullet"/>
      <w:lvlText w:val="•"/>
      <w:lvlJc w:val="left"/>
      <w:pPr>
        <w:tabs>
          <w:tab w:val="num" w:pos="5040"/>
        </w:tabs>
        <w:ind w:left="5040" w:hanging="360"/>
      </w:pPr>
      <w:rPr>
        <w:rFonts w:ascii="Arial" w:hAnsi="Arial" w:hint="default"/>
      </w:rPr>
    </w:lvl>
    <w:lvl w:ilvl="7" w:tplc="F91C2F5A" w:tentative="1">
      <w:start w:val="1"/>
      <w:numFmt w:val="bullet"/>
      <w:lvlText w:val="•"/>
      <w:lvlJc w:val="left"/>
      <w:pPr>
        <w:tabs>
          <w:tab w:val="num" w:pos="5760"/>
        </w:tabs>
        <w:ind w:left="5760" w:hanging="360"/>
      </w:pPr>
      <w:rPr>
        <w:rFonts w:ascii="Arial" w:hAnsi="Arial" w:hint="default"/>
      </w:rPr>
    </w:lvl>
    <w:lvl w:ilvl="8" w:tplc="DB72361E"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9"/>
  </w:num>
  <w:num w:numId="3">
    <w:abstractNumId w:val="3"/>
  </w:num>
  <w:num w:numId="4">
    <w:abstractNumId w:val="23"/>
  </w:num>
  <w:num w:numId="5">
    <w:abstractNumId w:val="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5"/>
  </w:num>
  <w:num w:numId="7">
    <w:abstractNumId w:val="22"/>
  </w:num>
  <w:num w:numId="8">
    <w:abstractNumId w:val="20"/>
  </w:num>
  <w:num w:numId="9">
    <w:abstractNumId w:val="24"/>
  </w:num>
  <w:num w:numId="10">
    <w:abstractNumId w:val="7"/>
  </w:num>
  <w:num w:numId="11">
    <w:abstractNumId w:val="18"/>
  </w:num>
  <w:num w:numId="12">
    <w:abstractNumId w:val="14"/>
  </w:num>
  <w:num w:numId="13">
    <w:abstractNumId w:val="11"/>
  </w:num>
  <w:num w:numId="14">
    <w:abstractNumId w:val="15"/>
  </w:num>
  <w:num w:numId="15">
    <w:abstractNumId w:val="10"/>
  </w:num>
  <w:num w:numId="16">
    <w:abstractNumId w:val="4"/>
  </w:num>
  <w:num w:numId="17">
    <w:abstractNumId w:val="0"/>
  </w:num>
  <w:num w:numId="18">
    <w:abstractNumId w:val="26"/>
  </w:num>
  <w:num w:numId="19">
    <w:abstractNumId w:val="19"/>
  </w:num>
  <w:num w:numId="20">
    <w:abstractNumId w:val="1"/>
  </w:num>
  <w:num w:numId="21">
    <w:abstractNumId w:val="13"/>
  </w:num>
  <w:num w:numId="22">
    <w:abstractNumId w:val="17"/>
  </w:num>
  <w:num w:numId="23">
    <w:abstractNumId w:val="16"/>
  </w:num>
  <w:num w:numId="24">
    <w:abstractNumId w:val="2"/>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1"/>
  </w:num>
  <w:num w:numId="47">
    <w:abstractNumId w:val="21"/>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iannis Latoudis">
    <w15:presenceInfo w15:providerId="Windows Live" w15:userId="d2652b3c93abad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hideSpellingErrors/>
  <w:hideGrammaticalErrors/>
  <w:revisionView w:markup="0"/>
  <w:doNotTrackFormatting/>
  <w:defaultTabStop w:val="720"/>
  <w:hyphenationZone w:val="425"/>
  <w:characterSpacingControl w:val="doNotCompress"/>
  <w:hdrShapeDefaults>
    <o:shapedefaults v:ext="edit" spidmax="2059"/>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CB9AC27EF3EE411D96F8535DCE58AAE4"/>
    <w:docVar w:name="LW_CROSSREFERENCE" w:val="&lt;UNUSED&gt;"/>
    <w:docVar w:name="LW_DocType" w:val="NORMAL"/>
    <w:docVar w:name="LW_EMISSION" w:val="28.6.2017"/>
    <w:docVar w:name="LW_EMISSION_ISODATE" w:val="2017-06-28"/>
    <w:docVar w:name="LW_EMISSION_LOCATION" w:val="BRX"/>
    <w:docVar w:name="LW_EMISSION_PREFIX" w:val="Brussels, "/>
    <w:docVar w:name="LW_EMISSION_SUFFIX" w:val=" "/>
    <w:docVar w:name="LW_ID_DOCTYPE_NONLW" w:val="CP-035"/>
    <w:docVar w:name="LW_LANGUE" w:val="EN"/>
    <w:docVar w:name="LW_MARKING" w:val="&lt;UNUSED&gt;"/>
    <w:docVar w:name="LW_NOM.INST" w:val="EUROPEAN COMMISSION"/>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358"/>
    <w:docVar w:name="LW_REF.INTERNE" w:val="&lt;UNUSED&gt;"/>
    <w:docVar w:name="LW_SOUS.TITRE.OBJ.CP" w:val="&lt;UNUSED&gt;"/>
    <w:docVar w:name="LW_SUPERTITRE" w:val="&lt;UNUSED&gt;"/>
    <w:docVar w:name="LW_TITRE.OBJ.CP" w:val="ON THE FUTURE OF EU FINANCES"/>
    <w:docVar w:name="LW_TYPE.DOC.CP" w:val="REFLECTION PAPER"/>
  </w:docVars>
  <w:rsids>
    <w:rsidRoot w:val="001D2777"/>
    <w:rsid w:val="001D2777"/>
    <w:rsid w:val="00767E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link w:val="Heading2Char"/>
    <w:uiPriority w:val="1"/>
    <w:qFormat/>
    <w:pPr>
      <w:widowControl w:val="0"/>
      <w:spacing w:before="46" w:after="0" w:line="240" w:lineRule="auto"/>
      <w:outlineLvl w:val="1"/>
    </w:pPr>
    <w:rPr>
      <w:rFonts w:asciiTheme="majorHAnsi" w:eastAsia="EC Square Sans Pro" w:hAnsiTheme="majorHAnsi" w:cs="Times New Roman"/>
      <w:b/>
      <w:bCs/>
      <w:color w:val="365F91" w:themeColor="accent1" w:themeShade="BF"/>
      <w:sz w:val="24"/>
      <w:szCs w:val="28"/>
      <w:lang w:eastAsia="en-GB"/>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pPr>
      <w:keepNext/>
      <w:keepLines/>
      <w:widowControl w:val="0"/>
      <w:spacing w:before="200" w:after="0" w:line="240" w:lineRule="auto"/>
      <w:outlineLvl w:val="4"/>
    </w:pPr>
    <w:rPr>
      <w:rFonts w:asciiTheme="majorHAnsi" w:eastAsiaTheme="majorEastAsia" w:hAnsiTheme="majorHAnsi" w:cstheme="majorBidi"/>
      <w:color w:val="243F60" w:themeColor="accent1" w:themeShade="7F"/>
      <w:sz w:val="20"/>
      <w:szCs w:val="20"/>
      <w:lang w:eastAsia="en-GB"/>
    </w:rPr>
  </w:style>
  <w:style w:type="paragraph" w:styleId="Heading6">
    <w:name w:val="heading 6"/>
    <w:basedOn w:val="Normal"/>
    <w:next w:val="Normal"/>
    <w:link w:val="Heading6Char"/>
    <w:semiHidden/>
    <w:unhideWhenUsed/>
    <w:qFormat/>
    <w:pPr>
      <w:keepNext/>
      <w:keepLines/>
      <w:widowControl w:val="0"/>
      <w:spacing w:before="200" w:after="0" w:line="240" w:lineRule="auto"/>
      <w:outlineLvl w:val="5"/>
    </w:pPr>
    <w:rPr>
      <w:rFonts w:asciiTheme="majorHAnsi" w:eastAsiaTheme="majorEastAsia" w:hAnsiTheme="majorHAnsi" w:cstheme="majorBidi"/>
      <w:i/>
      <w:iCs/>
      <w:color w:val="243F60" w:themeColor="accent1" w:themeShade="7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Revision">
    <w:name w:val="Revision"/>
    <w:hidden/>
    <w:uiPriority w:val="99"/>
    <w:semiHidden/>
    <w:pPr>
      <w:spacing w:after="0" w:line="240" w:lineRule="auto"/>
    </w:pPr>
  </w:style>
  <w:style w:type="paragraph" w:styleId="FootnoteText">
    <w:name w:val="footnote text"/>
    <w:basedOn w:val="Normal"/>
    <w:link w:val="FootnoteTextChar"/>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semiHidden/>
    <w:rPr>
      <w:vertAlign w:val="superscript"/>
    </w:rPr>
  </w:style>
  <w:style w:type="paragraph" w:customStyle="1" w:styleId="FooterCoverPage">
    <w:name w:val="Footer Cover Page"/>
    <w:basedOn w:val="Normal"/>
    <w:link w:val="FooterCoverPageChar"/>
    <w:pPr>
      <w:widowControl w:val="0"/>
      <w:tabs>
        <w:tab w:val="center" w:pos="4535"/>
        <w:tab w:val="right" w:pos="9071"/>
        <w:tab w:val="right" w:pos="9921"/>
      </w:tabs>
      <w:spacing w:before="360" w:after="0" w:line="240" w:lineRule="auto"/>
      <w:ind w:left="-850" w:right="-850"/>
      <w:outlineLvl w:val="1"/>
    </w:pPr>
    <w:rPr>
      <w:rFonts w:ascii="Times New Roman" w:eastAsia="EC Square Sans Pro" w:hAnsi="Times New Roman" w:cs="Times New Roman"/>
      <w:bCs/>
      <w:color w:val="164194"/>
      <w:sz w:val="24"/>
      <w:szCs w:val="28"/>
      <w:lang w:eastAsia="en-GB"/>
    </w:rPr>
  </w:style>
  <w:style w:type="character" w:customStyle="1" w:styleId="FooterCoverPageChar">
    <w:name w:val="Footer Cover Page Char"/>
    <w:basedOn w:val="DefaultParagraphFont"/>
    <w:link w:val="FooterCoverPage"/>
    <w:rPr>
      <w:rFonts w:ascii="Times New Roman" w:eastAsia="EC Square Sans Pro" w:hAnsi="Times New Roman" w:cs="Times New Roman"/>
      <w:bCs/>
      <w:color w:val="164194"/>
      <w:sz w:val="24"/>
      <w:szCs w:val="28"/>
      <w:lang w:eastAsia="en-GB"/>
    </w:rPr>
  </w:style>
  <w:style w:type="paragraph" w:customStyle="1" w:styleId="HeaderCoverPage">
    <w:name w:val="Header Cover Page"/>
    <w:basedOn w:val="Normal"/>
    <w:link w:val="HeaderCoverPageChar"/>
    <w:pPr>
      <w:widowControl w:val="0"/>
      <w:tabs>
        <w:tab w:val="center" w:pos="4535"/>
        <w:tab w:val="right" w:pos="9071"/>
      </w:tabs>
      <w:spacing w:after="120" w:line="240" w:lineRule="auto"/>
      <w:jc w:val="both"/>
      <w:outlineLvl w:val="1"/>
    </w:pPr>
    <w:rPr>
      <w:rFonts w:ascii="Times New Roman" w:eastAsia="EC Square Sans Pro" w:hAnsi="Times New Roman" w:cs="Times New Roman"/>
      <w:bCs/>
      <w:color w:val="164194"/>
      <w:sz w:val="24"/>
      <w:szCs w:val="28"/>
      <w:lang w:eastAsia="en-GB"/>
    </w:rPr>
  </w:style>
  <w:style w:type="character" w:customStyle="1" w:styleId="HeaderCoverPageChar">
    <w:name w:val="Header Cover Page Char"/>
    <w:basedOn w:val="DefaultParagraphFont"/>
    <w:link w:val="HeaderCoverPage"/>
    <w:rPr>
      <w:rFonts w:ascii="Times New Roman" w:eastAsia="EC Square Sans Pro" w:hAnsi="Times New Roman" w:cs="Times New Roman"/>
      <w:bCs/>
      <w:color w:val="164194"/>
      <w:sz w:val="24"/>
      <w:szCs w:val="28"/>
      <w:lang w:eastAsia="en-GB"/>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1"/>
    <w:rPr>
      <w:rFonts w:asciiTheme="majorHAnsi" w:eastAsia="EC Square Sans Pro" w:hAnsiTheme="majorHAnsi" w:cs="Times New Roman"/>
      <w:b/>
      <w:bCs/>
      <w:color w:val="365F91" w:themeColor="accent1" w:themeShade="BF"/>
      <w:sz w:val="24"/>
      <w:szCs w:val="28"/>
      <w:lang w:eastAsia="en-GB"/>
    </w:rPr>
  </w:style>
  <w:style w:type="character" w:customStyle="1" w:styleId="Heading5Char">
    <w:name w:val="Heading 5 Char"/>
    <w:basedOn w:val="DefaultParagraphFont"/>
    <w:link w:val="Heading5"/>
    <w:semiHidden/>
    <w:rPr>
      <w:rFonts w:asciiTheme="majorHAnsi" w:eastAsiaTheme="majorEastAsia" w:hAnsiTheme="majorHAnsi" w:cstheme="majorBidi"/>
      <w:color w:val="243F60" w:themeColor="accent1" w:themeShade="7F"/>
      <w:sz w:val="20"/>
      <w:szCs w:val="20"/>
      <w:lang w:eastAsia="en-GB"/>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243F60" w:themeColor="accent1" w:themeShade="7F"/>
      <w:sz w:val="20"/>
      <w:szCs w:val="20"/>
      <w:lang w:eastAsia="en-GB"/>
    </w:rPr>
  </w:style>
  <w:style w:type="numbering" w:customStyle="1" w:styleId="NoList1">
    <w:name w:val="No List1"/>
    <w:next w:val="NoList"/>
    <w:uiPriority w:val="99"/>
    <w:semiHidden/>
    <w:unhideWhenUsed/>
  </w:style>
  <w:style w:type="paragraph" w:customStyle="1" w:styleId="LTTTitlered">
    <w:name w:val="LTT Title red"/>
    <w:basedOn w:val="Normal"/>
    <w:qFormat/>
    <w:pPr>
      <w:widowControl w:val="0"/>
      <w:pBdr>
        <w:bottom w:val="single" w:sz="6" w:space="1" w:color="auto"/>
      </w:pBdr>
      <w:spacing w:after="0" w:line="240" w:lineRule="auto"/>
    </w:pPr>
    <w:rPr>
      <w:rFonts w:ascii="Calibri" w:eastAsia="Times New Roman" w:hAnsi="Calibri" w:cs="Calibri"/>
      <w:b/>
      <w:color w:val="FF0000"/>
      <w:sz w:val="32"/>
      <w:szCs w:val="32"/>
      <w:lang w:eastAsia="en-GB"/>
    </w:rPr>
  </w:style>
  <w:style w:type="paragraph" w:customStyle="1" w:styleId="LTTBody1">
    <w:name w:val="LTT Body 1"/>
    <w:basedOn w:val="Normal"/>
    <w:qFormat/>
    <w:pPr>
      <w:widowControl w:val="0"/>
      <w:numPr>
        <w:numId w:val="1"/>
      </w:numPr>
      <w:spacing w:after="0" w:line="240" w:lineRule="auto"/>
    </w:pPr>
    <w:rPr>
      <w:rFonts w:ascii="Calibri" w:eastAsia="Times New Roman" w:hAnsi="Calibri" w:cs="Calibri"/>
      <w:sz w:val="28"/>
      <w:szCs w:val="28"/>
      <w:lang w:eastAsia="en-GB"/>
    </w:rPr>
  </w:style>
  <w:style w:type="paragraph" w:customStyle="1" w:styleId="LTTTitle1">
    <w:name w:val="LTT Title 1"/>
    <w:basedOn w:val="Normal"/>
    <w:qFormat/>
    <w:pPr>
      <w:widowControl w:val="0"/>
      <w:pBdr>
        <w:bottom w:val="single" w:sz="6" w:space="1" w:color="auto"/>
      </w:pBdr>
      <w:spacing w:after="0" w:line="240" w:lineRule="auto"/>
    </w:pPr>
    <w:rPr>
      <w:rFonts w:ascii="Calibri" w:eastAsia="Times New Roman" w:hAnsi="Calibri" w:cs="Calibri"/>
      <w:b/>
      <w:sz w:val="28"/>
      <w:szCs w:val="28"/>
      <w:lang w:eastAsia="en-GB"/>
    </w:rPr>
  </w:style>
  <w:style w:type="paragraph" w:customStyle="1" w:styleId="LTTTitle2">
    <w:name w:val="LTT Title 2"/>
    <w:basedOn w:val="Normal"/>
    <w:qFormat/>
    <w:pPr>
      <w:widowControl w:val="0"/>
      <w:pBdr>
        <w:bottom w:val="single" w:sz="6" w:space="1" w:color="auto"/>
      </w:pBdr>
      <w:spacing w:after="0" w:line="240" w:lineRule="auto"/>
    </w:pPr>
    <w:rPr>
      <w:rFonts w:ascii="Calibri" w:eastAsia="Times New Roman" w:hAnsi="Calibri" w:cs="Calibri"/>
      <w:b/>
      <w:sz w:val="20"/>
      <w:szCs w:val="20"/>
      <w:lang w:eastAsia="en-GB"/>
    </w:rPr>
  </w:style>
  <w:style w:type="paragraph" w:customStyle="1" w:styleId="LTTbody2">
    <w:name w:val="LTT body 2"/>
    <w:basedOn w:val="Normal"/>
    <w:qFormat/>
    <w:pPr>
      <w:widowControl w:val="0"/>
      <w:numPr>
        <w:numId w:val="2"/>
      </w:numPr>
      <w:spacing w:after="0" w:line="240" w:lineRule="auto"/>
    </w:pPr>
    <w:rPr>
      <w:rFonts w:ascii="Calibri" w:eastAsia="Times New Roman" w:hAnsi="Calibri" w:cs="Calibri"/>
      <w:sz w:val="20"/>
      <w:szCs w:val="20"/>
      <w:lang w:eastAsia="en-GB"/>
    </w:rPr>
  </w:style>
  <w:style w:type="paragraph" w:customStyle="1" w:styleId="LTTSPPcontacts">
    <w:name w:val="LTT SPP contacts"/>
    <w:basedOn w:val="Normal"/>
    <w:qFormat/>
    <w:pPr>
      <w:widowControl w:val="0"/>
      <w:spacing w:after="0" w:line="240" w:lineRule="auto"/>
    </w:pPr>
    <w:rPr>
      <w:rFonts w:ascii="Calibri" w:eastAsia="Times New Roman" w:hAnsi="Calibri" w:cs="Calibri"/>
      <w:sz w:val="20"/>
      <w:szCs w:val="20"/>
      <w:lang w:eastAsia="en-GB"/>
    </w:rPr>
  </w:style>
  <w:style w:type="paragraph" w:styleId="BodyText">
    <w:name w:val="Body Text"/>
    <w:basedOn w:val="Normal"/>
    <w:link w:val="BodyTextChar"/>
    <w:uiPriority w:val="1"/>
    <w:qFormat/>
    <w:pPr>
      <w:widowControl w:val="0"/>
      <w:spacing w:after="0" w:line="240" w:lineRule="auto"/>
      <w:ind w:left="137"/>
    </w:pPr>
    <w:rPr>
      <w:rFonts w:ascii="Garamond" w:eastAsia="Garamond" w:hAnsi="Garamond" w:cs="Times New Roman"/>
      <w:sz w:val="20"/>
      <w:szCs w:val="20"/>
      <w:lang w:eastAsia="en-GB"/>
    </w:rPr>
  </w:style>
  <w:style w:type="character" w:customStyle="1" w:styleId="BodyTextChar">
    <w:name w:val="Body Text Char"/>
    <w:basedOn w:val="DefaultParagraphFont"/>
    <w:link w:val="BodyText"/>
    <w:uiPriority w:val="1"/>
    <w:rPr>
      <w:rFonts w:ascii="Garamond" w:eastAsia="Garamond" w:hAnsi="Garamond" w:cs="Times New Roman"/>
      <w:sz w:val="20"/>
      <w:szCs w:val="20"/>
      <w:lang w:eastAsia="en-GB"/>
    </w:rPr>
  </w:style>
  <w:style w:type="paragraph" w:customStyle="1" w:styleId="TableParagraph">
    <w:name w:val="Table Paragraph"/>
    <w:basedOn w:val="Normal"/>
    <w:uiPriority w:val="1"/>
    <w:qFormat/>
    <w:pPr>
      <w:widowControl w:val="0"/>
      <w:spacing w:after="0" w:line="240" w:lineRule="auto"/>
    </w:pPr>
    <w:rPr>
      <w:rFonts w:ascii="Times New Roman" w:eastAsia="Times New Roman" w:hAnsi="Times New Roman" w:cs="Times New Roman"/>
      <w:sz w:val="20"/>
      <w:szCs w:val="20"/>
      <w:lang w:eastAsia="en-GB"/>
    </w:rPr>
  </w:style>
  <w:style w:type="paragraph" w:customStyle="1" w:styleId="Tiret1">
    <w:name w:val="Tiret 1"/>
    <w:basedOn w:val="Normal"/>
    <w:pPr>
      <w:numPr>
        <w:numId w:val="3"/>
      </w:numPr>
      <w:spacing w:after="40" w:line="240" w:lineRule="auto"/>
      <w:ind w:right="57"/>
      <w:jc w:val="both"/>
    </w:pPr>
    <w:rPr>
      <w:rFonts w:ascii="Verdana" w:eastAsia="Times New Roman" w:hAnsi="Verdana" w:cs="Times New Roman"/>
      <w:spacing w:val="-2"/>
      <w:sz w:val="20"/>
      <w:szCs w:val="20"/>
      <w:lang w:eastAsia="en-GB"/>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imes New Roman" w:hAnsi="Times New Roman" w:cs="Times New Roman"/>
      <w:sz w:val="24"/>
      <w:szCs w:val="20"/>
      <w:lang w:eastAsia="en-GB"/>
    </w:rPr>
  </w:style>
  <w:style w:type="paragraph" w:customStyle="1" w:styleId="Langue">
    <w:name w:val="Langue"/>
    <w:basedOn w:val="Normal"/>
    <w:next w:val="Normal"/>
    <w:pPr>
      <w:framePr w:wrap="around" w:vAnchor="page" w:hAnchor="text" w:xAlign="center" w:y="14741"/>
      <w:spacing w:after="600" w:line="240" w:lineRule="auto"/>
      <w:jc w:val="center"/>
    </w:pPr>
    <w:rPr>
      <w:rFonts w:ascii="Times New Roman" w:eastAsia="Times New Roman" w:hAnsi="Times New Roman" w:cs="Times New Roman"/>
      <w:b/>
      <w:caps/>
      <w:sz w:val="24"/>
      <w:szCs w:val="20"/>
      <w:lang w:eastAsia="en-GB"/>
    </w:rPr>
  </w:style>
  <w:style w:type="paragraph" w:customStyle="1" w:styleId="Nomdelinstitution">
    <w:name w:val="Nom de l'institution"/>
    <w:basedOn w:val="Normal"/>
    <w:next w:val="Normal"/>
    <w:pPr>
      <w:spacing w:after="0" w:line="240" w:lineRule="auto"/>
    </w:pPr>
    <w:rPr>
      <w:rFonts w:ascii="Arial" w:eastAsia="Times New Roman" w:hAnsi="Arial" w:cs="Arial"/>
      <w:sz w:val="24"/>
      <w:szCs w:val="20"/>
      <w:lang w:eastAsia="en-GB"/>
    </w:rPr>
  </w:style>
  <w:style w:type="paragraph" w:customStyle="1" w:styleId="Emission">
    <w:name w:val="Emission"/>
    <w:basedOn w:val="Normal"/>
    <w:next w:val="Normal"/>
    <w:pPr>
      <w:spacing w:after="0" w:line="240" w:lineRule="auto"/>
      <w:ind w:left="5103"/>
    </w:pPr>
    <w:rPr>
      <w:rFonts w:ascii="Times New Roman" w:eastAsia="Times New Roman" w:hAnsi="Times New Roman" w:cs="Times New Roman"/>
      <w:sz w:val="24"/>
      <w:szCs w:val="20"/>
      <w:lang w:eastAsia="en-GB"/>
    </w:rPr>
  </w:style>
  <w:style w:type="character" w:customStyle="1" w:styleId="Marker2">
    <w:name w:val="Marker2"/>
    <w:basedOn w:val="DefaultParagraphFont"/>
    <w:rPr>
      <w:color w:val="FF0000"/>
      <w:shd w:val="clear" w:color="auto" w:fill="auto"/>
    </w:rPr>
  </w:style>
  <w:style w:type="paragraph" w:customStyle="1" w:styleId="Rfrenceinstitutionnelle">
    <w:name w:val="Référence institutionnelle"/>
    <w:basedOn w:val="Normal"/>
    <w:next w:val="Normal"/>
    <w:pPr>
      <w:spacing w:after="240" w:line="240" w:lineRule="auto"/>
      <w:ind w:left="5103"/>
    </w:pPr>
    <w:rPr>
      <w:rFonts w:ascii="Times New Roman" w:eastAsia="Times New Roman" w:hAnsi="Times New Roman" w:cs="Times New Roman"/>
      <w:sz w:val="24"/>
      <w:szCs w:val="20"/>
      <w:lang w:eastAsia="en-GB"/>
    </w:rPr>
  </w:style>
  <w:style w:type="paragraph" w:customStyle="1" w:styleId="Confidentialit">
    <w:name w:val="Confidentialité"/>
    <w:basedOn w:val="Normal"/>
    <w:next w:val="Normal"/>
    <w:pPr>
      <w:spacing w:before="240" w:after="240" w:line="240" w:lineRule="auto"/>
      <w:ind w:left="5103"/>
    </w:pPr>
    <w:rPr>
      <w:rFonts w:ascii="Times New Roman" w:eastAsia="Times New Roman" w:hAnsi="Times New Roman" w:cs="Times New Roman"/>
      <w:i/>
      <w:sz w:val="32"/>
      <w:szCs w:val="20"/>
      <w:lang w:eastAsia="en-GB"/>
    </w:rPr>
  </w:style>
  <w:style w:type="paragraph" w:customStyle="1" w:styleId="TypedudocumentPagedecouverture">
    <w:name w:val="Type du document (Page de couverture)"/>
    <w:basedOn w:val="Normal"/>
    <w:next w:val="Normal"/>
    <w:pPr>
      <w:spacing w:before="360" w:after="0" w:line="240" w:lineRule="auto"/>
      <w:jc w:val="center"/>
    </w:pPr>
    <w:rPr>
      <w:rFonts w:ascii="Times New Roman" w:eastAsia="Times New Roman" w:hAnsi="Times New Roman" w:cs="Times New Roman"/>
      <w:b/>
      <w:sz w:val="24"/>
      <w:szCs w:val="20"/>
      <w:lang w:eastAsia="en-GB"/>
    </w:rPr>
  </w:style>
  <w:style w:type="paragraph" w:customStyle="1" w:styleId="TitreobjetPagedecouverture">
    <w:name w:val="Titre objet (Page de couverture)"/>
    <w:basedOn w:val="Normal"/>
    <w:next w:val="Normal"/>
    <w:pPr>
      <w:spacing w:before="360" w:after="360" w:line="240" w:lineRule="auto"/>
      <w:jc w:val="center"/>
    </w:pPr>
    <w:rPr>
      <w:rFonts w:ascii="Times New Roman" w:eastAsia="Times New Roman" w:hAnsi="Times New Roman" w:cs="Times New Roman"/>
      <w:b/>
      <w:sz w:val="24"/>
      <w:szCs w:val="20"/>
      <w:lang w:eastAsia="en-GB"/>
    </w:rPr>
  </w:style>
  <w:style w:type="paragraph" w:styleId="NormalWeb">
    <w:name w:val="Normal (Web)"/>
    <w:basedOn w:val="Normal"/>
    <w:uiPriority w:val="99"/>
    <w:semiHidden/>
    <w:unhideWhenUsed/>
    <w:rPr>
      <w:rFonts w:ascii="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Continue5">
    <w:name w:val="List Continue 5"/>
    <w:basedOn w:val="Normal"/>
    <w:uiPriority w:val="99"/>
    <w:semiHidden/>
    <w:unhideWhenUsed/>
    <w:pPr>
      <w:numPr>
        <w:numId w:val="5"/>
      </w:numPr>
      <w:spacing w:after="120" w:line="240" w:lineRule="auto"/>
      <w:jc w:val="both"/>
    </w:pPr>
    <w:rPr>
      <w:rFonts w:ascii="Times New Roman" w:eastAsia="Times New Roman" w:hAnsi="Times New Roman" w:cs="Times New Roman"/>
      <w:sz w:val="24"/>
      <w:szCs w:val="24"/>
    </w:rPr>
  </w:style>
  <w:style w:type="paragraph" w:customStyle="1" w:styleId="ListNumber1">
    <w:name w:val="List Number 1"/>
    <w:basedOn w:val="Normal"/>
    <w:pPr>
      <w:numPr>
        <w:ilvl w:val="1"/>
        <w:numId w:val="5"/>
      </w:numPr>
      <w:spacing w:after="240" w:line="240" w:lineRule="auto"/>
      <w:jc w:val="both"/>
    </w:pPr>
    <w:rPr>
      <w:rFonts w:ascii="Times New Roman" w:eastAsia="Times New Roman" w:hAnsi="Times New Roman" w:cs="Times New Roman"/>
      <w:sz w:val="24"/>
      <w:szCs w:val="24"/>
    </w:rPr>
  </w:style>
  <w:style w:type="paragraph" w:customStyle="1" w:styleId="ListNumber1Level2">
    <w:name w:val="List Number 1 (Level 2)"/>
    <w:basedOn w:val="Normal"/>
    <w:pPr>
      <w:numPr>
        <w:ilvl w:val="2"/>
        <w:numId w:val="5"/>
      </w:numPr>
      <w:spacing w:after="240" w:line="240" w:lineRule="auto"/>
      <w:jc w:val="both"/>
    </w:pPr>
    <w:rPr>
      <w:rFonts w:ascii="Times New Roman" w:eastAsia="Times New Roman" w:hAnsi="Times New Roman" w:cs="Times New Roman"/>
      <w:sz w:val="24"/>
      <w:szCs w:val="24"/>
    </w:rPr>
  </w:style>
  <w:style w:type="paragraph" w:customStyle="1" w:styleId="ListNumber1Level3">
    <w:name w:val="List Number 1 (Level 3)"/>
    <w:basedOn w:val="Normal"/>
    <w:pPr>
      <w:numPr>
        <w:ilvl w:val="3"/>
        <w:numId w:val="5"/>
      </w:numPr>
      <w:spacing w:after="240" w:line="240" w:lineRule="auto"/>
      <w:jc w:val="both"/>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paragraph" w:styleId="PlainText">
    <w:name w:val="Plain Text"/>
    <w:basedOn w:val="Normal"/>
    <w:link w:val="PlainTextChar"/>
    <w:uiPriority w:val="99"/>
    <w:unhideWhenUsed/>
    <w:pPr>
      <w:spacing w:after="0" w:line="240" w:lineRule="auto"/>
    </w:pPr>
    <w:rPr>
      <w:rFonts w:ascii="Tahoma" w:hAnsi="Tahoma" w:cs="Tahoma"/>
      <w:color w:val="17365D"/>
      <w:sz w:val="20"/>
      <w:szCs w:val="20"/>
    </w:rPr>
  </w:style>
  <w:style w:type="character" w:customStyle="1" w:styleId="PlainTextChar">
    <w:name w:val="Plain Text Char"/>
    <w:basedOn w:val="DefaultParagraphFont"/>
    <w:link w:val="PlainText"/>
    <w:uiPriority w:val="99"/>
    <w:rPr>
      <w:rFonts w:ascii="Tahoma" w:hAnsi="Tahoma" w:cs="Tahoma"/>
      <w:color w:val="17365D"/>
      <w:sz w:val="20"/>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yiv5137631650msonormal">
    <w:name w:val="yiv5137631650msonormal"/>
    <w:basedOn w:val="Normal"/>
    <w:pPr>
      <w:spacing w:before="100" w:beforeAutospacing="1" w:after="100" w:afterAutospacing="1" w:line="240" w:lineRule="auto"/>
    </w:pPr>
    <w:rPr>
      <w:rFonts w:ascii="Times New Roman" w:eastAsia="Times New Roman" w:hAnsi="Times New Roman" w:cs="Times New Roman"/>
      <w:sz w:val="24"/>
      <w:szCs w:val="24"/>
      <w:lang w:val="et-EE" w:eastAsia="et-E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customStyle="1" w:styleId="Text2">
    <w:name w:val="Text 2"/>
    <w:basedOn w:val="Normal"/>
    <w:pPr>
      <w:tabs>
        <w:tab w:val="left" w:pos="2160"/>
      </w:tabs>
      <w:spacing w:after="240" w:line="240" w:lineRule="auto"/>
      <w:ind w:left="1077"/>
      <w:jc w:val="both"/>
    </w:pPr>
    <w:rPr>
      <w:rFonts w:ascii="Times New Roman" w:eastAsia="Times New Roman" w:hAnsi="Times New Roman" w:cs="Times New Roman"/>
      <w:sz w:val="24"/>
      <w:szCs w:val="20"/>
    </w:rPr>
  </w:style>
  <w:style w:type="character" w:customStyle="1" w:styleId="st1">
    <w:name w:val="st1"/>
    <w:basedOn w:val="DefaultParagraphFont"/>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IntenseEmphasis">
    <w:name w:val="Intense Emphasis"/>
    <w:basedOn w:val="DefaultParagraphFont"/>
    <w:uiPriority w:val="21"/>
    <w:qFormat/>
    <w:rPr>
      <w:b/>
      <w:bCs/>
      <w:i/>
      <w:iCs/>
      <w:color w:val="4F81BD" w:themeColor="accent1"/>
    </w:rPr>
  </w:style>
  <w:style w:type="character" w:customStyle="1" w:styleId="A7">
    <w:name w:val="A7"/>
    <w:uiPriority w:val="99"/>
    <w:rPr>
      <w:rFonts w:cs="EC Square Sans Pro"/>
      <w:i/>
      <w:iCs/>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eastAsia="en-GB"/>
    </w:rPr>
  </w:style>
  <w:style w:type="paragraph" w:styleId="Heading2">
    <w:name w:val="heading 2"/>
    <w:basedOn w:val="Normal"/>
    <w:link w:val="Heading2Char"/>
    <w:uiPriority w:val="1"/>
    <w:qFormat/>
    <w:pPr>
      <w:widowControl w:val="0"/>
      <w:spacing w:before="46" w:after="0" w:line="240" w:lineRule="auto"/>
      <w:outlineLvl w:val="1"/>
    </w:pPr>
    <w:rPr>
      <w:rFonts w:asciiTheme="majorHAnsi" w:eastAsia="EC Square Sans Pro" w:hAnsiTheme="majorHAnsi" w:cs="Times New Roman"/>
      <w:b/>
      <w:bCs/>
      <w:color w:val="365F91" w:themeColor="accent1" w:themeShade="BF"/>
      <w:sz w:val="24"/>
      <w:szCs w:val="28"/>
      <w:lang w:eastAsia="en-GB"/>
    </w:rPr>
  </w:style>
  <w:style w:type="paragraph" w:styleId="Heading3">
    <w:name w:val="heading 3"/>
    <w:basedOn w:val="Normal"/>
    <w:next w:val="Normal"/>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semiHidden/>
    <w:unhideWhenUsed/>
    <w:qFormat/>
    <w:pPr>
      <w:keepNext/>
      <w:keepLines/>
      <w:widowControl w:val="0"/>
      <w:spacing w:before="200" w:after="0" w:line="240" w:lineRule="auto"/>
      <w:outlineLvl w:val="4"/>
    </w:pPr>
    <w:rPr>
      <w:rFonts w:asciiTheme="majorHAnsi" w:eastAsiaTheme="majorEastAsia" w:hAnsiTheme="majorHAnsi" w:cstheme="majorBidi"/>
      <w:color w:val="243F60" w:themeColor="accent1" w:themeShade="7F"/>
      <w:sz w:val="20"/>
      <w:szCs w:val="20"/>
      <w:lang w:eastAsia="en-GB"/>
    </w:rPr>
  </w:style>
  <w:style w:type="paragraph" w:styleId="Heading6">
    <w:name w:val="heading 6"/>
    <w:basedOn w:val="Normal"/>
    <w:next w:val="Normal"/>
    <w:link w:val="Heading6Char"/>
    <w:semiHidden/>
    <w:unhideWhenUsed/>
    <w:qFormat/>
    <w:pPr>
      <w:keepNext/>
      <w:keepLines/>
      <w:widowControl w:val="0"/>
      <w:spacing w:before="200" w:after="0" w:line="240" w:lineRule="auto"/>
      <w:outlineLvl w:val="5"/>
    </w:pPr>
    <w:rPr>
      <w:rFonts w:asciiTheme="majorHAnsi" w:eastAsiaTheme="majorEastAsia" w:hAnsiTheme="majorHAnsi" w:cstheme="majorBidi"/>
      <w:i/>
      <w:iCs/>
      <w:color w:val="243F60" w:themeColor="accent1" w:themeShade="7F"/>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basedOn w:val="DefaultParagraphFont"/>
    <w:link w:val="Heade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Revision">
    <w:name w:val="Revision"/>
    <w:hidden/>
    <w:uiPriority w:val="99"/>
    <w:semiHidden/>
    <w:pPr>
      <w:spacing w:after="0" w:line="240" w:lineRule="auto"/>
    </w:pPr>
  </w:style>
  <w:style w:type="paragraph" w:styleId="FootnoteText">
    <w:name w:val="footnote text"/>
    <w:basedOn w:val="Normal"/>
    <w:link w:val="FootnoteTextChar"/>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semiHidden/>
    <w:rPr>
      <w:vertAlign w:val="superscript"/>
    </w:rPr>
  </w:style>
  <w:style w:type="paragraph" w:customStyle="1" w:styleId="FooterCoverPage">
    <w:name w:val="Footer Cover Page"/>
    <w:basedOn w:val="Normal"/>
    <w:link w:val="FooterCoverPageChar"/>
    <w:pPr>
      <w:widowControl w:val="0"/>
      <w:tabs>
        <w:tab w:val="center" w:pos="4535"/>
        <w:tab w:val="right" w:pos="9071"/>
        <w:tab w:val="right" w:pos="9921"/>
      </w:tabs>
      <w:spacing w:before="360" w:after="0" w:line="240" w:lineRule="auto"/>
      <w:ind w:left="-850" w:right="-850"/>
      <w:outlineLvl w:val="1"/>
    </w:pPr>
    <w:rPr>
      <w:rFonts w:ascii="Times New Roman" w:eastAsia="EC Square Sans Pro" w:hAnsi="Times New Roman" w:cs="Times New Roman"/>
      <w:bCs/>
      <w:color w:val="164194"/>
      <w:sz w:val="24"/>
      <w:szCs w:val="28"/>
      <w:lang w:eastAsia="en-GB"/>
    </w:rPr>
  </w:style>
  <w:style w:type="character" w:customStyle="1" w:styleId="FooterCoverPageChar">
    <w:name w:val="Footer Cover Page Char"/>
    <w:basedOn w:val="DefaultParagraphFont"/>
    <w:link w:val="FooterCoverPage"/>
    <w:rPr>
      <w:rFonts w:ascii="Times New Roman" w:eastAsia="EC Square Sans Pro" w:hAnsi="Times New Roman" w:cs="Times New Roman"/>
      <w:bCs/>
      <w:color w:val="164194"/>
      <w:sz w:val="24"/>
      <w:szCs w:val="28"/>
      <w:lang w:eastAsia="en-GB"/>
    </w:rPr>
  </w:style>
  <w:style w:type="paragraph" w:customStyle="1" w:styleId="HeaderCoverPage">
    <w:name w:val="Header Cover Page"/>
    <w:basedOn w:val="Normal"/>
    <w:link w:val="HeaderCoverPageChar"/>
    <w:pPr>
      <w:widowControl w:val="0"/>
      <w:tabs>
        <w:tab w:val="center" w:pos="4535"/>
        <w:tab w:val="right" w:pos="9071"/>
      </w:tabs>
      <w:spacing w:after="120" w:line="240" w:lineRule="auto"/>
      <w:jc w:val="both"/>
      <w:outlineLvl w:val="1"/>
    </w:pPr>
    <w:rPr>
      <w:rFonts w:ascii="Times New Roman" w:eastAsia="EC Square Sans Pro" w:hAnsi="Times New Roman" w:cs="Times New Roman"/>
      <w:bCs/>
      <w:color w:val="164194"/>
      <w:sz w:val="24"/>
      <w:szCs w:val="28"/>
      <w:lang w:eastAsia="en-GB"/>
    </w:rPr>
  </w:style>
  <w:style w:type="character" w:customStyle="1" w:styleId="HeaderCoverPageChar">
    <w:name w:val="Header Cover Page Char"/>
    <w:basedOn w:val="DefaultParagraphFont"/>
    <w:link w:val="HeaderCoverPage"/>
    <w:rPr>
      <w:rFonts w:ascii="Times New Roman" w:eastAsia="EC Square Sans Pro" w:hAnsi="Times New Roman" w:cs="Times New Roman"/>
      <w:bCs/>
      <w:color w:val="164194"/>
      <w:sz w:val="24"/>
      <w:szCs w:val="28"/>
      <w:lang w:eastAsia="en-GB"/>
    </w:rPr>
  </w:style>
  <w:style w:type="character" w:customStyle="1" w:styleId="Heading1Char">
    <w:name w:val="Heading 1 Char"/>
    <w:basedOn w:val="DefaultParagraphFont"/>
    <w:link w:val="Heading1"/>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1"/>
    <w:rPr>
      <w:rFonts w:asciiTheme="majorHAnsi" w:eastAsia="EC Square Sans Pro" w:hAnsiTheme="majorHAnsi" w:cs="Times New Roman"/>
      <w:b/>
      <w:bCs/>
      <w:color w:val="365F91" w:themeColor="accent1" w:themeShade="BF"/>
      <w:sz w:val="24"/>
      <w:szCs w:val="28"/>
      <w:lang w:eastAsia="en-GB"/>
    </w:rPr>
  </w:style>
  <w:style w:type="character" w:customStyle="1" w:styleId="Heading5Char">
    <w:name w:val="Heading 5 Char"/>
    <w:basedOn w:val="DefaultParagraphFont"/>
    <w:link w:val="Heading5"/>
    <w:semiHidden/>
    <w:rPr>
      <w:rFonts w:asciiTheme="majorHAnsi" w:eastAsiaTheme="majorEastAsia" w:hAnsiTheme="majorHAnsi" w:cstheme="majorBidi"/>
      <w:color w:val="243F60" w:themeColor="accent1" w:themeShade="7F"/>
      <w:sz w:val="20"/>
      <w:szCs w:val="20"/>
      <w:lang w:eastAsia="en-GB"/>
    </w:rPr>
  </w:style>
  <w:style w:type="character" w:customStyle="1" w:styleId="Heading6Char">
    <w:name w:val="Heading 6 Char"/>
    <w:basedOn w:val="DefaultParagraphFont"/>
    <w:link w:val="Heading6"/>
    <w:semiHidden/>
    <w:rPr>
      <w:rFonts w:asciiTheme="majorHAnsi" w:eastAsiaTheme="majorEastAsia" w:hAnsiTheme="majorHAnsi" w:cstheme="majorBidi"/>
      <w:i/>
      <w:iCs/>
      <w:color w:val="243F60" w:themeColor="accent1" w:themeShade="7F"/>
      <w:sz w:val="20"/>
      <w:szCs w:val="20"/>
      <w:lang w:eastAsia="en-GB"/>
    </w:rPr>
  </w:style>
  <w:style w:type="numbering" w:customStyle="1" w:styleId="NoList1">
    <w:name w:val="No List1"/>
    <w:next w:val="NoList"/>
    <w:uiPriority w:val="99"/>
    <w:semiHidden/>
    <w:unhideWhenUsed/>
  </w:style>
  <w:style w:type="paragraph" w:customStyle="1" w:styleId="LTTTitlered">
    <w:name w:val="LTT Title red"/>
    <w:basedOn w:val="Normal"/>
    <w:qFormat/>
    <w:pPr>
      <w:widowControl w:val="0"/>
      <w:pBdr>
        <w:bottom w:val="single" w:sz="6" w:space="1" w:color="auto"/>
      </w:pBdr>
      <w:spacing w:after="0" w:line="240" w:lineRule="auto"/>
    </w:pPr>
    <w:rPr>
      <w:rFonts w:ascii="Calibri" w:eastAsia="Times New Roman" w:hAnsi="Calibri" w:cs="Calibri"/>
      <w:b/>
      <w:color w:val="FF0000"/>
      <w:sz w:val="32"/>
      <w:szCs w:val="32"/>
      <w:lang w:eastAsia="en-GB"/>
    </w:rPr>
  </w:style>
  <w:style w:type="paragraph" w:customStyle="1" w:styleId="LTTBody1">
    <w:name w:val="LTT Body 1"/>
    <w:basedOn w:val="Normal"/>
    <w:qFormat/>
    <w:pPr>
      <w:widowControl w:val="0"/>
      <w:numPr>
        <w:numId w:val="1"/>
      </w:numPr>
      <w:spacing w:after="0" w:line="240" w:lineRule="auto"/>
    </w:pPr>
    <w:rPr>
      <w:rFonts w:ascii="Calibri" w:eastAsia="Times New Roman" w:hAnsi="Calibri" w:cs="Calibri"/>
      <w:sz w:val="28"/>
      <w:szCs w:val="28"/>
      <w:lang w:eastAsia="en-GB"/>
    </w:rPr>
  </w:style>
  <w:style w:type="paragraph" w:customStyle="1" w:styleId="LTTTitle1">
    <w:name w:val="LTT Title 1"/>
    <w:basedOn w:val="Normal"/>
    <w:qFormat/>
    <w:pPr>
      <w:widowControl w:val="0"/>
      <w:pBdr>
        <w:bottom w:val="single" w:sz="6" w:space="1" w:color="auto"/>
      </w:pBdr>
      <w:spacing w:after="0" w:line="240" w:lineRule="auto"/>
    </w:pPr>
    <w:rPr>
      <w:rFonts w:ascii="Calibri" w:eastAsia="Times New Roman" w:hAnsi="Calibri" w:cs="Calibri"/>
      <w:b/>
      <w:sz w:val="28"/>
      <w:szCs w:val="28"/>
      <w:lang w:eastAsia="en-GB"/>
    </w:rPr>
  </w:style>
  <w:style w:type="paragraph" w:customStyle="1" w:styleId="LTTTitle2">
    <w:name w:val="LTT Title 2"/>
    <w:basedOn w:val="Normal"/>
    <w:qFormat/>
    <w:pPr>
      <w:widowControl w:val="0"/>
      <w:pBdr>
        <w:bottom w:val="single" w:sz="6" w:space="1" w:color="auto"/>
      </w:pBdr>
      <w:spacing w:after="0" w:line="240" w:lineRule="auto"/>
    </w:pPr>
    <w:rPr>
      <w:rFonts w:ascii="Calibri" w:eastAsia="Times New Roman" w:hAnsi="Calibri" w:cs="Calibri"/>
      <w:b/>
      <w:sz w:val="20"/>
      <w:szCs w:val="20"/>
      <w:lang w:eastAsia="en-GB"/>
    </w:rPr>
  </w:style>
  <w:style w:type="paragraph" w:customStyle="1" w:styleId="LTTbody2">
    <w:name w:val="LTT body 2"/>
    <w:basedOn w:val="Normal"/>
    <w:qFormat/>
    <w:pPr>
      <w:widowControl w:val="0"/>
      <w:numPr>
        <w:numId w:val="2"/>
      </w:numPr>
      <w:spacing w:after="0" w:line="240" w:lineRule="auto"/>
    </w:pPr>
    <w:rPr>
      <w:rFonts w:ascii="Calibri" w:eastAsia="Times New Roman" w:hAnsi="Calibri" w:cs="Calibri"/>
      <w:sz w:val="20"/>
      <w:szCs w:val="20"/>
      <w:lang w:eastAsia="en-GB"/>
    </w:rPr>
  </w:style>
  <w:style w:type="paragraph" w:customStyle="1" w:styleId="LTTSPPcontacts">
    <w:name w:val="LTT SPP contacts"/>
    <w:basedOn w:val="Normal"/>
    <w:qFormat/>
    <w:pPr>
      <w:widowControl w:val="0"/>
      <w:spacing w:after="0" w:line="240" w:lineRule="auto"/>
    </w:pPr>
    <w:rPr>
      <w:rFonts w:ascii="Calibri" w:eastAsia="Times New Roman" w:hAnsi="Calibri" w:cs="Calibri"/>
      <w:sz w:val="20"/>
      <w:szCs w:val="20"/>
      <w:lang w:eastAsia="en-GB"/>
    </w:rPr>
  </w:style>
  <w:style w:type="paragraph" w:styleId="BodyText">
    <w:name w:val="Body Text"/>
    <w:basedOn w:val="Normal"/>
    <w:link w:val="BodyTextChar"/>
    <w:uiPriority w:val="1"/>
    <w:qFormat/>
    <w:pPr>
      <w:widowControl w:val="0"/>
      <w:spacing w:after="0" w:line="240" w:lineRule="auto"/>
      <w:ind w:left="137"/>
    </w:pPr>
    <w:rPr>
      <w:rFonts w:ascii="Garamond" w:eastAsia="Garamond" w:hAnsi="Garamond" w:cs="Times New Roman"/>
      <w:sz w:val="20"/>
      <w:szCs w:val="20"/>
      <w:lang w:eastAsia="en-GB"/>
    </w:rPr>
  </w:style>
  <w:style w:type="character" w:customStyle="1" w:styleId="BodyTextChar">
    <w:name w:val="Body Text Char"/>
    <w:basedOn w:val="DefaultParagraphFont"/>
    <w:link w:val="BodyText"/>
    <w:uiPriority w:val="1"/>
    <w:rPr>
      <w:rFonts w:ascii="Garamond" w:eastAsia="Garamond" w:hAnsi="Garamond" w:cs="Times New Roman"/>
      <w:sz w:val="20"/>
      <w:szCs w:val="20"/>
      <w:lang w:eastAsia="en-GB"/>
    </w:rPr>
  </w:style>
  <w:style w:type="paragraph" w:customStyle="1" w:styleId="TableParagraph">
    <w:name w:val="Table Paragraph"/>
    <w:basedOn w:val="Normal"/>
    <w:uiPriority w:val="1"/>
    <w:qFormat/>
    <w:pPr>
      <w:widowControl w:val="0"/>
      <w:spacing w:after="0" w:line="240" w:lineRule="auto"/>
    </w:pPr>
    <w:rPr>
      <w:rFonts w:ascii="Times New Roman" w:eastAsia="Times New Roman" w:hAnsi="Times New Roman" w:cs="Times New Roman"/>
      <w:sz w:val="20"/>
      <w:szCs w:val="20"/>
      <w:lang w:eastAsia="en-GB"/>
    </w:rPr>
  </w:style>
  <w:style w:type="paragraph" w:customStyle="1" w:styleId="Tiret1">
    <w:name w:val="Tiret 1"/>
    <w:basedOn w:val="Normal"/>
    <w:pPr>
      <w:numPr>
        <w:numId w:val="3"/>
      </w:numPr>
      <w:spacing w:after="40" w:line="240" w:lineRule="auto"/>
      <w:ind w:right="57"/>
      <w:jc w:val="both"/>
    </w:pPr>
    <w:rPr>
      <w:rFonts w:ascii="Verdana" w:eastAsia="Times New Roman" w:hAnsi="Verdana" w:cs="Times New Roman"/>
      <w:spacing w:val="-2"/>
      <w:sz w:val="20"/>
      <w:szCs w:val="20"/>
      <w:lang w:eastAsia="en-GB"/>
    </w:r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imes New Roman" w:hAnsi="Times New Roman" w:cs="Times New Roman"/>
      <w:sz w:val="24"/>
      <w:szCs w:val="20"/>
      <w:lang w:eastAsia="en-GB"/>
    </w:rPr>
  </w:style>
  <w:style w:type="paragraph" w:customStyle="1" w:styleId="Langue">
    <w:name w:val="Langue"/>
    <w:basedOn w:val="Normal"/>
    <w:next w:val="Normal"/>
    <w:pPr>
      <w:framePr w:wrap="around" w:vAnchor="page" w:hAnchor="text" w:xAlign="center" w:y="14741"/>
      <w:spacing w:after="600" w:line="240" w:lineRule="auto"/>
      <w:jc w:val="center"/>
    </w:pPr>
    <w:rPr>
      <w:rFonts w:ascii="Times New Roman" w:eastAsia="Times New Roman" w:hAnsi="Times New Roman" w:cs="Times New Roman"/>
      <w:b/>
      <w:caps/>
      <w:sz w:val="24"/>
      <w:szCs w:val="20"/>
      <w:lang w:eastAsia="en-GB"/>
    </w:rPr>
  </w:style>
  <w:style w:type="paragraph" w:customStyle="1" w:styleId="Nomdelinstitution">
    <w:name w:val="Nom de l'institution"/>
    <w:basedOn w:val="Normal"/>
    <w:next w:val="Normal"/>
    <w:pPr>
      <w:spacing w:after="0" w:line="240" w:lineRule="auto"/>
    </w:pPr>
    <w:rPr>
      <w:rFonts w:ascii="Arial" w:eastAsia="Times New Roman" w:hAnsi="Arial" w:cs="Arial"/>
      <w:sz w:val="24"/>
      <w:szCs w:val="20"/>
      <w:lang w:eastAsia="en-GB"/>
    </w:rPr>
  </w:style>
  <w:style w:type="paragraph" w:customStyle="1" w:styleId="Emission">
    <w:name w:val="Emission"/>
    <w:basedOn w:val="Normal"/>
    <w:next w:val="Normal"/>
    <w:pPr>
      <w:spacing w:after="0" w:line="240" w:lineRule="auto"/>
      <w:ind w:left="5103"/>
    </w:pPr>
    <w:rPr>
      <w:rFonts w:ascii="Times New Roman" w:eastAsia="Times New Roman" w:hAnsi="Times New Roman" w:cs="Times New Roman"/>
      <w:sz w:val="24"/>
      <w:szCs w:val="20"/>
      <w:lang w:eastAsia="en-GB"/>
    </w:rPr>
  </w:style>
  <w:style w:type="character" w:customStyle="1" w:styleId="Marker2">
    <w:name w:val="Marker2"/>
    <w:basedOn w:val="DefaultParagraphFont"/>
    <w:rPr>
      <w:color w:val="FF0000"/>
      <w:shd w:val="clear" w:color="auto" w:fill="auto"/>
    </w:rPr>
  </w:style>
  <w:style w:type="paragraph" w:customStyle="1" w:styleId="Rfrenceinstitutionnelle">
    <w:name w:val="Référence institutionnelle"/>
    <w:basedOn w:val="Normal"/>
    <w:next w:val="Normal"/>
    <w:pPr>
      <w:spacing w:after="240" w:line="240" w:lineRule="auto"/>
      <w:ind w:left="5103"/>
    </w:pPr>
    <w:rPr>
      <w:rFonts w:ascii="Times New Roman" w:eastAsia="Times New Roman" w:hAnsi="Times New Roman" w:cs="Times New Roman"/>
      <w:sz w:val="24"/>
      <w:szCs w:val="20"/>
      <w:lang w:eastAsia="en-GB"/>
    </w:rPr>
  </w:style>
  <w:style w:type="paragraph" w:customStyle="1" w:styleId="Confidentialit">
    <w:name w:val="Confidentialité"/>
    <w:basedOn w:val="Normal"/>
    <w:next w:val="Normal"/>
    <w:pPr>
      <w:spacing w:before="240" w:after="240" w:line="240" w:lineRule="auto"/>
      <w:ind w:left="5103"/>
    </w:pPr>
    <w:rPr>
      <w:rFonts w:ascii="Times New Roman" w:eastAsia="Times New Roman" w:hAnsi="Times New Roman" w:cs="Times New Roman"/>
      <w:i/>
      <w:sz w:val="32"/>
      <w:szCs w:val="20"/>
      <w:lang w:eastAsia="en-GB"/>
    </w:rPr>
  </w:style>
  <w:style w:type="paragraph" w:customStyle="1" w:styleId="TypedudocumentPagedecouverture">
    <w:name w:val="Type du document (Page de couverture)"/>
    <w:basedOn w:val="Normal"/>
    <w:next w:val="Normal"/>
    <w:pPr>
      <w:spacing w:before="360" w:after="0" w:line="240" w:lineRule="auto"/>
      <w:jc w:val="center"/>
    </w:pPr>
    <w:rPr>
      <w:rFonts w:ascii="Times New Roman" w:eastAsia="Times New Roman" w:hAnsi="Times New Roman" w:cs="Times New Roman"/>
      <w:b/>
      <w:sz w:val="24"/>
      <w:szCs w:val="20"/>
      <w:lang w:eastAsia="en-GB"/>
    </w:rPr>
  </w:style>
  <w:style w:type="paragraph" w:customStyle="1" w:styleId="TitreobjetPagedecouverture">
    <w:name w:val="Titre objet (Page de couverture)"/>
    <w:basedOn w:val="Normal"/>
    <w:next w:val="Normal"/>
    <w:pPr>
      <w:spacing w:before="360" w:after="360" w:line="240" w:lineRule="auto"/>
      <w:jc w:val="center"/>
    </w:pPr>
    <w:rPr>
      <w:rFonts w:ascii="Times New Roman" w:eastAsia="Times New Roman" w:hAnsi="Times New Roman" w:cs="Times New Roman"/>
      <w:b/>
      <w:sz w:val="24"/>
      <w:szCs w:val="20"/>
      <w:lang w:eastAsia="en-GB"/>
    </w:rPr>
  </w:style>
  <w:style w:type="paragraph" w:styleId="NormalWeb">
    <w:name w:val="Normal (Web)"/>
    <w:basedOn w:val="Normal"/>
    <w:uiPriority w:val="99"/>
    <w:semiHidden/>
    <w:unhideWhenUsed/>
    <w:rPr>
      <w:rFonts w:ascii="Times New Roman" w:hAnsi="Times New Roman" w:cs="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Continue5">
    <w:name w:val="List Continue 5"/>
    <w:basedOn w:val="Normal"/>
    <w:uiPriority w:val="99"/>
    <w:semiHidden/>
    <w:unhideWhenUsed/>
    <w:pPr>
      <w:numPr>
        <w:numId w:val="5"/>
      </w:numPr>
      <w:spacing w:after="120" w:line="240" w:lineRule="auto"/>
      <w:jc w:val="both"/>
    </w:pPr>
    <w:rPr>
      <w:rFonts w:ascii="Times New Roman" w:eastAsia="Times New Roman" w:hAnsi="Times New Roman" w:cs="Times New Roman"/>
      <w:sz w:val="24"/>
      <w:szCs w:val="24"/>
    </w:rPr>
  </w:style>
  <w:style w:type="paragraph" w:customStyle="1" w:styleId="ListNumber1">
    <w:name w:val="List Number 1"/>
    <w:basedOn w:val="Normal"/>
    <w:pPr>
      <w:numPr>
        <w:ilvl w:val="1"/>
        <w:numId w:val="5"/>
      </w:numPr>
      <w:spacing w:after="240" w:line="240" w:lineRule="auto"/>
      <w:jc w:val="both"/>
    </w:pPr>
    <w:rPr>
      <w:rFonts w:ascii="Times New Roman" w:eastAsia="Times New Roman" w:hAnsi="Times New Roman" w:cs="Times New Roman"/>
      <w:sz w:val="24"/>
      <w:szCs w:val="24"/>
    </w:rPr>
  </w:style>
  <w:style w:type="paragraph" w:customStyle="1" w:styleId="ListNumber1Level2">
    <w:name w:val="List Number 1 (Level 2)"/>
    <w:basedOn w:val="Normal"/>
    <w:pPr>
      <w:numPr>
        <w:ilvl w:val="2"/>
        <w:numId w:val="5"/>
      </w:numPr>
      <w:spacing w:after="240" w:line="240" w:lineRule="auto"/>
      <w:jc w:val="both"/>
    </w:pPr>
    <w:rPr>
      <w:rFonts w:ascii="Times New Roman" w:eastAsia="Times New Roman" w:hAnsi="Times New Roman" w:cs="Times New Roman"/>
      <w:sz w:val="24"/>
      <w:szCs w:val="24"/>
    </w:rPr>
  </w:style>
  <w:style w:type="paragraph" w:customStyle="1" w:styleId="ListNumber1Level3">
    <w:name w:val="List Number 1 (Level 3)"/>
    <w:basedOn w:val="Normal"/>
    <w:pPr>
      <w:numPr>
        <w:ilvl w:val="3"/>
        <w:numId w:val="5"/>
      </w:numPr>
      <w:spacing w:after="240" w:line="240" w:lineRule="auto"/>
      <w:jc w:val="both"/>
    </w:pPr>
    <w:rPr>
      <w:rFonts w:ascii="Times New Roman" w:eastAsia="Times New Roman" w:hAnsi="Times New Roman" w:cs="Times New Roman"/>
      <w:sz w:val="24"/>
      <w:szCs w:val="24"/>
    </w:r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spacing w:after="0" w:line="240" w:lineRule="auto"/>
    </w:pPr>
    <w:rPr>
      <w:rFonts w:ascii="Verdana" w:hAnsi="Verdana" w:cs="Verdana"/>
      <w:color w:val="000000"/>
      <w:sz w:val="24"/>
      <w:szCs w:val="24"/>
    </w:rPr>
  </w:style>
  <w:style w:type="paragraph" w:styleId="PlainText">
    <w:name w:val="Plain Text"/>
    <w:basedOn w:val="Normal"/>
    <w:link w:val="PlainTextChar"/>
    <w:uiPriority w:val="99"/>
    <w:unhideWhenUsed/>
    <w:pPr>
      <w:spacing w:after="0" w:line="240" w:lineRule="auto"/>
    </w:pPr>
    <w:rPr>
      <w:rFonts w:ascii="Tahoma" w:hAnsi="Tahoma" w:cs="Tahoma"/>
      <w:color w:val="17365D"/>
      <w:sz w:val="20"/>
      <w:szCs w:val="20"/>
    </w:rPr>
  </w:style>
  <w:style w:type="character" w:customStyle="1" w:styleId="PlainTextChar">
    <w:name w:val="Plain Text Char"/>
    <w:basedOn w:val="DefaultParagraphFont"/>
    <w:link w:val="PlainText"/>
    <w:uiPriority w:val="99"/>
    <w:rPr>
      <w:rFonts w:ascii="Tahoma" w:hAnsi="Tahoma" w:cs="Tahoma"/>
      <w:color w:val="17365D"/>
      <w:sz w:val="20"/>
      <w:szCs w:val="20"/>
    </w:rPr>
  </w:style>
  <w:style w:type="paragraph" w:customStyle="1" w:styleId="Text1">
    <w:name w:val="Text 1"/>
    <w:basedOn w:val="Normal"/>
    <w:pPr>
      <w:spacing w:after="240" w:line="240" w:lineRule="auto"/>
      <w:ind w:left="482"/>
      <w:jc w:val="both"/>
    </w:pPr>
    <w:rPr>
      <w:rFonts w:ascii="Times New Roman" w:eastAsia="Times New Roman" w:hAnsi="Times New Roman" w:cs="Times New Roman"/>
      <w:sz w:val="24"/>
      <w:szCs w:val="20"/>
    </w:rPr>
  </w:style>
  <w:style w:type="paragraph" w:customStyle="1" w:styleId="yiv5137631650msonormal">
    <w:name w:val="yiv5137631650msonormal"/>
    <w:basedOn w:val="Normal"/>
    <w:pPr>
      <w:spacing w:before="100" w:beforeAutospacing="1" w:after="100" w:afterAutospacing="1" w:line="240" w:lineRule="auto"/>
    </w:pPr>
    <w:rPr>
      <w:rFonts w:ascii="Times New Roman" w:eastAsia="Times New Roman" w:hAnsi="Times New Roman" w:cs="Times New Roman"/>
      <w:sz w:val="24"/>
      <w:szCs w:val="24"/>
      <w:lang w:val="et-EE" w:eastAsia="et-EE"/>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b/>
      <w:bCs/>
      <w:color w:val="4F81BD" w:themeColor="accent1"/>
    </w:rPr>
  </w:style>
  <w:style w:type="paragraph" w:customStyle="1" w:styleId="Text2">
    <w:name w:val="Text 2"/>
    <w:basedOn w:val="Normal"/>
    <w:pPr>
      <w:tabs>
        <w:tab w:val="left" w:pos="2160"/>
      </w:tabs>
      <w:spacing w:after="240" w:line="240" w:lineRule="auto"/>
      <w:ind w:left="1077"/>
      <w:jc w:val="both"/>
    </w:pPr>
    <w:rPr>
      <w:rFonts w:ascii="Times New Roman" w:eastAsia="Times New Roman" w:hAnsi="Times New Roman" w:cs="Times New Roman"/>
      <w:sz w:val="24"/>
      <w:szCs w:val="20"/>
    </w:rPr>
  </w:style>
  <w:style w:type="character" w:customStyle="1" w:styleId="st1">
    <w:name w:val="st1"/>
    <w:basedOn w:val="DefaultParagraphFont"/>
  </w:style>
  <w:style w:type="character" w:customStyle="1" w:styleId="apple-converted-space">
    <w:name w:val="apple-converted-space"/>
    <w:basedOn w:val="DefaultParagraphFont"/>
  </w:style>
  <w:style w:type="character" w:styleId="Strong">
    <w:name w:val="Strong"/>
    <w:basedOn w:val="DefaultParagraphFont"/>
    <w:uiPriority w:val="22"/>
    <w:qFormat/>
    <w:rPr>
      <w:b/>
      <w:bCs/>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character" w:styleId="IntenseEmphasis">
    <w:name w:val="Intense Emphasis"/>
    <w:basedOn w:val="DefaultParagraphFont"/>
    <w:uiPriority w:val="21"/>
    <w:qFormat/>
    <w:rPr>
      <w:b/>
      <w:bCs/>
      <w:i/>
      <w:iCs/>
      <w:color w:val="4F81BD" w:themeColor="accent1"/>
    </w:rPr>
  </w:style>
  <w:style w:type="character" w:customStyle="1" w:styleId="A7">
    <w:name w:val="A7"/>
    <w:uiPriority w:val="99"/>
    <w:rPr>
      <w:rFonts w:cs="EC Square Sans Pro"/>
      <w:i/>
      <w:i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2486">
      <w:bodyDiv w:val="1"/>
      <w:marLeft w:val="0"/>
      <w:marRight w:val="0"/>
      <w:marTop w:val="0"/>
      <w:marBottom w:val="0"/>
      <w:divBdr>
        <w:top w:val="none" w:sz="0" w:space="0" w:color="auto"/>
        <w:left w:val="none" w:sz="0" w:space="0" w:color="auto"/>
        <w:bottom w:val="none" w:sz="0" w:space="0" w:color="auto"/>
        <w:right w:val="none" w:sz="0" w:space="0" w:color="auto"/>
      </w:divBdr>
    </w:div>
    <w:div w:id="7487168">
      <w:bodyDiv w:val="1"/>
      <w:marLeft w:val="0"/>
      <w:marRight w:val="0"/>
      <w:marTop w:val="0"/>
      <w:marBottom w:val="0"/>
      <w:divBdr>
        <w:top w:val="none" w:sz="0" w:space="0" w:color="auto"/>
        <w:left w:val="none" w:sz="0" w:space="0" w:color="auto"/>
        <w:bottom w:val="none" w:sz="0" w:space="0" w:color="auto"/>
        <w:right w:val="none" w:sz="0" w:space="0" w:color="auto"/>
      </w:divBdr>
    </w:div>
    <w:div w:id="16664774">
      <w:bodyDiv w:val="1"/>
      <w:marLeft w:val="0"/>
      <w:marRight w:val="0"/>
      <w:marTop w:val="0"/>
      <w:marBottom w:val="0"/>
      <w:divBdr>
        <w:top w:val="none" w:sz="0" w:space="0" w:color="auto"/>
        <w:left w:val="none" w:sz="0" w:space="0" w:color="auto"/>
        <w:bottom w:val="none" w:sz="0" w:space="0" w:color="auto"/>
        <w:right w:val="none" w:sz="0" w:space="0" w:color="auto"/>
      </w:divBdr>
    </w:div>
    <w:div w:id="65495041">
      <w:bodyDiv w:val="1"/>
      <w:marLeft w:val="0"/>
      <w:marRight w:val="0"/>
      <w:marTop w:val="0"/>
      <w:marBottom w:val="0"/>
      <w:divBdr>
        <w:top w:val="none" w:sz="0" w:space="0" w:color="auto"/>
        <w:left w:val="none" w:sz="0" w:space="0" w:color="auto"/>
        <w:bottom w:val="none" w:sz="0" w:space="0" w:color="auto"/>
        <w:right w:val="none" w:sz="0" w:space="0" w:color="auto"/>
      </w:divBdr>
    </w:div>
    <w:div w:id="76480562">
      <w:bodyDiv w:val="1"/>
      <w:marLeft w:val="0"/>
      <w:marRight w:val="0"/>
      <w:marTop w:val="0"/>
      <w:marBottom w:val="0"/>
      <w:divBdr>
        <w:top w:val="none" w:sz="0" w:space="0" w:color="auto"/>
        <w:left w:val="none" w:sz="0" w:space="0" w:color="auto"/>
        <w:bottom w:val="none" w:sz="0" w:space="0" w:color="auto"/>
        <w:right w:val="none" w:sz="0" w:space="0" w:color="auto"/>
      </w:divBdr>
    </w:div>
    <w:div w:id="93941829">
      <w:bodyDiv w:val="1"/>
      <w:marLeft w:val="0"/>
      <w:marRight w:val="0"/>
      <w:marTop w:val="0"/>
      <w:marBottom w:val="0"/>
      <w:divBdr>
        <w:top w:val="none" w:sz="0" w:space="0" w:color="auto"/>
        <w:left w:val="none" w:sz="0" w:space="0" w:color="auto"/>
        <w:bottom w:val="none" w:sz="0" w:space="0" w:color="auto"/>
        <w:right w:val="none" w:sz="0" w:space="0" w:color="auto"/>
      </w:divBdr>
    </w:div>
    <w:div w:id="145054620">
      <w:bodyDiv w:val="1"/>
      <w:marLeft w:val="0"/>
      <w:marRight w:val="0"/>
      <w:marTop w:val="0"/>
      <w:marBottom w:val="0"/>
      <w:divBdr>
        <w:top w:val="none" w:sz="0" w:space="0" w:color="auto"/>
        <w:left w:val="none" w:sz="0" w:space="0" w:color="auto"/>
        <w:bottom w:val="none" w:sz="0" w:space="0" w:color="auto"/>
        <w:right w:val="none" w:sz="0" w:space="0" w:color="auto"/>
      </w:divBdr>
    </w:div>
    <w:div w:id="155195134">
      <w:bodyDiv w:val="1"/>
      <w:marLeft w:val="0"/>
      <w:marRight w:val="0"/>
      <w:marTop w:val="0"/>
      <w:marBottom w:val="0"/>
      <w:divBdr>
        <w:top w:val="none" w:sz="0" w:space="0" w:color="auto"/>
        <w:left w:val="none" w:sz="0" w:space="0" w:color="auto"/>
        <w:bottom w:val="none" w:sz="0" w:space="0" w:color="auto"/>
        <w:right w:val="none" w:sz="0" w:space="0" w:color="auto"/>
      </w:divBdr>
    </w:div>
    <w:div w:id="160046819">
      <w:bodyDiv w:val="1"/>
      <w:marLeft w:val="0"/>
      <w:marRight w:val="0"/>
      <w:marTop w:val="0"/>
      <w:marBottom w:val="0"/>
      <w:divBdr>
        <w:top w:val="none" w:sz="0" w:space="0" w:color="auto"/>
        <w:left w:val="none" w:sz="0" w:space="0" w:color="auto"/>
        <w:bottom w:val="none" w:sz="0" w:space="0" w:color="auto"/>
        <w:right w:val="none" w:sz="0" w:space="0" w:color="auto"/>
      </w:divBdr>
      <w:divsChild>
        <w:div w:id="1793983635">
          <w:marLeft w:val="0"/>
          <w:marRight w:val="0"/>
          <w:marTop w:val="0"/>
          <w:marBottom w:val="0"/>
          <w:divBdr>
            <w:top w:val="none" w:sz="0" w:space="0" w:color="auto"/>
            <w:left w:val="none" w:sz="0" w:space="0" w:color="auto"/>
            <w:bottom w:val="none" w:sz="0" w:space="0" w:color="auto"/>
            <w:right w:val="none" w:sz="0" w:space="0" w:color="auto"/>
          </w:divBdr>
          <w:divsChild>
            <w:div w:id="84570533">
              <w:marLeft w:val="-225"/>
              <w:marRight w:val="-225"/>
              <w:marTop w:val="0"/>
              <w:marBottom w:val="0"/>
              <w:divBdr>
                <w:top w:val="none" w:sz="0" w:space="0" w:color="auto"/>
                <w:left w:val="none" w:sz="0" w:space="0" w:color="auto"/>
                <w:bottom w:val="none" w:sz="0" w:space="0" w:color="auto"/>
                <w:right w:val="none" w:sz="0" w:space="0" w:color="auto"/>
              </w:divBdr>
              <w:divsChild>
                <w:div w:id="633289308">
                  <w:marLeft w:val="0"/>
                  <w:marRight w:val="0"/>
                  <w:marTop w:val="0"/>
                  <w:marBottom w:val="0"/>
                  <w:divBdr>
                    <w:top w:val="none" w:sz="0" w:space="0" w:color="auto"/>
                    <w:left w:val="none" w:sz="0" w:space="0" w:color="auto"/>
                    <w:bottom w:val="none" w:sz="0" w:space="0" w:color="auto"/>
                    <w:right w:val="none" w:sz="0" w:space="0" w:color="auto"/>
                  </w:divBdr>
                  <w:divsChild>
                    <w:div w:id="574582873">
                      <w:marLeft w:val="-225"/>
                      <w:marRight w:val="-225"/>
                      <w:marTop w:val="0"/>
                      <w:marBottom w:val="0"/>
                      <w:divBdr>
                        <w:top w:val="none" w:sz="0" w:space="0" w:color="auto"/>
                        <w:left w:val="none" w:sz="0" w:space="0" w:color="auto"/>
                        <w:bottom w:val="none" w:sz="0" w:space="0" w:color="auto"/>
                        <w:right w:val="none" w:sz="0" w:space="0" w:color="auto"/>
                      </w:divBdr>
                      <w:divsChild>
                        <w:div w:id="942961696">
                          <w:marLeft w:val="0"/>
                          <w:marRight w:val="0"/>
                          <w:marTop w:val="0"/>
                          <w:marBottom w:val="0"/>
                          <w:divBdr>
                            <w:top w:val="none" w:sz="0" w:space="0" w:color="auto"/>
                            <w:left w:val="none" w:sz="0" w:space="0" w:color="auto"/>
                            <w:bottom w:val="none" w:sz="0" w:space="0" w:color="auto"/>
                            <w:right w:val="none" w:sz="0" w:space="0" w:color="auto"/>
                          </w:divBdr>
                          <w:divsChild>
                            <w:div w:id="373847069">
                              <w:marLeft w:val="0"/>
                              <w:marRight w:val="0"/>
                              <w:marTop w:val="0"/>
                              <w:marBottom w:val="0"/>
                              <w:divBdr>
                                <w:top w:val="none" w:sz="0" w:space="0" w:color="auto"/>
                                <w:left w:val="none" w:sz="0" w:space="0" w:color="auto"/>
                                <w:bottom w:val="none" w:sz="0" w:space="0" w:color="auto"/>
                                <w:right w:val="none" w:sz="0" w:space="0" w:color="auto"/>
                              </w:divBdr>
                              <w:divsChild>
                                <w:div w:id="1821383726">
                                  <w:marLeft w:val="0"/>
                                  <w:marRight w:val="0"/>
                                  <w:marTop w:val="0"/>
                                  <w:marBottom w:val="0"/>
                                  <w:divBdr>
                                    <w:top w:val="none" w:sz="0" w:space="0" w:color="auto"/>
                                    <w:left w:val="none" w:sz="0" w:space="0" w:color="auto"/>
                                    <w:bottom w:val="none" w:sz="0" w:space="0" w:color="auto"/>
                                    <w:right w:val="none" w:sz="0" w:space="0" w:color="auto"/>
                                  </w:divBdr>
                                  <w:divsChild>
                                    <w:div w:id="2110195145">
                                      <w:marLeft w:val="0"/>
                                      <w:marRight w:val="0"/>
                                      <w:marTop w:val="0"/>
                                      <w:marBottom w:val="0"/>
                                      <w:divBdr>
                                        <w:top w:val="none" w:sz="0" w:space="0" w:color="auto"/>
                                        <w:left w:val="none" w:sz="0" w:space="0" w:color="auto"/>
                                        <w:bottom w:val="none" w:sz="0" w:space="0" w:color="auto"/>
                                        <w:right w:val="none" w:sz="0" w:space="0" w:color="auto"/>
                                      </w:divBdr>
                                      <w:divsChild>
                                        <w:div w:id="918292881">
                                          <w:marLeft w:val="0"/>
                                          <w:marRight w:val="0"/>
                                          <w:marTop w:val="0"/>
                                          <w:marBottom w:val="0"/>
                                          <w:divBdr>
                                            <w:top w:val="none" w:sz="0" w:space="0" w:color="auto"/>
                                            <w:left w:val="none" w:sz="0" w:space="0" w:color="auto"/>
                                            <w:bottom w:val="none" w:sz="0" w:space="0" w:color="auto"/>
                                            <w:right w:val="none" w:sz="0" w:space="0" w:color="auto"/>
                                          </w:divBdr>
                                          <w:divsChild>
                                            <w:div w:id="1790976641">
                                              <w:marLeft w:val="0"/>
                                              <w:marRight w:val="0"/>
                                              <w:marTop w:val="0"/>
                                              <w:marBottom w:val="0"/>
                                              <w:divBdr>
                                                <w:top w:val="none" w:sz="0" w:space="0" w:color="auto"/>
                                                <w:left w:val="none" w:sz="0" w:space="0" w:color="auto"/>
                                                <w:bottom w:val="none" w:sz="0" w:space="0" w:color="auto"/>
                                                <w:right w:val="none" w:sz="0" w:space="0" w:color="auto"/>
                                              </w:divBdr>
                                              <w:divsChild>
                                                <w:div w:id="1574314903">
                                                  <w:marLeft w:val="0"/>
                                                  <w:marRight w:val="0"/>
                                                  <w:marTop w:val="0"/>
                                                  <w:marBottom w:val="0"/>
                                                  <w:divBdr>
                                                    <w:top w:val="none" w:sz="0" w:space="0" w:color="auto"/>
                                                    <w:left w:val="none" w:sz="0" w:space="0" w:color="auto"/>
                                                    <w:bottom w:val="none" w:sz="0" w:space="0" w:color="auto"/>
                                                    <w:right w:val="none" w:sz="0" w:space="0" w:color="auto"/>
                                                  </w:divBdr>
                                                  <w:divsChild>
                                                    <w:div w:id="725950489">
                                                      <w:marLeft w:val="0"/>
                                                      <w:marRight w:val="0"/>
                                                      <w:marTop w:val="0"/>
                                                      <w:marBottom w:val="0"/>
                                                      <w:divBdr>
                                                        <w:top w:val="none" w:sz="0" w:space="0" w:color="auto"/>
                                                        <w:left w:val="none" w:sz="0" w:space="0" w:color="auto"/>
                                                        <w:bottom w:val="none" w:sz="0" w:space="0" w:color="auto"/>
                                                        <w:right w:val="none" w:sz="0" w:space="0" w:color="auto"/>
                                                      </w:divBdr>
                                                      <w:divsChild>
                                                        <w:div w:id="33233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817208">
      <w:bodyDiv w:val="1"/>
      <w:marLeft w:val="0"/>
      <w:marRight w:val="0"/>
      <w:marTop w:val="0"/>
      <w:marBottom w:val="0"/>
      <w:divBdr>
        <w:top w:val="none" w:sz="0" w:space="0" w:color="auto"/>
        <w:left w:val="none" w:sz="0" w:space="0" w:color="auto"/>
        <w:bottom w:val="none" w:sz="0" w:space="0" w:color="auto"/>
        <w:right w:val="none" w:sz="0" w:space="0" w:color="auto"/>
      </w:divBdr>
    </w:div>
    <w:div w:id="234248564">
      <w:bodyDiv w:val="1"/>
      <w:marLeft w:val="0"/>
      <w:marRight w:val="0"/>
      <w:marTop w:val="0"/>
      <w:marBottom w:val="0"/>
      <w:divBdr>
        <w:top w:val="none" w:sz="0" w:space="0" w:color="auto"/>
        <w:left w:val="none" w:sz="0" w:space="0" w:color="auto"/>
        <w:bottom w:val="none" w:sz="0" w:space="0" w:color="auto"/>
        <w:right w:val="none" w:sz="0" w:space="0" w:color="auto"/>
      </w:divBdr>
    </w:div>
    <w:div w:id="237445362">
      <w:bodyDiv w:val="1"/>
      <w:marLeft w:val="0"/>
      <w:marRight w:val="0"/>
      <w:marTop w:val="0"/>
      <w:marBottom w:val="0"/>
      <w:divBdr>
        <w:top w:val="none" w:sz="0" w:space="0" w:color="auto"/>
        <w:left w:val="none" w:sz="0" w:space="0" w:color="auto"/>
        <w:bottom w:val="none" w:sz="0" w:space="0" w:color="auto"/>
        <w:right w:val="none" w:sz="0" w:space="0" w:color="auto"/>
      </w:divBdr>
    </w:div>
    <w:div w:id="261955513">
      <w:bodyDiv w:val="1"/>
      <w:marLeft w:val="0"/>
      <w:marRight w:val="0"/>
      <w:marTop w:val="0"/>
      <w:marBottom w:val="0"/>
      <w:divBdr>
        <w:top w:val="none" w:sz="0" w:space="0" w:color="auto"/>
        <w:left w:val="none" w:sz="0" w:space="0" w:color="auto"/>
        <w:bottom w:val="none" w:sz="0" w:space="0" w:color="auto"/>
        <w:right w:val="none" w:sz="0" w:space="0" w:color="auto"/>
      </w:divBdr>
    </w:div>
    <w:div w:id="305862871">
      <w:bodyDiv w:val="1"/>
      <w:marLeft w:val="0"/>
      <w:marRight w:val="0"/>
      <w:marTop w:val="0"/>
      <w:marBottom w:val="0"/>
      <w:divBdr>
        <w:top w:val="none" w:sz="0" w:space="0" w:color="auto"/>
        <w:left w:val="none" w:sz="0" w:space="0" w:color="auto"/>
        <w:bottom w:val="none" w:sz="0" w:space="0" w:color="auto"/>
        <w:right w:val="none" w:sz="0" w:space="0" w:color="auto"/>
      </w:divBdr>
    </w:div>
    <w:div w:id="556673023">
      <w:bodyDiv w:val="1"/>
      <w:marLeft w:val="0"/>
      <w:marRight w:val="0"/>
      <w:marTop w:val="0"/>
      <w:marBottom w:val="0"/>
      <w:divBdr>
        <w:top w:val="none" w:sz="0" w:space="0" w:color="auto"/>
        <w:left w:val="none" w:sz="0" w:space="0" w:color="auto"/>
        <w:bottom w:val="none" w:sz="0" w:space="0" w:color="auto"/>
        <w:right w:val="none" w:sz="0" w:space="0" w:color="auto"/>
      </w:divBdr>
    </w:div>
    <w:div w:id="588542434">
      <w:bodyDiv w:val="1"/>
      <w:marLeft w:val="0"/>
      <w:marRight w:val="0"/>
      <w:marTop w:val="0"/>
      <w:marBottom w:val="0"/>
      <w:divBdr>
        <w:top w:val="none" w:sz="0" w:space="0" w:color="auto"/>
        <w:left w:val="none" w:sz="0" w:space="0" w:color="auto"/>
        <w:bottom w:val="none" w:sz="0" w:space="0" w:color="auto"/>
        <w:right w:val="none" w:sz="0" w:space="0" w:color="auto"/>
      </w:divBdr>
    </w:div>
    <w:div w:id="608199861">
      <w:bodyDiv w:val="1"/>
      <w:marLeft w:val="0"/>
      <w:marRight w:val="0"/>
      <w:marTop w:val="0"/>
      <w:marBottom w:val="0"/>
      <w:divBdr>
        <w:top w:val="none" w:sz="0" w:space="0" w:color="auto"/>
        <w:left w:val="none" w:sz="0" w:space="0" w:color="auto"/>
        <w:bottom w:val="none" w:sz="0" w:space="0" w:color="auto"/>
        <w:right w:val="none" w:sz="0" w:space="0" w:color="auto"/>
      </w:divBdr>
    </w:div>
    <w:div w:id="620721492">
      <w:bodyDiv w:val="1"/>
      <w:marLeft w:val="0"/>
      <w:marRight w:val="0"/>
      <w:marTop w:val="0"/>
      <w:marBottom w:val="0"/>
      <w:divBdr>
        <w:top w:val="none" w:sz="0" w:space="0" w:color="auto"/>
        <w:left w:val="none" w:sz="0" w:space="0" w:color="auto"/>
        <w:bottom w:val="none" w:sz="0" w:space="0" w:color="auto"/>
        <w:right w:val="none" w:sz="0" w:space="0" w:color="auto"/>
      </w:divBdr>
    </w:div>
    <w:div w:id="801574723">
      <w:bodyDiv w:val="1"/>
      <w:marLeft w:val="0"/>
      <w:marRight w:val="0"/>
      <w:marTop w:val="0"/>
      <w:marBottom w:val="0"/>
      <w:divBdr>
        <w:top w:val="none" w:sz="0" w:space="0" w:color="auto"/>
        <w:left w:val="none" w:sz="0" w:space="0" w:color="auto"/>
        <w:bottom w:val="none" w:sz="0" w:space="0" w:color="auto"/>
        <w:right w:val="none" w:sz="0" w:space="0" w:color="auto"/>
      </w:divBdr>
    </w:div>
    <w:div w:id="943729309">
      <w:bodyDiv w:val="1"/>
      <w:marLeft w:val="0"/>
      <w:marRight w:val="0"/>
      <w:marTop w:val="0"/>
      <w:marBottom w:val="0"/>
      <w:divBdr>
        <w:top w:val="none" w:sz="0" w:space="0" w:color="auto"/>
        <w:left w:val="none" w:sz="0" w:space="0" w:color="auto"/>
        <w:bottom w:val="none" w:sz="0" w:space="0" w:color="auto"/>
        <w:right w:val="none" w:sz="0" w:space="0" w:color="auto"/>
      </w:divBdr>
    </w:div>
    <w:div w:id="959651362">
      <w:bodyDiv w:val="1"/>
      <w:marLeft w:val="0"/>
      <w:marRight w:val="0"/>
      <w:marTop w:val="0"/>
      <w:marBottom w:val="0"/>
      <w:divBdr>
        <w:top w:val="none" w:sz="0" w:space="0" w:color="auto"/>
        <w:left w:val="none" w:sz="0" w:space="0" w:color="auto"/>
        <w:bottom w:val="none" w:sz="0" w:space="0" w:color="auto"/>
        <w:right w:val="none" w:sz="0" w:space="0" w:color="auto"/>
      </w:divBdr>
    </w:div>
    <w:div w:id="979073618">
      <w:bodyDiv w:val="1"/>
      <w:marLeft w:val="0"/>
      <w:marRight w:val="0"/>
      <w:marTop w:val="0"/>
      <w:marBottom w:val="0"/>
      <w:divBdr>
        <w:top w:val="none" w:sz="0" w:space="0" w:color="auto"/>
        <w:left w:val="none" w:sz="0" w:space="0" w:color="auto"/>
        <w:bottom w:val="none" w:sz="0" w:space="0" w:color="auto"/>
        <w:right w:val="none" w:sz="0" w:space="0" w:color="auto"/>
      </w:divBdr>
    </w:div>
    <w:div w:id="1017345689">
      <w:bodyDiv w:val="1"/>
      <w:marLeft w:val="0"/>
      <w:marRight w:val="0"/>
      <w:marTop w:val="0"/>
      <w:marBottom w:val="0"/>
      <w:divBdr>
        <w:top w:val="none" w:sz="0" w:space="0" w:color="auto"/>
        <w:left w:val="none" w:sz="0" w:space="0" w:color="auto"/>
        <w:bottom w:val="none" w:sz="0" w:space="0" w:color="auto"/>
        <w:right w:val="none" w:sz="0" w:space="0" w:color="auto"/>
      </w:divBdr>
    </w:div>
    <w:div w:id="1179808456">
      <w:bodyDiv w:val="1"/>
      <w:marLeft w:val="0"/>
      <w:marRight w:val="0"/>
      <w:marTop w:val="0"/>
      <w:marBottom w:val="0"/>
      <w:divBdr>
        <w:top w:val="none" w:sz="0" w:space="0" w:color="auto"/>
        <w:left w:val="none" w:sz="0" w:space="0" w:color="auto"/>
        <w:bottom w:val="none" w:sz="0" w:space="0" w:color="auto"/>
        <w:right w:val="none" w:sz="0" w:space="0" w:color="auto"/>
      </w:divBdr>
    </w:div>
    <w:div w:id="1180461122">
      <w:bodyDiv w:val="1"/>
      <w:marLeft w:val="0"/>
      <w:marRight w:val="0"/>
      <w:marTop w:val="0"/>
      <w:marBottom w:val="0"/>
      <w:divBdr>
        <w:top w:val="none" w:sz="0" w:space="0" w:color="auto"/>
        <w:left w:val="none" w:sz="0" w:space="0" w:color="auto"/>
        <w:bottom w:val="none" w:sz="0" w:space="0" w:color="auto"/>
        <w:right w:val="none" w:sz="0" w:space="0" w:color="auto"/>
      </w:divBdr>
    </w:div>
    <w:div w:id="1235240385">
      <w:bodyDiv w:val="1"/>
      <w:marLeft w:val="0"/>
      <w:marRight w:val="0"/>
      <w:marTop w:val="0"/>
      <w:marBottom w:val="0"/>
      <w:divBdr>
        <w:top w:val="none" w:sz="0" w:space="0" w:color="auto"/>
        <w:left w:val="none" w:sz="0" w:space="0" w:color="auto"/>
        <w:bottom w:val="none" w:sz="0" w:space="0" w:color="auto"/>
        <w:right w:val="none" w:sz="0" w:space="0" w:color="auto"/>
      </w:divBdr>
    </w:div>
    <w:div w:id="1428650400">
      <w:bodyDiv w:val="1"/>
      <w:marLeft w:val="0"/>
      <w:marRight w:val="0"/>
      <w:marTop w:val="0"/>
      <w:marBottom w:val="0"/>
      <w:divBdr>
        <w:top w:val="none" w:sz="0" w:space="0" w:color="auto"/>
        <w:left w:val="none" w:sz="0" w:space="0" w:color="auto"/>
        <w:bottom w:val="none" w:sz="0" w:space="0" w:color="auto"/>
        <w:right w:val="none" w:sz="0" w:space="0" w:color="auto"/>
      </w:divBdr>
    </w:div>
    <w:div w:id="1451046593">
      <w:bodyDiv w:val="1"/>
      <w:marLeft w:val="0"/>
      <w:marRight w:val="0"/>
      <w:marTop w:val="0"/>
      <w:marBottom w:val="0"/>
      <w:divBdr>
        <w:top w:val="none" w:sz="0" w:space="0" w:color="auto"/>
        <w:left w:val="none" w:sz="0" w:space="0" w:color="auto"/>
        <w:bottom w:val="none" w:sz="0" w:space="0" w:color="auto"/>
        <w:right w:val="none" w:sz="0" w:space="0" w:color="auto"/>
      </w:divBdr>
    </w:div>
    <w:div w:id="1498498520">
      <w:bodyDiv w:val="1"/>
      <w:marLeft w:val="0"/>
      <w:marRight w:val="0"/>
      <w:marTop w:val="0"/>
      <w:marBottom w:val="0"/>
      <w:divBdr>
        <w:top w:val="none" w:sz="0" w:space="0" w:color="auto"/>
        <w:left w:val="none" w:sz="0" w:space="0" w:color="auto"/>
        <w:bottom w:val="none" w:sz="0" w:space="0" w:color="auto"/>
        <w:right w:val="none" w:sz="0" w:space="0" w:color="auto"/>
      </w:divBdr>
    </w:div>
    <w:div w:id="1517228642">
      <w:bodyDiv w:val="1"/>
      <w:marLeft w:val="0"/>
      <w:marRight w:val="0"/>
      <w:marTop w:val="0"/>
      <w:marBottom w:val="0"/>
      <w:divBdr>
        <w:top w:val="none" w:sz="0" w:space="0" w:color="auto"/>
        <w:left w:val="none" w:sz="0" w:space="0" w:color="auto"/>
        <w:bottom w:val="none" w:sz="0" w:space="0" w:color="auto"/>
        <w:right w:val="none" w:sz="0" w:space="0" w:color="auto"/>
      </w:divBdr>
    </w:div>
    <w:div w:id="1572353463">
      <w:bodyDiv w:val="1"/>
      <w:marLeft w:val="0"/>
      <w:marRight w:val="0"/>
      <w:marTop w:val="0"/>
      <w:marBottom w:val="0"/>
      <w:divBdr>
        <w:top w:val="none" w:sz="0" w:space="0" w:color="auto"/>
        <w:left w:val="none" w:sz="0" w:space="0" w:color="auto"/>
        <w:bottom w:val="none" w:sz="0" w:space="0" w:color="auto"/>
        <w:right w:val="none" w:sz="0" w:space="0" w:color="auto"/>
      </w:divBdr>
    </w:div>
    <w:div w:id="1633517162">
      <w:bodyDiv w:val="1"/>
      <w:marLeft w:val="0"/>
      <w:marRight w:val="0"/>
      <w:marTop w:val="0"/>
      <w:marBottom w:val="0"/>
      <w:divBdr>
        <w:top w:val="none" w:sz="0" w:space="0" w:color="auto"/>
        <w:left w:val="none" w:sz="0" w:space="0" w:color="auto"/>
        <w:bottom w:val="none" w:sz="0" w:space="0" w:color="auto"/>
        <w:right w:val="none" w:sz="0" w:space="0" w:color="auto"/>
      </w:divBdr>
    </w:div>
    <w:div w:id="1668366319">
      <w:bodyDiv w:val="1"/>
      <w:marLeft w:val="0"/>
      <w:marRight w:val="0"/>
      <w:marTop w:val="0"/>
      <w:marBottom w:val="0"/>
      <w:divBdr>
        <w:top w:val="none" w:sz="0" w:space="0" w:color="auto"/>
        <w:left w:val="none" w:sz="0" w:space="0" w:color="auto"/>
        <w:bottom w:val="none" w:sz="0" w:space="0" w:color="auto"/>
        <w:right w:val="none" w:sz="0" w:space="0" w:color="auto"/>
      </w:divBdr>
    </w:div>
    <w:div w:id="1686512377">
      <w:bodyDiv w:val="1"/>
      <w:marLeft w:val="0"/>
      <w:marRight w:val="0"/>
      <w:marTop w:val="0"/>
      <w:marBottom w:val="0"/>
      <w:divBdr>
        <w:top w:val="none" w:sz="0" w:space="0" w:color="auto"/>
        <w:left w:val="none" w:sz="0" w:space="0" w:color="auto"/>
        <w:bottom w:val="none" w:sz="0" w:space="0" w:color="auto"/>
        <w:right w:val="none" w:sz="0" w:space="0" w:color="auto"/>
      </w:divBdr>
      <w:divsChild>
        <w:div w:id="1402019245">
          <w:marLeft w:val="634"/>
          <w:marRight w:val="58"/>
          <w:marTop w:val="60"/>
          <w:marBottom w:val="60"/>
          <w:divBdr>
            <w:top w:val="none" w:sz="0" w:space="0" w:color="auto"/>
            <w:left w:val="none" w:sz="0" w:space="0" w:color="auto"/>
            <w:bottom w:val="none" w:sz="0" w:space="0" w:color="auto"/>
            <w:right w:val="none" w:sz="0" w:space="0" w:color="auto"/>
          </w:divBdr>
        </w:div>
        <w:div w:id="2084598852">
          <w:marLeft w:val="1123"/>
          <w:marRight w:val="58"/>
          <w:marTop w:val="60"/>
          <w:marBottom w:val="60"/>
          <w:divBdr>
            <w:top w:val="none" w:sz="0" w:space="0" w:color="auto"/>
            <w:left w:val="none" w:sz="0" w:space="0" w:color="auto"/>
            <w:bottom w:val="none" w:sz="0" w:space="0" w:color="auto"/>
            <w:right w:val="none" w:sz="0" w:space="0" w:color="auto"/>
          </w:divBdr>
        </w:div>
        <w:div w:id="532617020">
          <w:marLeft w:val="1123"/>
          <w:marRight w:val="58"/>
          <w:marTop w:val="60"/>
          <w:marBottom w:val="60"/>
          <w:divBdr>
            <w:top w:val="none" w:sz="0" w:space="0" w:color="auto"/>
            <w:left w:val="none" w:sz="0" w:space="0" w:color="auto"/>
            <w:bottom w:val="none" w:sz="0" w:space="0" w:color="auto"/>
            <w:right w:val="none" w:sz="0" w:space="0" w:color="auto"/>
          </w:divBdr>
        </w:div>
        <w:div w:id="620722143">
          <w:marLeft w:val="1123"/>
          <w:marRight w:val="58"/>
          <w:marTop w:val="60"/>
          <w:marBottom w:val="60"/>
          <w:divBdr>
            <w:top w:val="none" w:sz="0" w:space="0" w:color="auto"/>
            <w:left w:val="none" w:sz="0" w:space="0" w:color="auto"/>
            <w:bottom w:val="none" w:sz="0" w:space="0" w:color="auto"/>
            <w:right w:val="none" w:sz="0" w:space="0" w:color="auto"/>
          </w:divBdr>
        </w:div>
        <w:div w:id="559049786">
          <w:marLeft w:val="634"/>
          <w:marRight w:val="58"/>
          <w:marTop w:val="60"/>
          <w:marBottom w:val="60"/>
          <w:divBdr>
            <w:top w:val="none" w:sz="0" w:space="0" w:color="auto"/>
            <w:left w:val="none" w:sz="0" w:space="0" w:color="auto"/>
            <w:bottom w:val="none" w:sz="0" w:space="0" w:color="auto"/>
            <w:right w:val="none" w:sz="0" w:space="0" w:color="auto"/>
          </w:divBdr>
        </w:div>
        <w:div w:id="301665000">
          <w:marLeft w:val="446"/>
          <w:marRight w:val="58"/>
          <w:marTop w:val="60"/>
          <w:marBottom w:val="60"/>
          <w:divBdr>
            <w:top w:val="none" w:sz="0" w:space="0" w:color="auto"/>
            <w:left w:val="none" w:sz="0" w:space="0" w:color="auto"/>
            <w:bottom w:val="none" w:sz="0" w:space="0" w:color="auto"/>
            <w:right w:val="none" w:sz="0" w:space="0" w:color="auto"/>
          </w:divBdr>
        </w:div>
        <w:div w:id="2094622966">
          <w:marLeft w:val="1123"/>
          <w:marRight w:val="58"/>
          <w:marTop w:val="60"/>
          <w:marBottom w:val="60"/>
          <w:divBdr>
            <w:top w:val="none" w:sz="0" w:space="0" w:color="auto"/>
            <w:left w:val="none" w:sz="0" w:space="0" w:color="auto"/>
            <w:bottom w:val="none" w:sz="0" w:space="0" w:color="auto"/>
            <w:right w:val="none" w:sz="0" w:space="0" w:color="auto"/>
          </w:divBdr>
        </w:div>
        <w:div w:id="800342065">
          <w:marLeft w:val="1123"/>
          <w:marRight w:val="58"/>
          <w:marTop w:val="60"/>
          <w:marBottom w:val="60"/>
          <w:divBdr>
            <w:top w:val="none" w:sz="0" w:space="0" w:color="auto"/>
            <w:left w:val="none" w:sz="0" w:space="0" w:color="auto"/>
            <w:bottom w:val="none" w:sz="0" w:space="0" w:color="auto"/>
            <w:right w:val="none" w:sz="0" w:space="0" w:color="auto"/>
          </w:divBdr>
        </w:div>
        <w:div w:id="1889755918">
          <w:marLeft w:val="634"/>
          <w:marRight w:val="58"/>
          <w:marTop w:val="60"/>
          <w:marBottom w:val="60"/>
          <w:divBdr>
            <w:top w:val="none" w:sz="0" w:space="0" w:color="auto"/>
            <w:left w:val="none" w:sz="0" w:space="0" w:color="auto"/>
            <w:bottom w:val="none" w:sz="0" w:space="0" w:color="auto"/>
            <w:right w:val="none" w:sz="0" w:space="0" w:color="auto"/>
          </w:divBdr>
        </w:div>
        <w:div w:id="2030524272">
          <w:marLeft w:val="1123"/>
          <w:marRight w:val="58"/>
          <w:marTop w:val="60"/>
          <w:marBottom w:val="60"/>
          <w:divBdr>
            <w:top w:val="none" w:sz="0" w:space="0" w:color="auto"/>
            <w:left w:val="none" w:sz="0" w:space="0" w:color="auto"/>
            <w:bottom w:val="none" w:sz="0" w:space="0" w:color="auto"/>
            <w:right w:val="none" w:sz="0" w:space="0" w:color="auto"/>
          </w:divBdr>
        </w:div>
        <w:div w:id="331102313">
          <w:marLeft w:val="634"/>
          <w:marRight w:val="58"/>
          <w:marTop w:val="60"/>
          <w:marBottom w:val="60"/>
          <w:divBdr>
            <w:top w:val="none" w:sz="0" w:space="0" w:color="auto"/>
            <w:left w:val="none" w:sz="0" w:space="0" w:color="auto"/>
            <w:bottom w:val="none" w:sz="0" w:space="0" w:color="auto"/>
            <w:right w:val="none" w:sz="0" w:space="0" w:color="auto"/>
          </w:divBdr>
        </w:div>
        <w:div w:id="404376293">
          <w:marLeft w:val="1123"/>
          <w:marRight w:val="58"/>
          <w:marTop w:val="60"/>
          <w:marBottom w:val="60"/>
          <w:divBdr>
            <w:top w:val="none" w:sz="0" w:space="0" w:color="auto"/>
            <w:left w:val="none" w:sz="0" w:space="0" w:color="auto"/>
            <w:bottom w:val="none" w:sz="0" w:space="0" w:color="auto"/>
            <w:right w:val="none" w:sz="0" w:space="0" w:color="auto"/>
          </w:divBdr>
        </w:div>
        <w:div w:id="949750110">
          <w:marLeft w:val="1123"/>
          <w:marRight w:val="58"/>
          <w:marTop w:val="60"/>
          <w:marBottom w:val="60"/>
          <w:divBdr>
            <w:top w:val="none" w:sz="0" w:space="0" w:color="auto"/>
            <w:left w:val="none" w:sz="0" w:space="0" w:color="auto"/>
            <w:bottom w:val="none" w:sz="0" w:space="0" w:color="auto"/>
            <w:right w:val="none" w:sz="0" w:space="0" w:color="auto"/>
          </w:divBdr>
        </w:div>
      </w:divsChild>
    </w:div>
    <w:div w:id="1719360152">
      <w:bodyDiv w:val="1"/>
      <w:marLeft w:val="0"/>
      <w:marRight w:val="0"/>
      <w:marTop w:val="0"/>
      <w:marBottom w:val="0"/>
      <w:divBdr>
        <w:top w:val="none" w:sz="0" w:space="0" w:color="auto"/>
        <w:left w:val="none" w:sz="0" w:space="0" w:color="auto"/>
        <w:bottom w:val="none" w:sz="0" w:space="0" w:color="auto"/>
        <w:right w:val="none" w:sz="0" w:space="0" w:color="auto"/>
      </w:divBdr>
    </w:div>
    <w:div w:id="1722092029">
      <w:bodyDiv w:val="1"/>
      <w:marLeft w:val="0"/>
      <w:marRight w:val="0"/>
      <w:marTop w:val="0"/>
      <w:marBottom w:val="0"/>
      <w:divBdr>
        <w:top w:val="none" w:sz="0" w:space="0" w:color="auto"/>
        <w:left w:val="none" w:sz="0" w:space="0" w:color="auto"/>
        <w:bottom w:val="none" w:sz="0" w:space="0" w:color="auto"/>
        <w:right w:val="none" w:sz="0" w:space="0" w:color="auto"/>
      </w:divBdr>
    </w:div>
    <w:div w:id="1722099687">
      <w:bodyDiv w:val="1"/>
      <w:marLeft w:val="0"/>
      <w:marRight w:val="0"/>
      <w:marTop w:val="0"/>
      <w:marBottom w:val="0"/>
      <w:divBdr>
        <w:top w:val="none" w:sz="0" w:space="0" w:color="auto"/>
        <w:left w:val="none" w:sz="0" w:space="0" w:color="auto"/>
        <w:bottom w:val="none" w:sz="0" w:space="0" w:color="auto"/>
        <w:right w:val="none" w:sz="0" w:space="0" w:color="auto"/>
      </w:divBdr>
    </w:div>
    <w:div w:id="1747073774">
      <w:bodyDiv w:val="1"/>
      <w:marLeft w:val="0"/>
      <w:marRight w:val="0"/>
      <w:marTop w:val="0"/>
      <w:marBottom w:val="0"/>
      <w:divBdr>
        <w:top w:val="none" w:sz="0" w:space="0" w:color="auto"/>
        <w:left w:val="none" w:sz="0" w:space="0" w:color="auto"/>
        <w:bottom w:val="none" w:sz="0" w:space="0" w:color="auto"/>
        <w:right w:val="none" w:sz="0" w:space="0" w:color="auto"/>
      </w:divBdr>
    </w:div>
    <w:div w:id="1751001575">
      <w:bodyDiv w:val="1"/>
      <w:marLeft w:val="0"/>
      <w:marRight w:val="0"/>
      <w:marTop w:val="0"/>
      <w:marBottom w:val="0"/>
      <w:divBdr>
        <w:top w:val="none" w:sz="0" w:space="0" w:color="auto"/>
        <w:left w:val="none" w:sz="0" w:space="0" w:color="auto"/>
        <w:bottom w:val="none" w:sz="0" w:space="0" w:color="auto"/>
        <w:right w:val="none" w:sz="0" w:space="0" w:color="auto"/>
      </w:divBdr>
    </w:div>
    <w:div w:id="1760448443">
      <w:bodyDiv w:val="1"/>
      <w:marLeft w:val="0"/>
      <w:marRight w:val="0"/>
      <w:marTop w:val="0"/>
      <w:marBottom w:val="0"/>
      <w:divBdr>
        <w:top w:val="none" w:sz="0" w:space="0" w:color="auto"/>
        <w:left w:val="none" w:sz="0" w:space="0" w:color="auto"/>
        <w:bottom w:val="none" w:sz="0" w:space="0" w:color="auto"/>
        <w:right w:val="none" w:sz="0" w:space="0" w:color="auto"/>
      </w:divBdr>
    </w:div>
    <w:div w:id="1762607424">
      <w:bodyDiv w:val="1"/>
      <w:marLeft w:val="0"/>
      <w:marRight w:val="0"/>
      <w:marTop w:val="0"/>
      <w:marBottom w:val="0"/>
      <w:divBdr>
        <w:top w:val="none" w:sz="0" w:space="0" w:color="auto"/>
        <w:left w:val="none" w:sz="0" w:space="0" w:color="auto"/>
        <w:bottom w:val="none" w:sz="0" w:space="0" w:color="auto"/>
        <w:right w:val="none" w:sz="0" w:space="0" w:color="auto"/>
      </w:divBdr>
    </w:div>
    <w:div w:id="1766344440">
      <w:bodyDiv w:val="1"/>
      <w:marLeft w:val="0"/>
      <w:marRight w:val="0"/>
      <w:marTop w:val="0"/>
      <w:marBottom w:val="0"/>
      <w:divBdr>
        <w:top w:val="none" w:sz="0" w:space="0" w:color="auto"/>
        <w:left w:val="none" w:sz="0" w:space="0" w:color="auto"/>
        <w:bottom w:val="none" w:sz="0" w:space="0" w:color="auto"/>
        <w:right w:val="none" w:sz="0" w:space="0" w:color="auto"/>
      </w:divBdr>
    </w:div>
    <w:div w:id="1866751968">
      <w:bodyDiv w:val="1"/>
      <w:marLeft w:val="0"/>
      <w:marRight w:val="0"/>
      <w:marTop w:val="0"/>
      <w:marBottom w:val="0"/>
      <w:divBdr>
        <w:top w:val="none" w:sz="0" w:space="0" w:color="auto"/>
        <w:left w:val="none" w:sz="0" w:space="0" w:color="auto"/>
        <w:bottom w:val="none" w:sz="0" w:space="0" w:color="auto"/>
        <w:right w:val="none" w:sz="0" w:space="0" w:color="auto"/>
      </w:divBdr>
    </w:div>
    <w:div w:id="2027166824">
      <w:bodyDiv w:val="1"/>
      <w:marLeft w:val="0"/>
      <w:marRight w:val="0"/>
      <w:marTop w:val="0"/>
      <w:marBottom w:val="0"/>
      <w:divBdr>
        <w:top w:val="none" w:sz="0" w:space="0" w:color="auto"/>
        <w:left w:val="none" w:sz="0" w:space="0" w:color="auto"/>
        <w:bottom w:val="none" w:sz="0" w:space="0" w:color="auto"/>
        <w:right w:val="none" w:sz="0" w:space="0" w:color="auto"/>
      </w:divBdr>
    </w:div>
    <w:div w:id="2032367103">
      <w:bodyDiv w:val="1"/>
      <w:marLeft w:val="0"/>
      <w:marRight w:val="0"/>
      <w:marTop w:val="0"/>
      <w:marBottom w:val="0"/>
      <w:divBdr>
        <w:top w:val="none" w:sz="0" w:space="0" w:color="auto"/>
        <w:left w:val="none" w:sz="0" w:space="0" w:color="auto"/>
        <w:bottom w:val="none" w:sz="0" w:space="0" w:color="auto"/>
        <w:right w:val="none" w:sz="0" w:space="0" w:color="auto"/>
      </w:divBdr>
    </w:div>
    <w:div w:id="2079747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footer" Target="footer5.xml"/><Relationship Id="rId42" Type="http://schemas.openxmlformats.org/officeDocument/2006/relationships/header" Target="header7.xml"/><Relationship Id="rId47" Type="http://schemas.openxmlformats.org/officeDocument/2006/relationships/footer" Target="footer9.xml"/><Relationship Id="rId50" Type="http://schemas.openxmlformats.org/officeDocument/2006/relationships/footer" Target="footer10.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oter" Target="footer4.xml"/><Relationship Id="rId38" Type="http://schemas.openxmlformats.org/officeDocument/2006/relationships/image" Target="media/image18.png"/><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5.xml"/><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footer" Target="footer8.xml"/><Relationship Id="rId53" Type="http://schemas.openxmlformats.org/officeDocument/2006/relationships/footer" Target="footer1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6.xml"/><Relationship Id="rId49" Type="http://schemas.openxmlformats.org/officeDocument/2006/relationships/header" Target="header11.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4.xml"/><Relationship Id="rId44" Type="http://schemas.openxmlformats.org/officeDocument/2006/relationships/footer" Target="footer7.xml"/><Relationship Id="rId52" Type="http://schemas.openxmlformats.org/officeDocument/2006/relationships/header" Target="header12.xml"/><Relationship Id="rId73"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6.xml"/><Relationship Id="rId43" Type="http://schemas.openxmlformats.org/officeDocument/2006/relationships/header" Target="header8.xml"/><Relationship Id="rId48"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footer" Target="footer11.xml"/><Relationship Id="rId72" Type="http://schemas.microsoft.com/office/2011/relationships/people" Target="people.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budget/mff/hlgor/library/reports-communication/hlgor-report_2017010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96D7D-2A0E-4E65-8137-9289E4EAE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11415</Words>
  <Characters>65071</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2017-06-28T14:25:00Z</dcterms:created>
  <dcterms:modified xsi:type="dcterms:W3CDTF">2017-06-28T14:25:00Z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