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646" w:rsidRDefault="00B05ABE">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65C56AEAAC8A4141BF4364DCC8AB2163" style="width:450.6pt;height:293.2pt">
            <v:imagedata r:id="rId9" o:title=""/>
          </v:shape>
        </w:pict>
      </w:r>
    </w:p>
    <w:bookmarkEnd w:id="0"/>
    <w:p w:rsidR="00497646" w:rsidRDefault="00497646">
      <w:pPr>
        <w:rPr>
          <w:noProof/>
        </w:rPr>
        <w:sectPr w:rsidR="00497646">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299"/>
        </w:sectPr>
      </w:pPr>
    </w:p>
    <w:p w:rsidR="00497646" w:rsidRDefault="00B05ABE">
      <w:pPr>
        <w:pStyle w:val="Title"/>
        <w:rPr>
          <w:noProof/>
        </w:rPr>
      </w:pPr>
      <w:r>
        <w:rPr>
          <w:noProof/>
        </w:rPr>
        <w:lastRenderedPageBreak/>
        <w:t xml:space="preserve">Документ за размисъл относно бъдещето на финансите на ЕС </w:t>
      </w:r>
    </w:p>
    <w:p w:rsidR="00497646" w:rsidRDefault="00B05ABE">
      <w:pPr>
        <w:pStyle w:val="Heading1"/>
        <w:spacing w:before="120" w:after="240"/>
        <w:ind w:left="709" w:hanging="709"/>
        <w:rPr>
          <w:b w:val="0"/>
          <w:noProof/>
        </w:rPr>
      </w:pPr>
      <w:r>
        <w:rPr>
          <w:noProof/>
        </w:rPr>
        <w:t>1.</w:t>
      </w:r>
      <w:r>
        <w:rPr>
          <w:noProof/>
        </w:rPr>
        <w:tab/>
        <w:t xml:space="preserve">ФИНАНСИРАНЕ НА ЕВРОПЕЙСКАТА </w:t>
      </w:r>
      <w:r>
        <w:rPr>
          <w:noProof/>
        </w:rPr>
        <w:t>ИНТЕГРАЦИЯ: РАЗВИТИЕТО НА ФИНАНСИТЕ НА ЕС</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Бюджетът на ЕС допринася за постигането на резултати, които са важни за европейците</w:t>
      </w:r>
      <w:r>
        <w:rPr>
          <w:rFonts w:ascii="Times New Roman" w:hAnsi="Times New Roman"/>
          <w:noProof/>
          <w:sz w:val="24"/>
        </w:rPr>
        <w:t>. Като обединяват средства на европейско равнище, държавите членки могат да постигнат повече, отколкото ако действат сами. Заедно с</w:t>
      </w:r>
      <w:r>
        <w:rPr>
          <w:rFonts w:ascii="Times New Roman" w:hAnsi="Times New Roman"/>
          <w:noProof/>
          <w:sz w:val="24"/>
        </w:rPr>
        <w:t xml:space="preserve"> националните бюджети и широк набор от законодателни и регулаторни инструменти бюджетът на ЕС подкрепя споделени цели и спомага за справянето с общи предизвикателства. </w:t>
      </w:r>
    </w:p>
    <w:p w:rsidR="00497646" w:rsidRDefault="00B05ABE">
      <w:pPr>
        <w:spacing w:after="240" w:line="240" w:lineRule="auto"/>
        <w:jc w:val="both"/>
        <w:rPr>
          <w:rFonts w:ascii="Times New Roman" w:eastAsia="Calibri" w:hAnsi="Times New Roman" w:cs="Times New Roman"/>
          <w:noProof/>
          <w:spacing w:val="-6"/>
          <w:sz w:val="24"/>
          <w:szCs w:val="24"/>
        </w:rPr>
      </w:pPr>
      <w:r>
        <w:rPr>
          <w:rFonts w:ascii="Times New Roman" w:hAnsi="Times New Roman"/>
          <w:noProof/>
          <w:spacing w:val="-6"/>
          <w:sz w:val="24"/>
        </w:rPr>
        <w:t>От първата голяма обща политика — селскостопанската — през 60-те години на ХХ век до на</w:t>
      </w:r>
      <w:r>
        <w:rPr>
          <w:rFonts w:ascii="Times New Roman" w:hAnsi="Times New Roman"/>
          <w:noProof/>
          <w:spacing w:val="-6"/>
          <w:sz w:val="24"/>
        </w:rPr>
        <w:t>ши дни, бюджетът на ЕС се промени постепенно, едновременно с изграждането на Европейския съюз.</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През 80-те и 90-те години държавите членки и Европейският парламент разшириха приложното поле на компетенциите на ЕС, като промениха учредителните договори на Съ</w:t>
      </w:r>
      <w:r>
        <w:rPr>
          <w:rFonts w:ascii="Times New Roman" w:hAnsi="Times New Roman"/>
          <w:noProof/>
          <w:sz w:val="24"/>
        </w:rPr>
        <w:t>юза. Признавайки необходимостта от подкрепа за новия единен пазар, те увеличиха наличните средства по структурните фондове в подкрепа на икономическото, социалното и териториалното сближаване. Едновременно с това ЕС засили ролята си в области като транспор</w:t>
      </w:r>
      <w:r>
        <w:rPr>
          <w:rFonts w:ascii="Times New Roman" w:hAnsi="Times New Roman"/>
          <w:noProof/>
          <w:sz w:val="24"/>
        </w:rPr>
        <w:t xml:space="preserve">та, космическото пространство, здравеопазването, образованието и културата, защитата на потребителите, околната среда, научните изследвания, сътрудничеството в областта на правосъдието и външната политика.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u w:val="single"/>
        </w:rPr>
        <w:t>Области, финансирани от бюджета на ЕС</w:t>
      </w:r>
      <w:r>
        <w:rPr>
          <w:rFonts w:ascii="Times New Roman" w:hAnsi="Times New Roman"/>
          <w:noProof/>
          <w:sz w:val="24"/>
        </w:rPr>
        <w:t xml:space="preserve"> (2014—2020 </w:t>
      </w:r>
      <w:r>
        <w:rPr>
          <w:rFonts w:ascii="Times New Roman" w:hAnsi="Times New Roman"/>
          <w:noProof/>
          <w:sz w:val="24"/>
        </w:rPr>
        <w:t>г.)</w:t>
      </w:r>
    </w:p>
    <w:p w:rsidR="00497646" w:rsidRDefault="00B05ABE">
      <w:pPr>
        <w:spacing w:after="120" w:line="240" w:lineRule="auto"/>
        <w:jc w:val="both"/>
        <w:rPr>
          <w:rFonts w:ascii="Times New Roman" w:hAnsi="Times New Roman" w:cs="Times New Roman"/>
          <w:noProof/>
          <w:sz w:val="24"/>
          <w:szCs w:val="24"/>
        </w:rPr>
      </w:pPr>
      <w:r>
        <w:rPr>
          <w:rFonts w:ascii="Times New Roman" w:hAnsi="Times New Roman"/>
          <w:noProof/>
          <w:sz w:val="24"/>
        </w:rPr>
        <w:t>в милиони евро</w:t>
      </w:r>
    </w:p>
    <w:p w:rsidR="00497646" w:rsidRDefault="00B05ABE">
      <w:pPr>
        <w:spacing w:after="240" w:line="240" w:lineRule="auto"/>
        <w:jc w:val="both"/>
        <w:rPr>
          <w:rFonts w:ascii="Times New Roman" w:hAnsi="Times New Roman" w:cs="Times New Roman"/>
          <w:noProof/>
          <w:sz w:val="24"/>
          <w:szCs w:val="24"/>
        </w:rPr>
      </w:pPr>
      <w:r>
        <w:rPr>
          <w:noProof/>
          <w:lang w:val="en-GB" w:eastAsia="en-GB" w:bidi="ar-SA"/>
        </w:rPr>
        <w:drawing>
          <wp:inline distT="0" distB="0" distL="0" distR="0">
            <wp:extent cx="5829300" cy="367259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30790" cy="3673534"/>
                    </a:xfrm>
                    <a:prstGeom prst="rect">
                      <a:avLst/>
                    </a:prstGeom>
                  </pic:spPr>
                </pic:pic>
              </a:graphicData>
            </a:graphic>
          </wp:inline>
        </w:drawing>
      </w:r>
    </w:p>
    <w:p w:rsidR="00497646" w:rsidRDefault="00B05ABE">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lastRenderedPageBreak/>
        <w:t>Забележка: Поети задължения: преизчислени за 2018 г.</w:t>
      </w:r>
    </w:p>
    <w:p w:rsidR="00497646" w:rsidRDefault="00B05ABE">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Източник: Европейската комисия</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От 2000 г. насам бюджетът на ЕС бе формиран от присъединяването на 13 нови държави членки с разнообразно социално-икономическо положение, както и от последователните стратегии на ЕС в подкрепа на заетостта и растежа. Също така бюджетът се увеличаваше с нар</w:t>
      </w:r>
      <w:r>
        <w:rPr>
          <w:rFonts w:ascii="Times New Roman" w:hAnsi="Times New Roman"/>
          <w:noProof/>
          <w:sz w:val="24"/>
        </w:rPr>
        <w:t xml:space="preserve">астващата роля на Съюза на международната сцена, в качеството му на лидер в борбата срещу изменението на климата и на най-голям донор на хуманитарна помощ и помощ за развитие в света.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Въпреки това бюджетът на ЕС се запази като малка част от всички публичн</w:t>
      </w:r>
      <w:r>
        <w:rPr>
          <w:rFonts w:ascii="Times New Roman" w:hAnsi="Times New Roman"/>
          <w:noProof/>
          <w:sz w:val="24"/>
        </w:rPr>
        <w:t xml:space="preserve">и разходи в ЕС и представлява по-малко от 1 % от приходите на ЕС и само около 2 % от публичните разходи на ЕС. Този дял намаля с течение на времето. </w:t>
      </w:r>
    </w:p>
    <w:p w:rsidR="00497646" w:rsidRPr="00B05ABE" w:rsidRDefault="00B05ABE">
      <w:pPr>
        <w:keepNext/>
        <w:spacing w:after="240" w:line="240" w:lineRule="auto"/>
        <w:jc w:val="both"/>
        <w:rPr>
          <w:rFonts w:ascii="Times New Roman" w:eastAsia="Calibri" w:hAnsi="Times New Roman" w:cs="Times New Roman"/>
          <w:noProof/>
          <w:sz w:val="24"/>
          <w:szCs w:val="24"/>
          <w:u w:val="single"/>
          <w:lang w:eastAsia="en-US" w:bidi="ar-SA"/>
        </w:rPr>
      </w:pPr>
      <w:r w:rsidRPr="00B05ABE">
        <w:rPr>
          <w:rFonts w:ascii="Times New Roman" w:eastAsia="Calibri" w:hAnsi="Times New Roman" w:cs="Times New Roman"/>
          <w:noProof/>
          <w:sz w:val="24"/>
          <w:szCs w:val="24"/>
          <w:u w:val="single"/>
          <w:lang w:eastAsia="en-US" w:bidi="ar-SA"/>
        </w:rPr>
        <w:t>Бюджетът на ЕС в сравнение с общите приходи и публични разходи на ЕС</w:t>
      </w:r>
    </w:p>
    <w:p w:rsidR="00497646" w:rsidRDefault="00B05ABE">
      <w:pPr>
        <w:spacing w:after="240" w:line="240" w:lineRule="auto"/>
        <w:rPr>
          <w:rFonts w:ascii="Times New Roman" w:eastAsia="Calibri" w:hAnsi="Times New Roman" w:cs="Times New Roman"/>
          <w:noProof/>
          <w:sz w:val="24"/>
          <w:szCs w:val="24"/>
        </w:rPr>
      </w:pPr>
      <w:r>
        <w:rPr>
          <w:noProof/>
          <w:lang w:val="en-GB" w:eastAsia="en-GB" w:bidi="ar-SA"/>
        </w:rPr>
        <w:drawing>
          <wp:inline distT="0" distB="0" distL="0" distR="0">
            <wp:extent cx="3590925" cy="2228215"/>
            <wp:effectExtent l="0" t="0" r="952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90925" cy="2228215"/>
                    </a:xfrm>
                    <a:prstGeom prst="rect">
                      <a:avLst/>
                    </a:prstGeom>
                  </pic:spPr>
                </pic:pic>
              </a:graphicData>
            </a:graphic>
          </wp:inline>
        </w:drawing>
      </w:r>
      <w:r>
        <w:rPr>
          <w:noProof/>
        </w:rPr>
        <w:tab/>
      </w:r>
    </w:p>
    <w:p w:rsidR="00497646" w:rsidRDefault="00B05ABE">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Източник: Европейската комисия</w:t>
      </w:r>
    </w:p>
    <w:p w:rsidR="00497646" w:rsidRDefault="00497646">
      <w:pPr>
        <w:spacing w:after="240" w:line="240" w:lineRule="auto"/>
        <w:rPr>
          <w:rFonts w:ascii="Times New Roman" w:eastAsia="Calibri" w:hAnsi="Times New Roman" w:cs="Times New Roman"/>
          <w:noProof/>
          <w:sz w:val="24"/>
          <w:szCs w:val="24"/>
        </w:rPr>
      </w:pPr>
    </w:p>
    <w:p w:rsidR="00497646" w:rsidRPr="00B05ABE" w:rsidRDefault="00B05ABE">
      <w:pPr>
        <w:keepNext/>
        <w:spacing w:after="240" w:line="240" w:lineRule="auto"/>
        <w:jc w:val="both"/>
        <w:rPr>
          <w:rFonts w:ascii="Times New Roman" w:eastAsia="Calibri" w:hAnsi="Times New Roman" w:cs="Times New Roman"/>
          <w:noProof/>
          <w:sz w:val="24"/>
          <w:szCs w:val="24"/>
          <w:u w:val="single"/>
          <w:lang w:eastAsia="en-US" w:bidi="ar-SA"/>
        </w:rPr>
      </w:pPr>
      <w:r w:rsidRPr="00B05ABE">
        <w:rPr>
          <w:rFonts w:ascii="Times New Roman" w:eastAsia="Calibri" w:hAnsi="Times New Roman" w:cs="Times New Roman"/>
          <w:noProof/>
          <w:sz w:val="24"/>
          <w:szCs w:val="24"/>
          <w:u w:val="single"/>
          <w:lang w:eastAsia="en-US" w:bidi="ar-SA"/>
        </w:rPr>
        <w:t>Ра</w:t>
      </w:r>
      <w:r w:rsidRPr="00B05ABE">
        <w:rPr>
          <w:rFonts w:ascii="Times New Roman" w:eastAsia="Calibri" w:hAnsi="Times New Roman" w:cs="Times New Roman"/>
          <w:noProof/>
          <w:sz w:val="24"/>
          <w:szCs w:val="24"/>
          <w:u w:val="single"/>
          <w:lang w:eastAsia="en-US" w:bidi="ar-SA"/>
        </w:rPr>
        <w:t>змер на бюджета на ЕС като процент от брутния национален доход</w:t>
      </w:r>
    </w:p>
    <w:p w:rsidR="00497646" w:rsidRDefault="00B05ABE">
      <w:pPr>
        <w:spacing w:after="240" w:line="240" w:lineRule="auto"/>
        <w:rPr>
          <w:rFonts w:ascii="Times New Roman" w:eastAsia="Calibri" w:hAnsi="Times New Roman" w:cs="Times New Roman"/>
          <w:noProof/>
          <w:sz w:val="24"/>
          <w:szCs w:val="24"/>
        </w:rPr>
      </w:pPr>
      <w:r>
        <w:rPr>
          <w:noProof/>
          <w:lang w:val="en-GB" w:eastAsia="en-GB" w:bidi="ar-SA"/>
        </w:rPr>
        <w:drawing>
          <wp:inline distT="0" distB="0" distL="0" distR="0">
            <wp:extent cx="3762375" cy="2673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62375" cy="2673629"/>
                    </a:xfrm>
                    <a:prstGeom prst="rect">
                      <a:avLst/>
                    </a:prstGeom>
                  </pic:spPr>
                </pic:pic>
              </a:graphicData>
            </a:graphic>
          </wp:inline>
        </w:drawing>
      </w:r>
    </w:p>
    <w:p w:rsidR="00497646" w:rsidRDefault="00B05ABE">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Източник: Европейската комисия</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lastRenderedPageBreak/>
        <w:t>Това намаление доведе до по-голям натиск бюджетът на ЕС да бъде по-ефикасен ида се съсредоточи върху области, където въздействието му е най-силно, и да се гаран</w:t>
      </w:r>
      <w:r>
        <w:rPr>
          <w:rFonts w:ascii="Times New Roman" w:hAnsi="Times New Roman"/>
          <w:noProof/>
          <w:sz w:val="24"/>
        </w:rPr>
        <w:t xml:space="preserve">тира, че обременяващите правила и процедури не пречат на резултатите. </w:t>
      </w:r>
    </w:p>
    <w:p w:rsidR="00497646" w:rsidRDefault="00B05ABE">
      <w:pPr>
        <w:spacing w:after="240" w:line="240" w:lineRule="auto"/>
        <w:jc w:val="both"/>
        <w:rPr>
          <w:rFonts w:ascii="Times New Roman" w:eastAsia="Calibri" w:hAnsi="Times New Roman" w:cs="Times New Roman"/>
          <w:i/>
          <w:noProof/>
          <w:sz w:val="24"/>
          <w:szCs w:val="24"/>
        </w:rPr>
      </w:pPr>
      <w:r>
        <w:rPr>
          <w:rFonts w:ascii="Times New Roman" w:hAnsi="Times New Roman"/>
          <w:noProof/>
          <w:sz w:val="24"/>
        </w:rPr>
        <w:t xml:space="preserve">С течение на времето структурата на бюджета на ЕС се измени. Макар делът на разходите за селско стопанство и сближаване да намаля с течение на времето, за двете политики, взети заедно, </w:t>
      </w:r>
      <w:r>
        <w:rPr>
          <w:rFonts w:ascii="Times New Roman" w:hAnsi="Times New Roman"/>
          <w:noProof/>
          <w:sz w:val="24"/>
        </w:rPr>
        <w:t>все още се изразходват над 70 % от целия бюджет. Разходите все повече се съсредоточават върху области като научните изследвания, трансевропейските мрежи, външната дейност, както и върху програмите, управлявани пряко на европейско равнище.</w:t>
      </w:r>
      <w:r>
        <w:rPr>
          <w:rFonts w:ascii="Times New Roman" w:hAnsi="Times New Roman"/>
          <w:i/>
          <w:noProof/>
          <w:sz w:val="24"/>
        </w:rPr>
        <w:t xml:space="preserve"> </w:t>
      </w:r>
    </w:p>
    <w:p w:rsidR="00497646" w:rsidRDefault="00B05ABE">
      <w:pPr>
        <w:keepNext/>
        <w:spacing w:after="240" w:line="240" w:lineRule="auto"/>
        <w:jc w:val="both"/>
        <w:rPr>
          <w:rFonts w:ascii="Times New Roman" w:eastAsia="Calibri" w:hAnsi="Times New Roman" w:cs="Times New Roman"/>
          <w:noProof/>
          <w:sz w:val="24"/>
          <w:szCs w:val="24"/>
          <w:u w:val="single"/>
          <w:lang w:eastAsia="en-US" w:bidi="ar-SA"/>
        </w:rPr>
      </w:pPr>
      <w:r>
        <w:rPr>
          <w:rFonts w:ascii="Times New Roman" w:eastAsia="Calibri" w:hAnsi="Times New Roman" w:cs="Times New Roman"/>
          <w:noProof/>
          <w:sz w:val="24"/>
          <w:szCs w:val="24"/>
          <w:u w:val="single"/>
          <w:lang w:eastAsia="en-US" w:bidi="ar-SA"/>
        </w:rPr>
        <w:t xml:space="preserve">Развитие на </w:t>
      </w:r>
      <w:r>
        <w:rPr>
          <w:rFonts w:ascii="Times New Roman" w:eastAsia="Calibri" w:hAnsi="Times New Roman" w:cs="Times New Roman"/>
          <w:noProof/>
          <w:sz w:val="24"/>
          <w:szCs w:val="24"/>
          <w:u w:val="single"/>
          <w:lang w:eastAsia="en-US" w:bidi="ar-SA"/>
        </w:rPr>
        <w:t>основните области на политиката в бюджета на ЕС</w:t>
      </w:r>
    </w:p>
    <w:p w:rsidR="00497646" w:rsidRDefault="00497646">
      <w:pPr>
        <w:keepNext/>
        <w:spacing w:after="240" w:line="240" w:lineRule="auto"/>
        <w:jc w:val="both"/>
        <w:rPr>
          <w:rFonts w:ascii="Times New Roman" w:eastAsia="Calibri" w:hAnsi="Times New Roman" w:cs="Times New Roman"/>
          <w:noProof/>
          <w:sz w:val="24"/>
          <w:szCs w:val="24"/>
          <w:u w:val="single"/>
        </w:rPr>
      </w:pPr>
    </w:p>
    <w:p w:rsidR="00497646" w:rsidRDefault="00B05ABE">
      <w:pPr>
        <w:spacing w:after="240" w:line="240" w:lineRule="auto"/>
        <w:jc w:val="both"/>
        <w:rPr>
          <w:rFonts w:ascii="Times New Roman" w:eastAsia="Calibri" w:hAnsi="Times New Roman" w:cs="Times New Roman"/>
          <w:noProof/>
          <w:sz w:val="24"/>
          <w:szCs w:val="24"/>
        </w:rPr>
      </w:pPr>
      <w:r>
        <w:rPr>
          <w:noProof/>
          <w:lang w:val="en-GB" w:eastAsia="en-GB" w:bidi="ar-SA"/>
        </w:rPr>
        <w:drawing>
          <wp:inline distT="0" distB="0" distL="0" distR="0">
            <wp:extent cx="5958205" cy="2563561"/>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58205" cy="2563561"/>
                    </a:xfrm>
                    <a:prstGeom prst="rect">
                      <a:avLst/>
                    </a:prstGeom>
                  </pic:spPr>
                </pic:pic>
              </a:graphicData>
            </a:graphic>
          </wp:inline>
        </w:drawing>
      </w:r>
    </w:p>
    <w:p w:rsidR="00497646" w:rsidRDefault="00B05ABE">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Източник: Европейска комисия</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По време на икономическата и финансовата криза бюджетът на ЕС се оказа мощен инструмент в подкрепа на инвестициите. Поради сериозния натиск върху националните бюджети в много д</w:t>
      </w:r>
      <w:r>
        <w:rPr>
          <w:rFonts w:ascii="Times New Roman" w:hAnsi="Times New Roman"/>
          <w:noProof/>
          <w:sz w:val="24"/>
        </w:rPr>
        <w:t>ържави членки бюджетът на ЕС и по-специално политиката на сближаване след 2008 г. бяха основен източник на стабилни инвестиции, благоприятстващи растежа. В някои държави членки те дори се оказаха основният такъв източник. Европейският фонд за стратегически</w:t>
      </w:r>
      <w:r>
        <w:rPr>
          <w:rFonts w:ascii="Times New Roman" w:hAnsi="Times New Roman"/>
          <w:noProof/>
          <w:sz w:val="24"/>
        </w:rPr>
        <w:t xml:space="preserve"> инвестиции също изигра важна роля за мобилизирането на частни инвестиции в цяла Европа. Това показа по какъв начин бюджетът на ЕС позволява да се реагира бързо на възникващите предизвикателства и да се привлече съществено допълнително финансиране</w:t>
      </w:r>
      <w:r>
        <w:rPr>
          <w:rStyle w:val="FootnoteReference"/>
          <w:rFonts w:ascii="Times New Roman" w:hAnsi="Times New Roman"/>
          <w:noProof/>
          <w:sz w:val="24"/>
        </w:rPr>
        <w:footnoteReference w:id="2"/>
      </w:r>
      <w:r>
        <w:rPr>
          <w:rFonts w:ascii="Times New Roman" w:hAnsi="Times New Roman"/>
          <w:noProof/>
          <w:sz w:val="24"/>
        </w:rPr>
        <w:t>.</w:t>
      </w:r>
    </w:p>
    <w:p w:rsidR="00497646" w:rsidRDefault="00B05ABE">
      <w:pPr>
        <w:rPr>
          <w:rFonts w:ascii="Times New Roman" w:eastAsia="Calibri" w:hAnsi="Times New Roman" w:cs="Times New Roman"/>
          <w:bCs/>
          <w:noProof/>
          <w:sz w:val="24"/>
          <w:szCs w:val="24"/>
          <w:u w:val="single"/>
        </w:rPr>
      </w:pPr>
      <w:r>
        <w:rPr>
          <w:noProof/>
        </w:rPr>
        <w:br w:type="page"/>
      </w:r>
    </w:p>
    <w:p w:rsidR="00497646" w:rsidRDefault="00B05ABE">
      <w:pPr>
        <w:spacing w:after="240" w:line="240" w:lineRule="auto"/>
        <w:jc w:val="both"/>
        <w:rPr>
          <w:rFonts w:ascii="Times New Roman" w:eastAsia="Calibri" w:hAnsi="Times New Roman" w:cs="Times New Roman"/>
          <w:noProof/>
          <w:sz w:val="24"/>
          <w:szCs w:val="24"/>
          <w:u w:val="single"/>
        </w:rPr>
      </w:pPr>
      <w:r>
        <w:rPr>
          <w:rFonts w:ascii="Times New Roman" w:hAnsi="Times New Roman"/>
          <w:noProof/>
          <w:sz w:val="24"/>
          <w:u w:val="single"/>
        </w:rPr>
        <w:t xml:space="preserve">Дял </w:t>
      </w:r>
      <w:r>
        <w:rPr>
          <w:rFonts w:ascii="Times New Roman" w:hAnsi="Times New Roman"/>
          <w:noProof/>
          <w:sz w:val="24"/>
          <w:u w:val="single"/>
        </w:rPr>
        <w:t>на европейските структурни и инвестиционни фондове в публичните инвестиции за периода 2015—2017 г.</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В %</w:t>
      </w:r>
    </w:p>
    <w:p w:rsidR="00497646" w:rsidRDefault="00B05ABE">
      <w:pPr>
        <w:spacing w:after="240" w:line="240" w:lineRule="auto"/>
        <w:jc w:val="both"/>
        <w:rPr>
          <w:rFonts w:ascii="Times New Roman" w:hAnsi="Times New Roman" w:cs="Times New Roman"/>
          <w:noProof/>
          <w:sz w:val="20"/>
          <w:szCs w:val="24"/>
          <w:u w:val="single"/>
        </w:rPr>
      </w:pPr>
      <w:r>
        <w:rPr>
          <w:noProof/>
          <w:lang w:val="en-GB" w:eastAsia="en-GB" w:bidi="ar-SA"/>
        </w:rPr>
        <w:drawing>
          <wp:inline distT="0" distB="0" distL="0" distR="0">
            <wp:extent cx="4429125" cy="3028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29125" cy="3028950"/>
                    </a:xfrm>
                    <a:prstGeom prst="rect">
                      <a:avLst/>
                    </a:prstGeom>
                  </pic:spPr>
                </pic:pic>
              </a:graphicData>
            </a:graphic>
          </wp:inline>
        </w:drawing>
      </w:r>
    </w:p>
    <w:p w:rsidR="00497646" w:rsidRDefault="00B05ABE">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Източник: Европейска комисия</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Бюджетът на ЕС помогна също за европейската реакция на бежанската криза и на заплахите от организираната престъпност и тер</w:t>
      </w:r>
      <w:r>
        <w:rPr>
          <w:rFonts w:ascii="Times New Roman" w:hAnsi="Times New Roman"/>
          <w:noProof/>
          <w:sz w:val="24"/>
        </w:rPr>
        <w:t xml:space="preserve">оризма. Финансирането, заделено за сигурността и миграцията, беше удвоено в подкрепа например на новата европейска гранична и брегова охрана и за да се помогне на държавите членки да приемат значителен приток на бежанци. Отговорът на тези кризи подложи на </w:t>
      </w:r>
      <w:r>
        <w:rPr>
          <w:rFonts w:ascii="Times New Roman" w:hAnsi="Times New Roman"/>
          <w:noProof/>
          <w:sz w:val="24"/>
        </w:rPr>
        <w:t>крайно изпитание гъвкавостта на бюджета.</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В бъдеще предизвикателствата пред Съюза се умножават, като същевременно натискът върху европейските и националните бюджети нараства. Бавното повишение на производителността и инвестициите, демографските промени и </w:t>
      </w:r>
      <w:r>
        <w:rPr>
          <w:rFonts w:ascii="Times New Roman" w:hAnsi="Times New Roman"/>
          <w:noProof/>
          <w:sz w:val="24"/>
        </w:rPr>
        <w:t>други дългосрочни предизвикателства като миграцията, изменението на климата, отбраната, киберпрестъпността и тероризма са все области, където бюджетът на ЕС е призован да играе важна роля.</w:t>
      </w:r>
    </w:p>
    <w:p w:rsidR="00497646" w:rsidRDefault="00B05ABE">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Време е също да разгледаме начина, по който се финансира бюджетът </w:t>
      </w:r>
      <w:r>
        <w:rPr>
          <w:rFonts w:ascii="Times New Roman" w:hAnsi="Times New Roman"/>
          <w:noProof/>
          <w:sz w:val="24"/>
        </w:rPr>
        <w:t>на ЕС. Както разходната страна на бюджета се променя, същото важи и за начина, по който бюджетът на ЕС се финансира. За разлика от националните бюджети Съюзът не може да взема заеми. Вместо това той разчита на финансиране чрез „собствени ресурси“. Понастоя</w:t>
      </w:r>
      <w:r>
        <w:rPr>
          <w:rFonts w:ascii="Times New Roman" w:hAnsi="Times New Roman"/>
          <w:noProof/>
          <w:sz w:val="24"/>
        </w:rPr>
        <w:t>щем съществуват три основни вида собствени ресурси: вноски от държавите членки въз основа на техните доходи, измерени чрез брутния национален доход (БНД), вноски въз основа на данък добавена стойност (ДДС) и мита, събирани по външните граници на Съюза.</w:t>
      </w:r>
    </w:p>
    <w:p w:rsidR="00497646" w:rsidRDefault="00B05ABE">
      <w:pPr>
        <w:spacing w:after="240" w:line="240" w:lineRule="auto"/>
        <w:jc w:val="both"/>
        <w:rPr>
          <w:rFonts w:ascii="Times New Roman" w:hAnsi="Times New Roman"/>
          <w:noProof/>
          <w:sz w:val="24"/>
        </w:rPr>
      </w:pPr>
      <w:r>
        <w:rPr>
          <w:rFonts w:ascii="Times New Roman" w:hAnsi="Times New Roman"/>
          <w:noProof/>
          <w:sz w:val="24"/>
        </w:rPr>
        <w:t>Око</w:t>
      </w:r>
      <w:r>
        <w:rPr>
          <w:rFonts w:ascii="Times New Roman" w:hAnsi="Times New Roman"/>
          <w:noProof/>
          <w:sz w:val="24"/>
        </w:rPr>
        <w:t xml:space="preserve">ло 80 % от бюджета на ЕС се финансира от национални вноски въз основа на БНД и ДДС. Вноските въз основа на БНД обикновено се считат за справедливи, тъй като отразяват по подходящ начин „способността за плащане“ на държавите членки. Митническите приходи се </w:t>
      </w:r>
      <w:r>
        <w:rPr>
          <w:rFonts w:ascii="Times New Roman" w:hAnsi="Times New Roman"/>
          <w:noProof/>
          <w:sz w:val="24"/>
        </w:rPr>
        <w:t>считат за същинския собствен ресурс, тъй като  постъпват от общата търговска политика, чиито приходи се вливат в бюджета на ЕС.</w:t>
      </w:r>
    </w:p>
    <w:p w:rsidR="00497646" w:rsidRPr="00B05ABE" w:rsidRDefault="00B05ABE">
      <w:pPr>
        <w:keepNext/>
        <w:spacing w:after="240" w:line="240" w:lineRule="auto"/>
        <w:jc w:val="both"/>
        <w:rPr>
          <w:rFonts w:ascii="Times New Roman" w:eastAsia="Calibri" w:hAnsi="Times New Roman" w:cs="Times New Roman"/>
          <w:noProof/>
          <w:sz w:val="24"/>
          <w:szCs w:val="24"/>
          <w:u w:val="single"/>
          <w:lang w:eastAsia="en-US" w:bidi="ar-SA"/>
        </w:rPr>
      </w:pPr>
      <w:r w:rsidRPr="00B05ABE">
        <w:rPr>
          <w:rFonts w:ascii="Times New Roman" w:eastAsia="Calibri" w:hAnsi="Times New Roman" w:cs="Times New Roman"/>
          <w:noProof/>
          <w:sz w:val="24"/>
          <w:szCs w:val="24"/>
          <w:u w:val="single"/>
          <w:lang w:eastAsia="en-US" w:bidi="ar-SA"/>
        </w:rPr>
        <w:t>Източници на финансиране на бюджета на ЕС</w:t>
      </w:r>
    </w:p>
    <w:p w:rsidR="00497646" w:rsidRDefault="00B05ABE">
      <w:pPr>
        <w:spacing w:after="240" w:line="240" w:lineRule="auto"/>
        <w:jc w:val="both"/>
        <w:rPr>
          <w:rFonts w:ascii="Times New Roman" w:eastAsia="Calibri" w:hAnsi="Times New Roman" w:cs="Times New Roman"/>
          <w:noProof/>
          <w:sz w:val="24"/>
          <w:szCs w:val="24"/>
        </w:rPr>
      </w:pPr>
      <w:r>
        <w:rPr>
          <w:noProof/>
          <w:lang w:val="en-GB" w:eastAsia="en-GB" w:bidi="ar-SA"/>
        </w:rPr>
        <w:drawing>
          <wp:inline distT="0" distB="0" distL="0" distR="0">
            <wp:extent cx="5958205" cy="2866349"/>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58205" cy="2866349"/>
                    </a:xfrm>
                    <a:prstGeom prst="rect">
                      <a:avLst/>
                    </a:prstGeom>
                  </pic:spPr>
                </pic:pic>
              </a:graphicData>
            </a:graphic>
          </wp:inline>
        </w:drawing>
      </w:r>
    </w:p>
    <w:p w:rsidR="00497646" w:rsidRDefault="00B05ABE">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Източник: Европейската комисия</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Въпреки това с времето бяха въведени редица корекции </w:t>
      </w:r>
      <w:r>
        <w:rPr>
          <w:rFonts w:ascii="Times New Roman" w:hAnsi="Times New Roman"/>
          <w:noProof/>
          <w:sz w:val="24"/>
        </w:rPr>
        <w:t xml:space="preserve">и „отстъпки“, тъй като някои държави членки счетоха своите вноски в бюджета на ЕС за прекалено големи в сравнение с това, което получават обратно от него. Поради това действащата система на финансиране на ЕС стана все по-сложна и непрозрачна.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Тази система</w:t>
      </w:r>
      <w:r>
        <w:rPr>
          <w:rFonts w:ascii="Times New Roman" w:hAnsi="Times New Roman"/>
          <w:noProof/>
          <w:sz w:val="24"/>
        </w:rPr>
        <w:t>, основана преди всичко на вноски от държавите членки, засили също погрешното схващане, че стойността на бюджета на ЕС към дадена държава членка може да бъде измерен чрез нетното салдо на направените вноски и получените средства. Така се пренебрегва същнос</w:t>
      </w:r>
      <w:r>
        <w:rPr>
          <w:rFonts w:ascii="Times New Roman" w:hAnsi="Times New Roman"/>
          <w:noProof/>
          <w:sz w:val="24"/>
        </w:rPr>
        <w:t>тта на един модернизиран бюджет на ЕС: добавената стойност, която се получава от обединяването на ресурсите и постигането на резултати, които некоординираните национални разходи не биха могли да постигнат. Всички тези по-широки икономически ползи твърде че</w:t>
      </w:r>
      <w:r>
        <w:rPr>
          <w:rFonts w:ascii="Times New Roman" w:hAnsi="Times New Roman"/>
          <w:noProof/>
          <w:sz w:val="24"/>
        </w:rPr>
        <w:t xml:space="preserve">сто се пренебрегват, както става и с допълнителната стойност, произтичаща от принадлежността ни към най-голямото икономическо пространство и най-голямата търговска сила в света.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Ако искаме да подобрим ефективността на бюджета на ЕС, трябва да разгледаме и</w:t>
      </w:r>
      <w:r>
        <w:rPr>
          <w:rFonts w:ascii="Times New Roman" w:hAnsi="Times New Roman"/>
          <w:noProof/>
          <w:sz w:val="24"/>
        </w:rPr>
        <w:t xml:space="preserve"> как приходите могат да допринесат за приоритетите на ЕС. Излизането на Обединеното кралство и премахването на свързаните с него отстъпки ще отстрани някои пречки пред реформата на приходната част на бюджета.</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Накрая, с цел да се отговори на различни потреб</w:t>
      </w:r>
      <w:r>
        <w:rPr>
          <w:rFonts w:ascii="Times New Roman" w:hAnsi="Times New Roman"/>
          <w:noProof/>
          <w:sz w:val="24"/>
        </w:rPr>
        <w:t>ности, бюджетът на ЕС беше допълнен с редица нови инструменти и институции. Някои от тях са извън бюджета на ЕС и не се управляват по същите правила. Допълнително финансиране се осигурява от Европейската инвестиционна банка или други органи въз основа на м</w:t>
      </w:r>
      <w:r>
        <w:rPr>
          <w:rFonts w:ascii="Times New Roman" w:hAnsi="Times New Roman"/>
          <w:noProof/>
          <w:sz w:val="24"/>
        </w:rPr>
        <w:t>еждуправителствени споразумения, като например Европейския фонд за развитие, свързан със „специалното партньорство“ с държавите от Африка, Карибите и Тихоокеанския басейн. За преодоляването на външни кризи неотдавна бяха създадени доверителни фондове на Съ</w:t>
      </w:r>
      <w:r>
        <w:rPr>
          <w:rFonts w:ascii="Times New Roman" w:hAnsi="Times New Roman"/>
          <w:noProof/>
          <w:sz w:val="24"/>
        </w:rPr>
        <w:t>юза и други механизми  за обединяване на средства от бюджета на ЕС, държавите членки и други донори. Тази разширена финансова архитектура позволи на Съюза да мобилизира допълнително финансиране, но усложни още повече финансите на ЕС. Графика 7 по-долу дава</w:t>
      </w:r>
      <w:r>
        <w:rPr>
          <w:rFonts w:ascii="Times New Roman" w:hAnsi="Times New Roman"/>
          <w:noProof/>
          <w:sz w:val="24"/>
        </w:rPr>
        <w:t xml:space="preserve"> обща представа за всички елементи на финансирането на ЕС извън неговия бюджет. На нея е показано също кои елементи подлежат на демократичния контрол на Европейския парламент, както и на проверка от Европейската сметна палата. </w:t>
      </w:r>
    </w:p>
    <w:p w:rsidR="00497646" w:rsidRPr="00B05ABE" w:rsidRDefault="00B05ABE">
      <w:pPr>
        <w:keepNext/>
        <w:spacing w:after="120" w:line="240" w:lineRule="auto"/>
        <w:jc w:val="both"/>
        <w:rPr>
          <w:rFonts w:ascii="Times New Roman" w:hAnsi="Times New Roman" w:cs="Times New Roman"/>
          <w:noProof/>
          <w:sz w:val="24"/>
          <w:szCs w:val="24"/>
          <w:u w:val="single"/>
          <w:lang w:eastAsia="en-US" w:bidi="ar-SA"/>
        </w:rPr>
      </w:pPr>
      <w:r w:rsidRPr="00B05ABE">
        <w:rPr>
          <w:rFonts w:ascii="Times New Roman" w:hAnsi="Times New Roman" w:cs="Times New Roman"/>
          <w:noProof/>
          <w:sz w:val="24"/>
          <w:szCs w:val="24"/>
          <w:u w:val="single"/>
          <w:lang w:eastAsia="en-US" w:bidi="ar-SA"/>
        </w:rPr>
        <w:t>Финанси на ЕС: пълната карти</w:t>
      </w:r>
      <w:r w:rsidRPr="00B05ABE">
        <w:rPr>
          <w:rFonts w:ascii="Times New Roman" w:hAnsi="Times New Roman" w:cs="Times New Roman"/>
          <w:noProof/>
          <w:sz w:val="24"/>
          <w:szCs w:val="24"/>
          <w:u w:val="single"/>
          <w:lang w:eastAsia="en-US" w:bidi="ar-SA"/>
        </w:rPr>
        <w:t>на</w:t>
      </w:r>
    </w:p>
    <w:p w:rsidR="00497646" w:rsidRPr="00B05ABE" w:rsidRDefault="00B05ABE">
      <w:pPr>
        <w:keepNext/>
        <w:spacing w:after="240" w:line="240" w:lineRule="auto"/>
        <w:jc w:val="both"/>
        <w:rPr>
          <w:rStyle w:val="A7"/>
          <w:noProof/>
          <w:sz w:val="22"/>
          <w:szCs w:val="22"/>
          <w:lang w:eastAsia="en-US" w:bidi="ar-SA"/>
        </w:rPr>
      </w:pPr>
      <w:r w:rsidRPr="00B05ABE">
        <w:rPr>
          <w:rStyle w:val="A7"/>
          <w:noProof/>
          <w:sz w:val="22"/>
          <w:szCs w:val="22"/>
          <w:lang w:eastAsia="en-US" w:bidi="ar-SA"/>
        </w:rPr>
        <w:t>само за пример, размерът на кръговете не съответства на реалните обеми</w:t>
      </w:r>
    </w:p>
    <w:p w:rsidR="00497646" w:rsidRDefault="00497646">
      <w:pPr>
        <w:spacing w:after="240" w:line="240" w:lineRule="auto"/>
        <w:jc w:val="both"/>
        <w:rPr>
          <w:rFonts w:ascii="Times New Roman" w:hAnsi="Times New Roman" w:cs="Times New Roman"/>
          <w:noProof/>
          <w:color w:val="17365D"/>
          <w:sz w:val="24"/>
          <w:szCs w:val="24"/>
        </w:rPr>
      </w:pPr>
    </w:p>
    <w:p w:rsidR="00497646" w:rsidRDefault="00B05ABE">
      <w:pPr>
        <w:pStyle w:val="PlainText"/>
        <w:spacing w:after="240"/>
        <w:jc w:val="both"/>
        <w:rPr>
          <w:noProof/>
        </w:rPr>
      </w:pPr>
      <w:r>
        <w:rPr>
          <w:noProof/>
          <w:lang w:val="en-GB" w:eastAsia="en-GB" w:bidi="ar-SA"/>
        </w:rPr>
        <w:drawing>
          <wp:inline distT="0" distB="0" distL="0" distR="0">
            <wp:extent cx="5958205" cy="405913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58205" cy="4059130"/>
                    </a:xfrm>
                    <a:prstGeom prst="rect">
                      <a:avLst/>
                    </a:prstGeom>
                  </pic:spPr>
                </pic:pic>
              </a:graphicData>
            </a:graphic>
          </wp:inline>
        </w:drawing>
      </w:r>
    </w:p>
    <w:p w:rsidR="00497646" w:rsidRDefault="00B05ABE">
      <w:pPr>
        <w:spacing w:after="240" w:line="240" w:lineRule="auto"/>
        <w:jc w:val="both"/>
        <w:rPr>
          <w:rFonts w:ascii="Times New Roman" w:hAnsi="Times New Roman" w:cs="Times New Roman"/>
          <w:noProof/>
          <w:sz w:val="20"/>
          <w:szCs w:val="24"/>
          <w:u w:val="single"/>
          <w:lang w:val="en-GB"/>
        </w:rPr>
      </w:pPr>
      <w:r>
        <w:rPr>
          <w:rFonts w:ascii="Times New Roman" w:hAnsi="Times New Roman"/>
          <w:noProof/>
          <w:sz w:val="20"/>
          <w:u w:val="single"/>
        </w:rPr>
        <w:t>Източник: Европейската комисия</w:t>
      </w:r>
    </w:p>
    <w:p w:rsidR="00497646" w:rsidRDefault="00497646">
      <w:pPr>
        <w:rPr>
          <w:noProof/>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9356"/>
      </w:tblGrid>
      <w:tr w:rsidR="00497646">
        <w:tc>
          <w:tcPr>
            <w:tcW w:w="9356" w:type="dxa"/>
            <w:shd w:val="clear" w:color="auto" w:fill="F2F2F2" w:themeFill="background1" w:themeFillShade="F2"/>
          </w:tcPr>
          <w:p w:rsidR="00497646" w:rsidRDefault="00B05ABE">
            <w:pPr>
              <w:pStyle w:val="Subtitle"/>
              <w:rPr>
                <w:noProof/>
              </w:rPr>
            </w:pPr>
            <w:r>
              <w:rPr>
                <w:noProof/>
              </w:rPr>
              <w:br w:type="page"/>
              <w:t>Каре 1: Бюджетът на ЕС накратко – за периода 2014—2020 г.</w:t>
            </w:r>
          </w:p>
          <w:p w:rsidR="00497646" w:rsidRDefault="00B05ABE">
            <w:pPr>
              <w:numPr>
                <w:ilvl w:val="0"/>
                <w:numId w:val="4"/>
              </w:numPr>
              <w:ind w:left="318" w:hanging="284"/>
              <w:jc w:val="both"/>
              <w:rPr>
                <w:rFonts w:eastAsia="Calibri"/>
                <w:noProof/>
                <w:szCs w:val="24"/>
              </w:rPr>
            </w:pPr>
            <w:r>
              <w:rPr>
                <w:noProof/>
              </w:rPr>
              <w:t>представлява около 1 % от БНД на ЕС и 2 % от всички публични разходи;</w:t>
            </w:r>
          </w:p>
          <w:p w:rsidR="00497646" w:rsidRDefault="00B05ABE">
            <w:pPr>
              <w:numPr>
                <w:ilvl w:val="0"/>
                <w:numId w:val="4"/>
              </w:numPr>
              <w:ind w:left="318" w:hanging="284"/>
              <w:jc w:val="both"/>
              <w:rPr>
                <w:rFonts w:eastAsia="Calibri"/>
                <w:noProof/>
                <w:szCs w:val="24"/>
              </w:rPr>
            </w:pPr>
            <w:r>
              <w:rPr>
                <w:noProof/>
              </w:rPr>
              <w:t xml:space="preserve">се определя от </w:t>
            </w:r>
            <w:r>
              <w:rPr>
                <w:noProof/>
              </w:rPr>
              <w:t>многогодишните финансови рамки (МФР) за срок от поне 5 години. Настоящата рамка (2014—2020 г.) предвижда 1087 милиарда евро;</w:t>
            </w:r>
          </w:p>
          <w:p w:rsidR="00497646" w:rsidRDefault="00B05ABE">
            <w:pPr>
              <w:numPr>
                <w:ilvl w:val="0"/>
                <w:numId w:val="4"/>
              </w:numPr>
              <w:ind w:left="318" w:hanging="284"/>
              <w:jc w:val="both"/>
              <w:rPr>
                <w:rFonts w:eastAsia="Calibri"/>
                <w:noProof/>
                <w:szCs w:val="24"/>
              </w:rPr>
            </w:pPr>
            <w:r>
              <w:rPr>
                <w:noProof/>
              </w:rPr>
              <w:t>финансира се в по-голямата си част чрез вноски от всяка държава членка въз основа на нейния относителен доход, заедно с митата, съб</w:t>
            </w:r>
            <w:r>
              <w:rPr>
                <w:noProof/>
              </w:rPr>
              <w:t>рани по външните граници, и малка част от данъка върху добавената стойност. Няма данък на ЕС. Системата за приходи се съгласува между всички държави членки и се ратифицира от националните парламенти;</w:t>
            </w:r>
          </w:p>
          <w:p w:rsidR="00497646" w:rsidRDefault="00B05ABE">
            <w:pPr>
              <w:numPr>
                <w:ilvl w:val="0"/>
                <w:numId w:val="4"/>
              </w:numPr>
              <w:ind w:left="318" w:hanging="284"/>
              <w:jc w:val="both"/>
              <w:rPr>
                <w:rFonts w:eastAsia="Calibri"/>
                <w:noProof/>
                <w:szCs w:val="24"/>
              </w:rPr>
            </w:pPr>
            <w:r>
              <w:rPr>
                <w:noProof/>
              </w:rPr>
              <w:t>чрез политиката на сближаване мобилизира над 480 милиарда евро в инвестиции за целия ЕС, като резултатът от това следва да е например 1 милион предприятия, получаващи подкрепа, 42 милиона граждани с достъп до подобрени здравни услуги, 25 милиона възползвал</w:t>
            </w:r>
            <w:r>
              <w:rPr>
                <w:noProof/>
              </w:rPr>
              <w:t xml:space="preserve">и се от предотвратяване на наводнения и пожари, близо 17 милиона граждани на ЕС свързани към съоръжения за отпадъчни води, други 15 милиона домакинства  с широколентов достъп и над 420 000 нови работни места. Също така 5 милиона европейци ще се възползват </w:t>
            </w:r>
            <w:r>
              <w:rPr>
                <w:noProof/>
              </w:rPr>
              <w:t xml:space="preserve">от програми за обучение и учене през целия живот, а 6,6 милиона деца ще имат достъп до нови, модерни училища и заведения за детски грижи; </w:t>
            </w:r>
          </w:p>
          <w:p w:rsidR="00497646" w:rsidRDefault="00B05ABE">
            <w:pPr>
              <w:numPr>
                <w:ilvl w:val="0"/>
                <w:numId w:val="4"/>
              </w:numPr>
              <w:ind w:left="318" w:hanging="284"/>
              <w:jc w:val="both"/>
              <w:rPr>
                <w:rFonts w:eastAsia="Calibri"/>
                <w:noProof/>
                <w:szCs w:val="24"/>
              </w:rPr>
            </w:pPr>
            <w:r>
              <w:rPr>
                <w:noProof/>
              </w:rPr>
              <w:t>се очаква да привлече инвестиции на стойност най-малко 500 милиарда евро чрез разширения „План Юнкер“ (Европейският ф</w:t>
            </w:r>
            <w:r>
              <w:rPr>
                <w:noProof/>
              </w:rPr>
              <w:t xml:space="preserve">онд за стратегически инвестиции); </w:t>
            </w:r>
          </w:p>
          <w:p w:rsidR="00497646" w:rsidRDefault="00B05ABE">
            <w:pPr>
              <w:numPr>
                <w:ilvl w:val="0"/>
                <w:numId w:val="4"/>
              </w:numPr>
              <w:ind w:left="318" w:hanging="284"/>
              <w:jc w:val="both"/>
              <w:rPr>
                <w:rFonts w:eastAsia="Calibri"/>
                <w:noProof/>
                <w:szCs w:val="24"/>
              </w:rPr>
            </w:pPr>
            <w:r>
              <w:rPr>
                <w:noProof/>
              </w:rPr>
              <w:t>осигурява над 74 милиарда евро за научни изследвания и иновации по програмата „Хоризонт 2020“ , която до момента донесе  6 Нобелови награди, 4 Филдсови медала и открития със световно въздействие (например научните изследв</w:t>
            </w:r>
            <w:r>
              <w:rPr>
                <w:noProof/>
              </w:rPr>
              <w:t>ания за ваксината срещу вируса ебола, преломните научни изследвания в областта на раковите заболявания и болестта на Алцхаймер; въздухоплавателни средства с по-малки емисии на CO2 и на шум);</w:t>
            </w:r>
          </w:p>
          <w:p w:rsidR="00497646" w:rsidRDefault="00B05ABE">
            <w:pPr>
              <w:numPr>
                <w:ilvl w:val="0"/>
                <w:numId w:val="4"/>
              </w:numPr>
              <w:ind w:left="318" w:hanging="284"/>
              <w:jc w:val="both"/>
              <w:rPr>
                <w:rFonts w:eastAsia="Calibri"/>
                <w:noProof/>
                <w:szCs w:val="24"/>
              </w:rPr>
            </w:pPr>
            <w:r>
              <w:rPr>
                <w:noProof/>
              </w:rPr>
              <w:t>предоставя над 30 милиарда евро в подкрепа на трансевропейските м</w:t>
            </w:r>
            <w:r>
              <w:rPr>
                <w:noProof/>
              </w:rPr>
              <w:t xml:space="preserve">режи в областта на транспорта, енергетиката и комуникациите чрез Механизма за свързване на Европа;  </w:t>
            </w:r>
          </w:p>
          <w:p w:rsidR="00497646" w:rsidRDefault="00B05ABE">
            <w:pPr>
              <w:numPr>
                <w:ilvl w:val="0"/>
                <w:numId w:val="4"/>
              </w:numPr>
              <w:ind w:left="318" w:hanging="284"/>
              <w:jc w:val="both"/>
              <w:rPr>
                <w:rFonts w:eastAsia="Calibri"/>
                <w:noProof/>
                <w:szCs w:val="24"/>
              </w:rPr>
            </w:pPr>
            <w:r>
              <w:rPr>
                <w:noProof/>
              </w:rPr>
              <w:t>подкрепя динамичен селскостопански сектор с около 400 милиарда евро в полза на 7 милиона земеделски стопани; подпомага модернизацията на 380 000 селски сто</w:t>
            </w:r>
            <w:r>
              <w:rPr>
                <w:noProof/>
              </w:rPr>
              <w:t xml:space="preserve">панства с 8,7 милиарда евро; развитието на селските райони финансира инвестиции, насочени към биологичното разнообразие, повишаването на енергийната ефективност, създаването на предприятия и модернизирането на производствени съоръжения; </w:t>
            </w:r>
          </w:p>
          <w:p w:rsidR="00497646" w:rsidRDefault="00B05ABE">
            <w:pPr>
              <w:numPr>
                <w:ilvl w:val="0"/>
                <w:numId w:val="4"/>
              </w:numPr>
              <w:ind w:left="318" w:hanging="284"/>
              <w:jc w:val="both"/>
              <w:rPr>
                <w:rFonts w:eastAsia="Calibri"/>
                <w:noProof/>
                <w:szCs w:val="24"/>
              </w:rPr>
            </w:pPr>
            <w:r>
              <w:rPr>
                <w:noProof/>
              </w:rPr>
              <w:t>финансира сателитн</w:t>
            </w:r>
            <w:r>
              <w:rPr>
                <w:noProof/>
              </w:rPr>
              <w:t>ата навигационна система „Галилео“, която до момента е извела в стационарна орбита 15 напълно функциониращи спътника на ЕС; и европейската програма за наблюдение на Земята „Коперник“;</w:t>
            </w:r>
          </w:p>
          <w:p w:rsidR="00497646" w:rsidRDefault="00B05ABE">
            <w:pPr>
              <w:numPr>
                <w:ilvl w:val="0"/>
                <w:numId w:val="4"/>
              </w:numPr>
              <w:ind w:left="318" w:hanging="284"/>
              <w:jc w:val="both"/>
              <w:rPr>
                <w:rFonts w:eastAsia="Calibri"/>
                <w:noProof/>
                <w:szCs w:val="24"/>
              </w:rPr>
            </w:pPr>
            <w:r>
              <w:rPr>
                <w:noProof/>
              </w:rPr>
              <w:t>мобилизира над 17 милиарда евро между 2015 и 2017 г. за справяне с бежан</w:t>
            </w:r>
            <w:r>
              <w:rPr>
                <w:noProof/>
              </w:rPr>
              <w:t xml:space="preserve">ската криза в ЕС и извън него; </w:t>
            </w:r>
          </w:p>
          <w:p w:rsidR="00497646" w:rsidRDefault="00B05ABE">
            <w:pPr>
              <w:numPr>
                <w:ilvl w:val="0"/>
                <w:numId w:val="4"/>
              </w:numPr>
              <w:ind w:left="318" w:hanging="284"/>
              <w:jc w:val="both"/>
              <w:rPr>
                <w:rFonts w:eastAsia="Calibri"/>
                <w:noProof/>
                <w:szCs w:val="24"/>
              </w:rPr>
            </w:pPr>
            <w:r>
              <w:rPr>
                <w:noProof/>
              </w:rPr>
              <w:t>финансира програмата „Еразъм“, насърчаваща мобилността в различни държави на над 9 милиона души, особено студентите и младите хора, през последните 30 години;</w:t>
            </w:r>
          </w:p>
          <w:p w:rsidR="00497646" w:rsidRDefault="00B05ABE">
            <w:pPr>
              <w:numPr>
                <w:ilvl w:val="0"/>
                <w:numId w:val="4"/>
              </w:numPr>
              <w:ind w:left="318" w:hanging="284"/>
              <w:jc w:val="both"/>
              <w:rPr>
                <w:rFonts w:eastAsia="Calibri"/>
                <w:noProof/>
                <w:szCs w:val="24"/>
              </w:rPr>
            </w:pPr>
            <w:r>
              <w:rPr>
                <w:noProof/>
              </w:rPr>
              <w:t>осигурява над 8 милиарда евро за борба с младежката безработица ч</w:t>
            </w:r>
            <w:r>
              <w:rPr>
                <w:noProof/>
              </w:rPr>
              <w:t>рез инициативата за младежка заетост и до момента подкрепа са получили 1,6 милиона млади хора;</w:t>
            </w:r>
          </w:p>
          <w:p w:rsidR="00497646" w:rsidRDefault="00B05ABE">
            <w:pPr>
              <w:numPr>
                <w:ilvl w:val="0"/>
                <w:numId w:val="4"/>
              </w:numPr>
              <w:ind w:left="318" w:hanging="284"/>
              <w:jc w:val="both"/>
              <w:rPr>
                <w:rFonts w:eastAsia="Calibri"/>
                <w:noProof/>
                <w:szCs w:val="24"/>
              </w:rPr>
            </w:pPr>
            <w:r>
              <w:rPr>
                <w:noProof/>
              </w:rPr>
              <w:t xml:space="preserve">преследва целта да заделя 20 % от всички разходи за действия, предназначени за борба с изменението на климата; </w:t>
            </w:r>
          </w:p>
          <w:p w:rsidR="00497646" w:rsidRDefault="00B05ABE">
            <w:pPr>
              <w:numPr>
                <w:ilvl w:val="0"/>
                <w:numId w:val="4"/>
              </w:numPr>
              <w:ind w:left="318" w:hanging="284"/>
              <w:jc w:val="both"/>
              <w:rPr>
                <w:rFonts w:eastAsia="Calibri"/>
                <w:noProof/>
                <w:szCs w:val="24"/>
              </w:rPr>
            </w:pPr>
            <w:r>
              <w:rPr>
                <w:noProof/>
              </w:rPr>
              <w:t>осигурява около 8 милиарда евро за хуманитарна по</w:t>
            </w:r>
            <w:r>
              <w:rPr>
                <w:noProof/>
              </w:rPr>
              <w:t>мощ, с което ЕС е водещ донор на хуманитарна помощ в света.</w:t>
            </w:r>
            <w:r>
              <w:rPr>
                <w:noProof/>
                <w:highlight w:val="yellow"/>
              </w:rPr>
              <w:t xml:space="preserve"> </w:t>
            </w:r>
          </w:p>
        </w:tc>
      </w:tr>
    </w:tbl>
    <w:p w:rsidR="00497646" w:rsidRDefault="00B05ABE">
      <w:pPr>
        <w:rPr>
          <w:rFonts w:asciiTheme="majorHAnsi" w:eastAsiaTheme="majorEastAsia" w:hAnsiTheme="majorHAnsi" w:cstheme="majorBidi"/>
          <w:b/>
          <w:bCs/>
          <w:noProof/>
          <w:color w:val="365F91" w:themeColor="accent1" w:themeShade="BF"/>
          <w:sz w:val="28"/>
          <w:szCs w:val="28"/>
        </w:rPr>
      </w:pPr>
      <w:r>
        <w:rPr>
          <w:noProof/>
        </w:rPr>
        <w:br w:type="page"/>
      </w:r>
    </w:p>
    <w:p w:rsidR="00497646" w:rsidRDefault="00B05ABE">
      <w:pPr>
        <w:pStyle w:val="Heading1"/>
        <w:spacing w:before="120" w:after="240"/>
        <w:ind w:left="709" w:hanging="709"/>
        <w:rPr>
          <w:noProof/>
        </w:rPr>
      </w:pPr>
      <w:r>
        <w:rPr>
          <w:noProof/>
        </w:rPr>
        <w:t>2.</w:t>
      </w:r>
      <w:r>
        <w:rPr>
          <w:noProof/>
        </w:rPr>
        <w:tab/>
        <w:t>ДОБАВЕНАТА СТОЙНОСТ НА ЕВРОПЕЙСКИТЕ ФИНАНСИ</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Целта на ЕС е да насърчава мира, своите ценности и благоденствието на своите граждани. Бюджетът на ЕС подкрепя тази цел съвместно с националните </w:t>
      </w:r>
      <w:r>
        <w:rPr>
          <w:rFonts w:ascii="Times New Roman" w:hAnsi="Times New Roman"/>
          <w:noProof/>
          <w:sz w:val="24"/>
        </w:rPr>
        <w:t>бюджети и в допълнение към другите усилия на европейско и национално равнище.</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Всеки размисъл относно бъдещето на бюджета на ЕС следва да започне с най-основния от всички въпроси — за какво следва да е предназначен бюджетът на ЕС? </w:t>
      </w:r>
      <w:r>
        <w:rPr>
          <w:rFonts w:ascii="Times New Roman" w:hAnsi="Times New Roman"/>
          <w:b/>
          <w:noProof/>
          <w:sz w:val="24"/>
        </w:rPr>
        <w:t>Европейската добавена стой</w:t>
      </w:r>
      <w:r>
        <w:rPr>
          <w:rFonts w:ascii="Times New Roman" w:hAnsi="Times New Roman"/>
          <w:b/>
          <w:noProof/>
          <w:sz w:val="24"/>
        </w:rPr>
        <w:t>ност</w:t>
      </w:r>
      <w:r>
        <w:rPr>
          <w:rFonts w:ascii="Times New Roman" w:hAnsi="Times New Roman"/>
          <w:noProof/>
          <w:sz w:val="24"/>
        </w:rPr>
        <w:t xml:space="preserve"> трябва да бъде в основата на тази дискусия. От една страна европейската добавена стойност се отнася до постигането на целите, заложени в Договора, от друга страна, тя се въплъщава в бюджет, който осигурява обществени блага с европейско измерение или с</w:t>
      </w:r>
      <w:r>
        <w:rPr>
          <w:rFonts w:ascii="Times New Roman" w:hAnsi="Times New Roman"/>
          <w:noProof/>
          <w:sz w:val="24"/>
        </w:rPr>
        <w:t>помага за утвърждаването на нашите основни свободи на единния пазар или икономическия и паричен съюз.</w:t>
      </w:r>
    </w:p>
    <w:p w:rsidR="00497646" w:rsidRDefault="00B05ABE">
      <w:pPr>
        <w:spacing w:after="240" w:line="240" w:lineRule="auto"/>
        <w:jc w:val="both"/>
        <w:rPr>
          <w:rFonts w:ascii="Times New Roman" w:eastAsia="Calibri" w:hAnsi="Times New Roman" w:cs="Times New Roman"/>
          <w:noProof/>
          <w:sz w:val="24"/>
          <w:szCs w:val="24"/>
          <w:u w:val="single"/>
        </w:rPr>
      </w:pPr>
      <w:r>
        <w:rPr>
          <w:rFonts w:ascii="Times New Roman" w:hAnsi="Times New Roman"/>
          <w:noProof/>
          <w:sz w:val="24"/>
          <w:u w:val="single"/>
        </w:rPr>
        <w:t>Европейска добавена стойност и финансиране от бюджета на ЕС</w:t>
      </w:r>
    </w:p>
    <w:p w:rsidR="00497646" w:rsidRDefault="00B05ABE">
      <w:pPr>
        <w:spacing w:after="240" w:line="240" w:lineRule="auto"/>
        <w:jc w:val="both"/>
        <w:rPr>
          <w:rFonts w:ascii="Times New Roman" w:eastAsia="Calibri" w:hAnsi="Times New Roman" w:cs="Times New Roman"/>
          <w:noProof/>
          <w:sz w:val="24"/>
          <w:szCs w:val="24"/>
        </w:rPr>
      </w:pPr>
      <w:r>
        <w:rPr>
          <w:noProof/>
          <w:lang w:val="en-GB" w:eastAsia="en-GB" w:bidi="ar-SA"/>
        </w:rPr>
        <w:drawing>
          <wp:inline distT="0" distB="0" distL="0" distR="0">
            <wp:extent cx="5958205" cy="3983116"/>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58205" cy="3983116"/>
                    </a:xfrm>
                    <a:prstGeom prst="rect">
                      <a:avLst/>
                    </a:prstGeom>
                  </pic:spPr>
                </pic:pic>
              </a:graphicData>
            </a:graphic>
          </wp:inline>
        </w:drawing>
      </w:r>
    </w:p>
    <w:p w:rsidR="00497646" w:rsidRDefault="00B05ABE">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Източник: Европейската комисия</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Европейската добавена стойност отговаря също на принципа за </w:t>
      </w:r>
      <w:r>
        <w:rPr>
          <w:rFonts w:ascii="Times New Roman" w:hAnsi="Times New Roman"/>
          <w:noProof/>
          <w:sz w:val="24"/>
        </w:rPr>
        <w:t>субсидиарност и пропорционалност: ЕС следва да не предприема действия, освен ако те са по-ефективни от действия на национално, регионално или местно равнище. Действията на равнище ЕС следва да се добавят или да допълват националните или регионалните усилия</w:t>
      </w:r>
      <w:r>
        <w:rPr>
          <w:rFonts w:ascii="Times New Roman" w:hAnsi="Times New Roman"/>
          <w:noProof/>
          <w:sz w:val="24"/>
        </w:rPr>
        <w:t>, но не следва да запълват празнините, оставени от недостатъците в националните политики. Добавената стойност може да приеме също формата на избегнати разходи и непреки ползи.</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Тревогите и очакванията на европейските граждани следва да бъдат основен фактор </w:t>
      </w:r>
      <w:r>
        <w:rPr>
          <w:rFonts w:ascii="Times New Roman" w:hAnsi="Times New Roman"/>
          <w:noProof/>
          <w:sz w:val="24"/>
        </w:rPr>
        <w:t>при съставянето на новия бюджет на ЕС. През последните години имаше все повече очаквания към Съюза да се справя с предизвикателства, за които той не разполага нито с правомощия, нито с финансови ресурси.  Това разминаване е възлово в този дебат и е пряко с</w:t>
      </w:r>
      <w:r>
        <w:rPr>
          <w:rFonts w:ascii="Times New Roman" w:hAnsi="Times New Roman"/>
          <w:noProof/>
          <w:sz w:val="24"/>
        </w:rPr>
        <w:t>вързано с размера и гъвкавостта на новия бюджет.</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Европейските данъкоплатци очакват прозрачен бюджет на ЕС, който да е лесен за разбиране и с максимална полза от всяко похарчено евро. Постигнатите резултати трябва да бъдат видими и измерими. За всички полит</w:t>
      </w:r>
      <w:r>
        <w:rPr>
          <w:rFonts w:ascii="Times New Roman" w:hAnsi="Times New Roman"/>
          <w:noProof/>
          <w:sz w:val="24"/>
        </w:rPr>
        <w:t>ики и програми, финансирани от бюджета на ЕС, следва да се укаже ясно какво възнамеряват да постигнат и по какъв начин, както и да се докладва какви са били действителните резултати. Това ще повиши отчетността и ще позволи да бъде проведен информиран общес</w:t>
      </w:r>
      <w:r>
        <w:rPr>
          <w:rFonts w:ascii="Times New Roman" w:hAnsi="Times New Roman"/>
          <w:noProof/>
          <w:sz w:val="24"/>
        </w:rPr>
        <w:t>твен дебат относно начините, по които се използва бюджетът на ЕС. Въпреки известния напредък, постигнат в тази посока по настоящата финансова рамка, а именно в политиката на сближаване, необходими са по-нататъшни стъпки във всички инструменти.</w:t>
      </w:r>
    </w:p>
    <w:p w:rsidR="00497646" w:rsidRDefault="00B05ABE">
      <w:pPr>
        <w:spacing w:before="120" w:after="240" w:line="240" w:lineRule="auto"/>
        <w:jc w:val="both"/>
        <w:rPr>
          <w:rFonts w:ascii="Times New Roman" w:eastAsia="Calibri" w:hAnsi="Times New Roman" w:cs="Times New Roman"/>
          <w:noProof/>
          <w:sz w:val="24"/>
          <w:szCs w:val="24"/>
        </w:rPr>
      </w:pPr>
      <w:r>
        <w:rPr>
          <w:rFonts w:ascii="Times New Roman" w:hAnsi="Times New Roman"/>
          <w:noProof/>
          <w:sz w:val="24"/>
        </w:rPr>
        <w:t>Налице е същ</w:t>
      </w:r>
      <w:r>
        <w:rPr>
          <w:rFonts w:ascii="Times New Roman" w:hAnsi="Times New Roman"/>
          <w:noProof/>
          <w:sz w:val="24"/>
        </w:rPr>
        <w:t xml:space="preserve">о ясна добавена стойност, когато действията на европейско равнище надхвърлят усилията на национално равнище. Примери за това са: </w:t>
      </w:r>
    </w:p>
    <w:p w:rsidR="00497646" w:rsidRDefault="00B05ABE">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hAnsi="Times New Roman"/>
          <w:noProof/>
          <w:sz w:val="24"/>
        </w:rPr>
        <w:t xml:space="preserve">трансграничните програми преобразиха граничните райони, което помогна за премахването на източниците на конфликти и доведе до </w:t>
      </w:r>
      <w:r>
        <w:rPr>
          <w:rFonts w:ascii="Times New Roman" w:hAnsi="Times New Roman"/>
          <w:noProof/>
          <w:sz w:val="24"/>
        </w:rPr>
        <w:t xml:space="preserve">нови икономически възможности. </w:t>
      </w:r>
    </w:p>
    <w:p w:rsidR="00497646" w:rsidRDefault="00B05ABE">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hAnsi="Times New Roman"/>
          <w:noProof/>
          <w:sz w:val="24"/>
        </w:rPr>
        <w:t>По същия начин транснационалната енергийна инфраструктура, като междусистемните връзки (например между Малта и Италия), цифровите мрежи, научноизследователска инфраструктура или тунелите (например железопътния тунел Бренер в</w:t>
      </w:r>
      <w:r>
        <w:rPr>
          <w:rFonts w:ascii="Times New Roman" w:hAnsi="Times New Roman"/>
          <w:noProof/>
          <w:sz w:val="24"/>
        </w:rPr>
        <w:t xml:space="preserve"> Алпите между Австрия и Италия) са в полза на гражданите и предприятията в целия ЕС. </w:t>
      </w:r>
    </w:p>
    <w:p w:rsidR="00497646" w:rsidRDefault="00B05ABE">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hAnsi="Times New Roman"/>
          <w:noProof/>
          <w:sz w:val="24"/>
        </w:rPr>
        <w:t>Инвестициите, направени в рамките на политиката на сближаване в един регион или държава членка, допринасят за макроикономическа стабилност и увеличават потенциала за раст</w:t>
      </w:r>
      <w:r>
        <w:rPr>
          <w:rFonts w:ascii="Times New Roman" w:hAnsi="Times New Roman"/>
          <w:noProof/>
          <w:sz w:val="24"/>
        </w:rPr>
        <w:t xml:space="preserve">еж на Съюза като цяло. </w:t>
      </w:r>
    </w:p>
    <w:p w:rsidR="00497646" w:rsidRDefault="00B05ABE">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hAnsi="Times New Roman"/>
          <w:noProof/>
          <w:sz w:val="24"/>
        </w:rPr>
        <w:t xml:space="preserve">По подобен начин контролът по южните и източните външни граници  недвусмислено обслужва защитата на останалата част на Европа. </w:t>
      </w:r>
    </w:p>
    <w:p w:rsidR="00497646" w:rsidRDefault="00B05ABE">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hAnsi="Times New Roman"/>
          <w:noProof/>
          <w:sz w:val="24"/>
        </w:rPr>
        <w:t>Помощта и инвестициите в държавите партньори дават възможност за изграждане на по-устойчиви общества.</w:t>
      </w:r>
    </w:p>
    <w:p w:rsidR="00497646" w:rsidRDefault="00B05ABE">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hAnsi="Times New Roman"/>
          <w:noProof/>
          <w:sz w:val="24"/>
        </w:rPr>
        <w:t>Откритата конкуренция на равнище ЕС за финансиране на науката и иновациите увеличи върховите постижения в сравнение с националното финансиране (напр. научни публикации с по-голямо въздействие, брой и качество на патентите) и привлича световни таланти.</w:t>
      </w:r>
    </w:p>
    <w:p w:rsidR="00497646" w:rsidRDefault="00B05ABE">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hAnsi="Times New Roman"/>
          <w:noProof/>
          <w:sz w:val="24"/>
        </w:rPr>
        <w:t>Друг</w:t>
      </w:r>
      <w:r>
        <w:rPr>
          <w:rFonts w:ascii="Times New Roman" w:hAnsi="Times New Roman"/>
          <w:noProof/>
          <w:sz w:val="24"/>
        </w:rPr>
        <w:t>и големи проекти и ключови базови технологии, например „Галилео“, „Коперник“, ITER</w:t>
      </w:r>
      <w:r>
        <w:rPr>
          <w:rStyle w:val="FootnoteReference"/>
          <w:rFonts w:ascii="Times New Roman" w:hAnsi="Times New Roman"/>
          <w:noProof/>
          <w:sz w:val="24"/>
        </w:rPr>
        <w:footnoteReference w:id="3"/>
      </w:r>
      <w:r>
        <w:rPr>
          <w:rFonts w:ascii="Times New Roman" w:hAnsi="Times New Roman"/>
          <w:noProof/>
          <w:sz w:val="24"/>
        </w:rPr>
        <w:t xml:space="preserve"> или високопроизводителните изчислителни технологии, могат да бъдат финансирани единствено чрез обединяване на ресурси на равнище ЕС поради техните много големи нужди от фин</w:t>
      </w:r>
      <w:r>
        <w:rPr>
          <w:rFonts w:ascii="Times New Roman" w:hAnsi="Times New Roman"/>
          <w:noProof/>
          <w:sz w:val="24"/>
        </w:rPr>
        <w:t xml:space="preserve">ансиране.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Европейските финанси могат също да осигурят добавена стойност в отстояването на общите европейски ценности като демокрацията, свободата, върховенството на закона, основните права, равенството, солидарността, устойчивостта и мира. Например, прогр</w:t>
      </w:r>
      <w:r>
        <w:rPr>
          <w:rFonts w:ascii="Times New Roman" w:hAnsi="Times New Roman"/>
          <w:noProof/>
          <w:sz w:val="24"/>
        </w:rPr>
        <w:t>амата „Еразъм“ и Европейският доброволчески корпус насърчават мобилността и дават възможност на студенти и работници да открият европейските култури, да научат нови езици, да придобият нови умения и трудов стаж в чужбина, както и да изграждат връзки в цяла</w:t>
      </w:r>
      <w:r>
        <w:rPr>
          <w:rFonts w:ascii="Times New Roman" w:hAnsi="Times New Roman"/>
          <w:noProof/>
          <w:sz w:val="24"/>
        </w:rPr>
        <w:t xml:space="preserve"> Европа. Активната роля на ЕС в съседните държави и извън тях и в предоставянето на перспектива за членство в ЕС допринесоха за мира и стабилността. Бездействието в тази област ще се окаже катастрофално, ако в региона отново има нестабилност и война. Някои</w:t>
      </w:r>
      <w:r>
        <w:rPr>
          <w:rFonts w:ascii="Times New Roman" w:hAnsi="Times New Roman"/>
          <w:noProof/>
          <w:sz w:val="24"/>
        </w:rPr>
        <w:t xml:space="preserve"> постижения са по-конкретни и съществени, отколкото други, но всички те са еднакво важни. </w:t>
      </w:r>
    </w:p>
    <w:p w:rsidR="00497646" w:rsidRDefault="00B05ABE">
      <w:pPr>
        <w:spacing w:after="0"/>
        <w:jc w:val="both"/>
        <w:rPr>
          <w:rFonts w:ascii="Times New Roman" w:eastAsia="Calibri" w:hAnsi="Times New Roman" w:cs="Times New Roman"/>
          <w:b/>
          <w:noProof/>
          <w:sz w:val="24"/>
          <w:szCs w:val="24"/>
        </w:rPr>
      </w:pPr>
      <w:r>
        <w:rPr>
          <w:rFonts w:ascii="Times New Roman" w:hAnsi="Times New Roman"/>
          <w:noProof/>
          <w:sz w:val="24"/>
        </w:rPr>
        <w:t xml:space="preserve">И накрая, добавената стойност на бюджета на ЕС зависи също от неговата вътрешна стратегическа последователност. Трябва да се премахнат дублиранията, а инструментите </w:t>
      </w:r>
      <w:r>
        <w:rPr>
          <w:rFonts w:ascii="Times New Roman" w:hAnsi="Times New Roman"/>
          <w:noProof/>
          <w:sz w:val="24"/>
        </w:rPr>
        <w:t>следва да се допълват и да бъдат последователни от гледна точка на политиката.</w:t>
      </w:r>
      <w:r>
        <w:rPr>
          <w:noProof/>
        </w:rPr>
        <w:br w:type="page"/>
      </w:r>
    </w:p>
    <w:p w:rsidR="00497646" w:rsidRDefault="00B05ABE">
      <w:pPr>
        <w:pStyle w:val="Heading1"/>
        <w:spacing w:before="120" w:after="240"/>
        <w:ind w:left="709" w:hanging="709"/>
        <w:rPr>
          <w:noProof/>
        </w:rPr>
      </w:pPr>
      <w:r>
        <w:rPr>
          <w:noProof/>
        </w:rPr>
        <w:t>3.</w:t>
      </w:r>
      <w:r>
        <w:rPr>
          <w:noProof/>
        </w:rPr>
        <w:tab/>
        <w:t>ТЕНДЕНЦИИ И ПРЕДИЗВИКАТЕЛСТВА</w:t>
      </w:r>
    </w:p>
    <w:p w:rsidR="00497646" w:rsidRDefault="00B05ABE">
      <w:pPr>
        <w:spacing w:after="240" w:line="240" w:lineRule="auto"/>
        <w:jc w:val="both"/>
        <w:rPr>
          <w:rFonts w:ascii="Times New Roman" w:hAnsi="Times New Roman" w:cs="Times New Roman"/>
          <w:bCs/>
          <w:noProof/>
          <w:sz w:val="24"/>
          <w:szCs w:val="24"/>
        </w:rPr>
      </w:pPr>
      <w:r>
        <w:rPr>
          <w:rFonts w:ascii="Times New Roman" w:hAnsi="Times New Roman"/>
          <w:noProof/>
          <w:sz w:val="24"/>
        </w:rPr>
        <w:t>В Бялата книга за бъдещето на Европа и предходните документи за размисъл, които бяха разпространени неотдавна, беше посочено, че ЕС с 27 държав</w:t>
      </w:r>
      <w:r>
        <w:rPr>
          <w:rFonts w:ascii="Times New Roman" w:hAnsi="Times New Roman"/>
          <w:noProof/>
          <w:sz w:val="24"/>
        </w:rPr>
        <w:t xml:space="preserve">и членки ще се сблъска с множество предизвикателства в периода до 2025 г. и след това. </w:t>
      </w:r>
    </w:p>
    <w:p w:rsidR="00497646" w:rsidRDefault="00B05ABE">
      <w:pPr>
        <w:spacing w:after="240" w:line="240" w:lineRule="auto"/>
        <w:jc w:val="both"/>
        <w:rPr>
          <w:rFonts w:ascii="Times New Roman" w:hAnsi="Times New Roman" w:cs="Times New Roman"/>
          <w:bCs/>
          <w:noProof/>
          <w:spacing w:val="2"/>
          <w:sz w:val="24"/>
          <w:szCs w:val="24"/>
        </w:rPr>
      </w:pPr>
      <w:r>
        <w:rPr>
          <w:rFonts w:ascii="Times New Roman" w:hAnsi="Times New Roman"/>
          <w:noProof/>
          <w:spacing w:val="2"/>
          <w:sz w:val="24"/>
        </w:rPr>
        <w:t>Сред тези предизвикателства са настоящи тенденции, които ще продължат да се наблюдават и през следващите десетилетия, като например цифровата революция и глобализацията</w:t>
      </w:r>
      <w:r>
        <w:rPr>
          <w:rFonts w:ascii="Times New Roman" w:hAnsi="Times New Roman"/>
          <w:noProof/>
          <w:spacing w:val="2"/>
          <w:sz w:val="24"/>
        </w:rPr>
        <w:t xml:space="preserve">, демографските промени и социалното сближаване, икономическата конвергенция и изменението на климата. Паралелно с това гражданите на Европа очакват от Съюза и националните правителства да осигурят просперитет, стабилност и сигурност в един бързо променящ </w:t>
      </w:r>
      <w:r>
        <w:rPr>
          <w:rFonts w:ascii="Times New Roman" w:hAnsi="Times New Roman"/>
          <w:noProof/>
          <w:spacing w:val="2"/>
          <w:sz w:val="24"/>
        </w:rPr>
        <w:t>се и несигурен свят</w:t>
      </w:r>
      <w:r>
        <w:rPr>
          <w:rStyle w:val="FootnoteReference"/>
          <w:rFonts w:ascii="Times New Roman" w:hAnsi="Times New Roman"/>
          <w:noProof/>
          <w:spacing w:val="2"/>
          <w:sz w:val="24"/>
        </w:rPr>
        <w:footnoteReference w:id="4"/>
      </w:r>
      <w:r>
        <w:rPr>
          <w:rFonts w:ascii="Times New Roman" w:hAnsi="Times New Roman"/>
          <w:noProof/>
          <w:spacing w:val="2"/>
          <w:sz w:val="24"/>
        </w:rPr>
        <w:t xml:space="preserve">. В световен мащаб положението е още по-нестабилно и е възможно в бъдеще да възникнат нови неочаквани предизвикателства.  </w:t>
      </w:r>
    </w:p>
    <w:p w:rsidR="00497646" w:rsidRDefault="00B05ABE">
      <w:pPr>
        <w:spacing w:after="240" w:line="240" w:lineRule="auto"/>
        <w:jc w:val="both"/>
        <w:rPr>
          <w:rFonts w:ascii="Times New Roman" w:hAnsi="Times New Roman" w:cs="Times New Roman"/>
          <w:bCs/>
          <w:noProof/>
          <w:sz w:val="24"/>
          <w:szCs w:val="24"/>
        </w:rPr>
      </w:pPr>
      <w:r>
        <w:rPr>
          <w:rFonts w:ascii="Times New Roman" w:hAnsi="Times New Roman"/>
          <w:noProof/>
          <w:sz w:val="24"/>
        </w:rPr>
        <w:t>Ако сигурността, икономическата мощ, устойчивостта и солидарността следва да бъдат в центъра на действията на ЕС,</w:t>
      </w:r>
      <w:r>
        <w:rPr>
          <w:rFonts w:ascii="Times New Roman" w:hAnsi="Times New Roman"/>
          <w:noProof/>
          <w:sz w:val="24"/>
        </w:rPr>
        <w:t xml:space="preserve"> свързани с тези нови предизвикателства и настоящите тенденции, дали настоящият бюджет на ЕС разполага с необходимите ресурси, за да могат да бъдат предприети съответните действия? По какъв начин изразходваните от ЕС средства съответстват на тези приоритет</w:t>
      </w:r>
      <w:r>
        <w:rPr>
          <w:rFonts w:ascii="Times New Roman" w:hAnsi="Times New Roman"/>
          <w:noProof/>
          <w:sz w:val="24"/>
        </w:rPr>
        <w:t>и? Има ли възможност за внасянето на подобрения?</w:t>
      </w:r>
    </w:p>
    <w:p w:rsidR="00497646" w:rsidRDefault="00B05ABE">
      <w:pPr>
        <w:pStyle w:val="Heading2"/>
        <w:rPr>
          <w:noProof/>
        </w:rPr>
      </w:pPr>
      <w:r>
        <w:rPr>
          <w:noProof/>
        </w:rPr>
        <w:t>3.1</w:t>
      </w:r>
      <w:r>
        <w:rPr>
          <w:noProof/>
        </w:rPr>
        <w:tab/>
        <w:t>Сигурност и безопасност за гражданите на Съюза</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Нестабилността в съседни на Европа държави и новите форми на тероризъм пораждат значителни предизвикателства на нашата територия и извън нея. Сигурността на</w:t>
      </w:r>
      <w:r>
        <w:rPr>
          <w:rFonts w:ascii="Times New Roman" w:hAnsi="Times New Roman"/>
          <w:noProof/>
          <w:sz w:val="24"/>
        </w:rPr>
        <w:t xml:space="preserve"> една държава членка вече означава сигурността на целия ЕС. Много от механизмите за установяването на по-голяма сигурност за всички граждани са поверени на държавите членки, но ЕС също играе ключова роля независимо дали става въпрос за повишаване на контро</w:t>
      </w:r>
      <w:r>
        <w:rPr>
          <w:rFonts w:ascii="Times New Roman" w:hAnsi="Times New Roman"/>
          <w:noProof/>
          <w:sz w:val="24"/>
        </w:rPr>
        <w:t>ла на външните граници, укрепване на надеждните информационни мрежи, увеличаване на предоставяното от агенциите подпомагане или справяне с нарасналата нестабилност в съседни на Съюза държави.</w:t>
      </w:r>
    </w:p>
    <w:p w:rsidR="00497646" w:rsidRDefault="00B05ABE">
      <w:pPr>
        <w:spacing w:after="240" w:line="240" w:lineRule="auto"/>
        <w:jc w:val="both"/>
        <w:rPr>
          <w:rFonts w:ascii="Times New Roman" w:eastAsia="Calibri" w:hAnsi="Times New Roman" w:cs="Times New Roman"/>
          <w:noProof/>
          <w:spacing w:val="2"/>
          <w:sz w:val="24"/>
          <w:szCs w:val="24"/>
        </w:rPr>
      </w:pPr>
      <w:r>
        <w:rPr>
          <w:rFonts w:ascii="Times New Roman" w:hAnsi="Times New Roman"/>
          <w:noProof/>
          <w:spacing w:val="2"/>
          <w:sz w:val="24"/>
        </w:rPr>
        <w:t xml:space="preserve">Опасностите, свързани със сигурността и безопасността, касаят и </w:t>
      </w:r>
      <w:r>
        <w:rPr>
          <w:rFonts w:ascii="Times New Roman" w:hAnsi="Times New Roman"/>
          <w:noProof/>
          <w:spacing w:val="2"/>
          <w:sz w:val="24"/>
        </w:rPr>
        <w:t>други сфери, като например защитата на устойчиви хранителни вериги и механизми за ответни действия при рискове за общественото здраве (например болестта „луда крава“ или чумата по свинете, замърсяването на водите и химикалите). Друг пример са съвместните у</w:t>
      </w:r>
      <w:r>
        <w:rPr>
          <w:rFonts w:ascii="Times New Roman" w:hAnsi="Times New Roman"/>
          <w:noProof/>
          <w:spacing w:val="2"/>
          <w:sz w:val="24"/>
        </w:rPr>
        <w:t>силия за борба с болести в световен мащаб (например ебола), които могат да имат опустошително въздействие както върху трети държави, така и върху европейски граждани. Друга област е ответната реакция в случай на природни бедствия или на бедствия, причинени</w:t>
      </w:r>
      <w:r>
        <w:rPr>
          <w:rFonts w:ascii="Times New Roman" w:hAnsi="Times New Roman"/>
          <w:noProof/>
          <w:spacing w:val="2"/>
          <w:sz w:val="24"/>
        </w:rPr>
        <w:t xml:space="preserve"> от човека.</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Трябва да решим каква би могла да бъде ролята на бюджета на ЕС за подпомагане на подготвянето на действия на ЕС в областта на свободата, сигурността и правосъдието, както и, наред с другото, за изпълнението на Глобалната стратегия</w:t>
      </w:r>
      <w:r>
        <w:rPr>
          <w:rStyle w:val="FootnoteReference"/>
          <w:rFonts w:ascii="Times New Roman" w:hAnsi="Times New Roman"/>
          <w:noProof/>
          <w:sz w:val="24"/>
        </w:rPr>
        <w:footnoteReference w:id="5"/>
      </w:r>
      <w:r>
        <w:rPr>
          <w:rFonts w:ascii="Times New Roman" w:hAnsi="Times New Roman"/>
          <w:noProof/>
          <w:sz w:val="24"/>
        </w:rPr>
        <w:t xml:space="preserve"> и за изготвя</w:t>
      </w:r>
      <w:r>
        <w:rPr>
          <w:rFonts w:ascii="Times New Roman" w:hAnsi="Times New Roman"/>
          <w:noProof/>
          <w:sz w:val="24"/>
        </w:rPr>
        <w:t>нето на обща политика за отбрана, чрез която да се справим с вече съществуващите и нови заплахи, били те физически или в киберпространството.</w:t>
      </w:r>
    </w:p>
    <w:p w:rsidR="00497646" w:rsidRDefault="00B05ABE">
      <w:pPr>
        <w:pStyle w:val="Heading2"/>
        <w:rPr>
          <w:noProof/>
        </w:rPr>
      </w:pPr>
      <w:r>
        <w:rPr>
          <w:noProof/>
        </w:rPr>
        <w:t>3.2</w:t>
      </w:r>
      <w:r>
        <w:rPr>
          <w:noProof/>
        </w:rPr>
        <w:tab/>
        <w:t xml:space="preserve">Икономическа мощ, устойчивост и солидарност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Бюджетът на ЕС следва да продължи да допринася за засилването на </w:t>
      </w:r>
      <w:r>
        <w:rPr>
          <w:rFonts w:ascii="Times New Roman" w:hAnsi="Times New Roman"/>
          <w:noProof/>
          <w:sz w:val="24"/>
        </w:rPr>
        <w:t>европейската икономика и за повишаването на устойчивостта ѝ, като насърчава дългосрочната конкурентоспособност, устойчивост и солидарност.</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Устойчивото развитие отдавна заема централно място в европейския проект. Европейските общества днес са изправени пред</w:t>
      </w:r>
      <w:r>
        <w:rPr>
          <w:rFonts w:ascii="Times New Roman" w:hAnsi="Times New Roman"/>
          <w:noProof/>
          <w:sz w:val="24"/>
        </w:rPr>
        <w:t xml:space="preserve"> множество предизвикателства, засягащи устойчивостта — от безработицата сред младите хора до застаряващото население, изменението на климата, замърсяването, устойчивата енергия и миграцията. Програмата на Организацията на обединените нации за устойчиво раз</w:t>
      </w:r>
      <w:r>
        <w:rPr>
          <w:rFonts w:ascii="Times New Roman" w:hAnsi="Times New Roman"/>
          <w:noProof/>
          <w:sz w:val="24"/>
        </w:rPr>
        <w:t xml:space="preserve">витие до 2030 г. и целите за устойчиво развитие [вж. фигурата по-долу] представляват опората на политиката на ЕС както във вътрешен, така и във външен план. </w:t>
      </w:r>
    </w:p>
    <w:p w:rsidR="00497646" w:rsidRPr="00B05ABE" w:rsidRDefault="00B05ABE">
      <w:pPr>
        <w:keepNext/>
        <w:spacing w:after="240" w:line="240" w:lineRule="auto"/>
        <w:rPr>
          <w:rFonts w:ascii="Times New Roman" w:eastAsia="Calibri" w:hAnsi="Times New Roman" w:cs="Times New Roman"/>
          <w:noProof/>
          <w:sz w:val="24"/>
          <w:szCs w:val="24"/>
          <w:u w:val="single"/>
          <w:lang w:eastAsia="en-US" w:bidi="ar-SA"/>
        </w:rPr>
      </w:pPr>
      <w:r w:rsidRPr="00B05ABE">
        <w:rPr>
          <w:rFonts w:ascii="Times New Roman" w:eastAsia="Calibri" w:hAnsi="Times New Roman" w:cs="Times New Roman"/>
          <w:noProof/>
          <w:sz w:val="24"/>
          <w:szCs w:val="24"/>
          <w:u w:val="single"/>
          <w:lang w:eastAsia="en-US" w:bidi="ar-SA"/>
        </w:rPr>
        <w:t xml:space="preserve">Целите за устойчиво развитие в центъра на политиката на ЕС за устойчивост </w:t>
      </w:r>
    </w:p>
    <w:p w:rsidR="00497646" w:rsidRDefault="00B05ABE">
      <w:pPr>
        <w:spacing w:after="240" w:line="240" w:lineRule="auto"/>
        <w:jc w:val="both"/>
        <w:rPr>
          <w:rFonts w:ascii="Times New Roman" w:eastAsia="Calibri" w:hAnsi="Times New Roman" w:cs="Times New Roman"/>
          <w:noProof/>
          <w:sz w:val="24"/>
          <w:szCs w:val="24"/>
        </w:rPr>
      </w:pPr>
      <w:r>
        <w:rPr>
          <w:noProof/>
          <w:lang w:val="en-GB" w:eastAsia="en-GB" w:bidi="ar-SA"/>
        </w:rPr>
        <w:drawing>
          <wp:inline distT="0" distB="0" distL="0" distR="0">
            <wp:extent cx="5958205" cy="2032732"/>
            <wp:effectExtent l="0" t="0" r="444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58205" cy="2032732"/>
                    </a:xfrm>
                    <a:prstGeom prst="rect">
                      <a:avLst/>
                    </a:prstGeom>
                  </pic:spPr>
                </pic:pic>
              </a:graphicData>
            </a:graphic>
          </wp:inline>
        </w:drawing>
      </w:r>
    </w:p>
    <w:p w:rsidR="00497646" w:rsidRDefault="00B05ABE">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Източник: Организация</w:t>
      </w:r>
      <w:r>
        <w:rPr>
          <w:rFonts w:ascii="Times New Roman" w:hAnsi="Times New Roman"/>
          <w:noProof/>
          <w:sz w:val="20"/>
          <w:u w:val="single"/>
        </w:rPr>
        <w:t xml:space="preserve"> на обединените нации</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Икономическото, социалното и екологичното измерение, стоящи в центъра на целите за устойчиво развитие, бяха до голяма степен включени в бюджета на ЕС и неговите програми за изразходване на средства. Те бяха интегрирани в стратегията „</w:t>
      </w:r>
      <w:r>
        <w:rPr>
          <w:rFonts w:ascii="Times New Roman" w:hAnsi="Times New Roman"/>
          <w:noProof/>
          <w:sz w:val="24"/>
        </w:rPr>
        <w:t>Европа 2020“, ориентирана към образованието и иновациите („интелигентност“), ниските въглеродни емисии, устойчивостта към изменението на климата и опазването на околната среда („устойчивост“), както и създаването на работни места и намаляването на бедностт</w:t>
      </w:r>
      <w:r>
        <w:rPr>
          <w:rFonts w:ascii="Times New Roman" w:hAnsi="Times New Roman"/>
          <w:noProof/>
          <w:sz w:val="24"/>
        </w:rPr>
        <w:t>а („приобщаване“). Освен това беше поет политически ангажимент поне 20 % от бюджета на ЕС за 2014—2020 г. да се заделят за действия в областта на климата и официалната помощ за развитие да достигне 0,7 % от БНД в контекста на програмата до 2030 г.</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Насърчав</w:t>
      </w:r>
      <w:r>
        <w:rPr>
          <w:rFonts w:ascii="Times New Roman" w:hAnsi="Times New Roman"/>
          <w:noProof/>
          <w:sz w:val="24"/>
        </w:rPr>
        <w:t>ането на конкурентоспособността и преустановяването на процеса на нарастващо социално разделение са значими предизвикателства за Съюза и за еврозоната в частност. Целите трябва да бъдат намаляване на икономическите и социалните различия между държавите чле</w:t>
      </w:r>
      <w:r>
        <w:rPr>
          <w:rFonts w:ascii="Times New Roman" w:hAnsi="Times New Roman"/>
          <w:noProof/>
          <w:sz w:val="24"/>
        </w:rPr>
        <w:t>нки и в самите тях и предоставяне на възможност хората да изпълняват пълноценно ролята си в обществото. Разходите на ЕС в социалната сфера — от пазара на труда до намаляването на безработицата и от социалното приобщаване до образованието — представляват по</w:t>
      </w:r>
      <w:r>
        <w:rPr>
          <w:rFonts w:ascii="Times New Roman" w:hAnsi="Times New Roman"/>
          <w:noProof/>
          <w:sz w:val="24"/>
        </w:rPr>
        <w:t xml:space="preserve">настоящем едва 0,3 % от общия размер на публичните социални разходи в ЕС. В бъдеще този процент може да бъде променен, но няма съмнение, че социалното подпомагане ще продължи да бъде отговорност основно на държавите членки. В Документа за размисъл относно </w:t>
      </w:r>
      <w:r>
        <w:rPr>
          <w:rFonts w:ascii="Times New Roman" w:hAnsi="Times New Roman"/>
          <w:noProof/>
          <w:sz w:val="24"/>
        </w:rPr>
        <w:t>социалното измерение на Европа бяха посочени сферите, в които приносът на финансите на ЕС може да бъде по-голям в бъдеще в зависимост от посоката на развитие, която ще бъде избрана за бъдещата социална политика на ЕС.</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Ползите от глобализацията са неравноме</w:t>
      </w:r>
      <w:r>
        <w:rPr>
          <w:rFonts w:ascii="Times New Roman" w:hAnsi="Times New Roman"/>
          <w:noProof/>
          <w:sz w:val="24"/>
        </w:rPr>
        <w:t>рно разпределени между хората и териториите, особено между големите метрополи и западащите промишлени и селски райони. Според Документа за размисъл относно извличането на ползите от глобализацията е необходимо икономическите промени, които са резултат от г</w:t>
      </w:r>
      <w:r>
        <w:rPr>
          <w:rFonts w:ascii="Times New Roman" w:hAnsi="Times New Roman"/>
          <w:noProof/>
          <w:sz w:val="24"/>
        </w:rPr>
        <w:t>лобализацията и технологичните промени, да бъдат управлявани, така че всеки гражданин и всеки регион да могат да допринесат за вътрешния пазар и да се възползват от него, както и да станат по-конкурентоспособни и устойчиви.</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Как настоящият бюджет на ЕС отго</w:t>
      </w:r>
      <w:r>
        <w:rPr>
          <w:rFonts w:ascii="Times New Roman" w:hAnsi="Times New Roman"/>
          <w:noProof/>
          <w:sz w:val="24"/>
        </w:rPr>
        <w:t>варя на тези предизвикателства?</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Трите основни функции на всеки публичен бюджет са инвестиране в обществени блага, преразпределяне и макроикономическо стабилизиране. Бюджетът на ЕС изпълнява тези функции, макар и в различна степен. Той финансира обществени </w:t>
      </w:r>
      <w:r>
        <w:rPr>
          <w:rFonts w:ascii="Times New Roman" w:hAnsi="Times New Roman"/>
          <w:noProof/>
          <w:sz w:val="24"/>
        </w:rPr>
        <w:t xml:space="preserve">блага чрез програми, които се управляват пряко на европейско равнище, например „Хоризонт 2020“ за научни изследвания или инструменти като Механизма за свързване на Европа за инфраструктурни инвестиции, както и съвместно с държавите членки и регионите чрез </w:t>
      </w:r>
      <w:r>
        <w:rPr>
          <w:rFonts w:ascii="Times New Roman" w:hAnsi="Times New Roman"/>
          <w:noProof/>
          <w:sz w:val="24"/>
        </w:rPr>
        <w:t>инвестиции, съфинансирани по линия на политиката на сближаване.</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Той постига преразпределяне (съчетано с финансирането и предоставянето на обществени блага) посредством политиката на сближаване, която насърчава икономическата конвергенция и социалното и тер</w:t>
      </w:r>
      <w:r>
        <w:rPr>
          <w:rFonts w:ascii="Times New Roman" w:hAnsi="Times New Roman"/>
          <w:noProof/>
          <w:sz w:val="24"/>
        </w:rPr>
        <w:t xml:space="preserve">иториалното сближаване, посредством подпомагането за развитието на селските райони и посредством подпомагането на доходите на земеделските стопани по линия на общата селскостопанска политика.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Функцията за стабилизиране се изпълнява единствено непряко. Бюд</w:t>
      </w:r>
      <w:r>
        <w:rPr>
          <w:rFonts w:ascii="Times New Roman" w:hAnsi="Times New Roman"/>
          <w:noProof/>
          <w:sz w:val="24"/>
        </w:rPr>
        <w:t>жетът на ЕС има стабилизиращ ефект за някои държави членки, основно заради своята стабилност за период от седем години, чрез която се осигурява постоянно равнище на инвестициите независимо от икономическия цикъл. Успоредно с това вноските на държавите член</w:t>
      </w:r>
      <w:r>
        <w:rPr>
          <w:rFonts w:ascii="Times New Roman" w:hAnsi="Times New Roman"/>
          <w:noProof/>
          <w:sz w:val="24"/>
        </w:rPr>
        <w:t xml:space="preserve">ки са обвързани с икономическите резултати и поради това те ще намалеят, ако има рецесия. И все пак, бюджетът на ЕС не е замислен с идеята да поема макроикономически сътресения.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Важен въпрос, който се повдига в Документа за размисъл относно бъдещето на Ик</w:t>
      </w:r>
      <w:r>
        <w:rPr>
          <w:rFonts w:ascii="Times New Roman" w:hAnsi="Times New Roman"/>
          <w:noProof/>
          <w:sz w:val="24"/>
        </w:rPr>
        <w:t>ономическия и паричен съюз, е дали Комисията следва да обмисли и анализира установяването на такава стабилизираща функция и начини за още по-голямо сближаване.</w:t>
      </w:r>
    </w:p>
    <w:p w:rsidR="00497646" w:rsidRDefault="00B05ABE">
      <w:pPr>
        <w:spacing w:line="240" w:lineRule="auto"/>
        <w:jc w:val="both"/>
        <w:rPr>
          <w:noProof/>
        </w:rPr>
      </w:pPr>
      <w:r>
        <w:rPr>
          <w:rFonts w:ascii="Times New Roman" w:hAnsi="Times New Roman"/>
          <w:noProof/>
          <w:sz w:val="24"/>
        </w:rPr>
        <w:t>И накрая, ефектът от инвестициите зависи от средата, в която се осъществяват тези инвестиции. Им</w:t>
      </w:r>
      <w:r>
        <w:rPr>
          <w:rFonts w:ascii="Times New Roman" w:hAnsi="Times New Roman"/>
          <w:noProof/>
          <w:sz w:val="24"/>
        </w:rPr>
        <w:t>енно поради това дискусиите за връзката между структурните реформи и бюджета на ЕС наскоро придобиха такава популярност. Такава връзка беше въведена за политиката на сближаване, но е необходимо да се обмисли дали това е достатъчно и дали стимулите биха мог</w:t>
      </w:r>
      <w:r>
        <w:rPr>
          <w:rFonts w:ascii="Times New Roman" w:hAnsi="Times New Roman"/>
          <w:noProof/>
          <w:sz w:val="24"/>
        </w:rPr>
        <w:t xml:space="preserve">ли да бъдат усъвършенствани. </w:t>
      </w:r>
    </w:p>
    <w:p w:rsidR="00497646" w:rsidRDefault="00B05ABE">
      <w:pPr>
        <w:pStyle w:val="Heading3"/>
        <w:rPr>
          <w:noProof/>
          <w:spacing w:val="-6"/>
        </w:rPr>
      </w:pPr>
      <w:r>
        <w:rPr>
          <w:noProof/>
          <w:spacing w:val="-6"/>
        </w:rPr>
        <w:t>3.2.1</w:t>
      </w:r>
      <w:r>
        <w:rPr>
          <w:noProof/>
          <w:spacing w:val="-6"/>
        </w:rPr>
        <w:tab/>
        <w:t>Инвестиране в обществени блага, което се управлява пряко на европейско равнище</w:t>
      </w:r>
    </w:p>
    <w:p w:rsidR="00497646" w:rsidRDefault="00B05ABE">
      <w:pPr>
        <w:spacing w:after="240" w:line="240" w:lineRule="auto"/>
        <w:jc w:val="both"/>
        <w:rPr>
          <w:rFonts w:ascii="Times New Roman" w:hAnsi="Times New Roman"/>
          <w:noProof/>
          <w:sz w:val="24"/>
        </w:rPr>
      </w:pPr>
      <w:r>
        <w:rPr>
          <w:rFonts w:ascii="Times New Roman" w:hAnsi="Times New Roman"/>
          <w:noProof/>
          <w:sz w:val="24"/>
        </w:rPr>
        <w:t>В многогодишната финансова рамка за периода 2014—2020 г. около 13 % от бюджета на ЕС са предвидени за подпомагане в полза на ключовите приори</w:t>
      </w:r>
      <w:r>
        <w:rPr>
          <w:rFonts w:ascii="Times New Roman" w:hAnsi="Times New Roman"/>
          <w:noProof/>
          <w:sz w:val="24"/>
        </w:rPr>
        <w:t xml:space="preserve">тет за устойчиво развитие чрез програми или проекти, които се управляват пряко или непряко на европейско равнище.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Най-голямата от тези програми е </w:t>
      </w:r>
      <w:r>
        <w:rPr>
          <w:rFonts w:ascii="Times New Roman" w:hAnsi="Times New Roman"/>
          <w:b/>
          <w:noProof/>
          <w:sz w:val="24"/>
        </w:rPr>
        <w:t>Европейският фонд за стратегически инвестиции</w:t>
      </w:r>
      <w:r>
        <w:rPr>
          <w:rFonts w:ascii="Times New Roman" w:hAnsi="Times New Roman"/>
          <w:noProof/>
          <w:sz w:val="24"/>
        </w:rPr>
        <w:t>, създаден от председателя Юнкер през ноември 2014 г. вследствие</w:t>
      </w:r>
      <w:r>
        <w:rPr>
          <w:rFonts w:ascii="Times New Roman" w:hAnsi="Times New Roman"/>
          <w:noProof/>
          <w:sz w:val="24"/>
        </w:rPr>
        <w:t xml:space="preserve"> на финансовата и икономическа криза от 2008—2009 г. и последвалия срив на инвестициите. Той е на път да допринесе за постигането на обявената цел, а именно инвестиции в размер на 315 милиарда евро. Благодарение на предлаганото увеличение Фондът следва да </w:t>
      </w:r>
      <w:r>
        <w:rPr>
          <w:rFonts w:ascii="Times New Roman" w:hAnsi="Times New Roman"/>
          <w:noProof/>
          <w:sz w:val="24"/>
        </w:rPr>
        <w:t>допринесе за инвестиции на обща стойност поне 500 милиарда евро.</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По линия на</w:t>
      </w:r>
      <w:r>
        <w:rPr>
          <w:noProof/>
        </w:rPr>
        <w:t xml:space="preserve"> </w:t>
      </w:r>
      <w:r>
        <w:rPr>
          <w:rFonts w:ascii="Times New Roman" w:hAnsi="Times New Roman"/>
          <w:b/>
          <w:noProof/>
          <w:sz w:val="24"/>
        </w:rPr>
        <w:t>„Хоризонт 2020“</w:t>
      </w:r>
      <w:r>
        <w:rPr>
          <w:noProof/>
        </w:rPr>
        <w:t xml:space="preserve"> </w:t>
      </w:r>
      <w:r>
        <w:rPr>
          <w:rFonts w:ascii="Times New Roman" w:hAnsi="Times New Roman"/>
          <w:noProof/>
          <w:sz w:val="24"/>
        </w:rPr>
        <w:t>— основния инструмент за финансиране на върхови научни изследвания и иновации в Европейския съюз (74,8 милиарда евро) — си сътрудничат 131 държави от целия свят, к</w:t>
      </w:r>
      <w:r>
        <w:rPr>
          <w:rFonts w:ascii="Times New Roman" w:hAnsi="Times New Roman"/>
          <w:noProof/>
          <w:sz w:val="24"/>
        </w:rPr>
        <w:t xml:space="preserve">ато от 2014 г. насам са били финансирани 13 000 висококачествени проекта.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b/>
          <w:noProof/>
          <w:sz w:val="24"/>
        </w:rPr>
        <w:t>Механизмът за свързване на Европа</w:t>
      </w:r>
      <w:r>
        <w:rPr>
          <w:rFonts w:ascii="Times New Roman" w:hAnsi="Times New Roman"/>
          <w:noProof/>
          <w:sz w:val="24"/>
        </w:rPr>
        <w:t xml:space="preserve"> (30,4 милиарда евро) е друг пример за инвестиции на ЕС в основна инфраструктура, свързана с транспортни, енергийни и комуникационни технологии в Ев</w:t>
      </w:r>
      <w:r>
        <w:rPr>
          <w:rFonts w:ascii="Times New Roman" w:hAnsi="Times New Roman"/>
          <w:noProof/>
          <w:sz w:val="24"/>
        </w:rPr>
        <w:t>ропа. Проектите предвиждат повишаване на безопасността на централната железопътна линия в Полша и едновременно с това увеличаване на скоростта на движение по нея до 200 km/h, което като цяло ще подобри  европейския транспорт на товари и пътници по централн</w:t>
      </w:r>
      <w:r>
        <w:rPr>
          <w:rFonts w:ascii="Times New Roman" w:hAnsi="Times New Roman"/>
          <w:noProof/>
          <w:sz w:val="24"/>
        </w:rPr>
        <w:t>обалтийско-адриатическия транспортен коридор.</w:t>
      </w:r>
    </w:p>
    <w:p w:rsidR="00497646" w:rsidRDefault="00B05ABE">
      <w:pPr>
        <w:spacing w:after="240" w:line="240" w:lineRule="auto"/>
        <w:jc w:val="both"/>
        <w:rPr>
          <w:noProof/>
        </w:rPr>
      </w:pPr>
      <w:r>
        <w:rPr>
          <w:rFonts w:ascii="Times New Roman" w:hAnsi="Times New Roman"/>
          <w:b/>
          <w:noProof/>
          <w:sz w:val="24"/>
        </w:rPr>
        <w:t>„Еразъм+“</w:t>
      </w:r>
      <w:r>
        <w:rPr>
          <w:noProof/>
        </w:rPr>
        <w:t xml:space="preserve"> </w:t>
      </w:r>
      <w:r>
        <w:rPr>
          <w:rFonts w:ascii="Times New Roman" w:hAnsi="Times New Roman"/>
          <w:noProof/>
          <w:sz w:val="24"/>
        </w:rPr>
        <w:t xml:space="preserve">(14,8 милиарда евро) е европейската програма за образование, обучение, младеж и спорт, в която до 2016 г. са участвали над 2 милиона души.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Програмата </w:t>
      </w:r>
      <w:r>
        <w:rPr>
          <w:rFonts w:ascii="Times New Roman" w:hAnsi="Times New Roman"/>
          <w:b/>
          <w:noProof/>
          <w:sz w:val="24"/>
        </w:rPr>
        <w:t>COSME</w:t>
      </w:r>
      <w:r>
        <w:rPr>
          <w:rStyle w:val="FootnoteReference"/>
          <w:rFonts w:ascii="Times New Roman" w:hAnsi="Times New Roman"/>
          <w:noProof/>
          <w:sz w:val="24"/>
        </w:rPr>
        <w:footnoteReference w:id="6"/>
      </w:r>
      <w:r>
        <w:rPr>
          <w:rFonts w:ascii="Times New Roman" w:hAnsi="Times New Roman"/>
          <w:noProof/>
          <w:sz w:val="24"/>
        </w:rPr>
        <w:t xml:space="preserve"> (2,3 милиона евро) е насочена към малките </w:t>
      </w:r>
      <w:r>
        <w:rPr>
          <w:rFonts w:ascii="Times New Roman" w:hAnsi="Times New Roman"/>
          <w:noProof/>
          <w:sz w:val="24"/>
        </w:rPr>
        <w:t>и средните предприятия (МСП), като улеснява достъпа до заеми и капиталово финансиране, както и до пазара. Тя предоставя финансиране под формата на заеми, надхвърлящи 5,5 милиарда евро, на над 140 000 дружества. Програмата отчита особеностите на европейския</w:t>
      </w:r>
      <w:r>
        <w:rPr>
          <w:rFonts w:ascii="Times New Roman" w:hAnsi="Times New Roman"/>
          <w:noProof/>
          <w:sz w:val="24"/>
        </w:rPr>
        <w:t xml:space="preserve"> пазар на рисков капитал, инвестирайки в МСП на етапа на техния растеж и разрастване. През 2016 г. капиталовите инвестиции са достигнали почти половин милиард евро.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ЕС финансира още редица </w:t>
      </w:r>
      <w:r>
        <w:rPr>
          <w:rFonts w:ascii="Times New Roman" w:hAnsi="Times New Roman"/>
          <w:b/>
          <w:noProof/>
          <w:sz w:val="24"/>
        </w:rPr>
        <w:t>мащабни проекти и инфраструктури</w:t>
      </w:r>
      <w:r>
        <w:rPr>
          <w:rFonts w:ascii="Times New Roman" w:hAnsi="Times New Roman"/>
          <w:noProof/>
          <w:sz w:val="24"/>
        </w:rPr>
        <w:t>, които са прекалено големи и пора</w:t>
      </w:r>
      <w:r>
        <w:rPr>
          <w:rFonts w:ascii="Times New Roman" w:hAnsi="Times New Roman"/>
          <w:noProof/>
          <w:sz w:val="24"/>
        </w:rPr>
        <w:t xml:space="preserve">ди това не могат да бъдат завършени без публични инвестиции. Показателни примери в това отношение са глобалната навигационна спътникова система на ЕС </w:t>
      </w:r>
      <w:r>
        <w:rPr>
          <w:rFonts w:ascii="Times New Roman" w:hAnsi="Times New Roman"/>
          <w:b/>
          <w:noProof/>
          <w:sz w:val="24"/>
        </w:rPr>
        <w:t>„Галилео“</w:t>
      </w:r>
      <w:r>
        <w:rPr>
          <w:rFonts w:ascii="Times New Roman" w:hAnsi="Times New Roman"/>
          <w:noProof/>
          <w:sz w:val="24"/>
        </w:rPr>
        <w:t>, която предоставя услуги благодарение на 15 пълноценно функциониращи сателита на ЕС, намиращи се</w:t>
      </w:r>
      <w:r>
        <w:rPr>
          <w:rFonts w:ascii="Times New Roman" w:hAnsi="Times New Roman"/>
          <w:noProof/>
          <w:sz w:val="24"/>
        </w:rPr>
        <w:t xml:space="preserve"> понастоящем в орбита, и системата на ЕС за наблюдение на Земята „Коперник“, която е готова да се превърне в един от най-значимите доставчици на големи информационни масиви в света.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Много от тези програми се превърнаха в запазена марка на ЕС и благодарени</w:t>
      </w:r>
      <w:r>
        <w:rPr>
          <w:rFonts w:ascii="Times New Roman" w:hAnsi="Times New Roman"/>
          <w:noProof/>
          <w:sz w:val="24"/>
        </w:rPr>
        <w:t>е на тях ЕС придоби видимост и стана разпознаваем във всекидневния живот на своите граждани.  И все пак, има възможности за подобрения с цел допълнително засилване на изпълнението им и на ефекта от тях, по-специално чрез предотвратяването на припокривания,</w:t>
      </w:r>
      <w:r>
        <w:rPr>
          <w:rFonts w:ascii="Times New Roman" w:hAnsi="Times New Roman"/>
          <w:noProof/>
          <w:sz w:val="24"/>
        </w:rPr>
        <w:t xml:space="preserve"> съчетаването на инструменти и осигуряването на допълняемост и опростяване. Следва ли бюджетните средства за тези програми да се увеличат? Как можем да гарантираме, че те се допълват взаимно? Как могат да се избегнат припокриванията между програми, действа</w:t>
      </w:r>
      <w:r>
        <w:rPr>
          <w:rFonts w:ascii="Times New Roman" w:hAnsi="Times New Roman"/>
          <w:noProof/>
          <w:sz w:val="24"/>
        </w:rPr>
        <w:t>щи в една и съща област, независимо дали става въпрос за мащабни инфраструктури или подпомагане на МСП? Начините за по-добро използване на финансовите инструменти в тази област, за опростяване на съответните правила и за повишаване на гъвкавостта са описан</w:t>
      </w:r>
      <w:r>
        <w:rPr>
          <w:rFonts w:ascii="Times New Roman" w:hAnsi="Times New Roman"/>
          <w:noProof/>
          <w:sz w:val="24"/>
        </w:rPr>
        <w:t>и в точка 4.2.</w:t>
      </w:r>
    </w:p>
    <w:p w:rsidR="00497646" w:rsidRDefault="00B05ABE">
      <w:pPr>
        <w:pStyle w:val="Heading3"/>
        <w:rPr>
          <w:noProof/>
        </w:rPr>
      </w:pPr>
      <w:r>
        <w:rPr>
          <w:noProof/>
        </w:rPr>
        <w:t>3.2.2</w:t>
      </w:r>
      <w:r>
        <w:rPr>
          <w:noProof/>
        </w:rPr>
        <w:tab/>
        <w:t>Икономическо, социално и териториално сближаване</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Докато ползите от глобализацията се разпространяват в щирок мащаб, разходите често се понасят на местно ниво. Нови данни сочат, че за много региони в Европа вероятността да бъдат изложен</w:t>
      </w:r>
      <w:r>
        <w:rPr>
          <w:rFonts w:ascii="Times New Roman" w:hAnsi="Times New Roman"/>
          <w:noProof/>
          <w:sz w:val="24"/>
        </w:rPr>
        <w:t>и на внезапни сътресения е много по-голяма, отколкото за други, заради тяхната икономическа специализация, разходите за труд или образователното ниво на работната сила. Успоредно с това безработицата, особено сред по-младите поколения, продължава да бъде п</w:t>
      </w:r>
      <w:r>
        <w:rPr>
          <w:rFonts w:ascii="Times New Roman" w:hAnsi="Times New Roman"/>
          <w:noProof/>
          <w:sz w:val="24"/>
        </w:rPr>
        <w:t xml:space="preserve">рекалено висока, в много части на Европа участието на пазара на труда е слабо,  а броят на лицата, изложени на риск от бедност, е неприемливо голям.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Тези различия в икономическите и социалните перспективи могат да създадат социално-политическо напрежение </w:t>
      </w:r>
      <w:r>
        <w:rPr>
          <w:rFonts w:ascii="Times New Roman" w:hAnsi="Times New Roman"/>
          <w:noProof/>
          <w:sz w:val="24"/>
        </w:rPr>
        <w:t>и е необходимо ЕС да предприеме целесъобразни действия, за да не бъдат изключени нито едно лице и нито един регион.</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Насърчаването на трайна икономическа конвергенция и устойчивост е основната цел на </w:t>
      </w:r>
      <w:r>
        <w:rPr>
          <w:rFonts w:ascii="Times New Roman" w:hAnsi="Times New Roman"/>
          <w:b/>
          <w:noProof/>
          <w:sz w:val="24"/>
        </w:rPr>
        <w:t>водената от ЕС политиката на сближаване</w:t>
      </w:r>
      <w:r>
        <w:rPr>
          <w:rFonts w:ascii="Times New Roman" w:hAnsi="Times New Roman"/>
          <w:noProof/>
          <w:sz w:val="24"/>
        </w:rPr>
        <w:t>, която заедно с н</w:t>
      </w:r>
      <w:r>
        <w:rPr>
          <w:rFonts w:ascii="Times New Roman" w:hAnsi="Times New Roman"/>
          <w:noProof/>
          <w:sz w:val="24"/>
        </w:rPr>
        <w:t>ационално съфинансиране ще мобилизира над 480 милиарда евро за периода 2014—2020 г.</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Сегашното поколение програми включваха значителни реформи. При тях се отделят повече средства за ключови европейски приоритети, като например заетостта, социалното приобщав</w:t>
      </w:r>
      <w:r>
        <w:rPr>
          <w:rFonts w:ascii="Times New Roman" w:hAnsi="Times New Roman"/>
          <w:noProof/>
          <w:sz w:val="24"/>
        </w:rPr>
        <w:t>ане, уменията, научните изследвания и иновациите, енергийната ефективност и ефективността на ресурсите. Целите на програмите са предопределени. Общата икономическа, правна и институционална рамка за инвестициите беше подобрена. По сходен начин политиката у</w:t>
      </w:r>
      <w:r>
        <w:rPr>
          <w:rFonts w:ascii="Times New Roman" w:hAnsi="Times New Roman"/>
          <w:noProof/>
          <w:sz w:val="24"/>
        </w:rPr>
        <w:t xml:space="preserve">станови тясна връзка между съфинансираните инвестиции и по-широкообхватната програма за икономическо управление и структурните реформи. </w:t>
      </w:r>
    </w:p>
    <w:p w:rsidR="00497646" w:rsidRPr="00B05ABE" w:rsidRDefault="00B05ABE">
      <w:pPr>
        <w:keepNext/>
        <w:spacing w:after="240" w:line="240" w:lineRule="auto"/>
        <w:jc w:val="both"/>
        <w:rPr>
          <w:rFonts w:ascii="Times New Roman" w:hAnsi="Times New Roman" w:cs="Times New Roman"/>
          <w:noProof/>
          <w:sz w:val="24"/>
          <w:szCs w:val="24"/>
          <w:u w:val="single"/>
          <w:lang w:eastAsia="en-US" w:bidi="ar-SA"/>
        </w:rPr>
      </w:pPr>
      <w:r w:rsidRPr="00B05ABE">
        <w:rPr>
          <w:rFonts w:ascii="Times New Roman" w:hAnsi="Times New Roman" w:cs="Times New Roman"/>
          <w:noProof/>
          <w:sz w:val="24"/>
          <w:szCs w:val="24"/>
          <w:u w:val="single"/>
          <w:lang w:eastAsia="en-US" w:bidi="ar-SA"/>
        </w:rPr>
        <w:t xml:space="preserve">Подготвена ли е Европа за глобализацията? </w:t>
      </w:r>
    </w:p>
    <w:p w:rsidR="00497646" w:rsidRDefault="00B05ABE">
      <w:pPr>
        <w:spacing w:after="240" w:line="240" w:lineRule="auto"/>
        <w:jc w:val="both"/>
        <w:rPr>
          <w:rFonts w:ascii="Times New Roman" w:hAnsi="Times New Roman" w:cs="Times New Roman"/>
          <w:noProof/>
          <w:sz w:val="24"/>
          <w:szCs w:val="24"/>
        </w:rPr>
      </w:pPr>
      <w:r>
        <w:rPr>
          <w:noProof/>
          <w:lang w:val="en-GB" w:eastAsia="en-GB" w:bidi="ar-SA"/>
        </w:rPr>
        <w:drawing>
          <wp:inline distT="0" distB="0" distL="0" distR="0">
            <wp:extent cx="5958205" cy="325972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58205" cy="3259720"/>
                    </a:xfrm>
                    <a:prstGeom prst="rect">
                      <a:avLst/>
                    </a:prstGeom>
                  </pic:spPr>
                </pic:pic>
              </a:graphicData>
            </a:graphic>
          </wp:inline>
        </w:drawing>
      </w:r>
    </w:p>
    <w:p w:rsidR="00497646" w:rsidRPr="00B05ABE" w:rsidRDefault="00B05ABE">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Източник: Европейска комисия</w:t>
      </w:r>
    </w:p>
    <w:p w:rsidR="00497646" w:rsidRPr="00B05ABE" w:rsidRDefault="00B05ABE">
      <w:pPr>
        <w:keepNext/>
        <w:spacing w:after="240" w:line="240" w:lineRule="auto"/>
        <w:jc w:val="both"/>
        <w:rPr>
          <w:rFonts w:ascii="Times New Roman" w:hAnsi="Times New Roman" w:cs="Times New Roman"/>
          <w:noProof/>
          <w:sz w:val="24"/>
          <w:szCs w:val="24"/>
          <w:u w:val="single"/>
          <w:lang w:eastAsia="en-US" w:bidi="ar-SA"/>
        </w:rPr>
      </w:pPr>
      <w:r w:rsidRPr="00B05ABE">
        <w:rPr>
          <w:rFonts w:ascii="Times New Roman" w:hAnsi="Times New Roman" w:cs="Times New Roman"/>
          <w:noProof/>
          <w:sz w:val="24"/>
          <w:szCs w:val="24"/>
          <w:u w:val="single"/>
          <w:lang w:eastAsia="en-US" w:bidi="ar-SA"/>
        </w:rPr>
        <w:t>Какво финансира политиката на сближаване?</w:t>
      </w:r>
    </w:p>
    <w:p w:rsidR="00497646" w:rsidRDefault="00B05ABE">
      <w:pPr>
        <w:keepNext/>
        <w:spacing w:after="240" w:line="240" w:lineRule="auto"/>
        <w:jc w:val="both"/>
        <w:rPr>
          <w:rFonts w:ascii="Times New Roman" w:hAnsi="Times New Roman" w:cs="Times New Roman"/>
          <w:noProof/>
          <w:sz w:val="24"/>
          <w:szCs w:val="24"/>
          <w:u w:val="single"/>
          <w:lang w:val="en-GB" w:eastAsia="en-US" w:bidi="ar-SA"/>
        </w:rPr>
      </w:pPr>
      <w:r>
        <w:rPr>
          <w:rFonts w:ascii="Times New Roman" w:hAnsi="Times New Roman" w:cs="Times New Roman"/>
          <w:noProof/>
          <w:sz w:val="24"/>
          <w:szCs w:val="24"/>
          <w:u w:val="single"/>
          <w:lang w:val="en-GB" w:eastAsia="en-US" w:bidi="ar-SA"/>
        </w:rPr>
        <w:t xml:space="preserve">в </w:t>
      </w:r>
      <w:r>
        <w:rPr>
          <w:rFonts w:ascii="Times New Roman" w:hAnsi="Times New Roman" w:cs="Times New Roman"/>
          <w:noProof/>
          <w:sz w:val="24"/>
          <w:szCs w:val="24"/>
          <w:u w:val="single"/>
          <w:lang w:val="en-GB" w:eastAsia="en-US" w:bidi="ar-SA"/>
        </w:rPr>
        <w:t>млрд. EUR</w:t>
      </w:r>
    </w:p>
    <w:p w:rsidR="00497646" w:rsidRDefault="00B05ABE">
      <w:pPr>
        <w:spacing w:after="240" w:line="240" w:lineRule="auto"/>
        <w:jc w:val="both"/>
        <w:rPr>
          <w:rFonts w:ascii="Times New Roman" w:hAnsi="Times New Roman" w:cs="Times New Roman"/>
          <w:noProof/>
          <w:sz w:val="24"/>
          <w:szCs w:val="24"/>
        </w:rPr>
      </w:pPr>
      <w:r>
        <w:rPr>
          <w:noProof/>
          <w:lang w:val="en-GB" w:eastAsia="en-GB" w:bidi="ar-SA"/>
        </w:rPr>
        <w:drawing>
          <wp:inline distT="0" distB="0" distL="0" distR="0">
            <wp:extent cx="3438525" cy="2381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38525" cy="2381250"/>
                    </a:xfrm>
                    <a:prstGeom prst="rect">
                      <a:avLst/>
                    </a:prstGeom>
                  </pic:spPr>
                </pic:pic>
              </a:graphicData>
            </a:graphic>
          </wp:inline>
        </w:drawing>
      </w:r>
    </w:p>
    <w:p w:rsidR="00497646" w:rsidRDefault="00497646">
      <w:pPr>
        <w:spacing w:after="240" w:line="240" w:lineRule="auto"/>
        <w:jc w:val="both"/>
        <w:rPr>
          <w:rFonts w:ascii="Times New Roman" w:hAnsi="Times New Roman" w:cs="Times New Roman"/>
          <w:noProof/>
          <w:sz w:val="24"/>
          <w:szCs w:val="24"/>
        </w:rPr>
      </w:pPr>
    </w:p>
    <w:p w:rsidR="00497646" w:rsidRDefault="00B05ABE">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i/>
          <w:noProof/>
          <w:sz w:val="20"/>
          <w:szCs w:val="20"/>
        </w:rPr>
      </w:pPr>
      <w:r>
        <w:rPr>
          <w:rFonts w:ascii="Times New Roman" w:hAnsi="Times New Roman"/>
          <w:i/>
          <w:noProof/>
          <w:sz w:val="20"/>
        </w:rPr>
        <w:t>Каре 2 — Примери за резултати по линия на политиката на сближаване 2007—2013 г.</w:t>
      </w:r>
    </w:p>
    <w:p w:rsidR="00497646" w:rsidRDefault="00B05ABE">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noProof/>
          <w:sz w:val="20"/>
        </w:rPr>
        <w:t>Разходи за социални цели:  9,4 милиона души са получили работа, а 8,7 милиона граждани са придобили квалификация.</w:t>
      </w:r>
    </w:p>
    <w:p w:rsidR="00497646" w:rsidRDefault="00B05ABE">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noProof/>
          <w:sz w:val="20"/>
        </w:rPr>
        <w:t xml:space="preserve">Всички държави членки и региони са изготвили </w:t>
      </w:r>
      <w:r>
        <w:rPr>
          <w:rFonts w:ascii="Times New Roman" w:hAnsi="Times New Roman"/>
          <w:noProof/>
          <w:sz w:val="20"/>
        </w:rPr>
        <w:t xml:space="preserve">стратегии за интелигентна специализация за по-целенасочено ориентиране на своите усилия за научни изследвания и иновации. Благодарение на подпомагането са били изготвени около 95 000 проекта за научни изследвания и иновации и са били създадени 42 000 нови </w:t>
      </w:r>
      <w:r>
        <w:rPr>
          <w:rFonts w:ascii="Times New Roman" w:hAnsi="Times New Roman"/>
          <w:noProof/>
          <w:sz w:val="20"/>
        </w:rPr>
        <w:t>позиции в областта на научните изследвания.</w:t>
      </w:r>
    </w:p>
    <w:p w:rsidR="00497646" w:rsidRDefault="00B05ABE">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noProof/>
          <w:sz w:val="20"/>
        </w:rPr>
        <w:t>Около 400 000 МСП са получили подпомагане по линия на политиката на сближаване, в резултат на което над един милион нови работни места са в процес на създаване.</w:t>
      </w:r>
    </w:p>
    <w:p w:rsidR="00497646" w:rsidRDefault="00B05ABE">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noProof/>
          <w:sz w:val="20"/>
        </w:rPr>
        <w:t>Голяма част от средствата на ЕС във връзка с измене</w:t>
      </w:r>
      <w:r>
        <w:rPr>
          <w:rFonts w:ascii="Times New Roman" w:hAnsi="Times New Roman"/>
          <w:noProof/>
          <w:sz w:val="20"/>
        </w:rPr>
        <w:t>нието на климата и опазването на околната среда се изразходват по линия на политиката на сближаване. Например над 6 милиона души са получили достъп до по-добро водоснабдяване, а 7 милиона — до по-добро пречистване на отпадъчните води.</w:t>
      </w:r>
    </w:p>
    <w:p w:rsidR="00497646" w:rsidRDefault="00B05ABE">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noProof/>
          <w:sz w:val="20"/>
        </w:rPr>
        <w:t>Държавите членки са и</w:t>
      </w:r>
      <w:r>
        <w:rPr>
          <w:rFonts w:ascii="Times New Roman" w:hAnsi="Times New Roman"/>
          <w:noProof/>
          <w:sz w:val="20"/>
        </w:rPr>
        <w:t>зградили или обновили 2600 km железопътни линии и 2400 km шосейни пътища, които са част от трансевропейската мрежа, в допълнение към второстепенните пътни мрежи, свързващи отдалечени райони с останалата част на Европа.</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Като цяло резултатите от политиката н</w:t>
      </w:r>
      <w:r>
        <w:rPr>
          <w:rFonts w:ascii="Times New Roman" w:hAnsi="Times New Roman"/>
          <w:noProof/>
          <w:sz w:val="24"/>
        </w:rPr>
        <w:t>а сближаване са  положителни, но в редица области е необходимо да се извършат реформи.</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На първо място, през последните години политиката на сближаване ефективно компенсира намаляващите вследствие на кризата национални и регионални инвестиции. Това допринес</w:t>
      </w:r>
      <w:r>
        <w:rPr>
          <w:rFonts w:ascii="Times New Roman" w:hAnsi="Times New Roman"/>
          <w:noProof/>
          <w:sz w:val="24"/>
        </w:rPr>
        <w:t xml:space="preserve">е за предотвратяването на сериозни смущения, но произтичащият по-висок процент на съфинансиране от бюджета на ЕС доведе до намаляване на общите усилия за инвестиции.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На второ място, политиката на сближаване отговори на кризата чрез увеличаване на равнищет</w:t>
      </w:r>
      <w:r>
        <w:rPr>
          <w:rFonts w:ascii="Times New Roman" w:hAnsi="Times New Roman"/>
          <w:noProof/>
          <w:sz w:val="24"/>
        </w:rPr>
        <w:t>о на съфинансиране и изменение на своите програми, за да могат те да съответстват в по-голяма степен на социално-икономическите потребности. Освен това обаче е необходимо да се обмисли как политиката на сближаване може да бъде по-добре изготвена и да реаги</w:t>
      </w:r>
      <w:r>
        <w:rPr>
          <w:rFonts w:ascii="Times New Roman" w:hAnsi="Times New Roman"/>
          <w:noProof/>
          <w:sz w:val="24"/>
        </w:rPr>
        <w:t xml:space="preserve">ра на неочаквани събития, криза и промени в обществото.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Трето, възможно е да се наложи връзката с икономическото управление и европейския семестър да бъде засилена, за да се осигури по-проста и прозрачна система, която предоставя положителни стимули за и</w:t>
      </w:r>
      <w:r>
        <w:rPr>
          <w:rFonts w:ascii="Times New Roman" w:hAnsi="Times New Roman"/>
          <w:noProof/>
          <w:sz w:val="24"/>
        </w:rPr>
        <w:t xml:space="preserve">звършване на конкретни реформи с цел насърчаване на сближаването.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И накрая, политиката стана все по-сложна за управление, което възпрепятства изпълнението на място и води до забавяния. Различните нива на контрол и бюрократична сложност затрудняват достъпа</w:t>
      </w:r>
      <w:r>
        <w:rPr>
          <w:rFonts w:ascii="Times New Roman" w:hAnsi="Times New Roman"/>
          <w:noProof/>
          <w:sz w:val="24"/>
        </w:rPr>
        <w:t xml:space="preserve"> на бенефициерите до тези средства и бързото изпълнение на проектите от тях. Поради това в бъдеще е необходимо да се възприеме много по-радикален подход за опростяване на изпълнението и за осигуряване на по-бързо и по-гъвкаво програмиране.</w:t>
      </w:r>
    </w:p>
    <w:p w:rsidR="00497646" w:rsidRDefault="00B05ABE">
      <w:pPr>
        <w:pStyle w:val="Heading3"/>
        <w:rPr>
          <w:noProof/>
        </w:rPr>
      </w:pPr>
      <w:r>
        <w:rPr>
          <w:noProof/>
        </w:rPr>
        <w:t>3.2.3</w:t>
      </w:r>
      <w:r>
        <w:rPr>
          <w:noProof/>
        </w:rPr>
        <w:tab/>
        <w:t xml:space="preserve">Устойчиво </w:t>
      </w:r>
      <w:r>
        <w:rPr>
          <w:noProof/>
        </w:rPr>
        <w:t xml:space="preserve">селско стопанство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Земеделските стопани осигуряват постоянни доставки на висококачествени храни, произведени по устойчив начин, на достъпни цени за над 500 милиона европейци, като едновременно с това спазват изискванията за здравето на животните и хуманнот</w:t>
      </w:r>
      <w:r>
        <w:rPr>
          <w:rFonts w:ascii="Times New Roman" w:hAnsi="Times New Roman"/>
          <w:noProof/>
          <w:sz w:val="24"/>
        </w:rPr>
        <w:t xml:space="preserve">о отношение към тях, за опазването на околната среда и за безопасността на храните.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Постигането на икономическата, социалната и екологичната устойчивост на земеделските и селските общности е основната цел на общата селскостопанска политика. В настоящата р</w:t>
      </w:r>
      <w:r>
        <w:rPr>
          <w:rFonts w:ascii="Times New Roman" w:hAnsi="Times New Roman"/>
          <w:noProof/>
          <w:sz w:val="24"/>
        </w:rPr>
        <w:t>амка за 2014—2020 г. по линия на общата селскостопанска политика ще бъдат мобилизирани около 400 милиарда евро за финансирането на пазарни мерки и преки плащания за земеделските стопани и за програми за развитие на селските райони с около 400 милиарда евро</w:t>
      </w:r>
      <w:r>
        <w:rPr>
          <w:rFonts w:ascii="Times New Roman" w:hAnsi="Times New Roman"/>
          <w:noProof/>
          <w:sz w:val="24"/>
        </w:rPr>
        <w:t xml:space="preserve"> и за насърчаването на устойчиво селско стопанство и стабилни икономики в селските райони. Преките плащания съставляват приблизително 70 % от тази обща сума. Това подпомагане на доходите частично компенсира разликата между дохода от селскостопанска дейност</w:t>
      </w:r>
      <w:r>
        <w:rPr>
          <w:rFonts w:ascii="Times New Roman" w:hAnsi="Times New Roman"/>
          <w:noProof/>
          <w:sz w:val="24"/>
        </w:rPr>
        <w:t xml:space="preserve"> и съпоставимия доход за други икономически отрасли. При последната реформа на тази политика бяха въведени значителни промени в системата на преките плащания, насочени към удовлетворяване на специфичните нужди на младите земеделски стопани, на по-малките с</w:t>
      </w:r>
      <w:r>
        <w:rPr>
          <w:rFonts w:ascii="Times New Roman" w:hAnsi="Times New Roman"/>
          <w:noProof/>
          <w:sz w:val="24"/>
        </w:rPr>
        <w:t>топанства и на конкретни отрасли или региони, изпитващи затруднения, и към околната среда.</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Благодарение на тази политика европейските граждани имат достъп до безопасна и висококачествена храна на достъпни цени. В резултат на последователните реформи на общ</w:t>
      </w:r>
      <w:r>
        <w:rPr>
          <w:rFonts w:ascii="Times New Roman" w:hAnsi="Times New Roman"/>
          <w:noProof/>
          <w:sz w:val="24"/>
        </w:rPr>
        <w:t>ата селскостопанска политика европейското селско стопанство стана конкурентоспособно на световно равнище, работейки на цени, близки до тези на световния пазар, и подобрявайки износа. Въпреки това продължават да се наблюдават огромни разлики в развитието на</w:t>
      </w:r>
      <w:r>
        <w:rPr>
          <w:rFonts w:ascii="Times New Roman" w:hAnsi="Times New Roman"/>
          <w:noProof/>
          <w:sz w:val="24"/>
        </w:rPr>
        <w:t xml:space="preserve"> отрасъла на селското стопанство. В някои селскостопански райони няма надеждни алтернативни източници на работа и доходи извън селското стопанство. И все пак, някои земеделски стопани имат понастоящем достъп и до други доходи, които не идват от селското ст</w:t>
      </w:r>
      <w:r>
        <w:rPr>
          <w:rFonts w:ascii="Times New Roman" w:hAnsi="Times New Roman"/>
          <w:noProof/>
          <w:sz w:val="24"/>
        </w:rPr>
        <w:t xml:space="preserve">опанство, например от туризъм и развлекателни дейности, вятърна енергия, биогаз и слънчева енергия.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Почти на половината от територията на ЕС се развива селскостопанска дейност. Поради това земеделските стопани са ключов фактор в съхраняването на природнит</w:t>
      </w:r>
      <w:r>
        <w:rPr>
          <w:rFonts w:ascii="Times New Roman" w:hAnsi="Times New Roman"/>
          <w:noProof/>
          <w:sz w:val="24"/>
        </w:rPr>
        <w:t>е ресурси (вода, въздух, почва и биологично разнообразие), в изпълнението на дейностите, свързани с климата, и в оформянето на ценни ландшафти. Общата селскостопанска политика определя необходимите правила и стимули, за да могат селското и горското стопанс</w:t>
      </w:r>
      <w:r>
        <w:rPr>
          <w:rFonts w:ascii="Times New Roman" w:hAnsi="Times New Roman"/>
          <w:noProof/>
          <w:sz w:val="24"/>
        </w:rPr>
        <w:t>тво да допринасят за решаването на належащите в световен план екологични и климатични проблеми и да осигуряват обществените блага, очаквани от гражданите. Сред тези ключови инструменти са мерките на общата селскостопанска политика, които предоставят стимул</w:t>
      </w:r>
      <w:r>
        <w:rPr>
          <w:rFonts w:ascii="Times New Roman" w:hAnsi="Times New Roman"/>
          <w:noProof/>
          <w:sz w:val="24"/>
        </w:rPr>
        <w:t>и на земеделските стопани да възприемат политики и практики на управление, да ги адаптират и да предприемат действия за подобряване и съхраняване на водните обекти, почвата, биологичното разнообразие и качествата на ландшафта и за ограничаване на изменение</w:t>
      </w:r>
      <w:r>
        <w:rPr>
          <w:rFonts w:ascii="Times New Roman" w:hAnsi="Times New Roman"/>
          <w:noProof/>
          <w:sz w:val="24"/>
        </w:rPr>
        <w:t>то на климата и адаптиране към него. Отправят се все по-настоятелни искания за по-голямо ориентиране на общата селскостопанска политика към осигуряването на обществени блага, свързани с опазването на околната среда, и към действия в областта на климата. За</w:t>
      </w:r>
      <w:r>
        <w:rPr>
          <w:rFonts w:ascii="Times New Roman" w:hAnsi="Times New Roman"/>
          <w:noProof/>
          <w:sz w:val="24"/>
        </w:rPr>
        <w:t xml:space="preserve"> постигането на това ще са необходими по-целенасочени мерки за подпомагане, адаптирани към съответния регион. </w:t>
      </w:r>
    </w:p>
    <w:p w:rsidR="00497646" w:rsidRPr="00B05ABE" w:rsidRDefault="00B05ABE">
      <w:pPr>
        <w:keepNext/>
        <w:spacing w:after="240" w:line="240" w:lineRule="auto"/>
        <w:jc w:val="both"/>
        <w:rPr>
          <w:rFonts w:ascii="Times New Roman" w:hAnsi="Times New Roman" w:cs="Times New Roman"/>
          <w:noProof/>
          <w:sz w:val="24"/>
          <w:szCs w:val="24"/>
          <w:u w:val="single"/>
          <w:lang w:eastAsia="en-US" w:bidi="ar-SA"/>
        </w:rPr>
      </w:pPr>
      <w:r w:rsidRPr="00B05ABE">
        <w:rPr>
          <w:rFonts w:ascii="Times New Roman" w:hAnsi="Times New Roman" w:cs="Times New Roman"/>
          <w:noProof/>
          <w:sz w:val="24"/>
          <w:szCs w:val="24"/>
          <w:u w:val="single"/>
          <w:lang w:eastAsia="en-US" w:bidi="ar-SA"/>
        </w:rPr>
        <w:t>Търговският баланс в селското стопанство е знак за конкурентоспособен отрасъл</w:t>
      </w:r>
    </w:p>
    <w:p w:rsidR="00497646" w:rsidRDefault="00B05ABE">
      <w:pPr>
        <w:keepNext/>
        <w:spacing w:after="240" w:line="240" w:lineRule="auto"/>
        <w:jc w:val="both"/>
        <w:rPr>
          <w:rFonts w:ascii="Times New Roman" w:hAnsi="Times New Roman" w:cs="Times New Roman"/>
          <w:noProof/>
          <w:sz w:val="24"/>
          <w:szCs w:val="24"/>
          <w:u w:val="single"/>
          <w:lang w:val="en-GB" w:eastAsia="en-US" w:bidi="ar-SA"/>
        </w:rPr>
      </w:pPr>
      <w:r>
        <w:rPr>
          <w:rFonts w:ascii="Times New Roman" w:hAnsi="Times New Roman" w:cs="Times New Roman"/>
          <w:noProof/>
          <w:sz w:val="24"/>
          <w:szCs w:val="24"/>
          <w:u w:val="single"/>
          <w:lang w:val="en-GB" w:eastAsia="en-US" w:bidi="ar-SA"/>
        </w:rPr>
        <w:t>в млн. EUR</w:t>
      </w:r>
    </w:p>
    <w:p w:rsidR="00497646" w:rsidRDefault="00B05ABE">
      <w:pPr>
        <w:spacing w:after="240" w:line="240" w:lineRule="auto"/>
        <w:jc w:val="both"/>
        <w:rPr>
          <w:rFonts w:ascii="Times New Roman" w:hAnsi="Times New Roman" w:cs="Times New Roman"/>
          <w:noProof/>
          <w:sz w:val="24"/>
          <w:szCs w:val="24"/>
          <w:u w:val="single"/>
        </w:rPr>
      </w:pPr>
      <w:r>
        <w:rPr>
          <w:noProof/>
          <w:lang w:val="en-GB" w:eastAsia="en-GB" w:bidi="ar-SA"/>
        </w:rPr>
        <w:drawing>
          <wp:inline distT="0" distB="0" distL="0" distR="0">
            <wp:extent cx="3152775" cy="1924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52775" cy="1924050"/>
                    </a:xfrm>
                    <a:prstGeom prst="rect">
                      <a:avLst/>
                    </a:prstGeom>
                  </pic:spPr>
                </pic:pic>
              </a:graphicData>
            </a:graphic>
          </wp:inline>
        </w:drawing>
      </w:r>
    </w:p>
    <w:p w:rsidR="00497646" w:rsidRDefault="00497646">
      <w:pPr>
        <w:spacing w:after="0" w:line="240" w:lineRule="auto"/>
        <w:jc w:val="both"/>
        <w:rPr>
          <w:rFonts w:ascii="Times New Roman" w:eastAsia="Calibri" w:hAnsi="Times New Roman" w:cs="Times New Roman"/>
          <w:noProof/>
          <w:sz w:val="24"/>
          <w:szCs w:val="24"/>
        </w:rPr>
      </w:pPr>
    </w:p>
    <w:p w:rsidR="00497646" w:rsidRDefault="00B05ABE">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Източник: Европейска комисия</w:t>
      </w:r>
    </w:p>
    <w:p w:rsidR="00497646" w:rsidRDefault="00B05ABE">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Няма единодушие относно </w:t>
      </w:r>
      <w:r>
        <w:rPr>
          <w:rFonts w:ascii="Times New Roman" w:hAnsi="Times New Roman"/>
          <w:noProof/>
          <w:sz w:val="24"/>
        </w:rPr>
        <w:t>равнището на необходимото подпомагане на доходите, когато се взема под внимание конкурентоспособността в отрасъла. В някои случаи тези плащания не допринасят за структурното развитие на отрасъла, а водят до нарастване на цените на земята, което може да поп</w:t>
      </w:r>
      <w:r>
        <w:rPr>
          <w:rFonts w:ascii="Times New Roman" w:hAnsi="Times New Roman"/>
          <w:noProof/>
          <w:sz w:val="24"/>
        </w:rPr>
        <w:t>речи на навлизането на млади земеделски стопани на пазара.</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Преките плащания продължават да се определят до голяма степен от исторически права и да бъдат съсредоточени върху големи стопанства и собственици на земя в по-богатите държави членки. Средно 20 % о</w:t>
      </w:r>
      <w:r>
        <w:rPr>
          <w:rFonts w:ascii="Times New Roman" w:hAnsi="Times New Roman"/>
          <w:noProof/>
          <w:sz w:val="24"/>
        </w:rPr>
        <w:t xml:space="preserve">т бенефициерите получават около 80 % от плащанията. Общата картина прикрива огромни различия между държавите членки. Например 92 % от земеделските стопани в Румъния и 97 % от тези в Малта работят в малки стопанства, докато в Германия малките стопанства са </w:t>
      </w:r>
      <w:r>
        <w:rPr>
          <w:rFonts w:ascii="Times New Roman" w:hAnsi="Times New Roman"/>
          <w:noProof/>
          <w:sz w:val="24"/>
        </w:rPr>
        <w:t xml:space="preserve">по-малко от 9 %. </w:t>
      </w:r>
    </w:p>
    <w:p w:rsidR="00497646" w:rsidRPr="00B05ABE" w:rsidRDefault="00B05ABE">
      <w:pPr>
        <w:keepNext/>
        <w:spacing w:after="240" w:line="240" w:lineRule="auto"/>
        <w:jc w:val="both"/>
        <w:rPr>
          <w:rFonts w:ascii="Times New Roman" w:hAnsi="Times New Roman" w:cs="Times New Roman"/>
          <w:noProof/>
          <w:sz w:val="24"/>
          <w:szCs w:val="24"/>
          <w:u w:val="single"/>
          <w:lang w:eastAsia="en-US" w:bidi="ar-SA"/>
        </w:rPr>
      </w:pPr>
      <w:r w:rsidRPr="00B05ABE">
        <w:rPr>
          <w:rFonts w:ascii="Times New Roman" w:hAnsi="Times New Roman" w:cs="Times New Roman"/>
          <w:noProof/>
          <w:sz w:val="24"/>
          <w:szCs w:val="24"/>
          <w:u w:val="single"/>
          <w:lang w:eastAsia="en-US" w:bidi="ar-SA"/>
        </w:rPr>
        <w:t>Кой получава подпомагане по линия на общата селскостопанска политика?</w:t>
      </w:r>
    </w:p>
    <w:p w:rsidR="00497646" w:rsidRDefault="00B05ABE">
      <w:pPr>
        <w:spacing w:after="240" w:line="240" w:lineRule="auto"/>
        <w:jc w:val="both"/>
        <w:rPr>
          <w:rFonts w:ascii="Times New Roman" w:eastAsia="Calibri" w:hAnsi="Times New Roman" w:cs="Times New Roman"/>
          <w:noProof/>
          <w:sz w:val="24"/>
          <w:szCs w:val="24"/>
        </w:rPr>
      </w:pPr>
      <w:r>
        <w:rPr>
          <w:noProof/>
          <w:lang w:val="en-GB" w:eastAsia="en-GB" w:bidi="ar-SA"/>
        </w:rPr>
        <w:drawing>
          <wp:inline distT="0" distB="0" distL="0" distR="0">
            <wp:extent cx="3838575" cy="205223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38575" cy="2052239"/>
                    </a:xfrm>
                    <a:prstGeom prst="rect">
                      <a:avLst/>
                    </a:prstGeom>
                  </pic:spPr>
                </pic:pic>
              </a:graphicData>
            </a:graphic>
          </wp:inline>
        </w:drawing>
      </w:r>
    </w:p>
    <w:p w:rsidR="00497646" w:rsidRDefault="00B05ABE">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Източник: Европейска комисия</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По-голямата част от плащанията по линия на общата селскостопанска политика се финансират изцяло от бюджета на ЕС, като така се установява пряка връзка между бенефициерите и Съюза. Политиката достига до земеделските стопани и гражданите дори в най-необлагод</w:t>
      </w:r>
      <w:r>
        <w:rPr>
          <w:rFonts w:ascii="Times New Roman" w:hAnsi="Times New Roman"/>
          <w:noProof/>
          <w:sz w:val="24"/>
        </w:rPr>
        <w:t>етелстваните райони на Европа, благоприятствайки значително икономическото и социалното развитие, да не говорим за устойчивостта, в тези райони. Освен мерките за развитие на селските райони, финансирани по втория стълб на общата селскостопанска политика, т</w:t>
      </w:r>
      <w:r>
        <w:rPr>
          <w:rFonts w:ascii="Times New Roman" w:hAnsi="Times New Roman"/>
          <w:noProof/>
          <w:sz w:val="24"/>
        </w:rPr>
        <w:t xml:space="preserve">ова е единствената област на политиката, управлявана заедно с държавите членки, но без национално съфинансиране.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Развитията през последните години показаха, че бюджетът на ЕС често трябва да предоставя спешно подпомагане в отговор на конкретни събития, ка</w:t>
      </w:r>
      <w:r>
        <w:rPr>
          <w:rFonts w:ascii="Times New Roman" w:hAnsi="Times New Roman"/>
          <w:noProof/>
          <w:sz w:val="24"/>
        </w:rPr>
        <w:t xml:space="preserve">то например спада на цените на млечните продукти или руската забрана за внос на някои селскостопански продукти. Поради това в бъдещата обща селскостопанска политика е необходимо да се намери подходящото съчетание на инструменти между мерките на политиката </w:t>
      </w:r>
      <w:r>
        <w:rPr>
          <w:rFonts w:ascii="Times New Roman" w:hAnsi="Times New Roman"/>
          <w:noProof/>
          <w:sz w:val="24"/>
        </w:rPr>
        <w:t xml:space="preserve">и финансовите пакети, безвъзмездните средства и финансовите инструменти, механизмите за управление на риска и други пазарни договорености за справяне с рисковете и с неочаквани неблагоприятни събития в селскостопанския отрасъл. </w:t>
      </w:r>
    </w:p>
    <w:p w:rsidR="00497646" w:rsidRDefault="00B05ABE">
      <w:p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120"/>
        <w:jc w:val="both"/>
        <w:rPr>
          <w:rFonts w:ascii="Times New Roman" w:hAnsi="Times New Roman" w:cs="Times New Roman"/>
          <w:i/>
          <w:noProof/>
          <w:sz w:val="20"/>
          <w:szCs w:val="20"/>
        </w:rPr>
      </w:pPr>
      <w:r>
        <w:rPr>
          <w:rFonts w:ascii="Times New Roman" w:hAnsi="Times New Roman"/>
          <w:i/>
          <w:noProof/>
          <w:sz w:val="20"/>
        </w:rPr>
        <w:t>Каре 3 — Примери за резулта</w:t>
      </w:r>
      <w:r>
        <w:rPr>
          <w:rFonts w:ascii="Times New Roman" w:hAnsi="Times New Roman"/>
          <w:i/>
          <w:noProof/>
          <w:sz w:val="20"/>
        </w:rPr>
        <w:t>ти по линия на общата селскостопанска политика</w:t>
      </w:r>
    </w:p>
    <w:p w:rsidR="00497646" w:rsidRDefault="00B05ABE">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noProof/>
          <w:sz w:val="20"/>
        </w:rPr>
        <w:t xml:space="preserve">За 70 % от земеделската земя в ЕС се прилагат мерки за екологизиране, за които са предвидени 60 милиарда евро.  </w:t>
      </w:r>
    </w:p>
    <w:p w:rsidR="00497646" w:rsidRDefault="00B05ABE">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noProof/>
          <w:sz w:val="20"/>
        </w:rPr>
        <w:t>За около 47 милиона хектара (или приблизително 25 %) от земеделската площ в Европа са сключени д</w:t>
      </w:r>
      <w:r>
        <w:rPr>
          <w:rFonts w:ascii="Times New Roman" w:hAnsi="Times New Roman"/>
          <w:noProof/>
          <w:sz w:val="20"/>
        </w:rPr>
        <w:t>оговори за управление във връзка със земеделски екологосъобразни практики, насочени към водите, почвите и биологичното разнообразие.</w:t>
      </w:r>
    </w:p>
    <w:p w:rsidR="00497646" w:rsidRDefault="00B05ABE">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noProof/>
          <w:sz w:val="20"/>
        </w:rPr>
        <w:t>Създадени са над 200 000 земеделски предприятия, които са в процес на развитие (145 000 млади земеделски стопани и 62 000 м</w:t>
      </w:r>
      <w:r>
        <w:rPr>
          <w:rFonts w:ascii="Times New Roman" w:hAnsi="Times New Roman"/>
          <w:noProof/>
          <w:sz w:val="20"/>
        </w:rPr>
        <w:t xml:space="preserve">икропредприятия получават подпомагане за стартирането на дейност).  </w:t>
      </w:r>
    </w:p>
    <w:p w:rsidR="00497646" w:rsidRDefault="00B05ABE">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noProof/>
          <w:sz w:val="20"/>
        </w:rPr>
        <w:t xml:space="preserve">Предоставено е подпомагане за над 25 000 проекта за инфраструктура, свързана с околната среда, например канализационни системи и усъвършенствано управление на отпадъците в отдалечени и </w:t>
      </w:r>
      <w:r>
        <w:rPr>
          <w:rFonts w:ascii="Times New Roman" w:hAnsi="Times New Roman"/>
          <w:noProof/>
          <w:sz w:val="20"/>
        </w:rPr>
        <w:t>селски райони.</w:t>
      </w:r>
    </w:p>
    <w:p w:rsidR="00497646" w:rsidRDefault="00B05ABE">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noProof/>
          <w:sz w:val="20"/>
        </w:rPr>
        <w:t>Общо 2400 групи за действие на местно ниво са получили подпомагане за изготвянето и изпълнението на стратегии за развитие, насочени към техните райони.</w:t>
      </w:r>
    </w:p>
    <w:p w:rsidR="00497646" w:rsidRDefault="00B05ABE">
      <w:pPr>
        <w:pStyle w:val="Heading2"/>
        <w:rPr>
          <w:noProof/>
        </w:rPr>
      </w:pPr>
      <w:r>
        <w:rPr>
          <w:noProof/>
        </w:rPr>
        <w:t>3.3</w:t>
      </w:r>
      <w:r>
        <w:rPr>
          <w:noProof/>
        </w:rPr>
        <w:tab/>
        <w:t>Управление на миграцията</w:t>
      </w:r>
    </w:p>
    <w:p w:rsidR="00497646" w:rsidRDefault="00B05ABE">
      <w:pPr>
        <w:spacing w:after="240" w:line="240" w:lineRule="auto"/>
        <w:jc w:val="both"/>
        <w:rPr>
          <w:rFonts w:ascii="Times New Roman" w:hAnsi="Times New Roman"/>
          <w:noProof/>
          <w:sz w:val="24"/>
          <w:highlight w:val="yellow"/>
        </w:rPr>
      </w:pPr>
      <w:r>
        <w:rPr>
          <w:rFonts w:ascii="Times New Roman" w:hAnsi="Times New Roman"/>
          <w:noProof/>
          <w:sz w:val="24"/>
        </w:rPr>
        <w:t>По външните граници на ЕС все по-често се разиграват човешки</w:t>
      </w:r>
      <w:r>
        <w:rPr>
          <w:rFonts w:ascii="Times New Roman" w:hAnsi="Times New Roman"/>
          <w:noProof/>
          <w:sz w:val="24"/>
        </w:rPr>
        <w:t xml:space="preserve"> трагедии, поради което ЕС, заедно с неговите държави членки, трябва да предприемат незабавни действия.  В същото време миграцията трябва да бъде управлявана във всичките ѝ аспекти.  ЕС следва да се стреми да предостави на държавите си членки необходимите </w:t>
      </w:r>
      <w:r>
        <w:rPr>
          <w:rFonts w:ascii="Times New Roman" w:hAnsi="Times New Roman"/>
          <w:noProof/>
          <w:sz w:val="24"/>
        </w:rPr>
        <w:t>инструменти за постигането на тази цел, както в средносрочен, така и в дългосрочен план.</w:t>
      </w:r>
    </w:p>
    <w:p w:rsidR="00497646" w:rsidRDefault="00B05ABE">
      <w:pPr>
        <w:spacing w:after="240" w:line="240" w:lineRule="auto"/>
        <w:jc w:val="both"/>
        <w:rPr>
          <w:rFonts w:ascii="Times New Roman" w:eastAsia="Calibri" w:hAnsi="Times New Roman" w:cs="Times New Roman"/>
          <w:noProof/>
          <w:sz w:val="24"/>
          <w:szCs w:val="24"/>
          <w:highlight w:val="yellow"/>
        </w:rPr>
      </w:pPr>
      <w:r>
        <w:rPr>
          <w:rFonts w:ascii="Times New Roman" w:eastAsia="Calibri" w:hAnsi="Times New Roman" w:cs="Times New Roman"/>
          <w:noProof/>
          <w:sz w:val="24"/>
          <w:szCs w:val="24"/>
        </w:rPr>
        <w:t xml:space="preserve">Управлението на миграцията е споделена отговорност — не само между държавите членки на ЕС, но и по отношение на третите държави извън ЕС на транзитно преминаване и на </w:t>
      </w:r>
      <w:r>
        <w:rPr>
          <w:rFonts w:ascii="Times New Roman" w:eastAsia="Calibri" w:hAnsi="Times New Roman" w:cs="Times New Roman"/>
          <w:noProof/>
          <w:sz w:val="24"/>
          <w:szCs w:val="24"/>
        </w:rPr>
        <w:t>произход на мигрантите. Чрез съчетаването на вътрешните и външните политики ЕС и държавите членки са в процес на разработване на всеобхватен подход, основан на взаимно доверие и солидарност между държавите членки и институциите на ЕС.</w:t>
      </w:r>
    </w:p>
    <w:p w:rsidR="00497646" w:rsidRDefault="00B05ABE">
      <w:pPr>
        <w:spacing w:after="240" w:line="240" w:lineRule="auto"/>
        <w:jc w:val="both"/>
        <w:rPr>
          <w:rFonts w:ascii="Times New Roman" w:hAnsi="Times New Roman"/>
          <w:noProof/>
          <w:sz w:val="24"/>
        </w:rPr>
      </w:pPr>
      <w:r>
        <w:rPr>
          <w:rFonts w:ascii="Times New Roman" w:hAnsi="Times New Roman"/>
          <w:noProof/>
          <w:sz w:val="24"/>
        </w:rPr>
        <w:t>Във връзка с управлен</w:t>
      </w:r>
      <w:r>
        <w:rPr>
          <w:rFonts w:ascii="Times New Roman" w:hAnsi="Times New Roman"/>
          <w:noProof/>
          <w:sz w:val="24"/>
        </w:rPr>
        <w:t>ието на миграционните потоци настоящият бюджет на ЕС вече оказва подпомагане на държавите членки, за да създадат подходящи рамки относно приемането и закрилата, за да работят за преодоляването на първопричините за миграцията и за да съхранят Шенгенското пр</w:t>
      </w:r>
      <w:r>
        <w:rPr>
          <w:rFonts w:ascii="Times New Roman" w:hAnsi="Times New Roman"/>
          <w:noProof/>
          <w:sz w:val="24"/>
        </w:rPr>
        <w:t xml:space="preserve">остранство. За периода 2015-2017 г. за преодоляването на тези предизвикателства са заделени над 17 милиарда евро или 3,7 % от общия бюджет на ЕС.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Например със средства от бюджета на ЕС бяха създадени горещи точки в Гърция и Италия, чийто общ капацитет над</w:t>
      </w:r>
      <w:r>
        <w:rPr>
          <w:rFonts w:ascii="Times New Roman" w:hAnsi="Times New Roman"/>
          <w:noProof/>
          <w:sz w:val="24"/>
        </w:rPr>
        <w:t>хвърля 9000 места. През 2016 г. беше осигурен подслон за над 35 000 души в Гърция (от палатки на първоначалния етап до контейнери, пригодени за живеене при зимни условия) и 417 безопасни места за непридружени непълнолетни лица. Новосъздадената Европейска а</w:t>
      </w:r>
      <w:r>
        <w:rPr>
          <w:rFonts w:ascii="Times New Roman" w:hAnsi="Times New Roman"/>
          <w:noProof/>
          <w:sz w:val="24"/>
        </w:rPr>
        <w:t>генция за гранична и брегова охрана помогна за спасяването на 174 500 души в Средиземно море през 2016 г.</w:t>
      </w:r>
    </w:p>
    <w:p w:rsidR="00497646" w:rsidRDefault="00B05ABE">
      <w:pPr>
        <w:pStyle w:val="Heading2"/>
        <w:rPr>
          <w:noProof/>
        </w:rPr>
      </w:pPr>
      <w:r>
        <w:rPr>
          <w:noProof/>
        </w:rPr>
        <w:t>3.4</w:t>
      </w:r>
      <w:r>
        <w:rPr>
          <w:noProof/>
        </w:rPr>
        <w:tab/>
        <w:t>Външни предизвикателства, сигурност, хуманитарна помощ и развитие</w:t>
      </w:r>
    </w:p>
    <w:p w:rsidR="00497646" w:rsidRDefault="00B05ABE">
      <w:pPr>
        <w:spacing w:after="24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rPr>
        <w:t>През последните години Европа претърпя нови външни предизвикателства, свързани с нестабилността и несигурността в съседни държави и отвъд тях. Гражданите на ЕС са загрижени заради миграцията, тероризма и външните заплахи на сигурността като цяло и искат те</w:t>
      </w:r>
      <w:r>
        <w:rPr>
          <w:rFonts w:ascii="Times New Roman" w:hAnsi="Times New Roman"/>
          <w:noProof/>
          <w:spacing w:val="-4"/>
          <w:sz w:val="24"/>
        </w:rPr>
        <w:t>зи проблеми да бъдат разрешени на европейско равнище, включително в областта на отбраната. Те очакват от Европа да играе водеща роля в света, да овладее последиците от глобализацията, да защитава реда, основан на правила, както и демокрацията, принципите н</w:t>
      </w:r>
      <w:r>
        <w:rPr>
          <w:rFonts w:ascii="Times New Roman" w:hAnsi="Times New Roman"/>
          <w:noProof/>
          <w:spacing w:val="-4"/>
          <w:sz w:val="24"/>
        </w:rPr>
        <w:t>а правовата държава и човешките права и устойчивото икономическо развитие, и да допринася за стабилността и сигурността, по-специално в съседните на Европа държави. Почти 9 от всеки 10 европейци смятат, че е важно да се оказва подкрепа на развиващите се ст</w:t>
      </w:r>
      <w:r>
        <w:rPr>
          <w:rFonts w:ascii="Times New Roman" w:hAnsi="Times New Roman"/>
          <w:noProof/>
          <w:spacing w:val="-4"/>
          <w:sz w:val="24"/>
        </w:rPr>
        <w:t>рани. 82 % от европейците смятат, че да се помага на останалите е печеливша за всички възможност, която определено е в европейски интерес. Европейците също така виждат ясната добавена стойност от действията на европейско равнище в областта на външните рабо</w:t>
      </w:r>
      <w:r>
        <w:rPr>
          <w:rFonts w:ascii="Times New Roman" w:hAnsi="Times New Roman"/>
          <w:noProof/>
          <w:spacing w:val="-4"/>
          <w:sz w:val="24"/>
        </w:rPr>
        <w:t xml:space="preserve">ти.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Към настоящия момент 96,5 милиарда евро са предназначени за подкрепа на външните действия на ЕС, включително извънбюджетният 11</w:t>
      </w:r>
      <w:r>
        <w:rPr>
          <w:rFonts w:ascii="Times New Roman" w:hAnsi="Times New Roman"/>
          <w:noProof/>
          <w:sz w:val="24"/>
          <w:vertAlign w:val="superscript"/>
        </w:rPr>
        <w:t>-и</w:t>
      </w:r>
      <w:r>
        <w:rPr>
          <w:rFonts w:ascii="Times New Roman" w:hAnsi="Times New Roman"/>
          <w:noProof/>
          <w:sz w:val="24"/>
        </w:rPr>
        <w:t xml:space="preserve"> Европейски фонд за развитие (30,5 милиарда евро) за партньорите на ЕС от Африка, Тихоокеанския и Карибския басейн. Освен </w:t>
      </w:r>
      <w:r>
        <w:rPr>
          <w:rFonts w:ascii="Times New Roman" w:hAnsi="Times New Roman"/>
          <w:noProof/>
          <w:sz w:val="24"/>
        </w:rPr>
        <w:t>това бюджетът на ЕС заделя около 6 % от сегашната МФР за външни действия, като най-големите финансови пакети са Инструментът за сътрудничество за развитие (19,7 милиарда евро), Европейският инструмент за съседство (15,4 милиарда евро) и Инструментът за пре</w:t>
      </w:r>
      <w:r>
        <w:rPr>
          <w:rFonts w:ascii="Times New Roman" w:hAnsi="Times New Roman"/>
          <w:noProof/>
          <w:sz w:val="24"/>
        </w:rPr>
        <w:t>дприсъединителна помощ (11,7 милиарда евро). 8 милиарда евро са планирани за хуманитарна помощ. През последните години този бюджет непрекъснато е мобилизиран и засилван, като се изчерпват всички налични маржове за справяне с увеличаването на броя на хумани</w:t>
      </w:r>
      <w:r>
        <w:rPr>
          <w:rFonts w:ascii="Times New Roman" w:hAnsi="Times New Roman"/>
          <w:noProof/>
          <w:sz w:val="24"/>
        </w:rPr>
        <w:t>тарните и другите извънредни ситуации в цяла Европа, с увеличаването на броя на разселените лица, с безпрецедентните хуманитарни нужди и със сложността на кризите, които се очаква да продължат.</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Външната дейност на ЕС се осъществява в партньорски държави из</w:t>
      </w:r>
      <w:r>
        <w:rPr>
          <w:rFonts w:ascii="Times New Roman" w:hAnsi="Times New Roman"/>
          <w:noProof/>
          <w:sz w:val="24"/>
        </w:rPr>
        <w:t>вън Съюза, но също така защитава интересите на гражданите и безопасността. Като най-голям световен донор на помощ за развитие и хуманитарна помощ, включително чрез своя колективен ангажимент за заделяне на 0,7 % от БНД за официална помощ за развитие (ОПР),</w:t>
      </w:r>
      <w:r>
        <w:rPr>
          <w:rFonts w:ascii="Times New Roman" w:hAnsi="Times New Roman"/>
          <w:noProof/>
          <w:sz w:val="24"/>
        </w:rPr>
        <w:t xml:space="preserve"> ЕС и неговите държави членки играят ключова роля в подкрепата на останалите хора по света. Външната дейност на ЕС насърчава стабилността около границите на ЕС и извън тях, подкрепя премахването на бедността в развиващите се страни и насърчава сътрудничест</w:t>
      </w:r>
      <w:r>
        <w:rPr>
          <w:rFonts w:ascii="Times New Roman" w:hAnsi="Times New Roman"/>
          <w:noProof/>
          <w:sz w:val="24"/>
        </w:rPr>
        <w:t>вото в области от интерес за ЕС. Външната дейност на ЕС също така се бори с първопричините за незаконната миграция и насилническия екстремизъм. Финансирането на ЕС обикновено осигурява основата, върху която се концентрира финансирането за развитие от държа</w:t>
      </w:r>
      <w:r>
        <w:rPr>
          <w:rFonts w:ascii="Times New Roman" w:hAnsi="Times New Roman"/>
          <w:noProof/>
          <w:sz w:val="24"/>
        </w:rPr>
        <w:t>вите членки с цел увеличаване на критичната маса и въздействието в страните партньори посредством съвместно програмиране и съвместно изпълнение.</w:t>
      </w:r>
    </w:p>
    <w:p w:rsidR="00497646" w:rsidRDefault="00B05ABE">
      <w:pPr>
        <w:spacing w:after="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rPr>
        <w:t>Предвид новите предизвикателства пред външната дейност на ЕС, както е определено в Глобалната стратегия за външ</w:t>
      </w:r>
      <w:r>
        <w:rPr>
          <w:rFonts w:ascii="Times New Roman" w:hAnsi="Times New Roman"/>
          <w:noProof/>
          <w:spacing w:val="-4"/>
          <w:sz w:val="24"/>
        </w:rPr>
        <w:t>ната политика и политика на сигурност на Европейския съюз, необходимо е да се разгледа привеждането в съответствие на финансите на ЕС спрямо тези нови приоритети, както и ефективността на различните инструменти в тази област, включително делегациите на ЕС.</w:t>
      </w:r>
      <w:r>
        <w:rPr>
          <w:rFonts w:ascii="Times New Roman" w:hAnsi="Times New Roman"/>
          <w:noProof/>
          <w:spacing w:val="-4"/>
          <w:sz w:val="24"/>
        </w:rPr>
        <w:t xml:space="preserve"> Това важи в особена степен по отношение на отбраната, както и на външните инвестиции на ЕС в случаите, в които може да възникне възможност за набиране на значителни частни средства и постигане на съществени въздействия върху мира, стабилността и силните и</w:t>
      </w:r>
      <w:r>
        <w:rPr>
          <w:rFonts w:ascii="Times New Roman" w:hAnsi="Times New Roman"/>
          <w:noProof/>
          <w:spacing w:val="-4"/>
          <w:sz w:val="24"/>
        </w:rPr>
        <w:t xml:space="preserve">кономически връзки.  Опитът от последните години показва, че е необходима по-силна координация между външните и вътрешните политики, включително изпълнението на целите за устойчиво развитие (ЦУР) от програмата на Организацията на обединените нации до 2030 </w:t>
      </w:r>
      <w:r>
        <w:rPr>
          <w:rFonts w:ascii="Times New Roman" w:hAnsi="Times New Roman"/>
          <w:noProof/>
          <w:spacing w:val="-4"/>
          <w:sz w:val="24"/>
        </w:rPr>
        <w:t xml:space="preserve">г. и Парижкото споразумение относно изменението на климата, както и на Рамката за партньорство с трети държави за миграцията.  </w:t>
      </w:r>
    </w:p>
    <w:p w:rsidR="00497646" w:rsidRDefault="00497646">
      <w:pPr>
        <w:spacing w:after="120" w:line="240" w:lineRule="auto"/>
        <w:jc w:val="both"/>
        <w:rPr>
          <w:rFonts w:ascii="Times New Roman" w:eastAsia="Calibri" w:hAnsi="Times New Roman" w:cs="Times New Roman"/>
          <w:noProof/>
          <w:sz w:val="24"/>
          <w:szCs w:val="24"/>
        </w:rPr>
      </w:pPr>
    </w:p>
    <w:p w:rsidR="00B05ABE" w:rsidRDefault="00B05ABE">
      <w:pPr>
        <w:rPr>
          <w:rFonts w:asciiTheme="majorHAnsi" w:eastAsiaTheme="majorEastAsia" w:hAnsiTheme="majorHAnsi" w:cstheme="majorBidi"/>
          <w:b/>
          <w:bCs/>
          <w:noProof/>
          <w:color w:val="365F91" w:themeColor="accent1" w:themeShade="BF"/>
          <w:sz w:val="28"/>
          <w:szCs w:val="28"/>
        </w:rPr>
      </w:pPr>
      <w:r>
        <w:rPr>
          <w:noProof/>
        </w:rPr>
        <w:br w:type="page"/>
      </w:r>
    </w:p>
    <w:p w:rsidR="00497646" w:rsidRDefault="00B05ABE">
      <w:pPr>
        <w:pStyle w:val="Heading1"/>
        <w:spacing w:before="120" w:after="240"/>
        <w:ind w:left="709" w:hanging="709"/>
        <w:rPr>
          <w:noProof/>
        </w:rPr>
      </w:pPr>
      <w:r>
        <w:rPr>
          <w:noProof/>
        </w:rPr>
        <w:t>4.</w:t>
      </w:r>
      <w:r>
        <w:rPr>
          <w:noProof/>
        </w:rPr>
        <w:tab/>
        <w:t>ВАРИАНТИ ЗА БЪДЕЩЕТО НА ФИНАНСИТЕ НА ЕС</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Планирането на бъдещия бюджет на ЕС трябва да бъде подкрепено от ясна визия за европ</w:t>
      </w:r>
      <w:r>
        <w:rPr>
          <w:rFonts w:ascii="Times New Roman" w:hAnsi="Times New Roman"/>
          <w:noProof/>
          <w:sz w:val="24"/>
        </w:rPr>
        <w:t xml:space="preserve">ейските приоритети и от готовност да се инвестира в области, които ще осигурят икономическа мощ, устойчивост, солидарност и сигурност за в бъдеще.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Разликата във финансите на ЕС, произтичаща от оттеглянето на Обединеното кралство и от нуждите от финансиран</w:t>
      </w:r>
      <w:r>
        <w:rPr>
          <w:rFonts w:ascii="Times New Roman" w:hAnsi="Times New Roman"/>
          <w:noProof/>
          <w:sz w:val="24"/>
        </w:rPr>
        <w:t xml:space="preserve">е на нови приоритети, трябва да бъде ясно призната.  Новите приоритети са интегрирани в настоящата финансова рамка, най-вече като са използвани максимално съществуващите възможности за гъвкавост. </w:t>
      </w:r>
    </w:p>
    <w:p w:rsidR="00497646" w:rsidRDefault="00B05ABE">
      <w:pPr>
        <w:spacing w:after="24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rPr>
        <w:t xml:space="preserve">В бъдеще управлението на миграцията, вътрешната и външната </w:t>
      </w:r>
      <w:r>
        <w:rPr>
          <w:rFonts w:ascii="Times New Roman" w:hAnsi="Times New Roman"/>
          <w:noProof/>
          <w:spacing w:val="-4"/>
          <w:sz w:val="24"/>
        </w:rPr>
        <w:t>сигурност, контролът на външните граници, борбата срещу тероризма и отбраната ще трябва да бъдат заложени в бюджета в една по-дългосрочна перспектива наред с непрекъснати инвестиции в подкрепа на стабилността и устойчивото развитие в страните ни партньори.</w:t>
      </w:r>
      <w:r>
        <w:rPr>
          <w:rFonts w:ascii="Times New Roman" w:hAnsi="Times New Roman"/>
          <w:noProof/>
          <w:spacing w:val="-4"/>
          <w:sz w:val="24"/>
        </w:rPr>
        <w:t xml:space="preserve"> Размерът, структурата и съдържанието на бъдещия бюджет на ЕС ще трябва да съответства на политическата амбиция, която Европейският съюз си поставя за в бъдеще. Ще продължи ли ЕС както досега, ще предприема ли действия в по-малка степен, ще действа ли на р</w:t>
      </w:r>
      <w:r>
        <w:rPr>
          <w:rFonts w:ascii="Times New Roman" w:hAnsi="Times New Roman"/>
          <w:noProof/>
          <w:spacing w:val="-4"/>
          <w:sz w:val="24"/>
        </w:rPr>
        <w:t xml:space="preserve">азлични скорости, ще се стреми ли да постигне радикална промяна или ще прави много повече съвместно?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Ще трябва да се вземат трудни решения. Може ли Европа да реализира съществуващите си политики и новите приоритети с намаляващ бюджет? Ако отговорът е „не“, трябва ли да се съкратят разходите и да се ограничат амбициите? Или да се преодолее недостигът — чре</w:t>
      </w:r>
      <w:r>
        <w:rPr>
          <w:rFonts w:ascii="Times New Roman" w:hAnsi="Times New Roman"/>
          <w:noProof/>
          <w:sz w:val="24"/>
        </w:rPr>
        <w:t>з увеличаване на вноските от 27-те държави членки, от алтернативни източници на приходи или чрез съчетание от тези два елемента, така че ЕС-27 да може да прави повече заедно? Независимо от резултата политическите амбиции трябва да бъде съобразени със средс</w:t>
      </w:r>
      <w:r>
        <w:rPr>
          <w:rFonts w:ascii="Times New Roman" w:hAnsi="Times New Roman"/>
          <w:noProof/>
          <w:sz w:val="24"/>
        </w:rPr>
        <w:t xml:space="preserve">твата за предприемане на действия. </w:t>
      </w:r>
    </w:p>
    <w:p w:rsidR="00497646" w:rsidRDefault="00B05ABE">
      <w:pPr>
        <w:keepNext/>
        <w:spacing w:after="240" w:line="240" w:lineRule="auto"/>
        <w:jc w:val="both"/>
        <w:rPr>
          <w:rFonts w:ascii="EC Square Sans Pro Light" w:eastAsia="Calibri" w:hAnsi="EC Square Sans Pro Light" w:cs="Times New Roman"/>
          <w:b/>
          <w:noProof/>
          <w:color w:val="4F81BD"/>
          <w:szCs w:val="24"/>
          <w:u w:val="single"/>
          <w:lang w:eastAsia="en-US" w:bidi="ar-SA"/>
        </w:rPr>
      </w:pPr>
      <w:r>
        <w:rPr>
          <w:rFonts w:ascii="EC Square Sans Pro Light" w:eastAsia="Calibri" w:hAnsi="EC Square Sans Pro Light" w:cs="Times New Roman"/>
          <w:b/>
          <w:noProof/>
          <w:color w:val="4F81BD"/>
          <w:szCs w:val="24"/>
          <w:u w:val="single"/>
          <w:lang w:eastAsia="en-US" w:bidi="ar-SA"/>
        </w:rPr>
        <w:t>Бюджет на ЕС, който е в състояние да се изправи срещу вътрешните и глобалните предизвикателства</w:t>
      </w:r>
    </w:p>
    <w:p w:rsidR="00497646" w:rsidRDefault="00B05ABE">
      <w:pPr>
        <w:spacing w:after="240" w:line="240" w:lineRule="auto"/>
        <w:jc w:val="both"/>
        <w:rPr>
          <w:rFonts w:ascii="EC Square Sans Pro Light" w:eastAsia="Arial" w:hAnsi="EC Square Sans Pro Light" w:cs="Arial"/>
          <w:b/>
          <w:noProof/>
          <w:color w:val="4F81BD" w:themeColor="accent1"/>
          <w:u w:val="single"/>
          <w:shd w:val="clear" w:color="auto" w:fill="FFFFFF"/>
          <w:lang w:val="en-GB"/>
        </w:rPr>
      </w:pPr>
      <w:r>
        <w:rPr>
          <w:noProof/>
          <w:lang w:val="en-GB" w:eastAsia="en-GB" w:bidi="ar-SA"/>
        </w:rPr>
        <w:drawing>
          <wp:inline distT="0" distB="0" distL="0" distR="0">
            <wp:extent cx="5512802" cy="25547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10700" cy="2553811"/>
                    </a:xfrm>
                    <a:prstGeom prst="rect">
                      <a:avLst/>
                    </a:prstGeom>
                  </pic:spPr>
                </pic:pic>
              </a:graphicData>
            </a:graphic>
          </wp:inline>
        </w:drawing>
      </w:r>
    </w:p>
    <w:p w:rsidR="00497646" w:rsidRDefault="00B05ABE">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Източник: Европейска комисия</w:t>
      </w:r>
    </w:p>
    <w:p w:rsidR="00497646" w:rsidRDefault="00497646">
      <w:pPr>
        <w:spacing w:after="240" w:line="240" w:lineRule="auto"/>
        <w:jc w:val="both"/>
        <w:rPr>
          <w:rFonts w:ascii="Times New Roman" w:eastAsia="Calibri" w:hAnsi="Times New Roman" w:cs="Times New Roman"/>
          <w:noProof/>
          <w:sz w:val="24"/>
          <w:szCs w:val="24"/>
        </w:rPr>
      </w:pPr>
    </w:p>
    <w:p w:rsidR="00497646" w:rsidRDefault="00B05ABE">
      <w:pPr>
        <w:pStyle w:val="Heading2"/>
        <w:rPr>
          <w:noProof/>
        </w:rPr>
      </w:pPr>
      <w:r>
        <w:rPr>
          <w:noProof/>
        </w:rPr>
        <w:t>4.1</w:t>
      </w:r>
      <w:r>
        <w:rPr>
          <w:noProof/>
        </w:rPr>
        <w:tab/>
        <w:t>Върху какво трябва да бъде съсредоточен бъдещият бюджет на ЕС</w:t>
      </w:r>
    </w:p>
    <w:p w:rsidR="00497646" w:rsidRDefault="00B05ABE">
      <w:pPr>
        <w:keepNext/>
        <w:keepLines/>
        <w:spacing w:before="200" w:after="0"/>
        <w:outlineLvl w:val="2"/>
        <w:rPr>
          <w:rFonts w:asciiTheme="majorHAnsi" w:eastAsiaTheme="majorEastAsia" w:hAnsiTheme="majorHAnsi" w:cstheme="majorBidi"/>
          <w:b/>
          <w:bCs/>
          <w:noProof/>
          <w:color w:val="4F81BD" w:themeColor="accent1"/>
        </w:rPr>
      </w:pPr>
      <w:r>
        <w:rPr>
          <w:rFonts w:asciiTheme="majorHAnsi" w:eastAsiaTheme="majorEastAsia" w:hAnsiTheme="majorHAnsi" w:cstheme="majorBidi"/>
          <w:b/>
          <w:noProof/>
          <w:color w:val="4F81BD" w:themeColor="accent1"/>
        </w:rPr>
        <w:t xml:space="preserve">4.1.1 </w:t>
      </w:r>
      <w:r>
        <w:rPr>
          <w:noProof/>
        </w:rPr>
        <w:tab/>
      </w:r>
      <w:r>
        <w:rPr>
          <w:rFonts w:asciiTheme="majorHAnsi" w:eastAsiaTheme="majorEastAsia" w:hAnsiTheme="majorHAnsi" w:cstheme="majorBidi"/>
          <w:b/>
          <w:noProof/>
          <w:color w:val="4F81BD" w:themeColor="accent1"/>
        </w:rPr>
        <w:t xml:space="preserve">Посрещане на </w:t>
      </w:r>
      <w:r>
        <w:rPr>
          <w:rFonts w:asciiTheme="majorHAnsi" w:eastAsiaTheme="majorEastAsia" w:hAnsiTheme="majorHAnsi" w:cstheme="majorBidi"/>
          <w:b/>
          <w:noProof/>
          <w:color w:val="4F81BD" w:themeColor="accent1"/>
        </w:rPr>
        <w:t>настоящите тенденции и на нови предизвикателства</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Бюджетът на ЕС следва да продължи да се справя с настоящите тенденции, които ще оформят ЕС през идните години. Съществуват също така редица нови предизвикателства, спрямо които бюджетът на ЕС ще трябва да пр</w:t>
      </w:r>
      <w:r>
        <w:rPr>
          <w:rFonts w:ascii="Times New Roman" w:hAnsi="Times New Roman"/>
          <w:noProof/>
          <w:sz w:val="24"/>
        </w:rPr>
        <w:t>ави повече, отколкото понастоящем. Те включват управлението на незаконната миграция и бежанците,</w:t>
      </w:r>
      <w:r>
        <w:rPr>
          <w:noProof/>
        </w:rPr>
        <w:t xml:space="preserve"> </w:t>
      </w:r>
      <w:r>
        <w:rPr>
          <w:rFonts w:ascii="Times New Roman" w:hAnsi="Times New Roman"/>
          <w:noProof/>
          <w:sz w:val="24"/>
        </w:rPr>
        <w:t xml:space="preserve">включително интеграцията, контрола на външните граници, сигурността, киберсигурността, борбата срещу тероризма и общата отбрана.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Първо, намаляването на иконом</w:t>
      </w:r>
      <w:r>
        <w:rPr>
          <w:rFonts w:ascii="Times New Roman" w:hAnsi="Times New Roman"/>
          <w:noProof/>
          <w:sz w:val="24"/>
        </w:rPr>
        <w:t>ическите и социалните различия между и в рамките на държавите членки е от първостепенно значение за Съюза, който има за цел създаването на висококонкурентна социална пазарна икономика за постигането на пълна заетост и социален напредък. Това е от особено з</w:t>
      </w:r>
      <w:r>
        <w:rPr>
          <w:rFonts w:ascii="Times New Roman" w:hAnsi="Times New Roman"/>
          <w:noProof/>
          <w:sz w:val="24"/>
        </w:rPr>
        <w:t>начение за еврозоната, където различията застрашават устойчивото развитие на Икономическия и паричен съюз в средносрочен план. Документите за размисъл относно социалното измерение на Европа и извличането на ползите от глобализацията представи редица идеи з</w:t>
      </w:r>
      <w:r>
        <w:rPr>
          <w:rFonts w:ascii="Times New Roman" w:hAnsi="Times New Roman"/>
          <w:noProof/>
          <w:sz w:val="24"/>
        </w:rPr>
        <w:t>а разглеждане. Първостепенният приоритет ще бъде да се инвестира в хората — от образованието и обучението до здравеопазването, равенството и социалното приобщаване. Също — въз основа на примера на гаранцията за младежта, една възможност ще бъде създаването</w:t>
      </w:r>
      <w:r>
        <w:rPr>
          <w:rFonts w:ascii="Times New Roman" w:hAnsi="Times New Roman"/>
          <w:noProof/>
          <w:sz w:val="24"/>
        </w:rPr>
        <w:t xml:space="preserve"> на гаранция за детето, подкрепена от средства от ЕС.  Важно е разходите за социални нужди да достигат до тези, които най-много се нуждаят от тях, по-специално в регионите с високи социални неравенства. За тази цел може да се наложи съществуващите критерии</w:t>
      </w:r>
      <w:r>
        <w:rPr>
          <w:rFonts w:ascii="Times New Roman" w:hAnsi="Times New Roman"/>
          <w:noProof/>
          <w:sz w:val="24"/>
        </w:rPr>
        <w:t xml:space="preserve"> за определянето на нуждаещите се да бъдат преразгледани.</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Второ, въпреки че по-голямата част от финансовите средства за европейската отбрана ще продължат да се осигуряват от национални източници, е налице консенсус относно необходимостта от съвместно пости</w:t>
      </w:r>
      <w:r>
        <w:rPr>
          <w:rFonts w:ascii="Times New Roman" w:hAnsi="Times New Roman"/>
          <w:noProof/>
          <w:sz w:val="24"/>
        </w:rPr>
        <w:t>гане на напредък, например в областта на научните изследвания и развитието, в конкурентоспособността на промишлената база на Европа и възлагането на обществени поръчки, в областите, в които бюджетът на ЕС следва да финансира Европейски фонд за отбрана с це</w:t>
      </w:r>
      <w:r>
        <w:rPr>
          <w:rFonts w:ascii="Times New Roman" w:hAnsi="Times New Roman"/>
          <w:noProof/>
          <w:sz w:val="24"/>
        </w:rPr>
        <w:t>л повишаване на икономическата ефективност. Той следва също така да е в състояние да увеличи своята сегашна помощ за страните партньори в изграждането на капацитет, както и военния/отбранителния си компонент: ще е необходима повече солидарност при финансир</w:t>
      </w:r>
      <w:r>
        <w:rPr>
          <w:rFonts w:ascii="Times New Roman" w:hAnsi="Times New Roman"/>
          <w:noProof/>
          <w:sz w:val="24"/>
        </w:rPr>
        <w:t xml:space="preserve">ането на оперативните дейности, включително за военни мисии по линия на общата политика за сигурност и отбрана.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В обобщение, тази нова амбиция в областта на отбраната изисква трайно осигуряване на средства от различни източници след 2020 г. Чрез приноса </w:t>
      </w:r>
      <w:r>
        <w:rPr>
          <w:rFonts w:ascii="Times New Roman" w:hAnsi="Times New Roman"/>
          <w:noProof/>
          <w:sz w:val="24"/>
        </w:rPr>
        <w:t>от бюджета на ЕС в размер на 1,5 милиарда евро годишно за Европейския фонд за отбрана, наред с приноса на държавите членки за финансиране на съвместни проекти за развитие, Фондът може да генерира инвестиции в общ фонд за научни изследвания в областта на от</w:t>
      </w:r>
      <w:r>
        <w:rPr>
          <w:rFonts w:ascii="Times New Roman" w:hAnsi="Times New Roman"/>
          <w:noProof/>
          <w:sz w:val="24"/>
        </w:rPr>
        <w:t xml:space="preserve">браната и развитието на способностите в размер от 5,5 милиарда евро годишно след 2020 г.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Трето, в своя документ за размисъл относно задълбочаването на Икономическия и паричен съюз Комисията изведе на преден план идеята за предоставяне на стимули за подкре</w:t>
      </w:r>
      <w:r>
        <w:rPr>
          <w:rFonts w:ascii="Times New Roman" w:hAnsi="Times New Roman"/>
          <w:noProof/>
          <w:sz w:val="24"/>
        </w:rPr>
        <w:t>па на процеса на структурни реформи. С тези стимули, които могат да бъдат под формата на финансови възнаграждения, ще се вземе предвид икономическата, финансовата и политическата цена на структурната реформа в краткосрочен план и ще се спомогне за успешнот</w:t>
      </w:r>
      <w:r>
        <w:rPr>
          <w:rFonts w:ascii="Times New Roman" w:hAnsi="Times New Roman"/>
          <w:noProof/>
          <w:sz w:val="24"/>
        </w:rPr>
        <w:t xml:space="preserve">о им изпълнение. Тези стимули могат или да бъдат засилени в рамките на политиката на сближаване, или да бъдат създадени по линия на нов самостоятелен фонд, отворен за всички държави членки. Те следва да подкрепят европейските политики и действия, които са </w:t>
      </w:r>
      <w:r>
        <w:rPr>
          <w:rFonts w:ascii="Times New Roman" w:hAnsi="Times New Roman"/>
          <w:noProof/>
          <w:sz w:val="24"/>
        </w:rPr>
        <w:t>в съответствие със специфичните за всяка държава препоръки в рамките на европейския семестър. Техническата подкрепа за тези усилия може също да бъде финансирана от бюджета на ЕС. Комисията ще оцени тези варианти внимателно, преди да разгледа конкретни иниц</w:t>
      </w:r>
      <w:r>
        <w:rPr>
          <w:rFonts w:ascii="Times New Roman" w:hAnsi="Times New Roman"/>
          <w:noProof/>
          <w:sz w:val="24"/>
        </w:rPr>
        <w:t xml:space="preserve">иативи.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От основно значение при разработването и изпълнението на политиките на ЕС е отстояването на основните ценности на ЕС</w:t>
      </w:r>
      <w:r>
        <w:rPr>
          <w:rStyle w:val="FootnoteReference"/>
          <w:rFonts w:ascii="Times New Roman" w:hAnsi="Times New Roman"/>
          <w:noProof/>
          <w:sz w:val="24"/>
        </w:rPr>
        <w:footnoteReference w:id="7"/>
      </w:r>
      <w:r>
        <w:rPr>
          <w:rFonts w:ascii="Times New Roman" w:hAnsi="Times New Roman"/>
          <w:noProof/>
          <w:sz w:val="24"/>
        </w:rPr>
        <w:t>. Има нови предложения в обществения дебат отпускането на средства от бюджета на ЕС са бъде обвързано със спазването на принципите</w:t>
      </w:r>
      <w:r>
        <w:rPr>
          <w:rFonts w:ascii="Times New Roman" w:hAnsi="Times New Roman"/>
          <w:noProof/>
          <w:sz w:val="24"/>
        </w:rPr>
        <w:t xml:space="preserve"> на правовата държава в държавите членки. Спазването на принципите на правовата държава е важно за европейските граждани, но също така за предприемачеството, иновациите и инвестициите, които ще процъфтяват най-много там, където правната и институционалната</w:t>
      </w:r>
      <w:r>
        <w:rPr>
          <w:rFonts w:ascii="Times New Roman" w:hAnsi="Times New Roman"/>
          <w:noProof/>
          <w:sz w:val="24"/>
        </w:rPr>
        <w:t xml:space="preserve"> рамка съответстват в пълна степен на общите ценности на Съюза. Налице е следователно ясна връзка между принципите на правовата държава и ефикасното изпълнение на частните и публичните инвестиции, подкрепяни от бюджета на ЕС.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Четвърто, важен въпрос е дали</w:t>
      </w:r>
      <w:r>
        <w:rPr>
          <w:rFonts w:ascii="Times New Roman" w:hAnsi="Times New Roman"/>
          <w:noProof/>
          <w:sz w:val="24"/>
        </w:rPr>
        <w:t xml:space="preserve"> следващият бюджет на ЕС следва да включва под някаква форма функция за стабилизация. В документа за размисъл относно задълбочаването на Икономическия и паричен съюз бе предложено въвеждането на функция за макроикономическа стабилизация още при следващата </w:t>
      </w:r>
      <w:r>
        <w:rPr>
          <w:rFonts w:ascii="Times New Roman" w:hAnsi="Times New Roman"/>
          <w:noProof/>
          <w:sz w:val="24"/>
        </w:rPr>
        <w:t xml:space="preserve">многогодишна финансова рамка. Нейната цел ще бъде да осигури защита срещу големи сътресения, засягащи различните държави по различен начин (т. нар. асиметрични сътресения). Тя може да бъде под формата на схема за защита на инвестициите, презастраховане за </w:t>
      </w:r>
      <w:r>
        <w:rPr>
          <w:rFonts w:ascii="Times New Roman" w:hAnsi="Times New Roman"/>
          <w:noProof/>
          <w:sz w:val="24"/>
        </w:rPr>
        <w:t>националните схеми за безработица или „фонд за черни дни“. Ще има ясни условия за достъп до такава функция.</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Тези варианти могат да бъдат финансирани от съществуващите инструменти или от нов инструмент. Обсъжда се дали такава функция за стабилизация трябва </w:t>
      </w:r>
      <w:r>
        <w:rPr>
          <w:rFonts w:ascii="Times New Roman" w:hAnsi="Times New Roman"/>
          <w:noProof/>
          <w:sz w:val="24"/>
        </w:rPr>
        <w:t>да бъде свързана с нов фискален капацитет, насочен изключително към еврозоната, или  би могла да се поеме от бюджета на ЕС, като се има предвид, че дори към настоящия момент еврозоната представлява вече 85 % от БВП на ЕС.  В документа за размисъл относно з</w:t>
      </w:r>
      <w:r>
        <w:rPr>
          <w:rFonts w:ascii="Times New Roman" w:hAnsi="Times New Roman"/>
          <w:noProof/>
          <w:sz w:val="24"/>
        </w:rPr>
        <w:t>адълбочаването на Икономическия и паричен съюз се предлага като възможност, че функцията за стабилизация „следва да бъде разработена в рамката на ЕС и може да бъде отворена за всички държави членки.“</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Въвеждането на капацитет за фискална стабилизация на евр</w:t>
      </w:r>
      <w:r>
        <w:rPr>
          <w:rFonts w:ascii="Times New Roman" w:hAnsi="Times New Roman"/>
          <w:noProof/>
          <w:sz w:val="24"/>
        </w:rPr>
        <w:t xml:space="preserve">озоната ще предостави нещо качествено ново за финансите на ЕС. В по-дългосрочен план документът също така постави началото на дебат за пълноправен бюджет на еврозоната с много по-широки цели, значително по-високи средства и собствен поток от приходи.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Пето</w:t>
      </w:r>
      <w:r>
        <w:rPr>
          <w:rFonts w:ascii="Times New Roman" w:hAnsi="Times New Roman"/>
          <w:noProof/>
          <w:sz w:val="24"/>
        </w:rPr>
        <w:t>, необходимо е да се премине към нови, устойчиви модели на растеж, които съчетават икономически, социални и екологични съображения по цялостен и интегриран начин. За осъществяването на успешен преход са необходими огромни инвестиции, най-големият дял от ко</w:t>
      </w:r>
      <w:r>
        <w:rPr>
          <w:rFonts w:ascii="Times New Roman" w:hAnsi="Times New Roman"/>
          <w:noProof/>
          <w:sz w:val="24"/>
        </w:rPr>
        <w:t>ито ще са за нисковъглеродни енергийни инфраструктури, както за производство, така и за пренос и разпределение. Например делът на възобновяемите енергийни източници в производството на електроенергия трябва почти да се удвои до 2030 г., за да може ЕС да по</w:t>
      </w:r>
      <w:r>
        <w:rPr>
          <w:rFonts w:ascii="Times New Roman" w:hAnsi="Times New Roman"/>
          <w:noProof/>
          <w:sz w:val="24"/>
        </w:rPr>
        <w:t xml:space="preserve">стигне своите цели в областта на енергетиката и климата. Бюджетът на ЕС може да има катализиращ ефект за стимулиране на необходимите допълнителни частни или публични инвестиции.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Шесто, всички съществуващи инструменти ще трябва да бъдат разгледани. Макар и</w:t>
      </w:r>
      <w:r>
        <w:rPr>
          <w:rFonts w:ascii="Times New Roman" w:hAnsi="Times New Roman"/>
          <w:noProof/>
          <w:sz w:val="24"/>
        </w:rPr>
        <w:t xml:space="preserve"> настоящият документ да засяга по-специално реформата на двете най-големи разходни политики (за селското стопанство и за сближаването), никоя програма или инструмент, подкрепени от бюджета на ЕС, не бива да се изплъзне от прегледа на добавената стойност за</w:t>
      </w:r>
      <w:r>
        <w:rPr>
          <w:rFonts w:ascii="Times New Roman" w:hAnsi="Times New Roman"/>
          <w:noProof/>
          <w:sz w:val="24"/>
        </w:rPr>
        <w:t xml:space="preserve"> ЕС. Трябва да преценим дали съществуващите инструменти са абсолютно необходими или има възможност за обединяване или закриване на програми. Още по-важно е да се осигури политическата съгласуваност между инструментите на ЕС с цел да се гарантира, че всички</w:t>
      </w:r>
      <w:r>
        <w:rPr>
          <w:rFonts w:ascii="Times New Roman" w:hAnsi="Times New Roman"/>
          <w:noProof/>
          <w:sz w:val="24"/>
        </w:rPr>
        <w:t xml:space="preserve"> те подкрепят целите на ЕС и улесняват реформите в държавите членки. Например в областта на финансирането на МСП едни и същи бенефициери може да бъдат допустими за получаване на подкрепа посредством редица инструменти, обхванати по линия на различни програ</w:t>
      </w:r>
      <w:r>
        <w:rPr>
          <w:rFonts w:ascii="Times New Roman" w:hAnsi="Times New Roman"/>
          <w:noProof/>
          <w:sz w:val="24"/>
        </w:rPr>
        <w:t>ми (COSME, „Хоризонт 2020“ и ЕФСИ) или финансирането да бъде осъществено от държавите членки посредством политиката на сближаване. Предложението за такова припокриване предизвика известно объркване сред финансовите посредници относно това коя схема да прил</w:t>
      </w:r>
      <w:r>
        <w:rPr>
          <w:rFonts w:ascii="Times New Roman" w:hAnsi="Times New Roman"/>
          <w:noProof/>
          <w:sz w:val="24"/>
        </w:rPr>
        <w:t>агат. Правилата и условията, приложими в една и съща област на политиката, следва да бъдат приведени в съответствие.</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Съществуват също така доказателства за конкуренция и ефект на изтласкване между програмите на ЕС — например, що се отнася до инфраструктура</w:t>
      </w:r>
      <w:r>
        <w:rPr>
          <w:rFonts w:ascii="Times New Roman" w:hAnsi="Times New Roman"/>
          <w:noProof/>
          <w:sz w:val="24"/>
        </w:rPr>
        <w:t>, дори ако предоставените заеми и гаранции от ЕФСИ са предназначени за допълване на изпълнението на дълговия инструмент на МСЕ, изпълнението показва, че въвеждането на ЕФСИ забавя прилагането на инструмента на  МСЕ и усвояването на средства по линия на фон</w:t>
      </w:r>
      <w:r>
        <w:rPr>
          <w:rFonts w:ascii="Times New Roman" w:hAnsi="Times New Roman"/>
          <w:noProof/>
          <w:sz w:val="24"/>
        </w:rPr>
        <w:t>довете на политиката за сближаване.</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Седмо, за подобряване на постигането на резултати може да се наложи броят на инструментите за външните политики да бъде намален, но гъвкавостта им да бъде увеличена. Това би улеснило също така вътрешното преразпределение</w:t>
      </w:r>
      <w:r>
        <w:rPr>
          <w:rFonts w:ascii="Times New Roman" w:hAnsi="Times New Roman"/>
          <w:noProof/>
          <w:sz w:val="24"/>
        </w:rPr>
        <w:t xml:space="preserve"> между регионалните или тематичните приоритети, в случай че е необходимо да се реагира на криза в краткосрочен план.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Често обсъждан въпрос е включването на Европейския фонд за развитие (ЕФР) в бюджета на ЕС и в многогодишната финансова рамка (МФР) и като </w:t>
      </w:r>
      <w:r>
        <w:rPr>
          <w:rFonts w:ascii="Times New Roman" w:hAnsi="Times New Roman"/>
          <w:noProof/>
          <w:sz w:val="24"/>
        </w:rPr>
        <w:t>вариант за укрепване на единството на бюджета и на неговата отчетност. Този вариант може също да има недостатъци, тъй като съгласно правилата на бюджета на ЕС няма да е възможно да се предоставя подкрепа за някои от настоящите дейности, например за Механиз</w:t>
      </w:r>
      <w:r>
        <w:rPr>
          <w:rFonts w:ascii="Times New Roman" w:hAnsi="Times New Roman"/>
          <w:noProof/>
          <w:sz w:val="24"/>
        </w:rPr>
        <w:t>ма за подкрепа на мира в Африка.</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Когато държавите членки прехвърлят разходи от националните бюджети към бюджета на ЕС, това не следва да се разглежда като нетно увеличение на разходите, а по-скоро като прехвърляне на съществуващи разходи между националните</w:t>
      </w:r>
      <w:r>
        <w:rPr>
          <w:rFonts w:ascii="Times New Roman" w:hAnsi="Times New Roman"/>
          <w:noProof/>
          <w:sz w:val="24"/>
        </w:rPr>
        <w:t xml:space="preserve"> бюджети и бюджета на ЕС, в областите в които по принцип следва да се постигне по-висока добавена стойност. Това означава например, че ако ЕФР бъде включен в бюджета на ЕС и в МФР, общият обем на МФР ще трябва бъде увеличен съразмерно с фонда.</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Накрая, добр</w:t>
      </w:r>
      <w:r>
        <w:rPr>
          <w:rFonts w:ascii="Times New Roman" w:hAnsi="Times New Roman"/>
          <w:noProof/>
          <w:sz w:val="24"/>
        </w:rPr>
        <w:t>ото прилагане на политиките на ЕС се основава на силна и ефективна европейска публична служба. От 2013 г. насам институциите на ЕС изпълняват своя ангажимент за намаляване на числеността на персонала. Това се прави независимо от добавянето на нови отговорн</w:t>
      </w:r>
      <w:r>
        <w:rPr>
          <w:rFonts w:ascii="Times New Roman" w:hAnsi="Times New Roman"/>
          <w:noProof/>
          <w:sz w:val="24"/>
        </w:rPr>
        <w:t>ости, например справянето с бежанската криза или със заплахите за сигурността или в делегациите на ЕС в чужбина.  Поради това в бъдещия бюджет на ЕС следва да се предвиди силна европейска публична служба, която да е привлекателна за талантливи млади хора о</w:t>
      </w:r>
      <w:r>
        <w:rPr>
          <w:rFonts w:ascii="Times New Roman" w:hAnsi="Times New Roman"/>
          <w:noProof/>
          <w:sz w:val="24"/>
        </w:rPr>
        <w:t xml:space="preserve">т целия Съюз и да е в състояние да осъществи приоритетите, произтичащи от този процес на размисъл. При вземането на решения относно бъдещите политики и инструменти следва да се отчита въздействието върху човешките ресурси.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Допълнителното намаляване на чис</w:t>
      </w:r>
      <w:r>
        <w:rPr>
          <w:rFonts w:ascii="Times New Roman" w:hAnsi="Times New Roman"/>
          <w:noProof/>
          <w:sz w:val="24"/>
        </w:rPr>
        <w:t>леността на персонала би застрашило доброто функциониране на европейските институции. Аналогично, предишните реформи доведоха до намаляване на заплатите и до увеличаване на работното време и на пенсионната възраст. Има ясен спад на интерес от страна на мла</w:t>
      </w:r>
      <w:r>
        <w:rPr>
          <w:rFonts w:ascii="Times New Roman" w:hAnsi="Times New Roman"/>
          <w:noProof/>
          <w:sz w:val="24"/>
        </w:rPr>
        <w:t xml:space="preserve">дите хора от държавите членки с относително висок доход на глава от населението да се присъединят към институциите на ЕС. Въпреки че условията на труд могат да бъдат само един от факторите при вземането на такива решения, тенденцията е ясна. </w:t>
      </w:r>
    </w:p>
    <w:p w:rsidR="00497646" w:rsidRDefault="00B05ABE">
      <w:pPr>
        <w:keepNext/>
        <w:keepLines/>
        <w:spacing w:before="200" w:after="0"/>
        <w:outlineLvl w:val="2"/>
        <w:rPr>
          <w:rFonts w:asciiTheme="majorHAnsi" w:eastAsiaTheme="majorEastAsia" w:hAnsiTheme="majorHAnsi" w:cstheme="majorBidi"/>
          <w:b/>
          <w:bCs/>
          <w:noProof/>
          <w:color w:val="4F81BD" w:themeColor="accent1"/>
        </w:rPr>
      </w:pPr>
      <w:r>
        <w:rPr>
          <w:rFonts w:asciiTheme="majorHAnsi" w:eastAsiaTheme="majorEastAsia" w:hAnsiTheme="majorHAnsi" w:cstheme="majorBidi"/>
          <w:b/>
          <w:noProof/>
          <w:color w:val="4F81BD" w:themeColor="accent1"/>
        </w:rPr>
        <w:t>4.1.2</w:t>
      </w:r>
      <w:r>
        <w:rPr>
          <w:noProof/>
        </w:rPr>
        <w:tab/>
      </w:r>
      <w:r>
        <w:rPr>
          <w:rFonts w:asciiTheme="majorHAnsi" w:eastAsiaTheme="majorEastAsia" w:hAnsiTheme="majorHAnsi" w:cstheme="majorBidi"/>
          <w:b/>
          <w:noProof/>
          <w:color w:val="4F81BD" w:themeColor="accent1"/>
        </w:rPr>
        <w:t>Реформи</w:t>
      </w:r>
      <w:r>
        <w:rPr>
          <w:rFonts w:asciiTheme="majorHAnsi" w:eastAsiaTheme="majorEastAsia" w:hAnsiTheme="majorHAnsi" w:cstheme="majorBidi"/>
          <w:b/>
          <w:noProof/>
          <w:color w:val="4F81BD" w:themeColor="accent1"/>
        </w:rPr>
        <w:t>ране на общата селскостопанска политика:</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Общата селскостопанска политика осигурява важна добавена стойност за европейците и изпълнява целите, определени от Договора. Тя беше първата обща политика на ЕС и с течение на времето се е променила значително чрез </w:t>
      </w:r>
      <w:r>
        <w:rPr>
          <w:rFonts w:ascii="Times New Roman" w:hAnsi="Times New Roman"/>
          <w:noProof/>
          <w:sz w:val="24"/>
        </w:rPr>
        <w:t>редица реформи. В настоящия дебат се обсъждат различни варианти за по-нататъшни реформи с цел повишаване на нейната ефикасност и справедливост, като същевременно бъдат постигнати целите, останали непроменени, за осигуряване на безопасна и здравословна хран</w:t>
      </w:r>
      <w:r>
        <w:rPr>
          <w:rFonts w:ascii="Times New Roman" w:hAnsi="Times New Roman"/>
          <w:noProof/>
          <w:sz w:val="24"/>
        </w:rPr>
        <w:t>а, конкурентен сектор, справедливо равнище на живот за селскостопанската общност и опазване на природните ни ресурси, ландшафти, околна среда, както и за действията в областта на климата. Въздействието на политиката надхвърля стабилизирането на доходите на</w:t>
      </w:r>
      <w:r>
        <w:rPr>
          <w:rFonts w:ascii="Times New Roman" w:hAnsi="Times New Roman"/>
          <w:noProof/>
          <w:sz w:val="24"/>
        </w:rPr>
        <w:t xml:space="preserve"> земеделските стопани. Много от селските райони обаче се чувстват като изоставащи. Налице е все по-силен призив за допълнително съсредоточаване на  политиката върху предоставянето на обществени блага, като например безопасна и здравословна храна, управлени</w:t>
      </w:r>
      <w:r>
        <w:rPr>
          <w:rFonts w:ascii="Times New Roman" w:hAnsi="Times New Roman"/>
          <w:noProof/>
          <w:sz w:val="24"/>
        </w:rPr>
        <w:t>е на хранителните вещества, действия в отговор на изменението на климата, опазване на околната среда и на приноса ѝ за кръговата икономика.</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Продължава работата по отношение на модернизирането и опростяването на общата селскостопанска политика. Сред </w:t>
      </w:r>
      <w:r>
        <w:rPr>
          <w:rFonts w:ascii="Times New Roman" w:hAnsi="Times New Roman"/>
          <w:noProof/>
          <w:sz w:val="24"/>
        </w:rPr>
        <w:t>обсъжданите варианти е предложението преките плащания да бъдат насочени по по-ефективен начин за гарантиране на доход за всички земеделски стопани в целия ЕС, особено в отдалечените райони и най-бедните земеделски стопанства. Този вариант би намалил прекит</w:t>
      </w:r>
      <w:r>
        <w:rPr>
          <w:rFonts w:ascii="Times New Roman" w:hAnsi="Times New Roman"/>
          <w:noProof/>
          <w:sz w:val="24"/>
        </w:rPr>
        <w:t>е плащания за големите земеделски стопанства.</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Една от възможностите, която трябва да се проучи, е въвеждането на известна степен на национално съфинансиране за преките плащания с цел поддържане на общите равнища на текущата подкрепа. За справяне с кризи мо</w:t>
      </w:r>
      <w:r>
        <w:rPr>
          <w:rFonts w:ascii="Times New Roman" w:hAnsi="Times New Roman"/>
          <w:noProof/>
          <w:sz w:val="24"/>
        </w:rPr>
        <w:t>гат да бъдат предвидени инструменти за управление на риска. Всички промени ще трябва да запазят едно от основните предимства на политиката: защитата на доброто функциониране на вътрешния пазар, като се осигури равнопоставеност за всички производители в цел</w:t>
      </w:r>
      <w:r>
        <w:rPr>
          <w:rFonts w:ascii="Times New Roman" w:hAnsi="Times New Roman"/>
          <w:noProof/>
          <w:sz w:val="24"/>
        </w:rPr>
        <w:t>ия ЕС.</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За гарантиране на устойчивост на преобладаващата част от територията на ЕС са необходими жизнеспособни селски общности. В този контекст има възможности за подобрение и за увеличаване на взаимодействието с други фондове. В това отношение има предложе</w:t>
      </w:r>
      <w:r>
        <w:rPr>
          <w:rFonts w:ascii="Times New Roman" w:hAnsi="Times New Roman"/>
          <w:noProof/>
          <w:sz w:val="24"/>
        </w:rPr>
        <w:t xml:space="preserve">ние да се рационализира дейността на различните структурни фондове в селските райони и да се премахне препокриването.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Има възможност за по-нататъшно подобряване на изпълнението на политиката чрез поставяне на по-силен акцент върху предоставянето на стимул</w:t>
      </w:r>
      <w:r>
        <w:rPr>
          <w:rFonts w:ascii="Times New Roman" w:hAnsi="Times New Roman"/>
          <w:noProof/>
          <w:sz w:val="24"/>
        </w:rPr>
        <w:t>и на земеделските стопани да предоставят публични блага и услуги, съобразени с околната среда и климата. Земеделските стопани следва да бъдат насърчавани да инвестират в нови технологии и защита на околната среда в рамките на политиката за развитие на селс</w:t>
      </w:r>
      <w:r>
        <w:rPr>
          <w:rFonts w:ascii="Times New Roman" w:hAnsi="Times New Roman"/>
          <w:noProof/>
          <w:sz w:val="24"/>
        </w:rPr>
        <w:t xml:space="preserve">ките райони чрез положителни стимули въз основа на договори. Това ще намали настоящата административна тежест за всички земеделски стопани.  </w:t>
      </w:r>
    </w:p>
    <w:p w:rsidR="00497646" w:rsidRDefault="00B05ABE">
      <w:pPr>
        <w:keepNext/>
        <w:keepLines/>
        <w:spacing w:before="200" w:after="0"/>
        <w:outlineLvl w:val="2"/>
        <w:rPr>
          <w:rFonts w:asciiTheme="majorHAnsi" w:eastAsiaTheme="majorEastAsia" w:hAnsiTheme="majorHAnsi" w:cstheme="majorBidi"/>
          <w:b/>
          <w:bCs/>
          <w:noProof/>
          <w:color w:val="4F81BD" w:themeColor="accent1"/>
        </w:rPr>
      </w:pPr>
      <w:r>
        <w:rPr>
          <w:rFonts w:asciiTheme="majorHAnsi" w:eastAsiaTheme="majorEastAsia" w:hAnsiTheme="majorHAnsi" w:cstheme="majorBidi"/>
          <w:b/>
          <w:noProof/>
          <w:color w:val="4F81BD" w:themeColor="accent1"/>
        </w:rPr>
        <w:t>4.1.3</w:t>
      </w:r>
      <w:r>
        <w:rPr>
          <w:noProof/>
        </w:rPr>
        <w:tab/>
      </w:r>
      <w:r>
        <w:rPr>
          <w:rFonts w:asciiTheme="majorHAnsi" w:eastAsiaTheme="majorEastAsia" w:hAnsiTheme="majorHAnsi" w:cstheme="majorBidi"/>
          <w:b/>
          <w:noProof/>
          <w:color w:val="4F81BD" w:themeColor="accent1"/>
        </w:rPr>
        <w:t>Реформиране на политиката на сближаване</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Редица различни варианти биха могли да направят политиката на сближа</w:t>
      </w:r>
      <w:r>
        <w:rPr>
          <w:rFonts w:ascii="Times New Roman" w:hAnsi="Times New Roman"/>
          <w:noProof/>
          <w:sz w:val="24"/>
        </w:rPr>
        <w:t xml:space="preserve">ване по-ефективна и да увеличат максимално въздействието на нейните инвестиции.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Първо, политиката на сближаване може да стане по-гъвкава за справяне с новите предизвикателства, например чрез използването на неразпределен капацитет. Аналогично, един по-гъв</w:t>
      </w:r>
      <w:r>
        <w:rPr>
          <w:rFonts w:ascii="Times New Roman" w:hAnsi="Times New Roman"/>
          <w:noProof/>
          <w:sz w:val="24"/>
        </w:rPr>
        <w:t xml:space="preserve">кав фонд за приспособяване към глобализацията, който може да обхване широк набор от икономически и социални мерки, може да бъде по-ефективен чрез създаването на по-тесни връзки с политиката на сближаване. Това ще допринесе също така за общата гъвкавост на </w:t>
      </w:r>
      <w:r>
        <w:rPr>
          <w:rFonts w:ascii="Times New Roman" w:hAnsi="Times New Roman"/>
          <w:noProof/>
          <w:sz w:val="24"/>
        </w:rPr>
        <w:t xml:space="preserve">бюджета на ЕС.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Второ, необходимо е по-бързо изпълнение на политиката на сближаване и по-гладък преход между програмните периоди. Могат да се предвидят редица мерки, като например по-строги правила за отмяна на поети задължения, по-кратки процедури за прик</w:t>
      </w:r>
      <w:r>
        <w:rPr>
          <w:rFonts w:ascii="Times New Roman" w:hAnsi="Times New Roman"/>
          <w:noProof/>
          <w:sz w:val="24"/>
        </w:rPr>
        <w:t xml:space="preserve">лючване на програми, както и по-бързи и по-гъвкави процедури за назначаване на органи за управление и за планиране.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Трето, недостатъците в административния капацитет и лошото институционално качество възпрепятстват конкурентоспособността, ограничават ефек</w:t>
      </w:r>
      <w:r>
        <w:rPr>
          <w:rFonts w:ascii="Times New Roman" w:hAnsi="Times New Roman"/>
          <w:noProof/>
          <w:sz w:val="24"/>
        </w:rPr>
        <w:t>тивността на инвестициите и създават сериозна пречка пред растежа. Бюджетът на ЕС следва да засили изграждането на своя административен капацитет, свързан с най-важните области на инвестициите, финансирани с подкрепата на ЕС. Могат да се проучат нови подхо</w:t>
      </w:r>
      <w:r>
        <w:rPr>
          <w:rFonts w:ascii="Times New Roman" w:hAnsi="Times New Roman"/>
          <w:noProof/>
          <w:sz w:val="24"/>
        </w:rPr>
        <w:t>ди за изграждане на административен капацитет — например чрез по-добра координация на наличните инструменти и по-тясно участие на Комисията. Инициативата за изоставащите региони в рамките на политиката на сближаване беше важен пилотен проект и успешните ел</w:t>
      </w:r>
      <w:r>
        <w:rPr>
          <w:rFonts w:ascii="Times New Roman" w:hAnsi="Times New Roman"/>
          <w:noProof/>
          <w:sz w:val="24"/>
        </w:rPr>
        <w:t>ементи от нея могат да бъдат доразвити.</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Четвърто, равнищата на националното съфинансиране за политиката на сближаване следва да бъдат увеличени с цел по-добро адаптиране на равнищата спрямо различните държави и региони, както и за повишаване на ангажиранос</w:t>
      </w:r>
      <w:r>
        <w:rPr>
          <w:rFonts w:ascii="Times New Roman" w:hAnsi="Times New Roman"/>
          <w:noProof/>
          <w:sz w:val="24"/>
        </w:rPr>
        <w:t>тта и отговорността. Следва също да бъде поставен въпросът дали финансирането в рамките на политиката на сближаване следва да бъде достъпно за по-развитите държави и региони.</w:t>
      </w:r>
    </w:p>
    <w:p w:rsidR="00497646" w:rsidRDefault="00B05ABE">
      <w:pPr>
        <w:spacing w:after="24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rPr>
        <w:t>Пето, чрез единен инвестиционен фонд или единен набор от правила за съществуващит</w:t>
      </w:r>
      <w:r>
        <w:rPr>
          <w:rFonts w:ascii="Times New Roman" w:hAnsi="Times New Roman"/>
          <w:noProof/>
          <w:spacing w:val="-4"/>
          <w:sz w:val="24"/>
        </w:rPr>
        <w:t>е фондове ще се постигне по-голяма съгласуваност на инвестициите и ще се улесни животът на бенефициерите. Съгласуваността може да бъде подобрена също така чрез единен правилник за политиката на сближаване и за други финансови инструменти с програми или про</w:t>
      </w:r>
      <w:r>
        <w:rPr>
          <w:rFonts w:ascii="Times New Roman" w:hAnsi="Times New Roman"/>
          <w:noProof/>
          <w:spacing w:val="-4"/>
          <w:sz w:val="24"/>
        </w:rPr>
        <w:t>екти от същия вид. Това ще гарантира по-голямата допълняемост, например между политиката на сближаване и програмата „Хоризонт 2020“ или Механизма за свързване на Европа.</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Шесто, сегашната система на разпределение на финансовите средства може да бъде преразг</w:t>
      </w:r>
      <w:r>
        <w:rPr>
          <w:rFonts w:ascii="Times New Roman" w:hAnsi="Times New Roman"/>
          <w:noProof/>
          <w:sz w:val="24"/>
        </w:rPr>
        <w:t xml:space="preserve">ледана. Могат да бъдат добавени нови критерии, например във връзка с предизвикателствата, пред които е изправена Европа — от демографските проблеми и безработицата до социалното приобщаване и миграцията, от иновациите до изменението на климата. </w:t>
      </w:r>
    </w:p>
    <w:p w:rsidR="00497646" w:rsidRDefault="00B05ABE">
      <w:pPr>
        <w:pStyle w:val="Heading2"/>
        <w:rPr>
          <w:noProof/>
        </w:rPr>
      </w:pPr>
      <w:r>
        <w:rPr>
          <w:noProof/>
        </w:rPr>
        <w:t>4.2</w:t>
      </w:r>
      <w:r>
        <w:rPr>
          <w:noProof/>
        </w:rPr>
        <w:tab/>
        <w:t>Как тр</w:t>
      </w:r>
      <w:r>
        <w:rPr>
          <w:noProof/>
        </w:rPr>
        <w:t>ябва да функционира бюджетът на ЕС</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След като се реши какво следва да постигне бюджетът, има някои фактори, които трябва да бъдат взети предвид при съставянето му.</w:t>
      </w:r>
    </w:p>
    <w:p w:rsidR="00497646" w:rsidRDefault="00B05ABE">
      <w:pPr>
        <w:pStyle w:val="Heading2"/>
        <w:pBdr>
          <w:top w:val="single" w:sz="4" w:space="1" w:color="auto"/>
          <w:left w:val="single" w:sz="4" w:space="4" w:color="auto"/>
          <w:bottom w:val="single" w:sz="4" w:space="1" w:color="auto"/>
          <w:right w:val="single" w:sz="4" w:space="4" w:color="auto"/>
        </w:pBdr>
        <w:shd w:val="clear" w:color="auto" w:fill="D9D9D9" w:themeFill="background1" w:themeFillShade="D9"/>
        <w:rPr>
          <w:i/>
          <w:noProof/>
        </w:rPr>
      </w:pPr>
      <w:r>
        <w:rPr>
          <w:i/>
          <w:noProof/>
        </w:rPr>
        <w:t xml:space="preserve">Каре 4: — Принципи за реформа </w:t>
      </w:r>
    </w:p>
    <w:p w:rsidR="00497646" w:rsidRDefault="00497646">
      <w:pPr>
        <w:pStyle w:val="Heading2"/>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p>
    <w:p w:rsidR="00497646" w:rsidRDefault="00B05ABE">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160"/>
        </w:tabs>
        <w:spacing w:after="24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Проектът за бъдещия бюджет на ЕС трябва да се ръководи от </w:t>
      </w:r>
      <w:r>
        <w:rPr>
          <w:rFonts w:ascii="Times New Roman" w:hAnsi="Times New Roman"/>
          <w:noProof/>
          <w:sz w:val="24"/>
        </w:rPr>
        <w:t>следните основни принципи:</w:t>
      </w:r>
    </w:p>
    <w:p w:rsidR="00497646" w:rsidRDefault="00B05ABE">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4"/>
          <w:szCs w:val="20"/>
        </w:rPr>
      </w:pPr>
      <w:r>
        <w:rPr>
          <w:rFonts w:ascii="Times New Roman" w:hAnsi="Times New Roman"/>
          <w:b/>
          <w:noProof/>
          <w:sz w:val="24"/>
        </w:rPr>
        <w:t>Добавена стойност за ЕС:</w:t>
      </w:r>
      <w:r>
        <w:rPr>
          <w:rFonts w:ascii="Times New Roman" w:hAnsi="Times New Roman"/>
          <w:noProof/>
          <w:sz w:val="24"/>
        </w:rPr>
        <w:t xml:space="preserve"> финансирането следва да бъде съсредоточено в областите с най-голяма добавена стойност, като се вземат под внимание различните измерения, посочени в раздел 2, като например акцент върху резултатите. </w:t>
      </w:r>
    </w:p>
    <w:p w:rsidR="00497646" w:rsidRDefault="00B05ABE">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Отчетност: </w:t>
      </w:r>
      <w:r>
        <w:rPr>
          <w:rFonts w:ascii="Times New Roman" w:hAnsi="Times New Roman"/>
          <w:noProof/>
          <w:sz w:val="24"/>
        </w:rPr>
        <w:t>Дебатът относно бъдещия бюджет на ЕС ще се проведе в рамките на демократичен и прозрачен процес. Използването на допълнителни инструменти извън бюджета на ЕС следва да бъде сведено до минимум, тъй като с тях се размива разбирането за бюджета и с</w:t>
      </w:r>
      <w:r>
        <w:rPr>
          <w:rFonts w:ascii="Times New Roman" w:hAnsi="Times New Roman"/>
          <w:noProof/>
          <w:sz w:val="24"/>
        </w:rPr>
        <w:t xml:space="preserve">е излагат на риск демократичният контрол, прозрачността и доброто управление. </w:t>
      </w:r>
    </w:p>
    <w:p w:rsidR="00497646" w:rsidRDefault="00B05ABE">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Повече гъвкавост в една стабилна рамка: </w:t>
      </w:r>
      <w:r>
        <w:rPr>
          <w:rFonts w:ascii="Times New Roman" w:hAnsi="Times New Roman"/>
          <w:noProof/>
          <w:sz w:val="24"/>
        </w:rPr>
        <w:t>Многогодишната структура на бюджета на ЕС е предимство. Сигурността и предвидимостта са предпоставка за дългосрочни инвестиции. Опитът по</w:t>
      </w:r>
      <w:r>
        <w:rPr>
          <w:rFonts w:ascii="Times New Roman" w:hAnsi="Times New Roman"/>
          <w:noProof/>
          <w:sz w:val="24"/>
        </w:rPr>
        <w:t>каза обаче, че е от основно значение да има повече гъвкавост за справяне с кризи и непредвидени събития. Това следва да бъде отразено в една по-гъвкава структура и по-голям дял от бюджета да бъде оставен под формата на неразпределени средства.</w:t>
      </w:r>
    </w:p>
    <w:p w:rsidR="00497646" w:rsidRDefault="00B05ABE">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4"/>
          <w:szCs w:val="24"/>
        </w:rPr>
      </w:pPr>
      <w:r>
        <w:rPr>
          <w:rFonts w:ascii="Times New Roman" w:hAnsi="Times New Roman"/>
          <w:b/>
          <w:noProof/>
          <w:sz w:val="24"/>
        </w:rPr>
        <w:t>Опростени пр</w:t>
      </w:r>
      <w:r>
        <w:rPr>
          <w:rFonts w:ascii="Times New Roman" w:hAnsi="Times New Roman"/>
          <w:b/>
          <w:noProof/>
          <w:sz w:val="24"/>
        </w:rPr>
        <w:t>авила:</w:t>
      </w:r>
      <w:r>
        <w:rPr>
          <w:rFonts w:ascii="Times New Roman" w:hAnsi="Times New Roman"/>
          <w:noProof/>
          <w:sz w:val="24"/>
        </w:rPr>
        <w:t xml:space="preserve"> гражданите не трябва да обезкуражавани да кандидатстват за финансиране от ЕС в резултат на прекомерна бюрокрация. Поради това следва да продължат усилията за намаляване на бюрокрацията и за допълнително опростяване на правилата за прилагане. Премина</w:t>
      </w:r>
      <w:r>
        <w:rPr>
          <w:rFonts w:ascii="Times New Roman" w:hAnsi="Times New Roman"/>
          <w:noProof/>
          <w:sz w:val="24"/>
        </w:rPr>
        <w:t xml:space="preserve">ването към </w:t>
      </w:r>
      <w:r>
        <w:rPr>
          <w:rFonts w:ascii="Times New Roman" w:hAnsi="Times New Roman"/>
          <w:b/>
          <w:noProof/>
          <w:sz w:val="24"/>
        </w:rPr>
        <w:t>единен набор от правила</w:t>
      </w:r>
      <w:r>
        <w:rPr>
          <w:rFonts w:ascii="Times New Roman" w:hAnsi="Times New Roman"/>
          <w:noProof/>
          <w:sz w:val="24"/>
        </w:rPr>
        <w:t xml:space="preserve"> би допринесло за постигането на тази цел.</w:t>
      </w:r>
    </w:p>
    <w:p w:rsidR="00497646" w:rsidRDefault="00B05ABE">
      <w:pPr>
        <w:pStyle w:val="Heading3"/>
        <w:rPr>
          <w:noProof/>
        </w:rPr>
      </w:pPr>
      <w:r>
        <w:rPr>
          <w:noProof/>
        </w:rPr>
        <w:t>4.2.1</w:t>
      </w:r>
      <w:r>
        <w:rPr>
          <w:noProof/>
        </w:rPr>
        <w:tab/>
        <w:t>Стабилност и гъвкавост</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Необходимо е да се постигне правилният баланс между стабилността и гъвкавостта на финансирането.</w:t>
      </w:r>
    </w:p>
    <w:p w:rsidR="00497646" w:rsidRDefault="00B05ABE">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Един от факторите в този баланс е </w:t>
      </w:r>
      <w:r>
        <w:rPr>
          <w:rFonts w:ascii="Times New Roman" w:hAnsi="Times New Roman"/>
          <w:b/>
          <w:noProof/>
          <w:sz w:val="24"/>
        </w:rPr>
        <w:t>срокът на действие</w:t>
      </w:r>
      <w:r>
        <w:rPr>
          <w:rFonts w:ascii="Times New Roman" w:hAnsi="Times New Roman"/>
          <w:noProof/>
          <w:sz w:val="24"/>
        </w:rPr>
        <w:t xml:space="preserve"> </w:t>
      </w:r>
      <w:r>
        <w:rPr>
          <w:rFonts w:ascii="Times New Roman" w:hAnsi="Times New Roman"/>
          <w:noProof/>
          <w:sz w:val="24"/>
        </w:rPr>
        <w:t>на финансовата рамка. При предишните многогодишни финансови рамки (МФР) този срок почти винаги надхвърляше 7 години. Понастоящем минималният срок на действие, заложен в Договорите, е пет години. Следователно повечето държави членки, региони и заинтересован</w:t>
      </w:r>
      <w:r>
        <w:rPr>
          <w:rFonts w:ascii="Times New Roman" w:hAnsi="Times New Roman"/>
          <w:noProof/>
          <w:sz w:val="24"/>
        </w:rPr>
        <w:t>и страни са свикнали да работят в рамките на този цикъл. Намаляването на сегашния 7-годишен срок на действие на 5 години ще намали предвидимостта на финансирането. Това може да представлява проблем преди всичко за инвестициите, които изискват повече време.</w:t>
      </w:r>
      <w:r>
        <w:rPr>
          <w:rFonts w:ascii="Times New Roman" w:hAnsi="Times New Roman"/>
          <w:noProof/>
          <w:sz w:val="24"/>
        </w:rPr>
        <w:t xml:space="preserve"> Това би означавало също така, че подготовката за следващата МФР ще трябва да започне в самото начало на предходната рамка, което допълнително намалява възможността да се извлекат поуки за бъдещето. Институциите може да се окажат в ситуация на постоянни пр</w:t>
      </w:r>
      <w:r>
        <w:rPr>
          <w:rFonts w:ascii="Times New Roman" w:hAnsi="Times New Roman"/>
          <w:noProof/>
          <w:sz w:val="24"/>
        </w:rPr>
        <w:t xml:space="preserve">еговори.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Все пак един положителен ефект би бил, че по-краткият срок на действие би довел и до по-голяма гъвкавост и би улеснил приспособяването към непредвидени събития. В допълнение, 5-годишен срок на действие би съответствал на мандатите на Европейския </w:t>
      </w:r>
      <w:r>
        <w:rPr>
          <w:rFonts w:ascii="Times New Roman" w:hAnsi="Times New Roman"/>
          <w:noProof/>
          <w:sz w:val="24"/>
        </w:rPr>
        <w:t>парламент и на Комисията. Това би засилило демократичния дебат относно приоритетите на ЕС по отношение на разходите и би поставило бюджета на ЕС по-ясно в центъра на европейската политика.</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Друг вариант е МФР от 5 + 5 години със задължителен междинен прегле</w:t>
      </w:r>
      <w:r>
        <w:rPr>
          <w:rFonts w:ascii="Times New Roman" w:hAnsi="Times New Roman"/>
          <w:noProof/>
          <w:sz w:val="24"/>
        </w:rPr>
        <w:t xml:space="preserve">д с цел рамката да бъде актуализирана с оглед на новите приоритети. Този вариант обаче ще изисква на първо място определянето на таваните на МФР и правното основание за целия срок от до 10 години. Това може да бъде възпиращ фактор за постигане на съгласие </w:t>
      </w:r>
      <w:r>
        <w:rPr>
          <w:rFonts w:ascii="Times New Roman" w:hAnsi="Times New Roman"/>
          <w:noProof/>
          <w:sz w:val="24"/>
        </w:rPr>
        <w:t xml:space="preserve">по всякакви по-мащабни промени в средата на срока на действие в сравнение с действителни преговори по нова МФР.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Има други начини да се отговори на нуждата от гъвкавост. Опитът от последните години демонстрира ограниченията на настоящата структура по отнош</w:t>
      </w:r>
      <w:r>
        <w:rPr>
          <w:rFonts w:ascii="Times New Roman" w:hAnsi="Times New Roman"/>
          <w:noProof/>
          <w:sz w:val="24"/>
        </w:rPr>
        <w:t>ение на нейната приспособимост към неочаквани нужди. Една от причините за това е, че разходите се извършват стриктно в рамките на определени категории и че преразпределението на средства между бюджетни редове не е лесен процес. Друга причина е големият бро</w:t>
      </w:r>
      <w:r>
        <w:rPr>
          <w:rFonts w:ascii="Times New Roman" w:hAnsi="Times New Roman"/>
          <w:noProof/>
          <w:sz w:val="24"/>
        </w:rPr>
        <w:t>й различни програми и бюджетни редове, които бяха създадени с течение на времето. Това доведе до голям брой различни инструменти, които често се припокриват.</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color w:val="000000"/>
          <w:sz w:val="24"/>
        </w:rPr>
        <w:t>Гъвкавостта</w:t>
      </w:r>
      <w:r>
        <w:rPr>
          <w:rFonts w:ascii="Times New Roman" w:hAnsi="Times New Roman"/>
          <w:noProof/>
          <w:sz w:val="24"/>
        </w:rPr>
        <w:t xml:space="preserve"> на финансите на ЕС е ограничена и от факта, че около 80 % от МФР са предварително разп</w:t>
      </w:r>
      <w:r>
        <w:rPr>
          <w:rFonts w:ascii="Times New Roman" w:hAnsi="Times New Roman"/>
          <w:noProof/>
          <w:sz w:val="24"/>
        </w:rPr>
        <w:t>ределени за конкретни области на политиката, държави членки или разходни пакети за трети държави. Наличните механизми за бързо пренасочване на финансиране към нови приоритети или прехвърляне от една в друга година позволяват известна гъвкавост. Въпреки тов</w:t>
      </w:r>
      <w:r>
        <w:rPr>
          <w:rFonts w:ascii="Times New Roman" w:hAnsi="Times New Roman"/>
          <w:noProof/>
          <w:sz w:val="24"/>
        </w:rPr>
        <w:t>а съществуващата гъвкавост няма да е достатъчна за преодоляването на известните предизвикателства и на неочаквани бъдещи събития от подобен мащаб в нестабилна среда. Един от вариантите би бил част от средствата в рамките на всяка разходна програма (наричан</w:t>
      </w:r>
      <w:r>
        <w:rPr>
          <w:rFonts w:ascii="Times New Roman" w:hAnsi="Times New Roman"/>
          <w:noProof/>
          <w:sz w:val="24"/>
        </w:rPr>
        <w:t>а често непрограмиран резерв) да се заделя, като остава неразпределена и формира резерв за непредвидени събития.</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Освен това със създаването на резерв за кризи, финансиран от неизползваните средства от предишни години, може да се предостави допълнителен кап</w:t>
      </w:r>
      <w:r>
        <w:rPr>
          <w:rFonts w:ascii="Times New Roman" w:hAnsi="Times New Roman"/>
          <w:noProof/>
          <w:sz w:val="24"/>
        </w:rPr>
        <w:t>ацитет за извънредни обстоятелства, а един подобрен фонд за приспособяване към глобализацията също би могъл да засили гъвкавостта. Той би позволил на Съюза да засили подкрепата за структурни промени в районите, които са засегнати от въздействието на глобал</w:t>
      </w:r>
      <w:r>
        <w:rPr>
          <w:rFonts w:ascii="Times New Roman" w:hAnsi="Times New Roman"/>
          <w:noProof/>
          <w:sz w:val="24"/>
        </w:rPr>
        <w:t xml:space="preserve">изацията и технологичните промени. </w:t>
      </w:r>
    </w:p>
    <w:p w:rsidR="00497646" w:rsidRDefault="00B05ABE">
      <w:pPr>
        <w:pStyle w:val="Heading3"/>
        <w:rPr>
          <w:noProof/>
        </w:rPr>
      </w:pPr>
      <w:r>
        <w:rPr>
          <w:noProof/>
        </w:rPr>
        <w:t>4.2.2</w:t>
      </w:r>
      <w:r>
        <w:rPr>
          <w:noProof/>
        </w:rPr>
        <w:tab/>
        <w:t>Финансови инструменти и разширената финансова структура на ЕС</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Институциите и инструментите, допълващи бюджета на ЕС, като например Европейската инвестиционна банка, Европейския фонд за развитие, доверителните фондо</w:t>
      </w:r>
      <w:r>
        <w:rPr>
          <w:rFonts w:ascii="Times New Roman" w:hAnsi="Times New Roman"/>
          <w:noProof/>
          <w:sz w:val="24"/>
        </w:rPr>
        <w:t>ве на Европейския съюз и други механизми, представляват важен източник на гъвкавост.</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Финансови инструменти като гаранции, заеми и дялово участие могат да играят важна роля за това ЕС да постига повече с по-малко средства и да усили ефекта на бюджета на ЕС, по-специално в период на бюджетни ограничения. Добър пример от близкото минало е Евр</w:t>
      </w:r>
      <w:r>
        <w:rPr>
          <w:rFonts w:ascii="Times New Roman" w:hAnsi="Times New Roman"/>
          <w:noProof/>
          <w:sz w:val="24"/>
        </w:rPr>
        <w:t xml:space="preserve">опейският фонд за стратегически инвестиции.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Успешното използване на тези финансови инструменти зависи от наличието на ясна стратегия и набор от критерии за определяне на най-подходящите инструменти за нуждите на пазара, бенефициерите и преследваните цели.</w:t>
      </w:r>
      <w:r>
        <w:rPr>
          <w:rFonts w:ascii="Times New Roman" w:hAnsi="Times New Roman"/>
          <w:noProof/>
          <w:sz w:val="24"/>
        </w:rPr>
        <w:t xml:space="preserve"> Финансовите инструменти са подходящи само за генериращи приходи проекти. Следователно безвъзмездните помощи и субсидиите ще продължат да бъдат необходими за проекти, които не генерират приходи, например за фундаментални научни изследвания, за някои видове</w:t>
      </w:r>
      <w:r>
        <w:rPr>
          <w:rFonts w:ascii="Times New Roman" w:hAnsi="Times New Roman"/>
          <w:noProof/>
          <w:sz w:val="24"/>
        </w:rPr>
        <w:t xml:space="preserve"> инфраструктурни програми или за инвестиции в хора, като например програма Еразъм или действията по програма „Мария Склодовска-Кюри“.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Големият брой финансови инструменти на равнище ЕС и правилата, приложими към тях, са пречка за ефективното им използване.</w:t>
      </w:r>
      <w:r>
        <w:rPr>
          <w:rFonts w:ascii="Times New Roman" w:hAnsi="Times New Roman"/>
          <w:noProof/>
          <w:sz w:val="24"/>
        </w:rPr>
        <w:t xml:space="preserve"> Един от вариантите за разрешаване на този проблем би могъл да бъде тяхното интегриране в единен фонд, който да предоставя заеми, гаранции и инструменти за споделяне на риска — по целесъобразност в съчетание с безвъзмездни средства на ЕС — в зависимост от </w:t>
      </w:r>
      <w:r>
        <w:rPr>
          <w:rFonts w:ascii="Times New Roman" w:hAnsi="Times New Roman"/>
          <w:noProof/>
          <w:sz w:val="24"/>
        </w:rPr>
        <w:t>проекта и рамките за различните политики (като например научни изследвания, иновации, околна среда, подкрепа за МСП, инфраструктура, включително за енергийна ефективност), за да се вземат предвид различните цели.</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Европа може да положи повече усилия, за да </w:t>
      </w:r>
      <w:r>
        <w:rPr>
          <w:rFonts w:ascii="Times New Roman" w:hAnsi="Times New Roman"/>
          <w:noProof/>
          <w:sz w:val="24"/>
        </w:rPr>
        <w:t>гарантира условия за растеж на предприятията. Финансирането на дружества със средна пазарна капитализация и МСП отвъд началната фаза продължава да бъде трудно и много предприемачи напускат Европа в търсене на подходящи капиталови инвестиции. За тази цел  п</w:t>
      </w:r>
      <w:r>
        <w:rPr>
          <w:rFonts w:ascii="Times New Roman" w:hAnsi="Times New Roman"/>
          <w:noProof/>
          <w:sz w:val="24"/>
        </w:rPr>
        <w:t>рез 2016 г. беше създаден Общоевропейски фонд за инвестиции във фондове за рисков капитал на стойност 1,6 милиарда евро, който ще започне да функционира през 2017 г. Този подход може да бъде разширен, така че да се осигурява стабилно финансиране на етапа н</w:t>
      </w:r>
      <w:r>
        <w:rPr>
          <w:rFonts w:ascii="Times New Roman" w:hAnsi="Times New Roman"/>
          <w:noProof/>
          <w:sz w:val="24"/>
        </w:rPr>
        <w:t>а разрастване на проектите или предприятията.</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Новите финансови инструменти на равнище ЕС и кредитните, гаранционните и капиталовите инструменти, управлявани от държавите членки в рамките на политиката на сближаване, трябва да се допълват взаимно. Това взаи</w:t>
      </w:r>
      <w:r>
        <w:rPr>
          <w:rFonts w:ascii="Times New Roman" w:hAnsi="Times New Roman"/>
          <w:noProof/>
          <w:sz w:val="24"/>
        </w:rPr>
        <w:t>мно допълване между различните инструменти следва да се гарантира чрез координация нагоре по веригата, едни и същи правила и по-ясно разграничаване на намесите.</w:t>
      </w:r>
    </w:p>
    <w:p w:rsidR="00497646" w:rsidRDefault="00B05ABE">
      <w:pPr>
        <w:pStyle w:val="Heading3"/>
        <w:rPr>
          <w:noProof/>
          <w:spacing w:val="-4"/>
        </w:rPr>
      </w:pPr>
      <w:r>
        <w:rPr>
          <w:noProof/>
          <w:spacing w:val="-4"/>
        </w:rPr>
        <w:t>4.2.3</w:t>
      </w:r>
      <w:r>
        <w:rPr>
          <w:noProof/>
          <w:spacing w:val="-4"/>
        </w:rPr>
        <w:tab/>
        <w:t>Опростяване, фокус върху резултатите и ефективно управление на бюджета на ЕС</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Наличието на</w:t>
      </w:r>
      <w:r>
        <w:rPr>
          <w:rFonts w:ascii="Times New Roman" w:hAnsi="Times New Roman"/>
          <w:noProof/>
          <w:sz w:val="24"/>
        </w:rPr>
        <w:t xml:space="preserve"> добре обмислени правила е от съществено значение, за да се гарантира, че средствата на ЕС се усвояват правилно и парите на данъкоплатците са защитени. Прекалената бюрокрация може да пречи на постигането на резултати и да възпира гражданите и предприятията</w:t>
      </w:r>
      <w:r>
        <w:rPr>
          <w:rFonts w:ascii="Times New Roman" w:hAnsi="Times New Roman"/>
          <w:noProof/>
          <w:sz w:val="24"/>
        </w:rPr>
        <w:t xml:space="preserve"> да се възползват максимално от бюджета на ЕС.</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Вече бяха предприети важни стъпки за опростяване на бюджета на ЕС, но все още са налице значителни възможности за по-нататъшното му опростяване посредством опростяване на правилата. Това е желателно в много ра</w:t>
      </w:r>
      <w:r>
        <w:rPr>
          <w:rFonts w:ascii="Times New Roman" w:hAnsi="Times New Roman"/>
          <w:noProof/>
          <w:sz w:val="24"/>
        </w:rPr>
        <w:t>зходни области, по-специално когато трудностите, свързани със спазването на изискванията за наблюдение и докладване, водят до значителни закъснения при изпълнението на проектите. Сложността на правилата води до повече грешки и разходи за крайните получател</w:t>
      </w:r>
      <w:r>
        <w:rPr>
          <w:rFonts w:ascii="Times New Roman" w:hAnsi="Times New Roman"/>
          <w:noProof/>
          <w:sz w:val="24"/>
        </w:rPr>
        <w:t>и и увеличава рисковете от неспазване. Налице е ясна необходимост от обединяване на програми, които преследват подобни цели, например в областите на енергийната ефективност или гражданството. По същия начин, в областта на външните политики би могло да бъде</w:t>
      </w:r>
      <w:r>
        <w:rPr>
          <w:rFonts w:ascii="Times New Roman" w:hAnsi="Times New Roman"/>
          <w:noProof/>
          <w:sz w:val="24"/>
        </w:rPr>
        <w:t xml:space="preserve"> целесъобразно да се намали броят на инструментите и същевременно да се повиши тяхната гъвкавост, като се премахнат всички изкуствени бариери между регионалните или тематичните приоритети.</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Един от бъдещите варианти може да бъде „единен набор от правила“, к</w:t>
      </w:r>
      <w:r>
        <w:rPr>
          <w:rFonts w:ascii="Times New Roman" w:hAnsi="Times New Roman"/>
          <w:noProof/>
          <w:sz w:val="24"/>
        </w:rPr>
        <w:t>ойто се прилага за всички процеси и инструменти или прилагането на едни и същи правила и условия за същия вид проекти. Това може да спомогне да се гарантира по-видимо радикално опростяване и намаляване на бюрокрацията и да се насърчи по-добра съгласуваност</w:t>
      </w:r>
      <w:r>
        <w:rPr>
          <w:rFonts w:ascii="Times New Roman" w:hAnsi="Times New Roman"/>
          <w:noProof/>
          <w:sz w:val="24"/>
        </w:rPr>
        <w:t xml:space="preserve"> между различните инвестиции на ЕС. То може да намали административната тежест за бенефициерите, тъй като няма да е необходимо да се съобразяват с различни правила за един и същи вид инвестиция в зависимост от източника на финансиране. Това, което наистина</w:t>
      </w:r>
      <w:r>
        <w:rPr>
          <w:rFonts w:ascii="Times New Roman" w:hAnsi="Times New Roman"/>
          <w:noProof/>
          <w:sz w:val="24"/>
        </w:rPr>
        <w:t xml:space="preserve"> е от значение за получаващите подкрепата, е простотата на правилата, а не източникът на финансиране.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Съответно изпълнението на бюджета следва да се съсредоточи върху максимизирането на получените резултати от всяко похарчено евро от гледна точка на </w:t>
      </w:r>
      <w:r>
        <w:rPr>
          <w:rFonts w:ascii="Times New Roman" w:hAnsi="Times New Roman"/>
          <w:noProof/>
          <w:sz w:val="24"/>
        </w:rPr>
        <w:t>икономическия растеж и добавената стойност. Макар да беше постигнат съществен напредък в тази област, настоящата рамка за изпълнение, която включва множество различни правни текстове, е сложна, поради което е по-трудно да бъдат оценени и популяризирани нап</w:t>
      </w:r>
      <w:r>
        <w:rPr>
          <w:rFonts w:ascii="Times New Roman" w:hAnsi="Times New Roman"/>
          <w:noProof/>
          <w:sz w:val="24"/>
        </w:rPr>
        <w:t>редъкът и постиженията.</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Освен това е необходимо да се възстанови доверието между различните институции, като се премине към пропорционални проверки, които зависят от обемите, но също и от надеждността на институциите и ефективността на системите за управле</w:t>
      </w:r>
      <w:r>
        <w:rPr>
          <w:rFonts w:ascii="Times New Roman" w:hAnsi="Times New Roman"/>
          <w:noProof/>
          <w:sz w:val="24"/>
        </w:rPr>
        <w:t xml:space="preserve">ние и контрол. Категорична стъпка в тази посока ще позволи на държавите членки (както и на Комисията) също да рационализират системите за управление и съответните институционални договорености — наличието на отделни институционалните системи за всеки фонд </w:t>
      </w:r>
      <w:r>
        <w:rPr>
          <w:rFonts w:ascii="Times New Roman" w:hAnsi="Times New Roman"/>
          <w:noProof/>
          <w:sz w:val="24"/>
        </w:rPr>
        <w:t>е лукс, който в бъдеще може да не можем да си позволим. По-специално в държавите членки би могло да бъде постигнато значително повишаване на ефективността на институциите и намаляване на административните разходи за управление на програмите. Пълноценното и</w:t>
      </w:r>
      <w:r>
        <w:rPr>
          <w:rFonts w:ascii="Times New Roman" w:hAnsi="Times New Roman"/>
          <w:noProof/>
          <w:sz w:val="24"/>
        </w:rPr>
        <w:t>зползване на Европейската прокуратура може да допринесе за опростяването и за ефективността на защитата на бюджета на ЕС.</w:t>
      </w:r>
    </w:p>
    <w:p w:rsidR="00497646" w:rsidRDefault="00B05ABE">
      <w:pPr>
        <w:pStyle w:val="Heading2"/>
        <w:keepNext/>
        <w:rPr>
          <w:noProof/>
        </w:rPr>
      </w:pPr>
      <w:r>
        <w:rPr>
          <w:noProof/>
        </w:rPr>
        <w:t>4.3</w:t>
      </w:r>
      <w:r>
        <w:rPr>
          <w:noProof/>
        </w:rPr>
        <w:tab/>
        <w:t>Приходи за подпомагане на политиките на ЕС</w:t>
      </w:r>
    </w:p>
    <w:p w:rsidR="00497646" w:rsidRDefault="00B05ABE">
      <w:pPr>
        <w:keepNext/>
        <w:spacing w:after="240" w:line="240" w:lineRule="auto"/>
        <w:jc w:val="both"/>
        <w:rPr>
          <w:rFonts w:ascii="Times New Roman" w:eastAsia="Calibri" w:hAnsi="Times New Roman"/>
          <w:bCs/>
          <w:noProof/>
          <w:sz w:val="24"/>
          <w:szCs w:val="24"/>
        </w:rPr>
      </w:pPr>
      <w:r>
        <w:rPr>
          <w:rFonts w:ascii="Times New Roman" w:hAnsi="Times New Roman"/>
          <w:noProof/>
          <w:sz w:val="24"/>
        </w:rPr>
        <w:t>Съществува тясна връзка между решението за какво ще се използва бюджетът на ЕС и избора</w:t>
      </w:r>
      <w:r>
        <w:rPr>
          <w:rFonts w:ascii="Times New Roman" w:hAnsi="Times New Roman"/>
          <w:noProof/>
          <w:sz w:val="24"/>
        </w:rPr>
        <w:t xml:space="preserve"> на начините за неговото финансиране. </w:t>
      </w:r>
    </w:p>
    <w:p w:rsidR="00497646" w:rsidRDefault="00B05ABE">
      <w:pPr>
        <w:spacing w:after="240" w:line="240" w:lineRule="auto"/>
        <w:jc w:val="both"/>
        <w:rPr>
          <w:rFonts w:ascii="Times New Roman" w:eastAsia="Calibri" w:hAnsi="Times New Roman" w:cs="Times New Roman"/>
          <w:noProof/>
          <w:sz w:val="24"/>
          <w:szCs w:val="28"/>
        </w:rPr>
      </w:pPr>
      <w:r>
        <w:rPr>
          <w:rFonts w:ascii="Times New Roman" w:hAnsi="Times New Roman"/>
          <w:noProof/>
          <w:sz w:val="24"/>
        </w:rPr>
        <w:t xml:space="preserve">Затова процесът на размисъл относно реформата на разходната страна на бюджета на ЕС трябва да бъде придружен от критична оценка на начина, по който се финансира бюджетът, т.е на системата на собствените ресурси, и на </w:t>
      </w:r>
      <w:r>
        <w:rPr>
          <w:rFonts w:ascii="Times New Roman" w:hAnsi="Times New Roman"/>
          <w:noProof/>
          <w:sz w:val="24"/>
        </w:rPr>
        <w:t>това как тази система може да бъде реформирана, за да бъде по-ефективна и да предоставя по-силна подкрепа за политиките. Настоящият подход към финансирането е твърде сложен и непрозрачен и се характеризира с множество сложни корекционни механизми. В бъдеще</w:t>
      </w:r>
      <w:r>
        <w:rPr>
          <w:rFonts w:ascii="Times New Roman" w:hAnsi="Times New Roman"/>
          <w:noProof/>
          <w:sz w:val="24"/>
        </w:rPr>
        <w:t xml:space="preserve"> тази система трябва да бъде опростена, справедлива и прозрачна.</w:t>
      </w:r>
    </w:p>
    <w:p w:rsidR="00497646" w:rsidRDefault="00B05ABE">
      <w:pPr>
        <w:spacing w:after="240" w:line="240" w:lineRule="auto"/>
        <w:jc w:val="both"/>
        <w:rPr>
          <w:rFonts w:ascii="Times New Roman" w:eastAsia="Calibri" w:hAnsi="Times New Roman" w:cs="Times New Roman"/>
          <w:noProof/>
          <w:sz w:val="24"/>
          <w:szCs w:val="28"/>
        </w:rPr>
      </w:pPr>
      <w:r>
        <w:rPr>
          <w:rFonts w:ascii="Times New Roman" w:hAnsi="Times New Roman"/>
          <w:noProof/>
          <w:sz w:val="24"/>
        </w:rPr>
        <w:t>Дългогодишният дебат относно приходите за финансиране на бюджета на ЕС се съсредоточаваше върху по-видимото свързване на собствените ресурси с ключови политики на ЕС, в частност единния пазар</w:t>
      </w:r>
      <w:r>
        <w:rPr>
          <w:rFonts w:ascii="Times New Roman" w:hAnsi="Times New Roman"/>
          <w:noProof/>
          <w:sz w:val="24"/>
        </w:rPr>
        <w:t xml:space="preserve"> и устойчивия растеж, както и върху опростяването на системата. В идеалния случай собствените ресурси на ЕС биха произтичали от основна политика на ЕС с ясна европейска добавена стойност, биха били считани за справедливи и биха финансирали стабилен и значи</w:t>
      </w:r>
      <w:r>
        <w:rPr>
          <w:rFonts w:ascii="Times New Roman" w:hAnsi="Times New Roman"/>
          <w:noProof/>
          <w:sz w:val="24"/>
        </w:rPr>
        <w:t xml:space="preserve">телен дял от бюджета на ЕС. Традиционните собствени ресурси от мита може да се разглеждат като такъв добър пример. </w:t>
      </w:r>
    </w:p>
    <w:p w:rsidR="00497646" w:rsidRDefault="00B05ABE">
      <w:pPr>
        <w:spacing w:after="240" w:line="240" w:lineRule="auto"/>
        <w:jc w:val="both"/>
        <w:rPr>
          <w:rFonts w:ascii="Times New Roman" w:eastAsia="Calibri" w:hAnsi="Times New Roman" w:cs="Times New Roman"/>
          <w:noProof/>
          <w:sz w:val="24"/>
          <w:szCs w:val="28"/>
        </w:rPr>
      </w:pPr>
      <w:r>
        <w:rPr>
          <w:rFonts w:ascii="Times New Roman" w:hAnsi="Times New Roman"/>
          <w:noProof/>
          <w:sz w:val="24"/>
        </w:rPr>
        <w:t>Съществуват много възможни източници на приходи, които могат да бъдат използвани за финансиране на бюджета на ЕС (в графика 15 са изброени н</w:t>
      </w:r>
      <w:r>
        <w:rPr>
          <w:rFonts w:ascii="Times New Roman" w:hAnsi="Times New Roman"/>
          <w:noProof/>
          <w:sz w:val="24"/>
        </w:rPr>
        <w:t>ай-често спряганите), въпреки че нито един от тях сам по себе си не отговаря на всички критерии, които са определени като необходими за собствен ресурс: някои от тях биха могли да доведат до постоянни и значителни приходи, както и до реална промяна на прих</w:t>
      </w:r>
      <w:r>
        <w:rPr>
          <w:rFonts w:ascii="Times New Roman" w:hAnsi="Times New Roman"/>
          <w:noProof/>
          <w:sz w:val="24"/>
        </w:rPr>
        <w:t>одите; други биха генерирали по-скромни приходи, но може да са по-подходящи или по-приемливи от политическа гледна точка, по-специално когато съпровождат приоритетни цели на политиката, като например декарбонизацията на европейската икономика, задълбочаван</w:t>
      </w:r>
      <w:r>
        <w:rPr>
          <w:rFonts w:ascii="Times New Roman" w:hAnsi="Times New Roman"/>
          <w:noProof/>
          <w:sz w:val="24"/>
        </w:rPr>
        <w:t xml:space="preserve">ето на единния пазар и </w:t>
      </w:r>
      <w:r>
        <w:rPr>
          <w:rFonts w:ascii="Times New Roman" w:hAnsi="Times New Roman" w:cs="Times New Roman"/>
          <w:noProof/>
          <w:sz w:val="24"/>
          <w:szCs w:val="24"/>
        </w:rPr>
        <w:t>икономическия и паричен съюз или</w:t>
      </w:r>
      <w:r>
        <w:rPr>
          <w:rFonts w:ascii="Times New Roman" w:hAnsi="Times New Roman"/>
          <w:noProof/>
          <w:sz w:val="24"/>
        </w:rPr>
        <w:t xml:space="preserve"> финансирането на нови приоритети. </w:t>
      </w:r>
    </w:p>
    <w:p w:rsidR="00497646" w:rsidRDefault="00B05ABE">
      <w:pPr>
        <w:spacing w:after="240" w:line="240" w:lineRule="auto"/>
        <w:jc w:val="both"/>
        <w:rPr>
          <w:rFonts w:ascii="Times New Roman" w:eastAsia="Calibri" w:hAnsi="Times New Roman" w:cs="Times New Roman"/>
          <w:noProof/>
          <w:sz w:val="24"/>
          <w:szCs w:val="28"/>
        </w:rPr>
      </w:pPr>
      <w:r>
        <w:rPr>
          <w:rFonts w:ascii="Times New Roman" w:hAnsi="Times New Roman"/>
          <w:noProof/>
          <w:sz w:val="24"/>
        </w:rPr>
        <w:t>В крайна сметка най-добрият избор ще зависи от основните цели на бъдещата реформа и от това дали е налице целева стойност от бюджета на ЕС, която трябва да бъде фина</w:t>
      </w:r>
      <w:r>
        <w:rPr>
          <w:rFonts w:ascii="Times New Roman" w:hAnsi="Times New Roman"/>
          <w:noProof/>
          <w:sz w:val="24"/>
        </w:rPr>
        <w:t xml:space="preserve">нсирана от нови собствени ресурси. </w:t>
      </w:r>
    </w:p>
    <w:p w:rsidR="00497646" w:rsidRDefault="00497646">
      <w:pPr>
        <w:rPr>
          <w:rFonts w:ascii="Times New Roman" w:eastAsia="Calibri" w:hAnsi="Times New Roman" w:cs="Times New Roman"/>
          <w:noProof/>
          <w:sz w:val="24"/>
          <w:szCs w:val="28"/>
        </w:rPr>
      </w:pPr>
    </w:p>
    <w:p w:rsidR="00497646" w:rsidRPr="00B05ABE" w:rsidRDefault="00B05ABE">
      <w:pPr>
        <w:keepNext/>
        <w:spacing w:after="240" w:line="240" w:lineRule="auto"/>
        <w:jc w:val="both"/>
        <w:rPr>
          <w:rFonts w:eastAsia="Calibri"/>
          <w:b/>
          <w:bCs/>
          <w:noProof/>
          <w:szCs w:val="28"/>
          <w:u w:val="single"/>
          <w:lang w:eastAsia="en-US" w:bidi="ar-SA"/>
        </w:rPr>
      </w:pPr>
      <w:r w:rsidRPr="00B05ABE">
        <w:rPr>
          <w:rFonts w:eastAsia="Calibri"/>
          <w:b/>
          <w:bCs/>
          <w:noProof/>
          <w:szCs w:val="28"/>
          <w:u w:val="single"/>
          <w:lang w:eastAsia="en-US" w:bidi="ar-SA"/>
        </w:rPr>
        <w:t>Източници на приходи — диапазон на вариантите</w:t>
      </w:r>
    </w:p>
    <w:p w:rsidR="00497646" w:rsidRDefault="00B05ABE">
      <w:pPr>
        <w:spacing w:after="240" w:line="240" w:lineRule="auto"/>
        <w:jc w:val="both"/>
        <w:rPr>
          <w:rFonts w:asciiTheme="majorHAnsi" w:eastAsia="EC Square Sans Pro" w:hAnsiTheme="majorHAnsi" w:cs="Times New Roman"/>
          <w:b/>
          <w:bCs/>
          <w:noProof/>
          <w:color w:val="365F91" w:themeColor="accent1" w:themeShade="BF"/>
          <w:sz w:val="24"/>
          <w:szCs w:val="28"/>
        </w:rPr>
      </w:pPr>
      <w:r>
        <w:rPr>
          <w:rFonts w:asciiTheme="majorHAnsi" w:eastAsia="EC Square Sans Pro" w:hAnsiTheme="majorHAnsi" w:cs="Times New Roman"/>
          <w:b/>
          <w:bCs/>
          <w:noProof/>
          <w:color w:val="365F91" w:themeColor="accent1" w:themeShade="BF"/>
          <w:sz w:val="24"/>
          <w:szCs w:val="28"/>
          <w:lang w:val="en-GB" w:eastAsia="en-GB" w:bidi="ar-SA"/>
        </w:rPr>
        <w:drawing>
          <wp:inline distT="0" distB="0" distL="0" distR="0">
            <wp:extent cx="5958205" cy="151066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3e.JPG"/>
                    <pic:cNvPicPr/>
                  </pic:nvPicPr>
                  <pic:blipFill>
                    <a:blip r:embed="rId30">
                      <a:extLst>
                        <a:ext uri="{28A0092B-C50C-407E-A947-70E740481C1C}">
                          <a14:useLocalDpi xmlns:a14="http://schemas.microsoft.com/office/drawing/2010/main" val="0"/>
                        </a:ext>
                      </a:extLst>
                    </a:blip>
                    <a:stretch>
                      <a:fillRect/>
                    </a:stretch>
                  </pic:blipFill>
                  <pic:spPr>
                    <a:xfrm>
                      <a:off x="0" y="0"/>
                      <a:ext cx="5958205" cy="1510665"/>
                    </a:xfrm>
                    <a:prstGeom prst="rect">
                      <a:avLst/>
                    </a:prstGeom>
                  </pic:spPr>
                </pic:pic>
              </a:graphicData>
            </a:graphic>
          </wp:inline>
        </w:drawing>
      </w:r>
    </w:p>
    <w:p w:rsidR="00497646" w:rsidRDefault="00B05ABE">
      <w:pPr>
        <w:spacing w:after="240" w:line="240" w:lineRule="auto"/>
        <w:jc w:val="both"/>
        <w:rPr>
          <w:rFonts w:ascii="Times New Roman" w:eastAsia="Calibri" w:hAnsi="Times New Roman" w:cs="Times New Roman"/>
          <w:noProof/>
          <w:sz w:val="24"/>
          <w:szCs w:val="28"/>
        </w:rPr>
      </w:pPr>
      <w:r>
        <w:rPr>
          <w:rFonts w:ascii="Times New Roman" w:hAnsi="Times New Roman"/>
          <w:noProof/>
          <w:sz w:val="24"/>
        </w:rPr>
        <w:t xml:space="preserve">Противно на това, което често се твърди, новите собствени ресурси няма непременно да увеличат размера на бюджета на ЕС. Решенията, свързани с нивото на разходите, се </w:t>
      </w:r>
      <w:r>
        <w:rPr>
          <w:rFonts w:ascii="Times New Roman" w:hAnsi="Times New Roman"/>
          <w:noProof/>
          <w:sz w:val="24"/>
        </w:rPr>
        <w:t>вземат в контекста на многогодишната финансова рамка, и решението дали да се повишат настоящите нива на разходите ще трябва да бъдат взети в зависимост от резултатите от настоящия процес на размисъл. При непроменени равнища на разходите новите собствени ре</w:t>
      </w:r>
      <w:r>
        <w:rPr>
          <w:rFonts w:ascii="Times New Roman" w:hAnsi="Times New Roman"/>
          <w:noProof/>
          <w:sz w:val="24"/>
        </w:rPr>
        <w:t>сурси автоматично ще намалят дела на собствения ресурс на база БНД, който играе ролята на остатъчна величина и компенсира всеки евентуален недостиг на средства за покриване на разходите на ЕС, в зависимост от развитието на другите собствени ресурси. Неотда</w:t>
      </w:r>
      <w:r>
        <w:rPr>
          <w:rFonts w:ascii="Times New Roman" w:hAnsi="Times New Roman"/>
          <w:noProof/>
          <w:sz w:val="24"/>
        </w:rPr>
        <w:t>внашният доклад на групата на високо равнище за собствените ресурси, създадена съвместно от Европейския парламент, Съвета и Комисията и председателствана от Марио Монти</w:t>
      </w:r>
      <w:r>
        <w:rPr>
          <w:rStyle w:val="FootnoteReference"/>
          <w:rFonts w:ascii="Times New Roman" w:hAnsi="Times New Roman"/>
          <w:noProof/>
          <w:sz w:val="24"/>
        </w:rPr>
        <w:footnoteReference w:id="8"/>
      </w:r>
      <w:r>
        <w:rPr>
          <w:rFonts w:ascii="Times New Roman" w:hAnsi="Times New Roman"/>
          <w:noProof/>
          <w:sz w:val="24"/>
        </w:rPr>
        <w:t>, представи цялостен анализ на тези въпроси и направи оценка на редица възможни източни</w:t>
      </w:r>
      <w:r>
        <w:rPr>
          <w:rFonts w:ascii="Times New Roman" w:hAnsi="Times New Roman"/>
          <w:noProof/>
          <w:sz w:val="24"/>
        </w:rPr>
        <w:t xml:space="preserve">ци на приходи във връзка с най-важните критерии (напр. справедливост, ефективност, стабилност, прозрачност, съсредоточаване върху европейска добавена стойност, демократична отчетност). Напредъкът в координирането на данъчните политики, най-вече в областта </w:t>
      </w:r>
      <w:r>
        <w:rPr>
          <w:rFonts w:ascii="Times New Roman" w:hAnsi="Times New Roman"/>
          <w:noProof/>
          <w:sz w:val="24"/>
        </w:rPr>
        <w:t>на корпоративното данъчно облагане и облагането на финансовите трансакции, би улеснило някои форми на собствени ресурси. На основата на продължаващия дебат биха могли да бъдат разгледани редица възможности за реформа на действащата система.</w:t>
      </w:r>
    </w:p>
    <w:p w:rsidR="00497646" w:rsidRDefault="00B05ABE">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Calibri" w:hAnsi="Times New Roman" w:cs="Times New Roman"/>
          <w:i/>
          <w:noProof/>
          <w:sz w:val="24"/>
          <w:szCs w:val="28"/>
        </w:rPr>
      </w:pPr>
      <w:r>
        <w:rPr>
          <w:rFonts w:ascii="Times New Roman" w:hAnsi="Times New Roman"/>
          <w:i/>
          <w:noProof/>
          <w:sz w:val="24"/>
        </w:rPr>
        <w:t xml:space="preserve">Каре 5 — </w:t>
      </w:r>
      <w:r>
        <w:rPr>
          <w:rFonts w:ascii="Times New Roman" w:hAnsi="Times New Roman"/>
          <w:i/>
          <w:noProof/>
          <w:sz w:val="24"/>
        </w:rPr>
        <w:t>Възможни варианти за система на собствените ресурси</w:t>
      </w:r>
    </w:p>
    <w:p w:rsidR="00497646" w:rsidRDefault="00B05ABE">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noProof/>
          <w:sz w:val="24"/>
        </w:rPr>
        <w:t xml:space="preserve">— Настоящият собствен ресурс на база ДДС би могъл да бъде реформиран и опростен. Като краен вариант той би могъл да бъде премахнат напълно. </w:t>
      </w:r>
    </w:p>
    <w:p w:rsidR="00497646" w:rsidRDefault="00B05ABE">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noProof/>
          <w:sz w:val="24"/>
        </w:rPr>
        <w:t>— С излизането на Обединеното кралство от Европейския съюз, отс</w:t>
      </w:r>
      <w:r>
        <w:rPr>
          <w:rFonts w:ascii="Times New Roman" w:hAnsi="Times New Roman"/>
          <w:noProof/>
          <w:sz w:val="24"/>
        </w:rPr>
        <w:t>тъпката, която беше въведена по отношение на тази държава в миналото, няма повече да бъде актуална. Същото важи за отстъпките върху отстъпката за Обединеното кралство. Срокът на действие на останалите отстъпки ще изтече в края на 2020 г. Премахването на от</w:t>
      </w:r>
      <w:r>
        <w:rPr>
          <w:rFonts w:ascii="Times New Roman" w:hAnsi="Times New Roman"/>
          <w:noProof/>
          <w:sz w:val="24"/>
        </w:rPr>
        <w:t>стъпките ще отвори врати за значително опростяване на системата на приходите. В идеалния случай една задълбочена реформа на политиките на ЕС, която се съсредоточава върху най-високата добавена стойност, ще обезсмисли всякакви отстъпки.</w:t>
      </w:r>
    </w:p>
    <w:p w:rsidR="00497646" w:rsidRDefault="00B05ABE">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noProof/>
          <w:sz w:val="24"/>
        </w:rPr>
        <w:t>— Всеки нов собствен</w:t>
      </w:r>
      <w:r>
        <w:rPr>
          <w:rFonts w:ascii="Times New Roman" w:hAnsi="Times New Roman"/>
          <w:noProof/>
          <w:sz w:val="24"/>
        </w:rPr>
        <w:t xml:space="preserve"> ресурс следва да бъде замислен така, че не само да служи за финансиране на част от бюджета на ЕС, но също и да съпровожда неговите основни политики. Например може да се прилагат общи енергийни или екологични данъци с цел да се гарантира равнопоставеност м</w:t>
      </w:r>
      <w:r>
        <w:rPr>
          <w:rFonts w:ascii="Times New Roman" w:hAnsi="Times New Roman"/>
          <w:noProof/>
          <w:sz w:val="24"/>
        </w:rPr>
        <w:t xml:space="preserve">ежду предприятията и да се подкрепи борбата срещу изменението на климата в световен мащаб. </w:t>
      </w:r>
    </w:p>
    <w:p w:rsidR="00497646" w:rsidRDefault="00B05ABE">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noProof/>
          <w:sz w:val="24"/>
        </w:rPr>
        <w:t xml:space="preserve">— По същия начин, определен процент от общата основа за облагане с корпоративен данък или от данъка върху финансовите трансакции би могъл да се предвиди за това да </w:t>
      </w:r>
      <w:r>
        <w:rPr>
          <w:rFonts w:ascii="Times New Roman" w:hAnsi="Times New Roman"/>
          <w:noProof/>
          <w:sz w:val="24"/>
        </w:rPr>
        <w:t xml:space="preserve">бъде укрепен единният пазар, да бъдат отразени ползите от вътрешния пазар за най-големите дружества и да бъде засилена борбата с данъчните измами и укриването на данъци. </w:t>
      </w:r>
    </w:p>
    <w:p w:rsidR="00497646" w:rsidRDefault="00B05ABE">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noProof/>
          <w:sz w:val="24"/>
        </w:rPr>
        <w:t xml:space="preserve">— Със задълбочаването на икономическия и паричен съюз в бъдеще приходите от сеньораж </w:t>
      </w:r>
      <w:r>
        <w:rPr>
          <w:rFonts w:ascii="Times New Roman" w:hAnsi="Times New Roman"/>
          <w:noProof/>
          <w:sz w:val="24"/>
        </w:rPr>
        <w:t>(свързани с емитирането на валута) в дългосрочен план биха могли да станат база за собствен ресурс на ЕС.</w:t>
      </w:r>
    </w:p>
    <w:p w:rsidR="00497646" w:rsidRDefault="00B05ABE">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noProof/>
          <w:sz w:val="24"/>
        </w:rPr>
        <w:t>— Средства, които са генерирани пряко от политиките и компетенциите на ЕС, биха могли да бъдат смятани за приходи в бюджета на ЕС, като например в дъл</w:t>
      </w:r>
      <w:r>
        <w:rPr>
          <w:rFonts w:ascii="Times New Roman" w:hAnsi="Times New Roman"/>
          <w:noProof/>
          <w:sz w:val="24"/>
        </w:rPr>
        <w:t>госрочен  план приходи от тръжна продажба по схемата на ЕС за търговия с емисии, такси за емисии за автомобилите, както и, в по-дългосрочен план, приходи от бъдещата Система на ЕС за информация за пътуванията и разрешаването им, по която заплащат лицата, к</w:t>
      </w:r>
      <w:r>
        <w:rPr>
          <w:rFonts w:ascii="Times New Roman" w:hAnsi="Times New Roman"/>
          <w:noProof/>
          <w:sz w:val="24"/>
        </w:rPr>
        <w:t xml:space="preserve">оито влизат в границите на ЕС, или подобни такси. </w:t>
      </w:r>
    </w:p>
    <w:p w:rsidR="00497646" w:rsidRDefault="00B05ABE">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noProof/>
          <w:sz w:val="24"/>
        </w:rPr>
        <w:t>— При въвеждането на собствени ресурси трябва да се отчитат тяхната прозрачност, простота, стабилност, тяхното съответствие с целите на политиката на Съюза, тяхното въздействие върху конкуренцията и устойч</w:t>
      </w:r>
      <w:r>
        <w:rPr>
          <w:rFonts w:ascii="Times New Roman" w:hAnsi="Times New Roman"/>
          <w:noProof/>
          <w:sz w:val="24"/>
        </w:rPr>
        <w:t xml:space="preserve">ивия растеж и справедливото им разпределение между държавите членки. </w:t>
      </w:r>
    </w:p>
    <w:p w:rsidR="00497646" w:rsidRDefault="00B05ABE">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Източник: Европейска комисия</w:t>
      </w:r>
    </w:p>
    <w:p w:rsidR="00497646" w:rsidRDefault="00497646">
      <w:pPr>
        <w:widowControl w:val="0"/>
        <w:spacing w:before="46" w:after="0" w:line="240" w:lineRule="auto"/>
        <w:outlineLvl w:val="1"/>
        <w:rPr>
          <w:rFonts w:asciiTheme="majorHAnsi" w:eastAsia="EC Square Sans Pro" w:hAnsiTheme="majorHAnsi" w:cs="Times New Roman"/>
          <w:b/>
          <w:bCs/>
          <w:noProof/>
          <w:color w:val="365F91" w:themeColor="accent1" w:themeShade="BF"/>
          <w:sz w:val="24"/>
          <w:szCs w:val="28"/>
        </w:rPr>
      </w:pPr>
    </w:p>
    <w:p w:rsidR="00497646" w:rsidRDefault="00B05ABE">
      <w:pPr>
        <w:widowControl w:val="0"/>
        <w:spacing w:before="46" w:after="0" w:line="240" w:lineRule="auto"/>
        <w:outlineLvl w:val="1"/>
        <w:rPr>
          <w:rFonts w:asciiTheme="majorHAnsi" w:eastAsia="EC Square Sans Pro" w:hAnsiTheme="majorHAnsi" w:cs="Times New Roman"/>
          <w:b/>
          <w:bCs/>
          <w:noProof/>
          <w:color w:val="365F91" w:themeColor="accent1" w:themeShade="BF"/>
          <w:sz w:val="24"/>
          <w:szCs w:val="28"/>
        </w:rPr>
      </w:pPr>
      <w:r>
        <w:rPr>
          <w:rFonts w:asciiTheme="majorHAnsi" w:hAnsiTheme="majorHAnsi"/>
          <w:b/>
          <w:noProof/>
          <w:color w:val="365F91" w:themeColor="accent1" w:themeShade="BF"/>
          <w:sz w:val="24"/>
        </w:rPr>
        <w:t>4.4</w:t>
      </w:r>
      <w:r>
        <w:rPr>
          <w:noProof/>
        </w:rPr>
        <w:tab/>
      </w:r>
      <w:r>
        <w:rPr>
          <w:rFonts w:asciiTheme="majorHAnsi" w:hAnsiTheme="majorHAnsi"/>
          <w:b/>
          <w:noProof/>
          <w:color w:val="365F91" w:themeColor="accent1" w:themeShade="BF"/>
          <w:sz w:val="24"/>
        </w:rPr>
        <w:t>Пътят напред</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Вариантите за бъдещето на финансите на ЕС, които са изложени в настоящия раздел, са разнообразни и от различно естество. Те засягат това, за което следва да се изразходва бюджетът на ЕС, по какъв начин следва да бъде финансиран той, как следва да бъдат реф</w:t>
      </w:r>
      <w:r>
        <w:rPr>
          <w:rFonts w:ascii="Times New Roman" w:hAnsi="Times New Roman"/>
          <w:noProof/>
          <w:sz w:val="24"/>
        </w:rPr>
        <w:t xml:space="preserve">ормирани някои важни политики и как следва да бъде структуриран и организиран самият бюджет.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Всички тези преплитащи се аспекти трябва да се разглеждат заедно при обсъжданията на възможните сценарии за бъдещия бюджет на ЕС. Тези сценарии са представени в </w:t>
      </w:r>
      <w:r>
        <w:rPr>
          <w:rFonts w:ascii="Times New Roman" w:hAnsi="Times New Roman"/>
          <w:noProof/>
          <w:sz w:val="24"/>
        </w:rPr>
        <w:t xml:space="preserve">следващия раздел. </w:t>
      </w:r>
    </w:p>
    <w:p w:rsidR="00497646" w:rsidRDefault="00B05ABE">
      <w:pPr>
        <w:rPr>
          <w:rFonts w:ascii="Times New Roman" w:eastAsia="Calibri" w:hAnsi="Times New Roman"/>
          <w:noProof/>
          <w:sz w:val="24"/>
        </w:rPr>
      </w:pPr>
      <w:r>
        <w:rPr>
          <w:noProof/>
        </w:rPr>
        <w:br w:type="page"/>
      </w:r>
    </w:p>
    <w:p w:rsidR="00497646" w:rsidRDefault="00B05ABE">
      <w:pPr>
        <w:pStyle w:val="Heading1"/>
        <w:spacing w:before="120" w:after="240"/>
        <w:ind w:left="709" w:hanging="709"/>
        <w:rPr>
          <w:noProof/>
        </w:rPr>
      </w:pPr>
      <w:r>
        <w:rPr>
          <w:noProof/>
        </w:rPr>
        <w:t xml:space="preserve">5. </w:t>
      </w:r>
      <w:r>
        <w:rPr>
          <w:noProof/>
        </w:rPr>
        <w:tab/>
        <w:t xml:space="preserve">ВЪЗМОЖНИ СЦЕНАРИИ ЗА ЕС С 27 ДЪРЖАВИ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Бялата книга представя пет сценария с илюстративен характер, имащи различни последици за финансите на ЕС от гледна точка на размер, структура и степен на промяна/модернизиране на бюджета. Възможни са комбинации и различните концептуални елементи са съвмест</w:t>
      </w:r>
      <w:r>
        <w:rPr>
          <w:rFonts w:ascii="Times New Roman" w:hAnsi="Times New Roman"/>
          <w:noProof/>
          <w:sz w:val="24"/>
        </w:rPr>
        <w:t xml:space="preserve">ими, тъй като вариантите и сценариите не са нито изцяло различни, нито се изключват взаимно.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Някои хоризонтални въпроси важат за всички сценарии:</w:t>
      </w:r>
    </w:p>
    <w:p w:rsidR="00497646" w:rsidRDefault="00B05ABE">
      <w:pPr>
        <w:spacing w:after="240" w:line="240" w:lineRule="auto"/>
        <w:jc w:val="both"/>
        <w:rPr>
          <w:rFonts w:ascii="Times New Roman" w:eastAsia="Calibri" w:hAnsi="Times New Roman" w:cs="Times New Roman"/>
          <w:noProof/>
          <w:spacing w:val="-2"/>
          <w:sz w:val="24"/>
          <w:szCs w:val="24"/>
        </w:rPr>
      </w:pPr>
      <w:r>
        <w:rPr>
          <w:rFonts w:ascii="Times New Roman" w:hAnsi="Times New Roman"/>
          <w:noProof/>
          <w:spacing w:val="-2"/>
          <w:sz w:val="24"/>
        </w:rPr>
        <w:t>Първият от тях е да се гарантира, че средствата на ЕС се разходват по най-ефикасния възможен начин: разходите</w:t>
      </w:r>
      <w:r>
        <w:rPr>
          <w:rFonts w:ascii="Times New Roman" w:hAnsi="Times New Roman"/>
          <w:noProof/>
          <w:spacing w:val="-2"/>
          <w:sz w:val="24"/>
        </w:rPr>
        <w:t xml:space="preserve"> следва да са съсредоточени върху програми с доказана европейска добавена стойност, имащи за цел постигането на резултати с минимум разходи. Резултатите следва да бъдат поставени в центъра на следващото поколение програми.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На второ място, за да се отговор</w:t>
      </w:r>
      <w:r>
        <w:rPr>
          <w:rFonts w:ascii="Times New Roman" w:hAnsi="Times New Roman"/>
          <w:noProof/>
          <w:sz w:val="24"/>
        </w:rPr>
        <w:t>и на единодушния призив от държавите членки и бенефициерите на средства от ЕС, опростяването е другият общ двигател за модернизирането на бюджета на ЕС във всички сценарии. Следва да бъдат гарантирани цялостна съгласуваност и допълване между различните про</w:t>
      </w:r>
      <w:r>
        <w:rPr>
          <w:rFonts w:ascii="Times New Roman" w:hAnsi="Times New Roman"/>
          <w:noProof/>
          <w:sz w:val="24"/>
        </w:rPr>
        <w:t>грами и инструменти и припокриванията следва да се предотвратяват още на етап проектиране. За да се опрости изпълнението, за интервенции от един и същи вид следва да се прилагат във възможно най-голяма степен едни и същи правила с цел постигане на единен п</w:t>
      </w:r>
      <w:r>
        <w:rPr>
          <w:rFonts w:ascii="Times New Roman" w:hAnsi="Times New Roman"/>
          <w:noProof/>
          <w:sz w:val="24"/>
        </w:rPr>
        <w:t>равилник.</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Текущите процеси за модернизиране на съществуващите програми и политики следва да продължат, например общата селскостопанска политика, политиката на сближаване, програмата за научни изследвания и други. Програмите с по-слаби резултати могат да бъ</w:t>
      </w:r>
      <w:r>
        <w:rPr>
          <w:rFonts w:ascii="Times New Roman" w:hAnsi="Times New Roman"/>
          <w:noProof/>
          <w:sz w:val="24"/>
        </w:rPr>
        <w:t>дат преустановени или включени на друго място.</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На трето място, във всички сценарии е необходима гъвкавост, за да се отговори на големи неочаквани събития и непредвидени нужди. Специалните инструменти в бюджета на ЕС се оказаха от решаващо значение за справ</w:t>
      </w:r>
      <w:r>
        <w:rPr>
          <w:rFonts w:ascii="Times New Roman" w:hAnsi="Times New Roman"/>
          <w:noProof/>
          <w:sz w:val="24"/>
        </w:rPr>
        <w:t xml:space="preserve">янето с предизвикателства, свързани с миграцията и сигурността, в настоящата МФР. Може да се наложи те да бъдат рационализирани и подсилени, за да осигуряват повече гъвкавост, която е залегнала в самите разходни програми.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На последно място, отстъпките по</w:t>
      </w:r>
      <w:r>
        <w:rPr>
          <w:rFonts w:ascii="Times New Roman" w:hAnsi="Times New Roman"/>
          <w:noProof/>
          <w:sz w:val="24"/>
        </w:rPr>
        <w:t xml:space="preserve"> отношение на вноските на държавите членки следва да бъдат премахнати във всички сценарии. Аналогично отчитането на нетните салда ще отпадне или методиката ще бъде значително подобрена, за да се отразява по-добре реалността, а третирането от различните дър</w:t>
      </w:r>
      <w:r>
        <w:rPr>
          <w:rFonts w:ascii="Times New Roman" w:hAnsi="Times New Roman"/>
          <w:noProof/>
          <w:sz w:val="24"/>
        </w:rPr>
        <w:t xml:space="preserve">жави членки на вноските в бюджета на ЕС ще бъде уеднаквено. </w:t>
      </w:r>
    </w:p>
    <w:p w:rsidR="00497646" w:rsidRDefault="00B05ABE">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В този ред на мисли съществуват пет основни варианта за бъдещето на финансите на ЕС: </w:t>
      </w:r>
    </w:p>
    <w:p w:rsidR="00497646" w:rsidRDefault="00B05ABE">
      <w:pPr>
        <w:numPr>
          <w:ilvl w:val="0"/>
          <w:numId w:val="6"/>
        </w:numPr>
        <w:spacing w:after="0" w:line="240" w:lineRule="auto"/>
        <w:contextualSpacing/>
        <w:jc w:val="both"/>
        <w:rPr>
          <w:rFonts w:ascii="Times New Roman" w:eastAsia="Calibri" w:hAnsi="Times New Roman" w:cs="Times New Roman"/>
          <w:noProof/>
          <w:sz w:val="24"/>
          <w:szCs w:val="24"/>
        </w:rPr>
      </w:pPr>
      <w:r>
        <w:rPr>
          <w:rFonts w:ascii="Times New Roman" w:hAnsi="Times New Roman"/>
          <w:b/>
          <w:noProof/>
          <w:sz w:val="24"/>
        </w:rPr>
        <w:t>Продължаваме както досега:</w:t>
      </w:r>
      <w:r>
        <w:rPr>
          <w:rFonts w:ascii="Times New Roman" w:hAnsi="Times New Roman"/>
          <w:noProof/>
          <w:sz w:val="24"/>
        </w:rPr>
        <w:t xml:space="preserve"> ЕС с 27 държави продължава да изпълнява програмата си за положителни реформи.</w:t>
      </w:r>
    </w:p>
    <w:p w:rsidR="00497646" w:rsidRDefault="00B05ABE">
      <w:pPr>
        <w:numPr>
          <w:ilvl w:val="0"/>
          <w:numId w:val="6"/>
        </w:numPr>
        <w:spacing w:after="0" w:line="240" w:lineRule="auto"/>
        <w:contextualSpacing/>
        <w:jc w:val="both"/>
        <w:rPr>
          <w:rFonts w:ascii="Times New Roman" w:eastAsia="Calibri" w:hAnsi="Times New Roman" w:cs="Times New Roman"/>
          <w:b/>
          <w:noProof/>
          <w:sz w:val="24"/>
          <w:szCs w:val="24"/>
        </w:rPr>
      </w:pPr>
      <w:r>
        <w:rPr>
          <w:rFonts w:ascii="Times New Roman" w:hAnsi="Times New Roman"/>
          <w:b/>
          <w:noProof/>
          <w:sz w:val="24"/>
        </w:rPr>
        <w:t>Прав</w:t>
      </w:r>
      <w:r>
        <w:rPr>
          <w:rFonts w:ascii="Times New Roman" w:hAnsi="Times New Roman"/>
          <w:b/>
          <w:noProof/>
          <w:sz w:val="24"/>
        </w:rPr>
        <w:t>им по-малко заедно:</w:t>
      </w:r>
      <w:r>
        <w:rPr>
          <w:rFonts w:ascii="Times New Roman" w:hAnsi="Times New Roman"/>
          <w:noProof/>
          <w:sz w:val="24"/>
        </w:rPr>
        <w:t xml:space="preserve"> ЕС с 27 държави прави по-малко съвместно във всички области на политиката.</w:t>
      </w:r>
    </w:p>
    <w:p w:rsidR="00497646" w:rsidRDefault="00B05ABE">
      <w:pPr>
        <w:numPr>
          <w:ilvl w:val="0"/>
          <w:numId w:val="6"/>
        </w:numPr>
        <w:spacing w:after="0" w:line="240" w:lineRule="auto"/>
        <w:contextualSpacing/>
        <w:jc w:val="both"/>
        <w:rPr>
          <w:rFonts w:ascii="Times New Roman" w:eastAsia="Calibri" w:hAnsi="Times New Roman" w:cs="Times New Roman"/>
          <w:b/>
          <w:noProof/>
          <w:sz w:val="24"/>
          <w:szCs w:val="24"/>
        </w:rPr>
      </w:pPr>
      <w:r>
        <w:rPr>
          <w:rFonts w:ascii="Times New Roman" w:hAnsi="Times New Roman"/>
          <w:b/>
          <w:noProof/>
          <w:sz w:val="24"/>
        </w:rPr>
        <w:t xml:space="preserve">Някои правят повече: </w:t>
      </w:r>
      <w:r>
        <w:rPr>
          <w:rFonts w:ascii="Times New Roman" w:hAnsi="Times New Roman"/>
          <w:noProof/>
          <w:sz w:val="24"/>
        </w:rPr>
        <w:t>ЕС с 27 държави позволява на групи от държави членки да правят повече в конкретни области.</w:t>
      </w:r>
    </w:p>
    <w:p w:rsidR="00497646" w:rsidRDefault="00B05ABE">
      <w:pPr>
        <w:numPr>
          <w:ilvl w:val="0"/>
          <w:numId w:val="6"/>
        </w:numPr>
        <w:spacing w:after="0" w:line="240" w:lineRule="auto"/>
        <w:contextualSpacing/>
        <w:jc w:val="both"/>
        <w:rPr>
          <w:rFonts w:ascii="Times New Roman" w:eastAsia="Calibri" w:hAnsi="Times New Roman" w:cs="Times New Roman"/>
          <w:noProof/>
          <w:sz w:val="24"/>
          <w:szCs w:val="24"/>
        </w:rPr>
      </w:pPr>
      <w:r>
        <w:rPr>
          <w:rFonts w:ascii="Times New Roman" w:hAnsi="Times New Roman"/>
          <w:b/>
          <w:noProof/>
          <w:sz w:val="24"/>
        </w:rPr>
        <w:t xml:space="preserve">Радикално преструктуриране: </w:t>
      </w:r>
      <w:r>
        <w:rPr>
          <w:rFonts w:ascii="Times New Roman" w:hAnsi="Times New Roman"/>
          <w:noProof/>
          <w:sz w:val="24"/>
        </w:rPr>
        <w:t>ЕС с 27 държави прави</w:t>
      </w:r>
      <w:r>
        <w:rPr>
          <w:rFonts w:ascii="Times New Roman" w:hAnsi="Times New Roman"/>
          <w:noProof/>
          <w:sz w:val="24"/>
        </w:rPr>
        <w:t xml:space="preserve"> повече в някои области, но прави по-малко в другите.</w:t>
      </w:r>
    </w:p>
    <w:p w:rsidR="00497646" w:rsidRDefault="00B05ABE">
      <w:pPr>
        <w:numPr>
          <w:ilvl w:val="0"/>
          <w:numId w:val="6"/>
        </w:numPr>
        <w:spacing w:after="0" w:line="240" w:lineRule="auto"/>
        <w:contextualSpacing/>
        <w:jc w:val="both"/>
        <w:rPr>
          <w:rFonts w:ascii="Times New Roman" w:eastAsia="Calibri" w:hAnsi="Times New Roman" w:cs="Times New Roman"/>
          <w:noProof/>
          <w:sz w:val="24"/>
          <w:szCs w:val="24"/>
        </w:rPr>
      </w:pPr>
      <w:r>
        <w:rPr>
          <w:rFonts w:ascii="Times New Roman" w:hAnsi="Times New Roman"/>
          <w:b/>
          <w:noProof/>
          <w:sz w:val="24"/>
        </w:rPr>
        <w:t xml:space="preserve">Правим много повече заедно: </w:t>
      </w:r>
      <w:r>
        <w:rPr>
          <w:rFonts w:ascii="Times New Roman" w:hAnsi="Times New Roman"/>
          <w:noProof/>
          <w:sz w:val="24"/>
        </w:rPr>
        <w:t>ЕС с 27 държави решава да прави повече съвместно във всички области на политиката.</w:t>
      </w:r>
    </w:p>
    <w:p w:rsidR="00497646" w:rsidRDefault="00497646">
      <w:pPr>
        <w:spacing w:after="0" w:line="240" w:lineRule="auto"/>
        <w:ind w:left="720"/>
        <w:contextualSpacing/>
        <w:jc w:val="both"/>
        <w:rPr>
          <w:rFonts w:ascii="Times New Roman" w:eastAsia="Calibri" w:hAnsi="Times New Roman" w:cs="Times New Roman"/>
          <w:noProof/>
          <w:sz w:val="24"/>
          <w:szCs w:val="24"/>
        </w:rPr>
      </w:pPr>
    </w:p>
    <w:p w:rsidR="00497646" w:rsidRDefault="00497646">
      <w:pPr>
        <w:spacing w:after="0"/>
        <w:rPr>
          <w:rFonts w:ascii="Times New Roman" w:hAnsi="Times New Roman" w:cs="Times New Roman"/>
          <w:b/>
          <w:noProof/>
          <w:sz w:val="24"/>
          <w:szCs w:val="24"/>
        </w:rPr>
        <w:sectPr w:rsidR="00497646">
          <w:headerReference w:type="even" r:id="rId31"/>
          <w:headerReference w:type="default" r:id="rId32"/>
          <w:footerReference w:type="even" r:id="rId33"/>
          <w:footerReference w:type="default" r:id="rId34"/>
          <w:headerReference w:type="first" r:id="rId35"/>
          <w:footerReference w:type="first" r:id="rId36"/>
          <w:pgSz w:w="11906" w:h="16838"/>
          <w:pgMar w:top="1134" w:right="1106" w:bottom="960" w:left="1417" w:header="709" w:footer="709" w:gutter="0"/>
          <w:pgNumType w:start="2"/>
          <w:cols w:space="720"/>
        </w:sectPr>
      </w:pPr>
    </w:p>
    <w:p w:rsidR="00497646" w:rsidRDefault="00B05ABE">
      <w:pPr>
        <w:rPr>
          <w:rFonts w:ascii="Times New Roman" w:hAnsi="Times New Roman" w:cs="Times New Roman"/>
          <w:b/>
          <w:noProof/>
          <w:sz w:val="24"/>
          <w:szCs w:val="24"/>
        </w:rPr>
      </w:pP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59264" behindDoc="0" locked="0" layoutInCell="1" allowOverlap="1">
                <wp:simplePos x="0" y="0"/>
                <wp:positionH relativeFrom="column">
                  <wp:posOffset>864096</wp:posOffset>
                </wp:positionH>
                <wp:positionV relativeFrom="paragraph">
                  <wp:posOffset>0</wp:posOffset>
                </wp:positionV>
                <wp:extent cx="7920880" cy="825851"/>
                <wp:effectExtent l="0" t="0" r="4445" b="0"/>
                <wp:wrapNone/>
                <wp:docPr id="21" name="Rectangle 11"/>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11" o:spid="_x0000_s1026" style="position:absolute;margin-left:68.05pt;margin-top:0;width:623.7pt;height:6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144016</wp:posOffset>
                </wp:positionV>
                <wp:extent cx="2893782" cy="1152128"/>
                <wp:effectExtent l="0" t="0" r="0" b="0"/>
                <wp:wrapNone/>
                <wp:docPr id="3" name="TextBox 2"/>
                <wp:cNvGraphicFramePr/>
                <a:graphic xmlns:a="http://schemas.openxmlformats.org/drawingml/2006/main">
                  <a:graphicData uri="http://schemas.microsoft.com/office/word/2010/wordprocessingShape">
                    <wps:wsp>
                      <wps:cNvSpPr txBox="1"/>
                      <wps:spPr>
                        <a:xfrm>
                          <a:off x="0" y="0"/>
                          <a:ext cx="2893782" cy="1152128"/>
                        </a:xfrm>
                        <a:prstGeom prst="rect">
                          <a:avLst/>
                        </a:prstGeom>
                        <a:noFill/>
                      </wps:spPr>
                      <wps:txbx>
                        <w:txbxContent>
                          <w:p w:rsidR="00497646" w:rsidRDefault="00B05ABE">
                            <w:pPr>
                              <w:pStyle w:val="NormalWeb"/>
                              <w:spacing w:after="0"/>
                              <w:jc w:val="center"/>
                              <w:textAlignment w:val="baseline"/>
                            </w:pPr>
                            <w:r>
                              <w:rPr>
                                <w:rFonts w:ascii="Arial" w:hAnsi="Arial"/>
                                <w:b/>
                                <w:color w:val="1F497D" w:themeColor="text2"/>
                                <w:kern w:val="24"/>
                                <w:sz w:val="96"/>
                              </w:rPr>
                              <w:t>1</w:t>
                            </w:r>
                            <w:r>
                              <w:rPr>
                                <w:rFonts w:ascii="Arial" w:hAnsi="Arial"/>
                                <w:b/>
                                <w:color w:val="1F497D" w:themeColor="text2"/>
                                <w:kern w:val="24"/>
                              </w:rPr>
                              <w:t>Продължаваме както досега</w:t>
                            </w:r>
                          </w:p>
                        </w:txbxContent>
                      </wps:txbx>
                      <wps:bodyPr wrap="square"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0;margin-top:11.35pt;width:227.85pt;height:90.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" filled="f" stroked="f">
                <v:textbox>
                  <w:txbxContent>
                    <w:p>
                      <w:pPr>
                        <w:pStyle w:val="NormalWeb"/>
                        <w:spacing w:after="0"/>
                        <w:jc w:val="center"/>
                        <w:textAlignment w:val="baseline"/>
                      </w:pPr>
                      <w:r>
                        <w:rPr>
                          <w:rFonts w:ascii="Arial" w:hAnsi="Arial"/>
                          <w:b/>
                          <w:color w:val="1F497D" w:themeColor="text2"/>
                          <w:kern w:val="24"/>
                          <w:sz w:val="96"/>
                        </w:rPr>
                        <w:t>1</w:t>
                      </w:r>
                      <w:r>
                        <w:rPr>
                          <w:rFonts w:ascii="Arial" w:hAnsi="Arial"/>
                          <w:b/>
                          <w:color w:val="1F497D" w:themeColor="text2"/>
                          <w:kern w:val="24"/>
                        </w:rPr>
                        <w:t>Продължаваме както досега</w:t>
                      </w:r>
                    </w:p>
                  </w:txbxContent>
                </v:textbox>
              </v:shape>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1312" behindDoc="0" locked="0" layoutInCell="1" allowOverlap="1">
                <wp:simplePos x="0" y="0"/>
                <wp:positionH relativeFrom="column">
                  <wp:posOffset>864096</wp:posOffset>
                </wp:positionH>
                <wp:positionV relativeFrom="paragraph">
                  <wp:posOffset>0</wp:posOffset>
                </wp:positionV>
                <wp:extent cx="5616575" cy="427355"/>
                <wp:effectExtent l="0" t="0" r="0" b="0"/>
                <wp:wrapNone/>
                <wp:docPr id="22" name="TextBox 4"/>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497646" w:rsidRDefault="00B05ABE">
                            <w:pPr>
                              <w:pStyle w:val="NormalWeb"/>
                              <w:spacing w:after="0"/>
                              <w:textAlignment w:val="baseline"/>
                            </w:pPr>
                            <w:r>
                              <w:rPr>
                                <w:rFonts w:ascii="Arial" w:hAnsi="Arial"/>
                                <w:b/>
                                <w:color w:val="000000" w:themeColor="text1"/>
                                <w:kern w:val="24"/>
                                <w:sz w:val="40"/>
                              </w:rPr>
                              <w:t>Сценарий</w:t>
                            </w:r>
                          </w:p>
                        </w:txbxContent>
                      </wps:txbx>
                      <wps:bodyPr wrap="square" rtlCol="0">
                        <a:spAutoFit/>
                      </wps:bodyPr>
                    </wps:wsp>
                  </a:graphicData>
                </a:graphic>
              </wp:anchor>
            </w:drawing>
          </mc:Choice>
          <mc:Fallback>
            <w:pict>
              <v:shape id="TextBox 4" o:spid="_x0000_s1027" type="#_x0000_t202" style="position:absolute;margin-left:68.05pt;margin-top:0;width:442.25pt;height:33.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" filled="f" stroked="f">
                <v:textbox style="mso-fit-shape-to-text:t">
                  <w:txbxContent>
                    <w:p>
                      <w:pPr>
                        <w:pStyle w:val="NormalWeb"/>
                        <w:spacing w:after="0"/>
                        <w:textAlignment w:val="baseline"/>
                      </w:pPr>
                      <w:r>
                        <w:rPr>
                          <w:rFonts w:ascii="Arial" w:hAnsi="Arial"/>
                          <w:b/>
                          <w:color w:val="000000" w:themeColor="text1"/>
                          <w:kern w:val="24"/>
                          <w:sz w:val="40"/>
                        </w:rPr>
                        <w:t>Сценарий</w:t>
                      </w:r>
                    </w:p>
                  </w:txbxContent>
                </v:textbox>
              </v:shape>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2336" behindDoc="0" locked="0" layoutInCell="1" allowOverlap="1">
                <wp:simplePos x="0" y="0"/>
                <wp:positionH relativeFrom="column">
                  <wp:posOffset>625604</wp:posOffset>
                </wp:positionH>
                <wp:positionV relativeFrom="paragraph">
                  <wp:posOffset>864096</wp:posOffset>
                </wp:positionV>
                <wp:extent cx="8411210" cy="4009390"/>
                <wp:effectExtent l="0" t="0" r="0" b="0"/>
                <wp:wrapNone/>
                <wp:docPr id="23" name="Rectangle 6"/>
                <wp:cNvGraphicFramePr/>
                <a:graphic xmlns:a="http://schemas.openxmlformats.org/drawingml/2006/main">
                  <a:graphicData uri="http://schemas.microsoft.com/office/word/2010/wordprocessingShape">
                    <wps:wsp>
                      <wps:cNvSpPr/>
                      <wps:spPr>
                        <a:xfrm>
                          <a:off x="0" y="0"/>
                          <a:ext cx="8411210" cy="4009390"/>
                        </a:xfrm>
                        <a:prstGeom prst="rect">
                          <a:avLst/>
                        </a:prstGeom>
                      </wps:spPr>
                      <wps:txbx>
                        <w:txbxContent>
                          <w:p w:rsidR="00497646" w:rsidRDefault="00B05ABE">
                            <w:pPr>
                              <w:pStyle w:val="NormalWeb"/>
                              <w:spacing w:after="0"/>
                              <w:textAlignment w:val="baseline"/>
                            </w:pPr>
                            <w:r>
                              <w:rPr>
                                <w:rFonts w:ascii="Arial" w:hAnsi="Arial"/>
                                <w:b/>
                                <w:kern w:val="24"/>
                                <w:sz w:val="28"/>
                              </w:rPr>
                              <w:t>Общи тенденции и размер</w:t>
                            </w:r>
                          </w:p>
                          <w:p w:rsidR="00497646" w:rsidRDefault="00B05ABE">
                            <w:pPr>
                              <w:pStyle w:val="ListParagraph"/>
                              <w:numPr>
                                <w:ilvl w:val="0"/>
                                <w:numId w:val="9"/>
                              </w:numPr>
                              <w:spacing w:after="0" w:line="240" w:lineRule="auto"/>
                              <w:textAlignment w:val="baseline"/>
                              <w:rPr>
                                <w:rFonts w:eastAsia="Times New Roman"/>
                              </w:rPr>
                            </w:pPr>
                            <w:r>
                              <w:rPr>
                                <w:rFonts w:ascii="Arial" w:hAnsi="Arial"/>
                                <w:b/>
                                <w:kern w:val="24"/>
                              </w:rPr>
                              <w:t>Като цяло стабилен</w:t>
                            </w:r>
                          </w:p>
                          <w:p w:rsidR="00497646" w:rsidRDefault="00B05ABE">
                            <w:pPr>
                              <w:pStyle w:val="ListParagraph"/>
                              <w:numPr>
                                <w:ilvl w:val="0"/>
                                <w:numId w:val="9"/>
                              </w:numPr>
                              <w:spacing w:after="0" w:line="240" w:lineRule="auto"/>
                              <w:textAlignment w:val="baseline"/>
                              <w:rPr>
                                <w:rFonts w:eastAsia="Times New Roman"/>
                              </w:rPr>
                            </w:pPr>
                            <w:r>
                              <w:rPr>
                                <w:rFonts w:ascii="Arial" w:hAnsi="Arial"/>
                                <w:b/>
                                <w:kern w:val="24"/>
                              </w:rPr>
                              <w:t>Отразява текущата програма за реформи на ЕС с 27 държави</w:t>
                            </w:r>
                          </w:p>
                          <w:p w:rsidR="00497646" w:rsidRDefault="00B05ABE">
                            <w:pPr>
                              <w:pStyle w:val="ListParagraph"/>
                              <w:numPr>
                                <w:ilvl w:val="0"/>
                                <w:numId w:val="9"/>
                              </w:numPr>
                              <w:spacing w:after="0" w:line="240" w:lineRule="auto"/>
                              <w:textAlignment w:val="baseline"/>
                              <w:rPr>
                                <w:rFonts w:eastAsia="Times New Roman"/>
                              </w:rPr>
                            </w:pPr>
                            <w:r>
                              <w:rPr>
                                <w:rFonts w:ascii="Arial" w:hAnsi="Arial"/>
                                <w:b/>
                                <w:kern w:val="24"/>
                              </w:rPr>
                              <w:t>По-нисък относителен дял на сближаването и селското стопанство с цел финансиране на нови приоритети</w:t>
                            </w:r>
                          </w:p>
                          <w:p w:rsidR="00497646" w:rsidRDefault="00B05ABE">
                            <w:pPr>
                              <w:pStyle w:val="ListParagraph"/>
                              <w:numPr>
                                <w:ilvl w:val="0"/>
                                <w:numId w:val="9"/>
                              </w:numPr>
                              <w:spacing w:after="0" w:line="240" w:lineRule="auto"/>
                              <w:textAlignment w:val="baseline"/>
                              <w:rPr>
                                <w:rFonts w:eastAsia="Times New Roman"/>
                              </w:rPr>
                            </w:pPr>
                            <w:r>
                              <w:rPr>
                                <w:rFonts w:ascii="Arial" w:hAnsi="Arial"/>
                                <w:b/>
                                <w:kern w:val="24"/>
                              </w:rPr>
                              <w:t>По-голямо използване на финансовите инст</w:t>
                            </w:r>
                            <w:r>
                              <w:rPr>
                                <w:rFonts w:ascii="Arial" w:hAnsi="Arial"/>
                                <w:b/>
                                <w:kern w:val="24"/>
                              </w:rPr>
                              <w:t>рументи и на гаранциите</w:t>
                            </w:r>
                          </w:p>
                          <w:p w:rsidR="00497646" w:rsidRDefault="00B05ABE">
                            <w:pPr>
                              <w:pStyle w:val="NormalWeb"/>
                              <w:spacing w:after="0"/>
                              <w:textAlignment w:val="baseline"/>
                              <w:rPr>
                                <w:rFonts w:eastAsiaTheme="minorEastAsia"/>
                              </w:rPr>
                            </w:pPr>
                            <w:r>
                              <w:rPr>
                                <w:rFonts w:ascii="Arial" w:hAnsi="Arial"/>
                                <w:b/>
                                <w:kern w:val="24"/>
                                <w:sz w:val="28"/>
                              </w:rPr>
                              <w:t>Разходи</w:t>
                            </w:r>
                          </w:p>
                          <w:p w:rsidR="00497646" w:rsidRDefault="00B05ABE">
                            <w:pPr>
                              <w:pStyle w:val="ListParagraph"/>
                              <w:numPr>
                                <w:ilvl w:val="0"/>
                                <w:numId w:val="10"/>
                              </w:numPr>
                              <w:spacing w:after="0" w:line="240" w:lineRule="auto"/>
                              <w:textAlignment w:val="baseline"/>
                              <w:rPr>
                                <w:rFonts w:eastAsia="Times New Roman"/>
                              </w:rPr>
                            </w:pPr>
                            <w:r>
                              <w:rPr>
                                <w:rFonts w:ascii="Arial" w:hAnsi="Arial"/>
                                <w:b/>
                                <w:kern w:val="24"/>
                              </w:rPr>
                              <w:t xml:space="preserve">Обща селскостопанска политика </w:t>
                            </w:r>
                          </w:p>
                          <w:p w:rsidR="00497646" w:rsidRDefault="00B05ABE">
                            <w:pPr>
                              <w:pStyle w:val="ListParagraph"/>
                              <w:numPr>
                                <w:ilvl w:val="1"/>
                                <w:numId w:val="10"/>
                              </w:numPr>
                              <w:spacing w:after="0" w:line="240" w:lineRule="auto"/>
                              <w:textAlignment w:val="baseline"/>
                              <w:rPr>
                                <w:rFonts w:eastAsia="Times New Roman"/>
                              </w:rPr>
                            </w:pPr>
                            <w:r>
                              <w:rPr>
                                <w:rFonts w:ascii="Arial" w:hAnsi="Arial"/>
                                <w:kern w:val="24"/>
                              </w:rPr>
                              <w:t xml:space="preserve">По-целенасочена подкрепа за земеделските стопани при специални ограничения (напр. малки стопанства, планински райони и слабо населени райони) и инструменти за управление на риска за всички </w:t>
                            </w:r>
                            <w:r>
                              <w:rPr>
                                <w:rFonts w:ascii="Arial" w:hAnsi="Arial"/>
                                <w:kern w:val="24"/>
                              </w:rPr>
                              <w:t>стопанства</w:t>
                            </w:r>
                          </w:p>
                          <w:p w:rsidR="00497646" w:rsidRDefault="00B05ABE">
                            <w:pPr>
                              <w:pStyle w:val="ListParagraph"/>
                              <w:numPr>
                                <w:ilvl w:val="1"/>
                                <w:numId w:val="10"/>
                              </w:numPr>
                              <w:spacing w:after="0" w:line="240" w:lineRule="auto"/>
                              <w:textAlignment w:val="baseline"/>
                              <w:rPr>
                                <w:rFonts w:eastAsia="Times New Roman"/>
                              </w:rPr>
                            </w:pPr>
                            <w:r>
                              <w:rPr>
                                <w:rFonts w:ascii="Arial" w:hAnsi="Arial"/>
                                <w:kern w:val="24"/>
                              </w:rPr>
                              <w:t>Инвестиции в развитието на селските райони (по-специално агроекологични мерки)</w:t>
                            </w:r>
                          </w:p>
                          <w:p w:rsidR="00497646" w:rsidRDefault="00B05ABE">
                            <w:pPr>
                              <w:pStyle w:val="ListParagraph"/>
                              <w:numPr>
                                <w:ilvl w:val="0"/>
                                <w:numId w:val="10"/>
                              </w:numPr>
                              <w:spacing w:after="0" w:line="240" w:lineRule="auto"/>
                              <w:textAlignment w:val="baseline"/>
                              <w:rPr>
                                <w:rFonts w:eastAsia="Times New Roman"/>
                              </w:rPr>
                            </w:pPr>
                            <w:r>
                              <w:rPr>
                                <w:rFonts w:ascii="Arial" w:hAnsi="Arial"/>
                                <w:b/>
                                <w:kern w:val="24"/>
                              </w:rPr>
                              <w:t>Икономическо, социално и териториално сближаване</w:t>
                            </w:r>
                          </w:p>
                          <w:p w:rsidR="00497646" w:rsidRDefault="00B05ABE">
                            <w:pPr>
                              <w:pStyle w:val="ListParagraph"/>
                              <w:numPr>
                                <w:ilvl w:val="1"/>
                                <w:numId w:val="10"/>
                              </w:numPr>
                              <w:spacing w:after="0" w:line="240" w:lineRule="auto"/>
                              <w:textAlignment w:val="baseline"/>
                              <w:rPr>
                                <w:rFonts w:eastAsia="Times New Roman"/>
                              </w:rPr>
                            </w:pPr>
                            <w:r>
                              <w:rPr>
                                <w:rFonts w:ascii="Arial" w:hAnsi="Arial"/>
                                <w:kern w:val="24"/>
                              </w:rPr>
                              <w:t>По-ниски инвестиции за всички региони</w:t>
                            </w:r>
                          </w:p>
                          <w:p w:rsidR="00497646" w:rsidRDefault="00B05ABE">
                            <w:pPr>
                              <w:pStyle w:val="ListParagraph"/>
                              <w:numPr>
                                <w:ilvl w:val="1"/>
                                <w:numId w:val="10"/>
                              </w:numPr>
                              <w:spacing w:after="0" w:line="240" w:lineRule="auto"/>
                              <w:textAlignment w:val="baseline"/>
                              <w:rPr>
                                <w:rFonts w:eastAsia="Times New Roman"/>
                              </w:rPr>
                            </w:pPr>
                            <w:r>
                              <w:rPr>
                                <w:rFonts w:ascii="Arial" w:hAnsi="Arial"/>
                                <w:kern w:val="24"/>
                              </w:rPr>
                              <w:t>По-голямо национално съфинансиране и използване на финансови инструменти</w:t>
                            </w:r>
                          </w:p>
                          <w:p w:rsidR="00497646" w:rsidRDefault="00B05ABE">
                            <w:pPr>
                              <w:pStyle w:val="ListParagraph"/>
                              <w:numPr>
                                <w:ilvl w:val="1"/>
                                <w:numId w:val="10"/>
                              </w:numPr>
                              <w:spacing w:after="0" w:line="240" w:lineRule="auto"/>
                              <w:textAlignment w:val="baseline"/>
                              <w:rPr>
                                <w:rFonts w:eastAsia="Times New Roman"/>
                              </w:rPr>
                            </w:pPr>
                            <w:r>
                              <w:rPr>
                                <w:rFonts w:ascii="Arial" w:hAnsi="Arial"/>
                                <w:kern w:val="24"/>
                              </w:rPr>
                              <w:t>По-сил</w:t>
                            </w:r>
                            <w:r>
                              <w:rPr>
                                <w:rFonts w:ascii="Arial" w:hAnsi="Arial"/>
                                <w:kern w:val="24"/>
                              </w:rPr>
                              <w:t>ен акцент върху социалното приобщаване, заетостта, уменията, иновациите, изменението на климата, енергетиката и екологичния преход</w:t>
                            </w:r>
                          </w:p>
                          <w:p w:rsidR="00497646" w:rsidRDefault="00B05ABE">
                            <w:pPr>
                              <w:pStyle w:val="ListParagraph"/>
                              <w:numPr>
                                <w:ilvl w:val="0"/>
                                <w:numId w:val="10"/>
                              </w:numPr>
                              <w:spacing w:after="0" w:line="240" w:lineRule="auto"/>
                              <w:textAlignment w:val="baseline"/>
                              <w:rPr>
                                <w:rFonts w:eastAsia="Times New Roman"/>
                              </w:rPr>
                            </w:pPr>
                            <w:r>
                              <w:rPr>
                                <w:rFonts w:ascii="Arial" w:hAnsi="Arial"/>
                                <w:b/>
                                <w:kern w:val="24"/>
                              </w:rPr>
                              <w:t>Нови приоритети</w:t>
                            </w:r>
                          </w:p>
                          <w:p w:rsidR="00497646" w:rsidRDefault="00B05ABE">
                            <w:pPr>
                              <w:pStyle w:val="ListParagraph"/>
                              <w:numPr>
                                <w:ilvl w:val="1"/>
                                <w:numId w:val="10"/>
                              </w:numPr>
                              <w:spacing w:after="0" w:line="240" w:lineRule="auto"/>
                              <w:textAlignment w:val="baseline"/>
                              <w:rPr>
                                <w:rFonts w:eastAsia="Times New Roman"/>
                              </w:rPr>
                            </w:pPr>
                            <w:r>
                              <w:rPr>
                                <w:rFonts w:ascii="Arial" w:hAnsi="Arial"/>
                                <w:kern w:val="24"/>
                              </w:rPr>
                              <w:t xml:space="preserve">Вътрешна/външна сигурност, миграция и контрол на границите; отбрана (научноизследователска и развойна дейност, способности); </w:t>
                            </w:r>
                          </w:p>
                          <w:p w:rsidR="00497646" w:rsidRDefault="00B05ABE">
                            <w:pPr>
                              <w:pStyle w:val="ListParagraph"/>
                              <w:numPr>
                                <w:ilvl w:val="0"/>
                                <w:numId w:val="10"/>
                              </w:numPr>
                              <w:spacing w:after="0" w:line="240" w:lineRule="auto"/>
                              <w:textAlignment w:val="baseline"/>
                              <w:rPr>
                                <w:rFonts w:eastAsia="Times New Roman"/>
                              </w:rPr>
                            </w:pPr>
                            <w:r>
                              <w:rPr>
                                <w:rFonts w:ascii="Arial" w:hAnsi="Arial"/>
                                <w:b/>
                                <w:kern w:val="24"/>
                              </w:rPr>
                              <w:t>Структурните реформи са обвързани с европейския семестър</w:t>
                            </w:r>
                          </w:p>
                          <w:p w:rsidR="00497646" w:rsidRDefault="00B05ABE">
                            <w:pPr>
                              <w:pStyle w:val="ListParagraph"/>
                              <w:numPr>
                                <w:ilvl w:val="1"/>
                                <w:numId w:val="10"/>
                              </w:numPr>
                              <w:spacing w:after="0" w:line="240" w:lineRule="auto"/>
                              <w:textAlignment w:val="baseline"/>
                              <w:rPr>
                                <w:rFonts w:eastAsia="Times New Roman"/>
                              </w:rPr>
                            </w:pPr>
                            <w:r>
                              <w:rPr>
                                <w:rFonts w:ascii="Arial" w:hAnsi="Arial"/>
                                <w:kern w:val="24"/>
                              </w:rPr>
                              <w:t>Положителни стимули чрез политиката на сближаване или чрез специално създ</w:t>
                            </w:r>
                            <w:r>
                              <w:rPr>
                                <w:rFonts w:ascii="Arial" w:hAnsi="Arial"/>
                                <w:kern w:val="24"/>
                              </w:rPr>
                              <w:t>аден за целта фонд</w:t>
                            </w:r>
                          </w:p>
                          <w:p w:rsidR="00497646" w:rsidRDefault="00B05ABE">
                            <w:pPr>
                              <w:pStyle w:val="NormalWeb"/>
                              <w:spacing w:after="0"/>
                              <w:textAlignment w:val="baseline"/>
                              <w:rPr>
                                <w:rFonts w:eastAsiaTheme="minorEastAsia"/>
                              </w:rPr>
                            </w:pPr>
                            <w:r>
                              <w:rPr>
                                <w:rFonts w:ascii="Arial" w:hAnsi="Arial"/>
                                <w:b/>
                                <w:kern w:val="24"/>
                                <w:sz w:val="28"/>
                              </w:rPr>
                              <w:t>Приходи</w:t>
                            </w:r>
                          </w:p>
                          <w:p w:rsidR="00497646" w:rsidRDefault="00B05ABE">
                            <w:pPr>
                              <w:pStyle w:val="ListParagraph"/>
                              <w:numPr>
                                <w:ilvl w:val="0"/>
                                <w:numId w:val="11"/>
                              </w:numPr>
                              <w:spacing w:after="0" w:line="240" w:lineRule="auto"/>
                              <w:textAlignment w:val="baseline"/>
                              <w:rPr>
                                <w:rFonts w:eastAsia="Times New Roman"/>
                              </w:rPr>
                            </w:pPr>
                            <w:r>
                              <w:rPr>
                                <w:rFonts w:ascii="Arial" w:hAnsi="Arial"/>
                                <w:b/>
                                <w:kern w:val="24"/>
                              </w:rPr>
                              <w:t xml:space="preserve">Настоящата система без отстъпки </w:t>
                            </w:r>
                          </w:p>
                          <w:p w:rsidR="00497646" w:rsidRDefault="00B05ABE">
                            <w:pPr>
                              <w:pStyle w:val="ListParagraph"/>
                              <w:numPr>
                                <w:ilvl w:val="0"/>
                                <w:numId w:val="11"/>
                              </w:numPr>
                              <w:spacing w:after="0" w:line="240" w:lineRule="auto"/>
                              <w:textAlignment w:val="baseline"/>
                              <w:rPr>
                                <w:rFonts w:eastAsia="Times New Roman"/>
                              </w:rPr>
                            </w:pPr>
                            <w:r>
                              <w:rPr>
                                <w:rFonts w:ascii="Arial" w:hAnsi="Arial"/>
                                <w:b/>
                                <w:kern w:val="24"/>
                              </w:rPr>
                              <w:t xml:space="preserve">Бюджетът на ЕС се финансира с други източници на приходи или с такси </w:t>
                            </w:r>
                          </w:p>
                        </w:txbxContent>
                      </wps:txbx>
                      <wps:bodyPr wrap="square">
                        <a:spAutoFit/>
                      </wps:bodyPr>
                    </wps:wsp>
                  </a:graphicData>
                </a:graphic>
              </wp:anchor>
            </w:drawing>
          </mc:Choice>
          <mc:Fallback>
            <w:pict>
              <v:rect id="Rectangle 6" o:spid="_x0000_s1028" style="position:absolute;margin-left:49.25pt;margin-top:68.05pt;width:662.3pt;height:315.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" filled="f" stroked="f">
                <v:textbox style="mso-fit-shape-to-text:t">
                  <w:txbxContent>
                    <w:p>
                      <w:pPr>
                        <w:pStyle w:val="NormalWeb"/>
                        <w:spacing w:after="0"/>
                        <w:textAlignment w:val="baseline"/>
                      </w:pPr>
                      <w:r>
                        <w:rPr>
                          <w:rFonts w:ascii="Arial" w:hAnsi="Arial"/>
                          <w:b/>
                          <w:kern w:val="24"/>
                          <w:sz w:val="28"/>
                        </w:rPr>
                        <w:t>Общи тенденции и размер</w:t>
                      </w:r>
                    </w:p>
                    <w:p>
                      <w:pPr>
                        <w:pStyle w:val="ListParagraph"/>
                        <w:numPr>
                          <w:ilvl w:val="0"/>
                          <w:numId w:val="9"/>
                        </w:numPr>
                        <w:spacing w:after="0" w:line="240" w:lineRule="auto"/>
                        <w:textAlignment w:val="baseline"/>
                        <w:rPr>
                          <w:rFonts w:eastAsia="Times New Roman"/>
                        </w:rPr>
                      </w:pPr>
                      <w:r>
                        <w:rPr>
                          <w:rFonts w:ascii="Arial" w:hAnsi="Arial"/>
                          <w:b/>
                          <w:kern w:val="24"/>
                        </w:rPr>
                        <w:t>Като цяло стабилен</w:t>
                      </w:r>
                    </w:p>
                    <w:p>
                      <w:pPr>
                        <w:pStyle w:val="ListParagraph"/>
                        <w:numPr>
                          <w:ilvl w:val="0"/>
                          <w:numId w:val="9"/>
                        </w:numPr>
                        <w:spacing w:after="0" w:line="240" w:lineRule="auto"/>
                        <w:textAlignment w:val="baseline"/>
                        <w:rPr>
                          <w:rFonts w:eastAsia="Times New Roman"/>
                        </w:rPr>
                      </w:pPr>
                      <w:r>
                        <w:rPr>
                          <w:rFonts w:ascii="Arial" w:hAnsi="Arial"/>
                          <w:b/>
                          <w:kern w:val="24"/>
                        </w:rPr>
                        <w:t>Отразява текущата програма за реформи на ЕС с 27 държави</w:t>
                      </w:r>
                    </w:p>
                    <w:p>
                      <w:pPr>
                        <w:pStyle w:val="ListParagraph"/>
                        <w:numPr>
                          <w:ilvl w:val="0"/>
                          <w:numId w:val="9"/>
                        </w:numPr>
                        <w:spacing w:after="0" w:line="240" w:lineRule="auto"/>
                        <w:textAlignment w:val="baseline"/>
                        <w:rPr>
                          <w:rFonts w:eastAsia="Times New Roman"/>
                        </w:rPr>
                      </w:pPr>
                      <w:r>
                        <w:rPr>
                          <w:rFonts w:ascii="Arial" w:hAnsi="Arial"/>
                          <w:b/>
                          <w:kern w:val="24"/>
                        </w:rPr>
                        <w:t>По-нисък относителен дял на сближаването и селското стопанство с цел финансиране на нови приоритети</w:t>
                      </w:r>
                    </w:p>
                    <w:p>
                      <w:pPr>
                        <w:pStyle w:val="ListParagraph"/>
                        <w:numPr>
                          <w:ilvl w:val="0"/>
                          <w:numId w:val="9"/>
                        </w:numPr>
                        <w:spacing w:after="0" w:line="240" w:lineRule="auto"/>
                        <w:textAlignment w:val="baseline"/>
                        <w:rPr>
                          <w:rFonts w:eastAsia="Times New Roman"/>
                        </w:rPr>
                      </w:pPr>
                      <w:r>
                        <w:rPr>
                          <w:rFonts w:ascii="Arial" w:hAnsi="Arial"/>
                          <w:b/>
                          <w:kern w:val="24"/>
                        </w:rPr>
                        <w:t>По-голямо използване на финансовите инструменти и на гаранциите</w:t>
                      </w:r>
                    </w:p>
                    <w:p>
                      <w:pPr>
                        <w:pStyle w:val="NormalWeb"/>
                        <w:spacing w:after="0"/>
                        <w:textAlignment w:val="baseline"/>
                        <w:rPr>
                          <w:rFonts w:eastAsiaTheme="minorEastAsia"/>
                        </w:rPr>
                      </w:pPr>
                      <w:r>
                        <w:rPr>
                          <w:rFonts w:ascii="Arial" w:hAnsi="Arial"/>
                          <w:b/>
                          <w:kern w:val="24"/>
                          <w:sz w:val="28"/>
                        </w:rPr>
                        <w:t>Разходи</w:t>
                      </w:r>
                    </w:p>
                    <w:p>
                      <w:pPr>
                        <w:pStyle w:val="ListParagraph"/>
                        <w:numPr>
                          <w:ilvl w:val="0"/>
                          <w:numId w:val="10"/>
                        </w:numPr>
                        <w:spacing w:after="0" w:line="240" w:lineRule="auto"/>
                        <w:textAlignment w:val="baseline"/>
                        <w:rPr>
                          <w:rFonts w:eastAsia="Times New Roman"/>
                        </w:rPr>
                      </w:pPr>
                      <w:r>
                        <w:rPr>
                          <w:rFonts w:ascii="Arial" w:hAnsi="Arial"/>
                          <w:b/>
                          <w:kern w:val="24"/>
                        </w:rPr>
                        <w:t xml:space="preserve">Обща селскостопанска политика </w:t>
                      </w:r>
                    </w:p>
                    <w:p>
                      <w:pPr>
                        <w:pStyle w:val="ListParagraph"/>
                        <w:numPr>
                          <w:ilvl w:val="1"/>
                          <w:numId w:val="10"/>
                        </w:numPr>
                        <w:spacing w:after="0" w:line="240" w:lineRule="auto"/>
                        <w:textAlignment w:val="baseline"/>
                        <w:rPr>
                          <w:rFonts w:eastAsia="Times New Roman"/>
                        </w:rPr>
                      </w:pPr>
                      <w:r>
                        <w:rPr>
                          <w:rFonts w:ascii="Arial" w:hAnsi="Arial"/>
                          <w:kern w:val="24"/>
                        </w:rPr>
                        <w:t>По-целенасочена подкрепа за земеделските стопани при специални ограничения (напр. малки стопанства, планински райони и слабо населени райони) и инструменти за управление на риска за всички стопанства</w:t>
                      </w:r>
                    </w:p>
                    <w:p>
                      <w:pPr>
                        <w:pStyle w:val="ListParagraph"/>
                        <w:numPr>
                          <w:ilvl w:val="1"/>
                          <w:numId w:val="10"/>
                        </w:numPr>
                        <w:spacing w:after="0" w:line="240" w:lineRule="auto"/>
                        <w:textAlignment w:val="baseline"/>
                        <w:rPr>
                          <w:rFonts w:eastAsia="Times New Roman"/>
                        </w:rPr>
                      </w:pPr>
                      <w:r>
                        <w:rPr>
                          <w:rFonts w:ascii="Arial" w:hAnsi="Arial"/>
                          <w:kern w:val="24"/>
                        </w:rPr>
                        <w:t>Инвестиции в развитието на селските райони (по-специално агроекологични мерки)</w:t>
                      </w:r>
                    </w:p>
                    <w:p>
                      <w:pPr>
                        <w:pStyle w:val="ListParagraph"/>
                        <w:numPr>
                          <w:ilvl w:val="0"/>
                          <w:numId w:val="10"/>
                        </w:numPr>
                        <w:spacing w:after="0" w:line="240" w:lineRule="auto"/>
                        <w:textAlignment w:val="baseline"/>
                        <w:rPr>
                          <w:rFonts w:eastAsia="Times New Roman"/>
                        </w:rPr>
                      </w:pPr>
                      <w:r>
                        <w:rPr>
                          <w:rFonts w:ascii="Arial" w:hAnsi="Arial"/>
                          <w:b/>
                          <w:kern w:val="24"/>
                        </w:rPr>
                        <w:t>Икономическо, социално и териториално сближаване</w:t>
                      </w:r>
                    </w:p>
                    <w:p>
                      <w:pPr>
                        <w:pStyle w:val="ListParagraph"/>
                        <w:numPr>
                          <w:ilvl w:val="1"/>
                          <w:numId w:val="10"/>
                        </w:numPr>
                        <w:spacing w:after="0" w:line="240" w:lineRule="auto"/>
                        <w:textAlignment w:val="baseline"/>
                        <w:rPr>
                          <w:rFonts w:eastAsia="Times New Roman"/>
                        </w:rPr>
                      </w:pPr>
                      <w:r>
                        <w:rPr>
                          <w:rFonts w:ascii="Arial" w:hAnsi="Arial"/>
                          <w:kern w:val="24"/>
                        </w:rPr>
                        <w:t>По-ниски инвестиции за всички региони</w:t>
                      </w:r>
                    </w:p>
                    <w:p>
                      <w:pPr>
                        <w:pStyle w:val="ListParagraph"/>
                        <w:numPr>
                          <w:ilvl w:val="1"/>
                          <w:numId w:val="10"/>
                        </w:numPr>
                        <w:spacing w:after="0" w:line="240" w:lineRule="auto"/>
                        <w:textAlignment w:val="baseline"/>
                        <w:rPr>
                          <w:rFonts w:eastAsia="Times New Roman"/>
                        </w:rPr>
                      </w:pPr>
                      <w:r>
                        <w:rPr>
                          <w:rFonts w:ascii="Arial" w:hAnsi="Arial"/>
                          <w:kern w:val="24"/>
                        </w:rPr>
                        <w:t>По-голямо национално съфинансиране и използване на финансови инструменти</w:t>
                      </w:r>
                    </w:p>
                    <w:p>
                      <w:pPr>
                        <w:pStyle w:val="ListParagraph"/>
                        <w:numPr>
                          <w:ilvl w:val="1"/>
                          <w:numId w:val="10"/>
                        </w:numPr>
                        <w:spacing w:after="0" w:line="240" w:lineRule="auto"/>
                        <w:textAlignment w:val="baseline"/>
                        <w:rPr>
                          <w:rFonts w:eastAsia="Times New Roman"/>
                        </w:rPr>
                      </w:pPr>
                      <w:r>
                        <w:rPr>
                          <w:rFonts w:ascii="Arial" w:hAnsi="Arial"/>
                          <w:kern w:val="24"/>
                        </w:rPr>
                        <w:t>По-силен акцент върху социалното приобщаване, заетостта, уменията, иновациите, изменението на климата, енергетиката и екологичния преход</w:t>
                      </w:r>
                    </w:p>
                    <w:p>
                      <w:pPr>
                        <w:pStyle w:val="ListParagraph"/>
                        <w:numPr>
                          <w:ilvl w:val="0"/>
                          <w:numId w:val="10"/>
                        </w:numPr>
                        <w:spacing w:after="0" w:line="240" w:lineRule="auto"/>
                        <w:textAlignment w:val="baseline"/>
                        <w:rPr>
                          <w:rFonts w:eastAsia="Times New Roman"/>
                        </w:rPr>
                      </w:pPr>
                      <w:r>
                        <w:rPr>
                          <w:rFonts w:ascii="Arial" w:hAnsi="Arial"/>
                          <w:b/>
                          <w:kern w:val="24"/>
                        </w:rPr>
                        <w:t>Нови приоритети</w:t>
                      </w:r>
                    </w:p>
                    <w:p>
                      <w:pPr>
                        <w:pStyle w:val="ListParagraph"/>
                        <w:numPr>
                          <w:ilvl w:val="1"/>
                          <w:numId w:val="10"/>
                        </w:numPr>
                        <w:spacing w:after="0" w:line="240" w:lineRule="auto"/>
                        <w:textAlignment w:val="baseline"/>
                        <w:rPr>
                          <w:rFonts w:eastAsia="Times New Roman"/>
                        </w:rPr>
                      </w:pPr>
                      <w:r>
                        <w:rPr>
                          <w:rFonts w:ascii="Arial" w:hAnsi="Arial"/>
                          <w:kern w:val="24"/>
                        </w:rPr>
                        <w:t xml:space="preserve">Вътрешна/външна сигурност, миграция и контрол на границите; отбрана (научноизследователска и развойна дейност, способности); </w:t>
                      </w:r>
                    </w:p>
                    <w:p>
                      <w:pPr>
                        <w:pStyle w:val="ListParagraph"/>
                        <w:numPr>
                          <w:ilvl w:val="0"/>
                          <w:numId w:val="10"/>
                        </w:numPr>
                        <w:spacing w:after="0" w:line="240" w:lineRule="auto"/>
                        <w:textAlignment w:val="baseline"/>
                        <w:rPr>
                          <w:rFonts w:eastAsia="Times New Roman"/>
                        </w:rPr>
                      </w:pPr>
                      <w:r>
                        <w:rPr>
                          <w:rFonts w:ascii="Arial" w:hAnsi="Arial"/>
                          <w:b/>
                          <w:kern w:val="24"/>
                        </w:rPr>
                        <w:t>Структурните реформи са обвързани с европейския семестър</w:t>
                      </w:r>
                    </w:p>
                    <w:p>
                      <w:pPr>
                        <w:pStyle w:val="ListParagraph"/>
                        <w:numPr>
                          <w:ilvl w:val="1"/>
                          <w:numId w:val="10"/>
                        </w:numPr>
                        <w:spacing w:after="0" w:line="240" w:lineRule="auto"/>
                        <w:textAlignment w:val="baseline"/>
                        <w:rPr>
                          <w:rFonts w:eastAsia="Times New Roman"/>
                        </w:rPr>
                      </w:pPr>
                      <w:r>
                        <w:rPr>
                          <w:rFonts w:ascii="Arial" w:hAnsi="Arial"/>
                          <w:kern w:val="24"/>
                        </w:rPr>
                        <w:t>Положителни стимули чрез политиката на сближаване или чрез специално създаден за целта фонд</w:t>
                      </w:r>
                    </w:p>
                    <w:p>
                      <w:pPr>
                        <w:pStyle w:val="NormalWeb"/>
                        <w:spacing w:after="0"/>
                        <w:textAlignment w:val="baseline"/>
                        <w:rPr>
                          <w:rFonts w:eastAsiaTheme="minorEastAsia"/>
                        </w:rPr>
                      </w:pPr>
                      <w:r>
                        <w:rPr>
                          <w:rFonts w:ascii="Arial" w:hAnsi="Arial"/>
                          <w:b/>
                          <w:kern w:val="24"/>
                          <w:sz w:val="28"/>
                        </w:rPr>
                        <w:t>Приходи</w:t>
                      </w:r>
                    </w:p>
                    <w:p>
                      <w:pPr>
                        <w:pStyle w:val="ListParagraph"/>
                        <w:numPr>
                          <w:ilvl w:val="0"/>
                          <w:numId w:val="11"/>
                        </w:numPr>
                        <w:spacing w:after="0" w:line="240" w:lineRule="auto"/>
                        <w:textAlignment w:val="baseline"/>
                        <w:rPr>
                          <w:rFonts w:eastAsia="Times New Roman"/>
                        </w:rPr>
                      </w:pPr>
                      <w:r>
                        <w:rPr>
                          <w:rFonts w:ascii="Arial" w:hAnsi="Arial"/>
                          <w:b/>
                          <w:kern w:val="24"/>
                        </w:rPr>
                        <w:t xml:space="preserve">Настоящата система без отстъпки </w:t>
                      </w:r>
                    </w:p>
                    <w:p>
                      <w:pPr>
                        <w:pStyle w:val="ListParagraph"/>
                        <w:numPr>
                          <w:ilvl w:val="0"/>
                          <w:numId w:val="11"/>
                        </w:numPr>
                        <w:spacing w:after="0" w:line="240" w:lineRule="auto"/>
                        <w:textAlignment w:val="baseline"/>
                        <w:rPr>
                          <w:rFonts w:eastAsia="Times New Roman"/>
                        </w:rPr>
                      </w:pPr>
                      <w:r>
                        <w:rPr>
                          <w:rFonts w:ascii="Arial" w:hAnsi="Arial"/>
                          <w:b/>
                          <w:kern w:val="24"/>
                        </w:rPr>
                        <w:t xml:space="preserve">Бюджетът на ЕС се финансира с други източници на приходи или с такси </w:t>
                      </w:r>
                    </w:p>
                  </w:txbxContent>
                </v:textbox>
              </v:rect>
            </w:pict>
          </mc:Fallback>
        </mc:AlternateContent>
      </w:r>
      <w:r>
        <w:rPr>
          <w:rFonts w:ascii="Times New Roman" w:hAnsi="Times New Roman" w:cs="Times New Roman"/>
          <w:b/>
          <w:noProof/>
          <w:sz w:val="24"/>
          <w:szCs w:val="24"/>
          <w:lang w:val="en-GB" w:eastAsia="en-GB" w:bidi="ar-SA"/>
        </w:rPr>
        <w:drawing>
          <wp:anchor distT="0" distB="0" distL="114300" distR="114300" simplePos="0" relativeHeight="251663360" behindDoc="0" locked="0" layoutInCell="1" allowOverlap="1">
            <wp:simplePos x="0" y="0"/>
            <wp:positionH relativeFrom="column">
              <wp:posOffset>7632848</wp:posOffset>
            </wp:positionH>
            <wp:positionV relativeFrom="paragraph">
              <wp:posOffset>97886</wp:posOffset>
            </wp:positionV>
            <wp:extent cx="864096" cy="605723"/>
            <wp:effectExtent l="0" t="0" r="0" b="4445"/>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64096" cy="605723"/>
                    </a:xfrm>
                    <a:prstGeom prst="rect">
                      <a:avLst/>
                    </a:prstGeom>
                  </pic:spPr>
                </pic:pic>
              </a:graphicData>
            </a:graphic>
          </wp:anchor>
        </w:drawing>
      </w:r>
      <w:r>
        <w:rPr>
          <w:rFonts w:ascii="Times New Roman" w:hAnsi="Times New Roman"/>
          <w:b/>
          <w:noProof/>
          <w:sz w:val="24"/>
        </w:rPr>
        <w:t xml:space="preserve"> </w:t>
      </w:r>
      <w:r>
        <w:rPr>
          <w:noProof/>
        </w:rPr>
        <w:br w:type="page"/>
      </w:r>
    </w:p>
    <w:p w:rsidR="00497646" w:rsidRDefault="00B05ABE">
      <w:pPr>
        <w:rPr>
          <w:rFonts w:ascii="Times New Roman" w:hAnsi="Times New Roman" w:cs="Times New Roman"/>
          <w:b/>
          <w:noProof/>
          <w:sz w:val="24"/>
          <w:szCs w:val="24"/>
        </w:rPr>
      </w:pP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4384" behindDoc="0" locked="0" layoutInCell="1" allowOverlap="1">
                <wp:simplePos x="0" y="0"/>
                <wp:positionH relativeFrom="column">
                  <wp:posOffset>265564</wp:posOffset>
                </wp:positionH>
                <wp:positionV relativeFrom="paragraph">
                  <wp:posOffset>864096</wp:posOffset>
                </wp:positionV>
                <wp:extent cx="8411210" cy="3046095"/>
                <wp:effectExtent l="0" t="0" r="0" b="0"/>
                <wp:wrapNone/>
                <wp:docPr id="25" name="Rectangle 6"/>
                <wp:cNvGraphicFramePr/>
                <a:graphic xmlns:a="http://schemas.openxmlformats.org/drawingml/2006/main">
                  <a:graphicData uri="http://schemas.microsoft.com/office/word/2010/wordprocessingShape">
                    <wps:wsp>
                      <wps:cNvSpPr/>
                      <wps:spPr>
                        <a:xfrm>
                          <a:off x="0" y="0"/>
                          <a:ext cx="8411210" cy="3046095"/>
                        </a:xfrm>
                        <a:prstGeom prst="rect">
                          <a:avLst/>
                        </a:prstGeom>
                      </wps:spPr>
                      <wps:txbx>
                        <w:txbxContent>
                          <w:p w:rsidR="00497646" w:rsidRDefault="00B05ABE">
                            <w:pPr>
                              <w:pStyle w:val="NormalWeb"/>
                              <w:spacing w:after="0"/>
                              <w:textAlignment w:val="baseline"/>
                            </w:pPr>
                            <w:r>
                              <w:rPr>
                                <w:rFonts w:ascii="Arial" w:hAnsi="Arial"/>
                                <w:b/>
                                <w:kern w:val="24"/>
                                <w:sz w:val="28"/>
                              </w:rPr>
                              <w:t>Общи тенденции и размер</w:t>
                            </w:r>
                          </w:p>
                          <w:p w:rsidR="00497646" w:rsidRDefault="00B05ABE">
                            <w:pPr>
                              <w:pStyle w:val="ListParagraph"/>
                              <w:numPr>
                                <w:ilvl w:val="0"/>
                                <w:numId w:val="12"/>
                              </w:numPr>
                              <w:spacing w:after="0" w:line="240" w:lineRule="auto"/>
                              <w:textAlignment w:val="baseline"/>
                              <w:rPr>
                                <w:rFonts w:eastAsia="Times New Roman"/>
                              </w:rPr>
                            </w:pPr>
                            <w:r>
                              <w:rPr>
                                <w:rFonts w:ascii="Arial" w:hAnsi="Arial"/>
                                <w:b/>
                                <w:kern w:val="24"/>
                              </w:rPr>
                              <w:t>Значително намален</w:t>
                            </w:r>
                          </w:p>
                          <w:p w:rsidR="00497646" w:rsidRDefault="00B05ABE">
                            <w:pPr>
                              <w:pStyle w:val="ListParagraph"/>
                              <w:numPr>
                                <w:ilvl w:val="0"/>
                                <w:numId w:val="12"/>
                              </w:numPr>
                              <w:spacing w:after="0" w:line="240" w:lineRule="auto"/>
                              <w:textAlignment w:val="baseline"/>
                              <w:rPr>
                                <w:rFonts w:eastAsia="Times New Roman"/>
                              </w:rPr>
                            </w:pPr>
                            <w:r>
                              <w:rPr>
                                <w:rFonts w:ascii="Arial" w:hAnsi="Arial"/>
                                <w:b/>
                                <w:kern w:val="24"/>
                              </w:rPr>
                              <w:t>Акцентът е върху функционирането на вътрешния пазар</w:t>
                            </w:r>
                          </w:p>
                          <w:p w:rsidR="00497646" w:rsidRDefault="00B05ABE">
                            <w:pPr>
                              <w:pStyle w:val="ListParagraph"/>
                              <w:numPr>
                                <w:ilvl w:val="0"/>
                                <w:numId w:val="12"/>
                              </w:numPr>
                              <w:spacing w:after="0" w:line="240" w:lineRule="auto"/>
                              <w:textAlignment w:val="baseline"/>
                              <w:rPr>
                                <w:rFonts w:eastAsia="Times New Roman"/>
                              </w:rPr>
                            </w:pPr>
                            <w:r>
                              <w:rPr>
                                <w:rFonts w:ascii="Arial" w:hAnsi="Arial"/>
                                <w:b/>
                                <w:kern w:val="24"/>
                              </w:rPr>
                              <w:t>Сумите за сближаването и</w:t>
                            </w:r>
                            <w:r>
                              <w:rPr>
                                <w:rFonts w:ascii="Arial" w:hAnsi="Arial"/>
                                <w:b/>
                                <w:kern w:val="24"/>
                              </w:rPr>
                              <w:t xml:space="preserve"> за селското стопанство са намалени значително</w:t>
                            </w:r>
                          </w:p>
                          <w:p w:rsidR="00497646" w:rsidRDefault="00B05ABE">
                            <w:pPr>
                              <w:pStyle w:val="ListParagraph"/>
                              <w:numPr>
                                <w:ilvl w:val="0"/>
                                <w:numId w:val="12"/>
                              </w:numPr>
                              <w:spacing w:after="0" w:line="240" w:lineRule="auto"/>
                              <w:textAlignment w:val="baseline"/>
                              <w:rPr>
                                <w:rFonts w:eastAsia="Times New Roman"/>
                              </w:rPr>
                            </w:pPr>
                            <w:r>
                              <w:rPr>
                                <w:rFonts w:ascii="Arial" w:hAnsi="Arial"/>
                                <w:b/>
                                <w:kern w:val="24"/>
                              </w:rPr>
                              <w:t>Много по-голямо използване на финансовите инструменти и на гаранциите</w:t>
                            </w:r>
                          </w:p>
                          <w:p w:rsidR="00497646" w:rsidRDefault="00B05ABE">
                            <w:pPr>
                              <w:pStyle w:val="NormalWeb"/>
                              <w:spacing w:after="0"/>
                              <w:textAlignment w:val="baseline"/>
                              <w:rPr>
                                <w:rFonts w:eastAsiaTheme="minorEastAsia"/>
                              </w:rPr>
                            </w:pPr>
                            <w:r>
                              <w:rPr>
                                <w:rFonts w:ascii="Arial" w:hAnsi="Arial"/>
                                <w:b/>
                                <w:kern w:val="24"/>
                                <w:sz w:val="28"/>
                              </w:rPr>
                              <w:t>Разходи</w:t>
                            </w:r>
                          </w:p>
                          <w:p w:rsidR="00497646" w:rsidRDefault="00B05ABE">
                            <w:pPr>
                              <w:pStyle w:val="ListParagraph"/>
                              <w:numPr>
                                <w:ilvl w:val="0"/>
                                <w:numId w:val="13"/>
                              </w:numPr>
                              <w:spacing w:after="0" w:line="240" w:lineRule="auto"/>
                              <w:textAlignment w:val="baseline"/>
                              <w:rPr>
                                <w:rFonts w:eastAsia="Times New Roman"/>
                              </w:rPr>
                            </w:pPr>
                            <w:r>
                              <w:rPr>
                                <w:rFonts w:ascii="Arial" w:hAnsi="Arial"/>
                                <w:b/>
                                <w:kern w:val="24"/>
                              </w:rPr>
                              <w:t xml:space="preserve">Обща селскостопанска политика </w:t>
                            </w:r>
                          </w:p>
                          <w:p w:rsidR="00497646" w:rsidRDefault="00B05ABE">
                            <w:pPr>
                              <w:pStyle w:val="ListParagraph"/>
                              <w:numPr>
                                <w:ilvl w:val="1"/>
                                <w:numId w:val="13"/>
                              </w:numPr>
                              <w:spacing w:after="0" w:line="240" w:lineRule="auto"/>
                              <w:textAlignment w:val="baseline"/>
                              <w:rPr>
                                <w:rFonts w:eastAsia="Times New Roman"/>
                              </w:rPr>
                            </w:pPr>
                            <w:r>
                              <w:rPr>
                                <w:rFonts w:ascii="Arial" w:hAnsi="Arial"/>
                                <w:kern w:val="24"/>
                              </w:rPr>
                              <w:t>Подкрепа само за земеделските стопани при специални ограничения (напр. малки стопанства, планински р</w:t>
                            </w:r>
                            <w:r>
                              <w:rPr>
                                <w:rFonts w:ascii="Arial" w:hAnsi="Arial"/>
                                <w:kern w:val="24"/>
                              </w:rPr>
                              <w:t>айони и слабо населени райони)</w:t>
                            </w:r>
                          </w:p>
                          <w:p w:rsidR="00497646" w:rsidRDefault="00B05ABE">
                            <w:pPr>
                              <w:pStyle w:val="ListParagraph"/>
                              <w:numPr>
                                <w:ilvl w:val="1"/>
                                <w:numId w:val="13"/>
                              </w:numPr>
                              <w:spacing w:after="0" w:line="240" w:lineRule="auto"/>
                              <w:textAlignment w:val="baseline"/>
                              <w:rPr>
                                <w:rFonts w:eastAsia="Times New Roman"/>
                              </w:rPr>
                            </w:pPr>
                            <w:r>
                              <w:rPr>
                                <w:rFonts w:ascii="Arial" w:hAnsi="Arial"/>
                                <w:kern w:val="24"/>
                              </w:rPr>
                              <w:t>Инструменти за управление на риска за всички стопанства</w:t>
                            </w:r>
                          </w:p>
                          <w:p w:rsidR="00497646" w:rsidRDefault="00B05ABE">
                            <w:pPr>
                              <w:pStyle w:val="ListParagraph"/>
                              <w:numPr>
                                <w:ilvl w:val="0"/>
                                <w:numId w:val="13"/>
                              </w:numPr>
                              <w:spacing w:after="0" w:line="240" w:lineRule="auto"/>
                              <w:textAlignment w:val="baseline"/>
                              <w:rPr>
                                <w:rFonts w:eastAsia="Times New Roman"/>
                              </w:rPr>
                            </w:pPr>
                            <w:r>
                              <w:rPr>
                                <w:rFonts w:ascii="Arial" w:hAnsi="Arial"/>
                                <w:b/>
                                <w:kern w:val="24"/>
                              </w:rPr>
                              <w:t>Икономическо, социално и териториално сближаване</w:t>
                            </w:r>
                          </w:p>
                          <w:p w:rsidR="00497646" w:rsidRDefault="00B05ABE">
                            <w:pPr>
                              <w:pStyle w:val="ListParagraph"/>
                              <w:numPr>
                                <w:ilvl w:val="1"/>
                                <w:numId w:val="13"/>
                              </w:numPr>
                              <w:spacing w:after="0" w:line="240" w:lineRule="auto"/>
                              <w:textAlignment w:val="baseline"/>
                              <w:rPr>
                                <w:rFonts w:eastAsia="Times New Roman"/>
                              </w:rPr>
                            </w:pPr>
                            <w:r>
                              <w:rPr>
                                <w:rFonts w:ascii="Arial" w:hAnsi="Arial"/>
                                <w:kern w:val="24"/>
                              </w:rPr>
                              <w:t xml:space="preserve">Подкрепа само за държавите, спрямо които се изпълнява политиката на сближаване, и за трансграничното сътрудничество </w:t>
                            </w:r>
                          </w:p>
                          <w:p w:rsidR="00497646" w:rsidRDefault="00B05ABE">
                            <w:pPr>
                              <w:pStyle w:val="ListParagraph"/>
                              <w:numPr>
                                <w:ilvl w:val="1"/>
                                <w:numId w:val="13"/>
                              </w:numPr>
                              <w:spacing w:after="0" w:line="240" w:lineRule="auto"/>
                              <w:textAlignment w:val="baseline"/>
                              <w:rPr>
                                <w:rFonts w:eastAsia="Times New Roman"/>
                              </w:rPr>
                            </w:pPr>
                            <w:r>
                              <w:rPr>
                                <w:rFonts w:ascii="Arial" w:hAnsi="Arial"/>
                                <w:kern w:val="24"/>
                              </w:rPr>
                              <w:t>Акцент само върху социалното приобщаване, заетостта, уменията, иновациите, изменението на климата, енергетиката и екологичния преход</w:t>
                            </w:r>
                          </w:p>
                          <w:p w:rsidR="00497646" w:rsidRDefault="00B05ABE">
                            <w:pPr>
                              <w:pStyle w:val="ListParagraph"/>
                              <w:numPr>
                                <w:ilvl w:val="0"/>
                                <w:numId w:val="13"/>
                              </w:numPr>
                              <w:spacing w:after="0" w:line="240" w:lineRule="auto"/>
                              <w:textAlignment w:val="baseline"/>
                              <w:rPr>
                                <w:rFonts w:eastAsia="Times New Roman"/>
                              </w:rPr>
                            </w:pPr>
                            <w:r>
                              <w:rPr>
                                <w:rFonts w:ascii="Arial" w:hAnsi="Arial"/>
                                <w:b/>
                                <w:kern w:val="24"/>
                              </w:rPr>
                              <w:t>Програмите за единния пазар се запазват</w:t>
                            </w:r>
                            <w:r>
                              <w:rPr>
                                <w:rFonts w:ascii="Arial" w:hAnsi="Arial"/>
                                <w:kern w:val="24"/>
                              </w:rPr>
                              <w:t xml:space="preserve"> (трансевропейски мрежи, митници, защита на потребителите, агенции)</w:t>
                            </w:r>
                          </w:p>
                          <w:p w:rsidR="00497646" w:rsidRDefault="00B05ABE">
                            <w:pPr>
                              <w:pStyle w:val="ListParagraph"/>
                              <w:numPr>
                                <w:ilvl w:val="0"/>
                                <w:numId w:val="13"/>
                              </w:numPr>
                              <w:spacing w:after="0" w:line="240" w:lineRule="auto"/>
                              <w:textAlignment w:val="baseline"/>
                              <w:rPr>
                                <w:rFonts w:eastAsia="Times New Roman"/>
                              </w:rPr>
                            </w:pPr>
                            <w:r>
                              <w:rPr>
                                <w:rFonts w:ascii="Arial" w:hAnsi="Arial"/>
                                <w:b/>
                                <w:kern w:val="24"/>
                              </w:rPr>
                              <w:t xml:space="preserve">Липса на </w:t>
                            </w:r>
                            <w:r>
                              <w:rPr>
                                <w:rFonts w:ascii="Arial" w:hAnsi="Arial"/>
                                <w:b/>
                                <w:kern w:val="24"/>
                              </w:rPr>
                              <w:t>финансиране за нови приоритети</w:t>
                            </w:r>
                            <w:r>
                              <w:rPr>
                                <w:rFonts w:ascii="Arial" w:hAnsi="Arial"/>
                                <w:kern w:val="24"/>
                              </w:rPr>
                              <w:t xml:space="preserve"> (сигурност, контрол на границите, миграция, отбрана)</w:t>
                            </w:r>
                          </w:p>
                          <w:p w:rsidR="00497646" w:rsidRDefault="00B05ABE">
                            <w:pPr>
                              <w:pStyle w:val="ListParagraph"/>
                              <w:numPr>
                                <w:ilvl w:val="0"/>
                                <w:numId w:val="13"/>
                              </w:numPr>
                              <w:spacing w:after="0" w:line="240" w:lineRule="auto"/>
                              <w:textAlignment w:val="baseline"/>
                              <w:rPr>
                                <w:rFonts w:eastAsia="Times New Roman"/>
                              </w:rPr>
                            </w:pPr>
                            <w:r>
                              <w:rPr>
                                <w:rFonts w:ascii="Arial" w:hAnsi="Arial"/>
                                <w:b/>
                                <w:kern w:val="24"/>
                              </w:rPr>
                              <w:t>Другите програми са прекратени</w:t>
                            </w:r>
                            <w:r>
                              <w:rPr>
                                <w:rFonts w:ascii="Arial" w:hAnsi="Arial"/>
                                <w:kern w:val="24"/>
                              </w:rPr>
                              <w:t xml:space="preserve"> („Еразъм“, научноизследователска дейност и иновации, помощ за най-нуждаещите се, здравеопазване, култура, гражданство...)</w:t>
                            </w:r>
                          </w:p>
                          <w:p w:rsidR="00497646" w:rsidRDefault="00B05ABE">
                            <w:pPr>
                              <w:pStyle w:val="NormalWeb"/>
                              <w:spacing w:after="0"/>
                              <w:textAlignment w:val="baseline"/>
                              <w:rPr>
                                <w:rFonts w:eastAsiaTheme="minorEastAsia"/>
                              </w:rPr>
                            </w:pPr>
                            <w:r>
                              <w:rPr>
                                <w:rFonts w:ascii="Arial" w:hAnsi="Arial"/>
                                <w:b/>
                                <w:kern w:val="24"/>
                                <w:sz w:val="28"/>
                              </w:rPr>
                              <w:t>Приходи</w:t>
                            </w:r>
                          </w:p>
                          <w:p w:rsidR="00497646" w:rsidRDefault="00B05ABE">
                            <w:pPr>
                              <w:pStyle w:val="ListParagraph"/>
                              <w:numPr>
                                <w:ilvl w:val="0"/>
                                <w:numId w:val="14"/>
                              </w:numPr>
                              <w:spacing w:after="0" w:line="240" w:lineRule="auto"/>
                              <w:textAlignment w:val="baseline"/>
                              <w:rPr>
                                <w:rFonts w:eastAsia="Times New Roman"/>
                              </w:rPr>
                            </w:pPr>
                            <w:r>
                              <w:rPr>
                                <w:rFonts w:ascii="Arial" w:hAnsi="Arial"/>
                                <w:b/>
                                <w:kern w:val="24"/>
                              </w:rPr>
                              <w:t xml:space="preserve">Настоящата </w:t>
                            </w:r>
                            <w:r>
                              <w:rPr>
                                <w:rFonts w:ascii="Arial" w:hAnsi="Arial"/>
                                <w:b/>
                                <w:kern w:val="24"/>
                              </w:rPr>
                              <w:t>система без отстъпки</w:t>
                            </w:r>
                          </w:p>
                        </w:txbxContent>
                      </wps:txbx>
                      <wps:bodyPr wrap="square">
                        <a:spAutoFit/>
                      </wps:bodyPr>
                    </wps:wsp>
                  </a:graphicData>
                </a:graphic>
              </wp:anchor>
            </w:drawing>
          </mc:Choice>
          <mc:Fallback>
            <w:pict>
              <v:rect id="_x0000_s1029" style="position:absolute;margin-left:20.9pt;margin-top:68.05pt;width:662.3pt;height:239.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" filled="f" stroked="f">
                <v:textbox style="mso-fit-shape-to-text:t">
                  <w:txbxContent>
                    <w:p>
                      <w:pPr>
                        <w:pStyle w:val="NormalWeb"/>
                        <w:spacing w:after="0"/>
                        <w:textAlignment w:val="baseline"/>
                      </w:pPr>
                      <w:r>
                        <w:rPr>
                          <w:rFonts w:ascii="Arial" w:hAnsi="Arial"/>
                          <w:b/>
                          <w:kern w:val="24"/>
                          <w:sz w:val="28"/>
                        </w:rPr>
                        <w:t>Общи тенденции и размер</w:t>
                      </w:r>
                    </w:p>
                    <w:p>
                      <w:pPr>
                        <w:pStyle w:val="ListParagraph"/>
                        <w:numPr>
                          <w:ilvl w:val="0"/>
                          <w:numId w:val="12"/>
                        </w:numPr>
                        <w:spacing w:after="0" w:line="240" w:lineRule="auto"/>
                        <w:textAlignment w:val="baseline"/>
                        <w:rPr>
                          <w:rFonts w:eastAsia="Times New Roman"/>
                        </w:rPr>
                      </w:pPr>
                      <w:r>
                        <w:rPr>
                          <w:rFonts w:ascii="Arial" w:hAnsi="Arial"/>
                          <w:b/>
                          <w:kern w:val="24"/>
                        </w:rPr>
                        <w:t>Значително намален</w:t>
                      </w:r>
                    </w:p>
                    <w:p>
                      <w:pPr>
                        <w:pStyle w:val="ListParagraph"/>
                        <w:numPr>
                          <w:ilvl w:val="0"/>
                          <w:numId w:val="12"/>
                        </w:numPr>
                        <w:spacing w:after="0" w:line="240" w:lineRule="auto"/>
                        <w:textAlignment w:val="baseline"/>
                        <w:rPr>
                          <w:rFonts w:eastAsia="Times New Roman"/>
                        </w:rPr>
                      </w:pPr>
                      <w:r>
                        <w:rPr>
                          <w:rFonts w:ascii="Arial" w:hAnsi="Arial"/>
                          <w:b/>
                          <w:kern w:val="24"/>
                        </w:rPr>
                        <w:t>Акцентът е върху функционирането на вътрешния пазар</w:t>
                      </w:r>
                    </w:p>
                    <w:p>
                      <w:pPr>
                        <w:pStyle w:val="ListParagraph"/>
                        <w:numPr>
                          <w:ilvl w:val="0"/>
                          <w:numId w:val="12"/>
                        </w:numPr>
                        <w:spacing w:after="0" w:line="240" w:lineRule="auto"/>
                        <w:textAlignment w:val="baseline"/>
                        <w:rPr>
                          <w:rFonts w:eastAsia="Times New Roman"/>
                        </w:rPr>
                      </w:pPr>
                      <w:r>
                        <w:rPr>
                          <w:rFonts w:ascii="Arial" w:hAnsi="Arial"/>
                          <w:b/>
                          <w:kern w:val="24"/>
                        </w:rPr>
                        <w:t>Сумите за сближаването и за селското стопанство са намалени значително</w:t>
                      </w:r>
                    </w:p>
                    <w:p>
                      <w:pPr>
                        <w:pStyle w:val="ListParagraph"/>
                        <w:numPr>
                          <w:ilvl w:val="0"/>
                          <w:numId w:val="12"/>
                        </w:numPr>
                        <w:spacing w:after="0" w:line="240" w:lineRule="auto"/>
                        <w:textAlignment w:val="baseline"/>
                        <w:rPr>
                          <w:rFonts w:eastAsia="Times New Roman"/>
                        </w:rPr>
                      </w:pPr>
                      <w:r>
                        <w:rPr>
                          <w:rFonts w:ascii="Arial" w:hAnsi="Arial"/>
                          <w:b/>
                          <w:kern w:val="24"/>
                        </w:rPr>
                        <w:t>Много по-голямо използване на финансовите инструменти и на гаранциите</w:t>
                      </w:r>
                    </w:p>
                    <w:p>
                      <w:pPr>
                        <w:pStyle w:val="NormalWeb"/>
                        <w:spacing w:after="0"/>
                        <w:textAlignment w:val="baseline"/>
                        <w:rPr>
                          <w:rFonts w:eastAsiaTheme="minorEastAsia"/>
                        </w:rPr>
                      </w:pPr>
                      <w:r>
                        <w:rPr>
                          <w:rFonts w:ascii="Arial" w:hAnsi="Arial"/>
                          <w:b/>
                          <w:kern w:val="24"/>
                          <w:sz w:val="28"/>
                        </w:rPr>
                        <w:t>Разходи</w:t>
                      </w:r>
                    </w:p>
                    <w:p>
                      <w:pPr>
                        <w:pStyle w:val="ListParagraph"/>
                        <w:numPr>
                          <w:ilvl w:val="0"/>
                          <w:numId w:val="13"/>
                        </w:numPr>
                        <w:spacing w:after="0" w:line="240" w:lineRule="auto"/>
                        <w:textAlignment w:val="baseline"/>
                        <w:rPr>
                          <w:rFonts w:eastAsia="Times New Roman"/>
                        </w:rPr>
                      </w:pPr>
                      <w:r>
                        <w:rPr>
                          <w:rFonts w:ascii="Arial" w:hAnsi="Arial"/>
                          <w:b/>
                          <w:kern w:val="24"/>
                        </w:rPr>
                        <w:t xml:space="preserve">Обща селскостопанска политика </w:t>
                      </w:r>
                    </w:p>
                    <w:p>
                      <w:pPr>
                        <w:pStyle w:val="ListParagraph"/>
                        <w:numPr>
                          <w:ilvl w:val="1"/>
                          <w:numId w:val="13"/>
                        </w:numPr>
                        <w:spacing w:after="0" w:line="240" w:lineRule="auto"/>
                        <w:textAlignment w:val="baseline"/>
                        <w:rPr>
                          <w:rFonts w:eastAsia="Times New Roman"/>
                        </w:rPr>
                      </w:pPr>
                      <w:r>
                        <w:rPr>
                          <w:rFonts w:ascii="Arial" w:hAnsi="Arial"/>
                          <w:kern w:val="24"/>
                        </w:rPr>
                        <w:t>Подкрепа само за земеделските стопани при специални ограничения (напр. малки стопанства, планински райони и слабо населени райони)</w:t>
                      </w:r>
                    </w:p>
                    <w:p>
                      <w:pPr>
                        <w:pStyle w:val="ListParagraph"/>
                        <w:numPr>
                          <w:ilvl w:val="1"/>
                          <w:numId w:val="13"/>
                        </w:numPr>
                        <w:spacing w:after="0" w:line="240" w:lineRule="auto"/>
                        <w:textAlignment w:val="baseline"/>
                        <w:rPr>
                          <w:rFonts w:eastAsia="Times New Roman"/>
                        </w:rPr>
                      </w:pPr>
                      <w:r>
                        <w:rPr>
                          <w:rFonts w:ascii="Arial" w:hAnsi="Arial"/>
                          <w:kern w:val="24"/>
                        </w:rPr>
                        <w:t>Инструменти за управление на риска за всички стопанства</w:t>
                      </w:r>
                    </w:p>
                    <w:p>
                      <w:pPr>
                        <w:pStyle w:val="ListParagraph"/>
                        <w:numPr>
                          <w:ilvl w:val="0"/>
                          <w:numId w:val="13"/>
                        </w:numPr>
                        <w:spacing w:after="0" w:line="240" w:lineRule="auto"/>
                        <w:textAlignment w:val="baseline"/>
                        <w:rPr>
                          <w:rFonts w:eastAsia="Times New Roman"/>
                        </w:rPr>
                      </w:pPr>
                      <w:r>
                        <w:rPr>
                          <w:rFonts w:ascii="Arial" w:hAnsi="Arial"/>
                          <w:b/>
                          <w:kern w:val="24"/>
                        </w:rPr>
                        <w:t>Икономическо, социално и териториално сближаване</w:t>
                      </w:r>
                    </w:p>
                    <w:p>
                      <w:pPr>
                        <w:pStyle w:val="ListParagraph"/>
                        <w:numPr>
                          <w:ilvl w:val="1"/>
                          <w:numId w:val="13"/>
                        </w:numPr>
                        <w:spacing w:after="0" w:line="240" w:lineRule="auto"/>
                        <w:textAlignment w:val="baseline"/>
                        <w:rPr>
                          <w:rFonts w:eastAsia="Times New Roman"/>
                        </w:rPr>
                      </w:pPr>
                      <w:r>
                        <w:rPr>
                          <w:rFonts w:ascii="Arial" w:hAnsi="Arial"/>
                          <w:kern w:val="24"/>
                        </w:rPr>
                        <w:t xml:space="preserve">Подкрепа само за държавите, спрямо които се изпълнява политиката на сближаване, и за трансграничното сътрудничество </w:t>
                      </w:r>
                    </w:p>
                    <w:p>
                      <w:pPr>
                        <w:pStyle w:val="ListParagraph"/>
                        <w:numPr>
                          <w:ilvl w:val="1"/>
                          <w:numId w:val="13"/>
                        </w:numPr>
                        <w:spacing w:after="0" w:line="240" w:lineRule="auto"/>
                        <w:textAlignment w:val="baseline"/>
                        <w:rPr>
                          <w:rFonts w:eastAsia="Times New Roman"/>
                        </w:rPr>
                      </w:pPr>
                      <w:r>
                        <w:rPr>
                          <w:rFonts w:ascii="Arial" w:hAnsi="Arial"/>
                          <w:kern w:val="24"/>
                        </w:rPr>
                        <w:t>Акцент само върху социалното приобщаване, заетостта, уменията, иновациите, изменението на климата, енергетиката и екологичния преход</w:t>
                      </w:r>
                    </w:p>
                    <w:p>
                      <w:pPr>
                        <w:pStyle w:val="ListParagraph"/>
                        <w:numPr>
                          <w:ilvl w:val="0"/>
                          <w:numId w:val="13"/>
                        </w:numPr>
                        <w:spacing w:after="0" w:line="240" w:lineRule="auto"/>
                        <w:textAlignment w:val="baseline"/>
                        <w:rPr>
                          <w:rFonts w:eastAsia="Times New Roman"/>
                        </w:rPr>
                      </w:pPr>
                      <w:r>
                        <w:rPr>
                          <w:rFonts w:ascii="Arial" w:hAnsi="Arial"/>
                          <w:b/>
                          <w:kern w:val="24"/>
                        </w:rPr>
                        <w:t>Програмите за единния пазар се запазват</w:t>
                      </w:r>
                      <w:r>
                        <w:rPr>
                          <w:rFonts w:ascii="Arial" w:hAnsi="Arial"/>
                          <w:kern w:val="24"/>
                        </w:rPr>
                        <w:t xml:space="preserve"> (трансевропейски мрежи, митници, защита на потребителите, агенции)</w:t>
                      </w:r>
                    </w:p>
                    <w:p>
                      <w:pPr>
                        <w:pStyle w:val="ListParagraph"/>
                        <w:numPr>
                          <w:ilvl w:val="0"/>
                          <w:numId w:val="13"/>
                        </w:numPr>
                        <w:spacing w:after="0" w:line="240" w:lineRule="auto"/>
                        <w:textAlignment w:val="baseline"/>
                        <w:rPr>
                          <w:rFonts w:eastAsia="Times New Roman"/>
                        </w:rPr>
                      </w:pPr>
                      <w:r>
                        <w:rPr>
                          <w:rFonts w:ascii="Arial" w:hAnsi="Arial"/>
                          <w:b/>
                          <w:kern w:val="24"/>
                        </w:rPr>
                        <w:t>Липса на финансиране за нови приоритети</w:t>
                      </w:r>
                      <w:r>
                        <w:rPr>
                          <w:rFonts w:ascii="Arial" w:hAnsi="Arial"/>
                          <w:kern w:val="24"/>
                        </w:rPr>
                        <w:t xml:space="preserve"> (сигурност, контрол на границите, миграция, отбрана)</w:t>
                      </w:r>
                    </w:p>
                    <w:p>
                      <w:pPr>
                        <w:pStyle w:val="ListParagraph"/>
                        <w:numPr>
                          <w:ilvl w:val="0"/>
                          <w:numId w:val="13"/>
                        </w:numPr>
                        <w:spacing w:after="0" w:line="240" w:lineRule="auto"/>
                        <w:textAlignment w:val="baseline"/>
                        <w:rPr>
                          <w:rFonts w:eastAsia="Times New Roman"/>
                        </w:rPr>
                      </w:pPr>
                      <w:r>
                        <w:rPr>
                          <w:rFonts w:ascii="Arial" w:hAnsi="Arial"/>
                          <w:b/>
                          <w:kern w:val="24"/>
                        </w:rPr>
                        <w:t>Другите програми са прекратени</w:t>
                      </w:r>
                      <w:r>
                        <w:rPr>
                          <w:rFonts w:ascii="Arial" w:hAnsi="Arial"/>
                          <w:kern w:val="24"/>
                        </w:rPr>
                        <w:t xml:space="preserve"> („Еразъм“, научноизследователска дейност и иновации, помощ за най-нуждаещите се, здравеопазване, култура, гражданство...)</w:t>
                      </w:r>
                    </w:p>
                    <w:p>
                      <w:pPr>
                        <w:pStyle w:val="NormalWeb"/>
                        <w:spacing w:after="0"/>
                        <w:textAlignment w:val="baseline"/>
                        <w:rPr>
                          <w:rFonts w:eastAsiaTheme="minorEastAsia"/>
                        </w:rPr>
                      </w:pPr>
                      <w:r>
                        <w:rPr>
                          <w:rFonts w:ascii="Arial" w:hAnsi="Arial"/>
                          <w:b/>
                          <w:kern w:val="24"/>
                          <w:sz w:val="28"/>
                        </w:rPr>
                        <w:t>Приходи</w:t>
                      </w:r>
                    </w:p>
                    <w:p>
                      <w:pPr>
                        <w:pStyle w:val="ListParagraph"/>
                        <w:numPr>
                          <w:ilvl w:val="0"/>
                          <w:numId w:val="14"/>
                        </w:numPr>
                        <w:spacing w:after="0" w:line="240" w:lineRule="auto"/>
                        <w:textAlignment w:val="baseline"/>
                        <w:rPr>
                          <w:rFonts w:eastAsia="Times New Roman"/>
                        </w:rPr>
                      </w:pPr>
                      <w:r>
                        <w:rPr>
                          <w:rFonts w:ascii="Arial" w:hAnsi="Arial"/>
                          <w:b/>
                          <w:kern w:val="24"/>
                        </w:rPr>
                        <w:t>Настоящата система без отстъпки</w:t>
                      </w:r>
                    </w:p>
                  </w:txbxContent>
                </v:textbox>
              </v:rect>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5408" behindDoc="0" locked="0" layoutInCell="1" allowOverlap="1">
                <wp:simplePos x="0" y="0"/>
                <wp:positionH relativeFrom="column">
                  <wp:posOffset>504056</wp:posOffset>
                </wp:positionH>
                <wp:positionV relativeFrom="paragraph">
                  <wp:posOffset>0</wp:posOffset>
                </wp:positionV>
                <wp:extent cx="7920880" cy="825851"/>
                <wp:effectExtent l="0" t="0" r="4445" b="0"/>
                <wp:wrapNone/>
                <wp:docPr id="26" name="Rectangle 18"/>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18" o:spid="_x0000_s1026" style="position:absolute;margin-left:39.7pt;margin-top:0;width:623.7pt;height:65.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144016</wp:posOffset>
                </wp:positionV>
                <wp:extent cx="2893782" cy="1152128"/>
                <wp:effectExtent l="0" t="0" r="0" b="0"/>
                <wp:wrapNone/>
                <wp:docPr id="27" name="TextBox 19"/>
                <wp:cNvGraphicFramePr/>
                <a:graphic xmlns:a="http://schemas.openxmlformats.org/drawingml/2006/main">
                  <a:graphicData uri="http://schemas.microsoft.com/office/word/2010/wordprocessingShape">
                    <wps:wsp>
                      <wps:cNvSpPr txBox="1"/>
                      <wps:spPr>
                        <a:xfrm>
                          <a:off x="0" y="0"/>
                          <a:ext cx="2893782" cy="1152128"/>
                        </a:xfrm>
                        <a:prstGeom prst="rect">
                          <a:avLst/>
                        </a:prstGeom>
                        <a:noFill/>
                      </wps:spPr>
                      <wps:txbx>
                        <w:txbxContent>
                          <w:p w:rsidR="00497646" w:rsidRDefault="00B05ABE">
                            <w:pPr>
                              <w:pStyle w:val="NormalWeb"/>
                              <w:spacing w:after="0"/>
                              <w:jc w:val="center"/>
                              <w:textAlignment w:val="baseline"/>
                            </w:pPr>
                            <w:r>
                              <w:rPr>
                                <w:rFonts w:ascii="Arial" w:hAnsi="Arial"/>
                                <w:b/>
                                <w:color w:val="1F497D" w:themeColor="text2"/>
                                <w:kern w:val="24"/>
                                <w:sz w:val="96"/>
                              </w:rPr>
                              <w:t>2</w:t>
                            </w:r>
                            <w:r>
                              <w:rPr>
                                <w:rFonts w:ascii="Arial" w:hAnsi="Arial"/>
                                <w:b/>
                                <w:color w:val="1F497D" w:themeColor="text2"/>
                                <w:kern w:val="24"/>
                              </w:rPr>
                              <w:t>Правим по-малко заедно</w:t>
                            </w:r>
                          </w:p>
                        </w:txbxContent>
                      </wps:txbx>
                      <wps:bodyPr wrap="square" rtlCol="0">
                        <a:noAutofit/>
                      </wps:bodyPr>
                    </wps:wsp>
                  </a:graphicData>
                </a:graphic>
              </wp:anchor>
            </w:drawing>
          </mc:Choice>
          <mc:Fallback>
            <w:pict>
              <v:shape id="TextBox 19" o:spid="_x0000_s1030" type="#_x0000_t202" style="position:absolute;margin-left:0;margin-top:11.35pt;width:227.85pt;height:90.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" filled="f" stroked="f">
                <v:textbox>
                  <w:txbxContent>
                    <w:p>
                      <w:pPr>
                        <w:pStyle w:val="NormalWeb"/>
                        <w:spacing w:after="0"/>
                        <w:jc w:val="center"/>
                        <w:textAlignment w:val="baseline"/>
                      </w:pPr>
                      <w:r>
                        <w:rPr>
                          <w:rFonts w:ascii="Arial" w:hAnsi="Arial"/>
                          <w:b/>
                          <w:color w:val="1F497D" w:themeColor="text2"/>
                          <w:kern w:val="24"/>
                          <w:sz w:val="96"/>
                        </w:rPr>
                        <w:t>2</w:t>
                      </w:r>
                      <w:r>
                        <w:rPr>
                          <w:rFonts w:ascii="Arial" w:hAnsi="Arial"/>
                          <w:b/>
                          <w:color w:val="1F497D" w:themeColor="text2"/>
                          <w:kern w:val="24"/>
                        </w:rPr>
                        <w:t>Правим по-малко заедно</w:t>
                      </w:r>
                    </w:p>
                  </w:txbxContent>
                </v:textbox>
              </v:shape>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7456" behindDoc="0" locked="0" layoutInCell="1" allowOverlap="1">
                <wp:simplePos x="0" y="0"/>
                <wp:positionH relativeFrom="column">
                  <wp:posOffset>504056</wp:posOffset>
                </wp:positionH>
                <wp:positionV relativeFrom="paragraph">
                  <wp:posOffset>0</wp:posOffset>
                </wp:positionV>
                <wp:extent cx="5616575" cy="427355"/>
                <wp:effectExtent l="0" t="0" r="0" b="0"/>
                <wp:wrapNone/>
                <wp:docPr id="28" name="TextBox 20"/>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497646" w:rsidRDefault="00B05ABE">
                            <w:pPr>
                              <w:pStyle w:val="NormalWeb"/>
                              <w:spacing w:after="0"/>
                              <w:textAlignment w:val="baseline"/>
                            </w:pPr>
                            <w:r>
                              <w:rPr>
                                <w:rFonts w:ascii="Arial" w:hAnsi="Arial"/>
                                <w:b/>
                                <w:color w:val="000000" w:themeColor="text1"/>
                                <w:kern w:val="24"/>
                                <w:sz w:val="40"/>
                              </w:rPr>
                              <w:t>Сценарий</w:t>
                            </w:r>
                          </w:p>
                        </w:txbxContent>
                      </wps:txbx>
                      <wps:bodyPr wrap="square" rtlCol="0">
                        <a:spAutoFit/>
                      </wps:bodyPr>
                    </wps:wsp>
                  </a:graphicData>
                </a:graphic>
              </wp:anchor>
            </w:drawing>
          </mc:Choice>
          <mc:Fallback>
            <w:pict>
              <v:shape id="TextBox 20" o:spid="_x0000_s1031" type="#_x0000_t202" style="position:absolute;margin-left:39.7pt;margin-top:0;width:442.25pt;height:33.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" filled="f" stroked="f">
                <v:textbox style="mso-fit-shape-to-text:t">
                  <w:txbxContent>
                    <w:p>
                      <w:pPr>
                        <w:pStyle w:val="NormalWeb"/>
                        <w:spacing w:after="0"/>
                        <w:textAlignment w:val="baseline"/>
                      </w:pPr>
                      <w:r>
                        <w:rPr>
                          <w:rFonts w:ascii="Arial" w:hAnsi="Arial"/>
                          <w:b/>
                          <w:color w:val="000000" w:themeColor="text1"/>
                          <w:kern w:val="24"/>
                          <w:sz w:val="40"/>
                        </w:rPr>
                        <w:t>Сценарий</w:t>
                      </w:r>
                    </w:p>
                  </w:txbxContent>
                </v:textbox>
              </v:shape>
            </w:pict>
          </mc:Fallback>
        </mc:AlternateContent>
      </w:r>
      <w:r>
        <w:rPr>
          <w:rFonts w:ascii="Times New Roman" w:hAnsi="Times New Roman" w:cs="Times New Roman"/>
          <w:b/>
          <w:noProof/>
          <w:sz w:val="24"/>
          <w:szCs w:val="24"/>
          <w:lang w:val="en-GB" w:eastAsia="en-GB" w:bidi="ar-SA"/>
        </w:rPr>
        <w:drawing>
          <wp:anchor distT="0" distB="0" distL="114300" distR="114300" simplePos="0" relativeHeight="251668480" behindDoc="0" locked="0" layoutInCell="1" allowOverlap="1">
            <wp:simplePos x="0" y="0"/>
            <wp:positionH relativeFrom="column">
              <wp:posOffset>7214541</wp:posOffset>
            </wp:positionH>
            <wp:positionV relativeFrom="paragraph">
              <wp:posOffset>72008</wp:posOffset>
            </wp:positionV>
            <wp:extent cx="922363" cy="646567"/>
            <wp:effectExtent l="0" t="0" r="0" b="1270"/>
            <wp:wrapNone/>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22363" cy="646567"/>
                    </a:xfrm>
                    <a:prstGeom prst="rect">
                      <a:avLst/>
                    </a:prstGeom>
                  </pic:spPr>
                </pic:pic>
              </a:graphicData>
            </a:graphic>
          </wp:anchor>
        </w:drawing>
      </w:r>
      <w:r>
        <w:rPr>
          <w:rFonts w:ascii="Times New Roman" w:hAnsi="Times New Roman"/>
          <w:b/>
          <w:noProof/>
          <w:sz w:val="24"/>
        </w:rPr>
        <w:t xml:space="preserve"> </w:t>
      </w:r>
    </w:p>
    <w:p w:rsidR="00497646" w:rsidRDefault="00B05ABE">
      <w:pPr>
        <w:rPr>
          <w:rFonts w:ascii="Times New Roman" w:hAnsi="Times New Roman" w:cs="Times New Roman"/>
          <w:b/>
          <w:noProof/>
          <w:sz w:val="24"/>
          <w:szCs w:val="24"/>
        </w:rPr>
      </w:pPr>
      <w:r>
        <w:rPr>
          <w:noProof/>
        </w:rPr>
        <w:br w:type="page"/>
      </w:r>
    </w:p>
    <w:p w:rsidR="00497646" w:rsidRDefault="00B05ABE">
      <w:pPr>
        <w:rPr>
          <w:rFonts w:ascii="Times New Roman" w:hAnsi="Times New Roman" w:cs="Times New Roman"/>
          <w:b/>
          <w:noProof/>
          <w:sz w:val="24"/>
          <w:szCs w:val="24"/>
        </w:rPr>
      </w:pP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9504" behindDoc="0" locked="0" layoutInCell="1" allowOverlap="1">
                <wp:simplePos x="0" y="0"/>
                <wp:positionH relativeFrom="column">
                  <wp:posOffset>661534</wp:posOffset>
                </wp:positionH>
                <wp:positionV relativeFrom="paragraph">
                  <wp:posOffset>0</wp:posOffset>
                </wp:positionV>
                <wp:extent cx="7920880" cy="825851"/>
                <wp:effectExtent l="0" t="0" r="4445" b="0"/>
                <wp:wrapNone/>
                <wp:docPr id="35" name="Rectangle 7"/>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7" o:spid="_x0000_s1026" style="position:absolute;margin-left:52.1pt;margin-top:0;width:623.7pt;height:65.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144016</wp:posOffset>
                </wp:positionV>
                <wp:extent cx="2893782" cy="1152128"/>
                <wp:effectExtent l="0" t="0" r="0" b="0"/>
                <wp:wrapNone/>
                <wp:docPr id="36" name="TextBox 8"/>
                <wp:cNvGraphicFramePr/>
                <a:graphic xmlns:a="http://schemas.openxmlformats.org/drawingml/2006/main">
                  <a:graphicData uri="http://schemas.microsoft.com/office/word/2010/wordprocessingShape">
                    <wps:wsp>
                      <wps:cNvSpPr txBox="1"/>
                      <wps:spPr>
                        <a:xfrm>
                          <a:off x="0" y="0"/>
                          <a:ext cx="2893782" cy="1152128"/>
                        </a:xfrm>
                        <a:prstGeom prst="rect">
                          <a:avLst/>
                        </a:prstGeom>
                        <a:noFill/>
                      </wps:spPr>
                      <wps:txbx>
                        <w:txbxContent>
                          <w:p w:rsidR="00497646" w:rsidRDefault="00B05ABE">
                            <w:pPr>
                              <w:pStyle w:val="NormalWeb"/>
                              <w:spacing w:after="0"/>
                              <w:jc w:val="center"/>
                              <w:textAlignment w:val="baseline"/>
                            </w:pPr>
                            <w:r>
                              <w:rPr>
                                <w:rFonts w:ascii="Arial" w:hAnsi="Arial"/>
                                <w:b/>
                                <w:color w:val="1F497D" w:themeColor="text2"/>
                                <w:kern w:val="24"/>
                                <w:sz w:val="96"/>
                              </w:rPr>
                              <w:t>3</w:t>
                            </w:r>
                            <w:r>
                              <w:rPr>
                                <w:rFonts w:ascii="Arial" w:hAnsi="Arial"/>
                                <w:b/>
                                <w:color w:val="1F497D" w:themeColor="text2"/>
                                <w:kern w:val="24"/>
                              </w:rPr>
                              <w:t>Някои правят повече</w:t>
                            </w:r>
                          </w:p>
                        </w:txbxContent>
                      </wps:txbx>
                      <wps:bodyPr wrap="square" rtlCol="0">
                        <a:noAutofit/>
                      </wps:bodyPr>
                    </wps:wsp>
                  </a:graphicData>
                </a:graphic>
              </wp:anchor>
            </w:drawing>
          </mc:Choice>
          <mc:Fallback>
            <w:pict>
              <v:shape id="TextBox 8" o:spid="_x0000_s1032" type="#_x0000_t202" style="position:absolute;margin-left:0;margin-top:11.35pt;width:227.85pt;height:90.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" filled="f" stroked="f">
                <v:textbox>
                  <w:txbxContent>
                    <w:p>
                      <w:pPr>
                        <w:pStyle w:val="NormalWeb"/>
                        <w:spacing w:after="0"/>
                        <w:jc w:val="center"/>
                        <w:textAlignment w:val="baseline"/>
                      </w:pPr>
                      <w:r>
                        <w:rPr>
                          <w:rFonts w:ascii="Arial" w:hAnsi="Arial"/>
                          <w:b/>
                          <w:color w:val="1F497D" w:themeColor="text2"/>
                          <w:kern w:val="24"/>
                          <w:sz w:val="96"/>
                        </w:rPr>
                        <w:t>3</w:t>
                      </w:r>
                      <w:r>
                        <w:rPr>
                          <w:rFonts w:ascii="Arial" w:hAnsi="Arial"/>
                          <w:b/>
                          <w:color w:val="1F497D" w:themeColor="text2"/>
                          <w:kern w:val="24"/>
                        </w:rPr>
                        <w:t>Някои правят повече</w:t>
                      </w:r>
                    </w:p>
                  </w:txbxContent>
                </v:textbox>
              </v:shape>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71552" behindDoc="0" locked="0" layoutInCell="1" allowOverlap="1">
                <wp:simplePos x="0" y="0"/>
                <wp:positionH relativeFrom="column">
                  <wp:posOffset>661534</wp:posOffset>
                </wp:positionH>
                <wp:positionV relativeFrom="paragraph">
                  <wp:posOffset>0</wp:posOffset>
                </wp:positionV>
                <wp:extent cx="5616575" cy="427355"/>
                <wp:effectExtent l="0" t="0" r="0" b="0"/>
                <wp:wrapNone/>
                <wp:docPr id="37" name="TextBox 9"/>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497646" w:rsidRDefault="00B05ABE">
                            <w:pPr>
                              <w:pStyle w:val="NormalWeb"/>
                              <w:spacing w:after="0"/>
                              <w:textAlignment w:val="baseline"/>
                            </w:pPr>
                            <w:r>
                              <w:rPr>
                                <w:rFonts w:ascii="Arial" w:hAnsi="Arial"/>
                                <w:b/>
                                <w:color w:val="000000" w:themeColor="text1"/>
                                <w:kern w:val="24"/>
                                <w:sz w:val="40"/>
                              </w:rPr>
                              <w:t>Сценарий</w:t>
                            </w:r>
                          </w:p>
                        </w:txbxContent>
                      </wps:txbx>
                      <wps:bodyPr wrap="square" rtlCol="0">
                        <a:spAutoFit/>
                      </wps:bodyPr>
                    </wps:wsp>
                  </a:graphicData>
                </a:graphic>
              </wp:anchor>
            </w:drawing>
          </mc:Choice>
          <mc:Fallback>
            <w:pict>
              <v:shape id="TextBox 9" o:spid="_x0000_s1033" type="#_x0000_t202" style="position:absolute;margin-left:52.1pt;margin-top:0;width:442.25pt;height:33.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" filled="f" stroked="f">
                <v:textbox style="mso-fit-shape-to-text:t">
                  <w:txbxContent>
                    <w:p>
                      <w:pPr>
                        <w:pStyle w:val="NormalWeb"/>
                        <w:spacing w:after="0"/>
                        <w:textAlignment w:val="baseline"/>
                      </w:pPr>
                      <w:r>
                        <w:rPr>
                          <w:rFonts w:ascii="Arial" w:hAnsi="Arial"/>
                          <w:b/>
                          <w:color w:val="000000" w:themeColor="text1"/>
                          <w:kern w:val="24"/>
                          <w:sz w:val="40"/>
                        </w:rPr>
                        <w:t>Сценарий</w:t>
                      </w:r>
                    </w:p>
                  </w:txbxContent>
                </v:textbox>
              </v:shape>
            </w:pict>
          </mc:Fallback>
        </mc:AlternateContent>
      </w:r>
      <w:r>
        <w:rPr>
          <w:rFonts w:ascii="Times New Roman" w:hAnsi="Times New Roman" w:cs="Times New Roman"/>
          <w:b/>
          <w:noProof/>
          <w:sz w:val="24"/>
          <w:szCs w:val="24"/>
          <w:lang w:val="en-GB" w:eastAsia="en-GB" w:bidi="ar-SA"/>
        </w:rPr>
        <w:drawing>
          <wp:anchor distT="0" distB="0" distL="114300" distR="114300" simplePos="0" relativeHeight="251672576" behindDoc="0" locked="0" layoutInCell="1" allowOverlap="1">
            <wp:simplePos x="0" y="0"/>
            <wp:positionH relativeFrom="column">
              <wp:posOffset>7430286</wp:posOffset>
            </wp:positionH>
            <wp:positionV relativeFrom="paragraph">
              <wp:posOffset>84825</wp:posOffset>
            </wp:positionV>
            <wp:extent cx="936104" cy="656200"/>
            <wp:effectExtent l="0" t="0" r="0" b="0"/>
            <wp:wrapNone/>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36104" cy="656200"/>
                    </a:xfrm>
                    <a:prstGeom prst="rect">
                      <a:avLst/>
                    </a:prstGeom>
                  </pic:spPr>
                </pic:pic>
              </a:graphicData>
            </a:graphic>
          </wp:anchor>
        </w:drawing>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73600" behindDoc="0" locked="0" layoutInCell="1" allowOverlap="1">
                <wp:simplePos x="0" y="0"/>
                <wp:positionH relativeFrom="column">
                  <wp:posOffset>423042</wp:posOffset>
                </wp:positionH>
                <wp:positionV relativeFrom="paragraph">
                  <wp:posOffset>864096</wp:posOffset>
                </wp:positionV>
                <wp:extent cx="8411210" cy="3441700"/>
                <wp:effectExtent l="0" t="0" r="0" b="0"/>
                <wp:wrapNone/>
                <wp:docPr id="38" name="Rectangle 12"/>
                <wp:cNvGraphicFramePr/>
                <a:graphic xmlns:a="http://schemas.openxmlformats.org/drawingml/2006/main">
                  <a:graphicData uri="http://schemas.microsoft.com/office/word/2010/wordprocessingShape">
                    <wps:wsp>
                      <wps:cNvSpPr/>
                      <wps:spPr>
                        <a:xfrm>
                          <a:off x="0" y="0"/>
                          <a:ext cx="8411210" cy="3441700"/>
                        </a:xfrm>
                        <a:prstGeom prst="rect">
                          <a:avLst/>
                        </a:prstGeom>
                      </wps:spPr>
                      <wps:txbx>
                        <w:txbxContent>
                          <w:p w:rsidR="00497646" w:rsidRDefault="00B05ABE">
                            <w:pPr>
                              <w:pStyle w:val="NormalWeb"/>
                              <w:spacing w:after="0"/>
                              <w:textAlignment w:val="baseline"/>
                            </w:pPr>
                            <w:r>
                              <w:rPr>
                                <w:rFonts w:ascii="Arial" w:hAnsi="Arial"/>
                                <w:b/>
                                <w:kern w:val="24"/>
                                <w:sz w:val="28"/>
                              </w:rPr>
                              <w:t>Общи тенденции и размер</w:t>
                            </w:r>
                          </w:p>
                          <w:p w:rsidR="00497646" w:rsidRDefault="00B05ABE">
                            <w:pPr>
                              <w:pStyle w:val="ListParagraph"/>
                              <w:numPr>
                                <w:ilvl w:val="0"/>
                                <w:numId w:val="15"/>
                              </w:numPr>
                              <w:spacing w:after="0" w:line="240" w:lineRule="auto"/>
                              <w:textAlignment w:val="baseline"/>
                              <w:rPr>
                                <w:rFonts w:eastAsia="Times New Roman"/>
                              </w:rPr>
                            </w:pPr>
                            <w:r>
                              <w:rPr>
                                <w:rFonts w:ascii="Arial" w:hAnsi="Arial"/>
                                <w:b/>
                                <w:kern w:val="24"/>
                              </w:rPr>
                              <w:t>Като цяло стабилен с потенциално увеличение за покриване на областите на съвместни действия</w:t>
                            </w:r>
                          </w:p>
                          <w:p w:rsidR="00497646" w:rsidRDefault="00B05ABE">
                            <w:pPr>
                              <w:pStyle w:val="ListParagraph"/>
                              <w:numPr>
                                <w:ilvl w:val="0"/>
                                <w:numId w:val="15"/>
                              </w:numPr>
                              <w:spacing w:after="0" w:line="240" w:lineRule="auto"/>
                              <w:textAlignment w:val="baseline"/>
                              <w:rPr>
                                <w:rFonts w:eastAsia="Times New Roman"/>
                              </w:rPr>
                            </w:pPr>
                            <w:r>
                              <w:rPr>
                                <w:rFonts w:ascii="Arial" w:hAnsi="Arial"/>
                                <w:b/>
                                <w:kern w:val="24"/>
                              </w:rPr>
                              <w:t xml:space="preserve">По-голямо използване на </w:t>
                            </w:r>
                            <w:r>
                              <w:rPr>
                                <w:rFonts w:ascii="Arial" w:hAnsi="Arial"/>
                                <w:b/>
                                <w:kern w:val="24"/>
                              </w:rPr>
                              <w:t>финансовите инструменти и на гаранциите</w:t>
                            </w:r>
                          </w:p>
                          <w:p w:rsidR="00497646" w:rsidRDefault="00B05ABE">
                            <w:pPr>
                              <w:pStyle w:val="NormalWeb"/>
                              <w:spacing w:after="0"/>
                              <w:textAlignment w:val="baseline"/>
                              <w:rPr>
                                <w:rFonts w:eastAsiaTheme="minorEastAsia"/>
                              </w:rPr>
                            </w:pPr>
                            <w:r>
                              <w:rPr>
                                <w:rFonts w:ascii="Arial" w:hAnsi="Arial"/>
                                <w:b/>
                                <w:kern w:val="24"/>
                                <w:sz w:val="28"/>
                              </w:rPr>
                              <w:t>Разходи</w:t>
                            </w:r>
                          </w:p>
                          <w:p w:rsidR="00497646" w:rsidRDefault="00B05ABE">
                            <w:pPr>
                              <w:pStyle w:val="ListParagraph"/>
                              <w:numPr>
                                <w:ilvl w:val="0"/>
                                <w:numId w:val="16"/>
                              </w:numPr>
                              <w:spacing w:after="0" w:line="240" w:lineRule="auto"/>
                              <w:textAlignment w:val="baseline"/>
                              <w:rPr>
                                <w:rFonts w:eastAsia="Times New Roman"/>
                              </w:rPr>
                            </w:pPr>
                            <w:r>
                              <w:rPr>
                                <w:rFonts w:ascii="Arial" w:hAnsi="Arial"/>
                                <w:b/>
                                <w:kern w:val="24"/>
                              </w:rPr>
                              <w:t>Като при сценарий 1</w:t>
                            </w:r>
                          </w:p>
                          <w:p w:rsidR="00497646" w:rsidRDefault="00B05ABE">
                            <w:pPr>
                              <w:pStyle w:val="NormalWeb"/>
                              <w:spacing w:after="0"/>
                              <w:textAlignment w:val="baseline"/>
                              <w:rPr>
                                <w:rFonts w:eastAsiaTheme="minorEastAsia"/>
                              </w:rPr>
                            </w:pPr>
                            <w:r>
                              <w:rPr>
                                <w:rFonts w:ascii="Arial" w:hAnsi="Arial"/>
                                <w:b/>
                                <w:kern w:val="24"/>
                                <w:sz w:val="28"/>
                              </w:rPr>
                              <w:t>Допълнителни бюджети и новаторско финансиране</w:t>
                            </w:r>
                          </w:p>
                          <w:p w:rsidR="00497646" w:rsidRDefault="00B05ABE">
                            <w:pPr>
                              <w:pStyle w:val="ListParagraph"/>
                              <w:numPr>
                                <w:ilvl w:val="0"/>
                                <w:numId w:val="17"/>
                              </w:numPr>
                              <w:spacing w:after="0" w:line="240" w:lineRule="auto"/>
                              <w:textAlignment w:val="baseline"/>
                              <w:rPr>
                                <w:rFonts w:eastAsia="Times New Roman"/>
                              </w:rPr>
                            </w:pPr>
                            <w:r>
                              <w:rPr>
                                <w:rFonts w:ascii="Arial" w:hAnsi="Arial"/>
                                <w:b/>
                                <w:kern w:val="24"/>
                              </w:rPr>
                              <w:t>Разходите за засилено сътрудничество са включени в бюджета на ЕС (напр. Европейската прокуратура)</w:t>
                            </w:r>
                          </w:p>
                          <w:p w:rsidR="00497646" w:rsidRDefault="00B05ABE">
                            <w:pPr>
                              <w:pStyle w:val="ListParagraph"/>
                              <w:numPr>
                                <w:ilvl w:val="0"/>
                                <w:numId w:val="17"/>
                              </w:numPr>
                              <w:spacing w:after="0" w:line="240" w:lineRule="auto"/>
                              <w:textAlignment w:val="baseline"/>
                              <w:rPr>
                                <w:rFonts w:eastAsia="Times New Roman"/>
                              </w:rPr>
                            </w:pPr>
                            <w:r>
                              <w:rPr>
                                <w:rFonts w:ascii="Arial" w:hAnsi="Arial"/>
                                <w:b/>
                                <w:kern w:val="24"/>
                              </w:rPr>
                              <w:t xml:space="preserve">Обединяване на финансиране извън бюджета на </w:t>
                            </w:r>
                            <w:r>
                              <w:rPr>
                                <w:rFonts w:ascii="Arial" w:hAnsi="Arial"/>
                                <w:b/>
                                <w:kern w:val="24"/>
                              </w:rPr>
                              <w:t>ЕС</w:t>
                            </w:r>
                          </w:p>
                          <w:p w:rsidR="00497646" w:rsidRDefault="00B05ABE">
                            <w:pPr>
                              <w:pStyle w:val="ListParagraph"/>
                              <w:numPr>
                                <w:ilvl w:val="1"/>
                                <w:numId w:val="17"/>
                              </w:numPr>
                              <w:spacing w:after="0" w:line="240" w:lineRule="auto"/>
                              <w:textAlignment w:val="baseline"/>
                              <w:rPr>
                                <w:rFonts w:eastAsia="Times New Roman"/>
                              </w:rPr>
                            </w:pPr>
                            <w:r>
                              <w:rPr>
                                <w:rFonts w:ascii="Arial" w:hAnsi="Arial"/>
                                <w:kern w:val="24"/>
                              </w:rPr>
                              <w:t>доверителни фондове</w:t>
                            </w:r>
                          </w:p>
                          <w:p w:rsidR="00497646" w:rsidRDefault="00B05ABE">
                            <w:pPr>
                              <w:pStyle w:val="ListParagraph"/>
                              <w:numPr>
                                <w:ilvl w:val="1"/>
                                <w:numId w:val="17"/>
                              </w:numPr>
                              <w:spacing w:after="0" w:line="240" w:lineRule="auto"/>
                              <w:textAlignment w:val="baseline"/>
                              <w:rPr>
                                <w:rFonts w:eastAsia="Times New Roman"/>
                              </w:rPr>
                            </w:pPr>
                            <w:r>
                              <w:rPr>
                                <w:rFonts w:ascii="Arial" w:hAnsi="Arial"/>
                                <w:kern w:val="24"/>
                              </w:rPr>
                              <w:t xml:space="preserve">целеви приходи </w:t>
                            </w:r>
                          </w:p>
                          <w:p w:rsidR="00497646" w:rsidRDefault="00B05ABE">
                            <w:pPr>
                              <w:pStyle w:val="ListParagraph"/>
                              <w:numPr>
                                <w:ilvl w:val="1"/>
                                <w:numId w:val="17"/>
                              </w:numPr>
                              <w:spacing w:after="0" w:line="240" w:lineRule="auto"/>
                              <w:textAlignment w:val="baseline"/>
                              <w:rPr>
                                <w:rFonts w:eastAsia="Times New Roman"/>
                              </w:rPr>
                            </w:pPr>
                            <w:r>
                              <w:rPr>
                                <w:rFonts w:ascii="Arial" w:hAnsi="Arial"/>
                                <w:kern w:val="24"/>
                              </w:rPr>
                              <w:t>през бюджета на ЕС, но неподлежащи на ограниченията на многогодишната финансова рамка</w:t>
                            </w:r>
                          </w:p>
                          <w:p w:rsidR="00497646" w:rsidRDefault="00B05ABE">
                            <w:pPr>
                              <w:pStyle w:val="ListParagraph"/>
                              <w:numPr>
                                <w:ilvl w:val="0"/>
                                <w:numId w:val="17"/>
                              </w:numPr>
                              <w:spacing w:after="0" w:line="240" w:lineRule="auto"/>
                              <w:textAlignment w:val="baseline"/>
                              <w:rPr>
                                <w:rFonts w:eastAsia="Times New Roman"/>
                              </w:rPr>
                            </w:pPr>
                            <w:r>
                              <w:rPr>
                                <w:rFonts w:ascii="Arial" w:hAnsi="Arial"/>
                                <w:b/>
                                <w:kern w:val="24"/>
                              </w:rPr>
                              <w:t xml:space="preserve">Еврозона </w:t>
                            </w:r>
                          </w:p>
                          <w:p w:rsidR="00497646" w:rsidRDefault="00B05ABE">
                            <w:pPr>
                              <w:pStyle w:val="ListParagraph"/>
                              <w:numPr>
                                <w:ilvl w:val="1"/>
                                <w:numId w:val="17"/>
                              </w:numPr>
                              <w:spacing w:after="0" w:line="240" w:lineRule="auto"/>
                              <w:textAlignment w:val="baseline"/>
                              <w:rPr>
                                <w:rFonts w:eastAsia="Times New Roman"/>
                              </w:rPr>
                            </w:pPr>
                            <w:r>
                              <w:rPr>
                                <w:rFonts w:ascii="Arial" w:hAnsi="Arial"/>
                                <w:kern w:val="24"/>
                              </w:rPr>
                              <w:t>Макроикономическо стабилизиране на еврозоната (защита на инвестициите/презастраховане срещу безработица/фонд за черни дни</w:t>
                            </w:r>
                            <w:r>
                              <w:rPr>
                                <w:rFonts w:ascii="Arial" w:hAnsi="Arial"/>
                                <w:kern w:val="24"/>
                              </w:rPr>
                              <w:t>)</w:t>
                            </w:r>
                          </w:p>
                          <w:p w:rsidR="00497646" w:rsidRDefault="00B05ABE">
                            <w:pPr>
                              <w:pStyle w:val="NormalWeb"/>
                              <w:spacing w:after="0"/>
                              <w:textAlignment w:val="baseline"/>
                              <w:rPr>
                                <w:rFonts w:eastAsiaTheme="minorEastAsia"/>
                              </w:rPr>
                            </w:pPr>
                            <w:r>
                              <w:rPr>
                                <w:rFonts w:ascii="Arial" w:hAnsi="Arial"/>
                                <w:b/>
                                <w:kern w:val="24"/>
                                <w:sz w:val="28"/>
                              </w:rPr>
                              <w:t>Приходи</w:t>
                            </w:r>
                          </w:p>
                          <w:p w:rsidR="00497646" w:rsidRDefault="00B05ABE">
                            <w:pPr>
                              <w:pStyle w:val="ListParagraph"/>
                              <w:numPr>
                                <w:ilvl w:val="0"/>
                                <w:numId w:val="18"/>
                              </w:numPr>
                              <w:spacing w:after="0" w:line="240" w:lineRule="auto"/>
                              <w:textAlignment w:val="baseline"/>
                              <w:rPr>
                                <w:rFonts w:eastAsia="Times New Roman"/>
                              </w:rPr>
                            </w:pPr>
                            <w:r>
                              <w:rPr>
                                <w:rFonts w:ascii="Arial" w:hAnsi="Arial"/>
                                <w:b/>
                                <w:kern w:val="24"/>
                              </w:rPr>
                              <w:t>Както при сценарий 1 + нови политики, финансирани само от участващите държави членки чрез настоящата система или</w:t>
                            </w:r>
                          </w:p>
                          <w:p w:rsidR="00497646" w:rsidRDefault="00B05ABE">
                            <w:pPr>
                              <w:pStyle w:val="ListParagraph"/>
                              <w:numPr>
                                <w:ilvl w:val="0"/>
                                <w:numId w:val="18"/>
                              </w:numPr>
                              <w:spacing w:after="0" w:line="240" w:lineRule="auto"/>
                              <w:textAlignment w:val="baseline"/>
                              <w:rPr>
                                <w:rFonts w:eastAsia="Times New Roman"/>
                              </w:rPr>
                            </w:pPr>
                            <w:r>
                              <w:rPr>
                                <w:rFonts w:ascii="Arial" w:hAnsi="Arial"/>
                                <w:b/>
                                <w:kern w:val="24"/>
                              </w:rPr>
                              <w:t>Нов собствен ресурс (напр. данък върху финансовите сделки)</w:t>
                            </w:r>
                          </w:p>
                          <w:p w:rsidR="00497646" w:rsidRDefault="00B05ABE">
                            <w:pPr>
                              <w:pStyle w:val="ListParagraph"/>
                              <w:numPr>
                                <w:ilvl w:val="1"/>
                                <w:numId w:val="18"/>
                              </w:numPr>
                              <w:spacing w:after="0" w:line="240" w:lineRule="auto"/>
                              <w:textAlignment w:val="baseline"/>
                              <w:rPr>
                                <w:rFonts w:eastAsia="Times New Roman"/>
                              </w:rPr>
                            </w:pPr>
                            <w:r>
                              <w:rPr>
                                <w:rFonts w:ascii="Arial" w:hAnsi="Arial"/>
                                <w:kern w:val="24"/>
                              </w:rPr>
                              <w:t xml:space="preserve">Нов поток от приходи извън настоящата система на финансиране </w:t>
                            </w:r>
                          </w:p>
                          <w:p w:rsidR="00497646" w:rsidRDefault="00B05ABE">
                            <w:pPr>
                              <w:pStyle w:val="ListParagraph"/>
                              <w:numPr>
                                <w:ilvl w:val="1"/>
                                <w:numId w:val="18"/>
                              </w:numPr>
                              <w:spacing w:after="0" w:line="240" w:lineRule="auto"/>
                              <w:textAlignment w:val="baseline"/>
                              <w:rPr>
                                <w:rFonts w:eastAsia="Times New Roman"/>
                              </w:rPr>
                            </w:pPr>
                            <w:r>
                              <w:rPr>
                                <w:rFonts w:ascii="Arial" w:hAnsi="Arial"/>
                                <w:kern w:val="24"/>
                              </w:rPr>
                              <w:t>или специалн</w:t>
                            </w:r>
                            <w:r>
                              <w:rPr>
                                <w:rFonts w:ascii="Arial" w:hAnsi="Arial"/>
                                <w:kern w:val="24"/>
                              </w:rPr>
                              <w:t>и финансови вноски</w:t>
                            </w:r>
                          </w:p>
                        </w:txbxContent>
                      </wps:txbx>
                      <wps:bodyPr wrap="square">
                        <a:spAutoFit/>
                      </wps:bodyPr>
                    </wps:wsp>
                  </a:graphicData>
                </a:graphic>
              </wp:anchor>
            </w:drawing>
          </mc:Choice>
          <mc:Fallback>
            <w:pict>
              <v:rect id="Rectangle 12" o:spid="_x0000_s1034" style="position:absolute;margin-left:33.3pt;margin-top:68.05pt;width:662.3pt;height:27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" filled="f" stroked="f">
                <v:textbox style="mso-fit-shape-to-text:t">
                  <w:txbxContent>
                    <w:p>
                      <w:pPr>
                        <w:pStyle w:val="NormalWeb"/>
                        <w:spacing w:after="0"/>
                        <w:textAlignment w:val="baseline"/>
                      </w:pPr>
                      <w:r>
                        <w:rPr>
                          <w:rFonts w:ascii="Arial" w:hAnsi="Arial"/>
                          <w:b/>
                          <w:kern w:val="24"/>
                          <w:sz w:val="28"/>
                        </w:rPr>
                        <w:t>Общи тенденции и размер</w:t>
                      </w:r>
                    </w:p>
                    <w:p>
                      <w:pPr>
                        <w:pStyle w:val="ListParagraph"/>
                        <w:numPr>
                          <w:ilvl w:val="0"/>
                          <w:numId w:val="15"/>
                        </w:numPr>
                        <w:spacing w:after="0" w:line="240" w:lineRule="auto"/>
                        <w:textAlignment w:val="baseline"/>
                        <w:rPr>
                          <w:rFonts w:eastAsia="Times New Roman"/>
                        </w:rPr>
                      </w:pPr>
                      <w:r>
                        <w:rPr>
                          <w:rFonts w:ascii="Arial" w:hAnsi="Arial"/>
                          <w:b/>
                          <w:kern w:val="24"/>
                        </w:rPr>
                        <w:t>Като цяло стабилен с потенциално увеличение за покриване на областите на съвместни действия</w:t>
                      </w:r>
                    </w:p>
                    <w:p>
                      <w:pPr>
                        <w:pStyle w:val="ListParagraph"/>
                        <w:numPr>
                          <w:ilvl w:val="0"/>
                          <w:numId w:val="15"/>
                        </w:numPr>
                        <w:spacing w:after="0" w:line="240" w:lineRule="auto"/>
                        <w:textAlignment w:val="baseline"/>
                        <w:rPr>
                          <w:rFonts w:eastAsia="Times New Roman"/>
                        </w:rPr>
                      </w:pPr>
                      <w:r>
                        <w:rPr>
                          <w:rFonts w:ascii="Arial" w:hAnsi="Arial"/>
                          <w:b/>
                          <w:kern w:val="24"/>
                        </w:rPr>
                        <w:t>По-голямо използване на финансовите инструменти и на гаранциите</w:t>
                      </w:r>
                    </w:p>
                    <w:p>
                      <w:pPr>
                        <w:pStyle w:val="NormalWeb"/>
                        <w:spacing w:after="0"/>
                        <w:textAlignment w:val="baseline"/>
                        <w:rPr>
                          <w:rFonts w:eastAsiaTheme="minorEastAsia"/>
                        </w:rPr>
                      </w:pPr>
                      <w:r>
                        <w:rPr>
                          <w:rFonts w:ascii="Arial" w:hAnsi="Arial"/>
                          <w:b/>
                          <w:kern w:val="24"/>
                          <w:sz w:val="28"/>
                        </w:rPr>
                        <w:t>Разходи</w:t>
                      </w:r>
                    </w:p>
                    <w:p>
                      <w:pPr>
                        <w:pStyle w:val="ListParagraph"/>
                        <w:numPr>
                          <w:ilvl w:val="0"/>
                          <w:numId w:val="16"/>
                        </w:numPr>
                        <w:spacing w:after="0" w:line="240" w:lineRule="auto"/>
                        <w:textAlignment w:val="baseline"/>
                        <w:rPr>
                          <w:rFonts w:eastAsia="Times New Roman"/>
                        </w:rPr>
                      </w:pPr>
                      <w:r>
                        <w:rPr>
                          <w:rFonts w:ascii="Arial" w:hAnsi="Arial"/>
                          <w:b/>
                          <w:kern w:val="24"/>
                        </w:rPr>
                        <w:t>Като при сценарий 1</w:t>
                      </w:r>
                    </w:p>
                    <w:p>
                      <w:pPr>
                        <w:pStyle w:val="NormalWeb"/>
                        <w:spacing w:after="0"/>
                        <w:textAlignment w:val="baseline"/>
                        <w:rPr>
                          <w:rFonts w:eastAsiaTheme="minorEastAsia"/>
                        </w:rPr>
                      </w:pPr>
                      <w:r>
                        <w:rPr>
                          <w:rFonts w:ascii="Arial" w:hAnsi="Arial"/>
                          <w:b/>
                          <w:kern w:val="24"/>
                          <w:sz w:val="28"/>
                        </w:rPr>
                        <w:t>Допълнителни бюджети и новаторско финансиране</w:t>
                      </w:r>
                    </w:p>
                    <w:p>
                      <w:pPr>
                        <w:pStyle w:val="ListParagraph"/>
                        <w:numPr>
                          <w:ilvl w:val="0"/>
                          <w:numId w:val="17"/>
                        </w:numPr>
                        <w:spacing w:after="0" w:line="240" w:lineRule="auto"/>
                        <w:textAlignment w:val="baseline"/>
                        <w:rPr>
                          <w:rFonts w:eastAsia="Times New Roman"/>
                        </w:rPr>
                      </w:pPr>
                      <w:r>
                        <w:rPr>
                          <w:rFonts w:ascii="Arial" w:hAnsi="Arial"/>
                          <w:b/>
                          <w:kern w:val="24"/>
                        </w:rPr>
                        <w:t>Разходите за засилено сътрудничество са включени в бюджета на ЕС (напр. Европейската прокуратура)</w:t>
                      </w:r>
                    </w:p>
                    <w:p>
                      <w:pPr>
                        <w:pStyle w:val="ListParagraph"/>
                        <w:numPr>
                          <w:ilvl w:val="0"/>
                          <w:numId w:val="17"/>
                        </w:numPr>
                        <w:spacing w:after="0" w:line="240" w:lineRule="auto"/>
                        <w:textAlignment w:val="baseline"/>
                        <w:rPr>
                          <w:rFonts w:eastAsia="Times New Roman"/>
                        </w:rPr>
                      </w:pPr>
                      <w:r>
                        <w:rPr>
                          <w:rFonts w:ascii="Arial" w:hAnsi="Arial"/>
                          <w:b/>
                          <w:kern w:val="24"/>
                        </w:rPr>
                        <w:t>Обединяване на финансиране извън бюджета на ЕС</w:t>
                      </w:r>
                    </w:p>
                    <w:p>
                      <w:pPr>
                        <w:pStyle w:val="ListParagraph"/>
                        <w:numPr>
                          <w:ilvl w:val="1"/>
                          <w:numId w:val="17"/>
                        </w:numPr>
                        <w:spacing w:after="0" w:line="240" w:lineRule="auto"/>
                        <w:textAlignment w:val="baseline"/>
                        <w:rPr>
                          <w:rFonts w:eastAsia="Times New Roman"/>
                        </w:rPr>
                      </w:pPr>
                      <w:r>
                        <w:rPr>
                          <w:rFonts w:ascii="Arial" w:hAnsi="Arial"/>
                          <w:kern w:val="24"/>
                        </w:rPr>
                        <w:t>доверителни фондове</w:t>
                      </w:r>
                    </w:p>
                    <w:p>
                      <w:pPr>
                        <w:pStyle w:val="ListParagraph"/>
                        <w:numPr>
                          <w:ilvl w:val="1"/>
                          <w:numId w:val="17"/>
                        </w:numPr>
                        <w:spacing w:after="0" w:line="240" w:lineRule="auto"/>
                        <w:textAlignment w:val="baseline"/>
                        <w:rPr>
                          <w:rFonts w:eastAsia="Times New Roman"/>
                        </w:rPr>
                      </w:pPr>
                      <w:r>
                        <w:rPr>
                          <w:rFonts w:ascii="Arial" w:hAnsi="Arial"/>
                          <w:kern w:val="24"/>
                        </w:rPr>
                        <w:t xml:space="preserve">целеви приходи </w:t>
                      </w:r>
                    </w:p>
                    <w:p>
                      <w:pPr>
                        <w:pStyle w:val="ListParagraph"/>
                        <w:numPr>
                          <w:ilvl w:val="1"/>
                          <w:numId w:val="17"/>
                        </w:numPr>
                        <w:spacing w:after="0" w:line="240" w:lineRule="auto"/>
                        <w:textAlignment w:val="baseline"/>
                        <w:rPr>
                          <w:rFonts w:eastAsia="Times New Roman"/>
                        </w:rPr>
                      </w:pPr>
                      <w:r>
                        <w:rPr>
                          <w:rFonts w:ascii="Arial" w:hAnsi="Arial"/>
                          <w:kern w:val="24"/>
                        </w:rPr>
                        <w:t>през бюджета на ЕС, но неподлежащи на ограниченията на многогодишната финансова рамка</w:t>
                      </w:r>
                    </w:p>
                    <w:p>
                      <w:pPr>
                        <w:pStyle w:val="ListParagraph"/>
                        <w:numPr>
                          <w:ilvl w:val="0"/>
                          <w:numId w:val="17"/>
                        </w:numPr>
                        <w:spacing w:after="0" w:line="240" w:lineRule="auto"/>
                        <w:textAlignment w:val="baseline"/>
                        <w:rPr>
                          <w:rFonts w:eastAsia="Times New Roman"/>
                        </w:rPr>
                      </w:pPr>
                      <w:r>
                        <w:rPr>
                          <w:rFonts w:ascii="Arial" w:hAnsi="Arial"/>
                          <w:b/>
                          <w:kern w:val="24"/>
                        </w:rPr>
                        <w:t xml:space="preserve">Еврозона </w:t>
                      </w:r>
                    </w:p>
                    <w:p>
                      <w:pPr>
                        <w:pStyle w:val="ListParagraph"/>
                        <w:numPr>
                          <w:ilvl w:val="1"/>
                          <w:numId w:val="17"/>
                        </w:numPr>
                        <w:spacing w:after="0" w:line="240" w:lineRule="auto"/>
                        <w:textAlignment w:val="baseline"/>
                        <w:rPr>
                          <w:rFonts w:eastAsia="Times New Roman"/>
                        </w:rPr>
                      </w:pPr>
                      <w:r>
                        <w:rPr>
                          <w:rFonts w:ascii="Arial" w:hAnsi="Arial"/>
                          <w:kern w:val="24"/>
                        </w:rPr>
                        <w:t>Макроикономическо стабилизиране на еврозоната (защита на инвестициите/презастраховане срещу безработица/фонд за черни дни)</w:t>
                      </w:r>
                    </w:p>
                    <w:p>
                      <w:pPr>
                        <w:pStyle w:val="NormalWeb"/>
                        <w:spacing w:after="0"/>
                        <w:textAlignment w:val="baseline"/>
                        <w:rPr>
                          <w:rFonts w:eastAsiaTheme="minorEastAsia"/>
                        </w:rPr>
                      </w:pPr>
                      <w:r>
                        <w:rPr>
                          <w:rFonts w:ascii="Arial" w:hAnsi="Arial"/>
                          <w:b/>
                          <w:kern w:val="24"/>
                          <w:sz w:val="28"/>
                        </w:rPr>
                        <w:t>Приходи</w:t>
                      </w:r>
                    </w:p>
                    <w:p>
                      <w:pPr>
                        <w:pStyle w:val="ListParagraph"/>
                        <w:numPr>
                          <w:ilvl w:val="0"/>
                          <w:numId w:val="18"/>
                        </w:numPr>
                        <w:spacing w:after="0" w:line="240" w:lineRule="auto"/>
                        <w:textAlignment w:val="baseline"/>
                        <w:rPr>
                          <w:rFonts w:eastAsia="Times New Roman"/>
                        </w:rPr>
                      </w:pPr>
                      <w:r>
                        <w:rPr>
                          <w:rFonts w:ascii="Arial" w:hAnsi="Arial"/>
                          <w:b/>
                          <w:kern w:val="24"/>
                        </w:rPr>
                        <w:t>Както при сценарий 1 + нови политики, финансирани само от участващите държави членки чрез настоящата система или</w:t>
                      </w:r>
                    </w:p>
                    <w:p>
                      <w:pPr>
                        <w:pStyle w:val="ListParagraph"/>
                        <w:numPr>
                          <w:ilvl w:val="0"/>
                          <w:numId w:val="18"/>
                        </w:numPr>
                        <w:spacing w:after="0" w:line="240" w:lineRule="auto"/>
                        <w:textAlignment w:val="baseline"/>
                        <w:rPr>
                          <w:rFonts w:eastAsia="Times New Roman"/>
                        </w:rPr>
                      </w:pPr>
                      <w:r>
                        <w:rPr>
                          <w:rFonts w:ascii="Arial" w:hAnsi="Arial"/>
                          <w:b/>
                          <w:kern w:val="24"/>
                        </w:rPr>
                        <w:t>Нов собствен ресурс (напр. данък върху финансовите сделки)</w:t>
                      </w:r>
                    </w:p>
                    <w:p>
                      <w:pPr>
                        <w:pStyle w:val="ListParagraph"/>
                        <w:numPr>
                          <w:ilvl w:val="1"/>
                          <w:numId w:val="18"/>
                        </w:numPr>
                        <w:spacing w:after="0" w:line="240" w:lineRule="auto"/>
                        <w:textAlignment w:val="baseline"/>
                        <w:rPr>
                          <w:rFonts w:eastAsia="Times New Roman"/>
                        </w:rPr>
                      </w:pPr>
                      <w:r>
                        <w:rPr>
                          <w:rFonts w:ascii="Arial" w:hAnsi="Arial"/>
                          <w:kern w:val="24"/>
                        </w:rPr>
                        <w:t xml:space="preserve">Нов поток от приходи извън настоящата система на финансиране </w:t>
                      </w:r>
                    </w:p>
                    <w:p>
                      <w:pPr>
                        <w:pStyle w:val="ListParagraph"/>
                        <w:numPr>
                          <w:ilvl w:val="1"/>
                          <w:numId w:val="18"/>
                        </w:numPr>
                        <w:spacing w:after="0" w:line="240" w:lineRule="auto"/>
                        <w:textAlignment w:val="baseline"/>
                        <w:rPr>
                          <w:rFonts w:eastAsia="Times New Roman"/>
                        </w:rPr>
                      </w:pPr>
                      <w:r>
                        <w:rPr>
                          <w:rFonts w:ascii="Arial" w:hAnsi="Arial"/>
                          <w:kern w:val="24"/>
                        </w:rPr>
                        <w:t>или специални финансови вноски</w:t>
                      </w:r>
                    </w:p>
                  </w:txbxContent>
                </v:textbox>
              </v:rect>
            </w:pict>
          </mc:Fallback>
        </mc:AlternateContent>
      </w:r>
      <w:r>
        <w:rPr>
          <w:rFonts w:ascii="Times New Roman" w:hAnsi="Times New Roman"/>
          <w:b/>
          <w:noProof/>
          <w:sz w:val="24"/>
        </w:rPr>
        <w:t xml:space="preserve"> </w:t>
      </w:r>
      <w:r>
        <w:rPr>
          <w:noProof/>
        </w:rPr>
        <w:br w:type="page"/>
      </w:r>
    </w:p>
    <w:p w:rsidR="00497646" w:rsidRDefault="00B05ABE">
      <w:pPr>
        <w:rPr>
          <w:rFonts w:ascii="Times New Roman" w:hAnsi="Times New Roman" w:cs="Times New Roman"/>
          <w:b/>
          <w:noProof/>
          <w:sz w:val="28"/>
          <w:szCs w:val="24"/>
        </w:rPr>
      </w:pPr>
      <w:r>
        <w:rPr>
          <w:rFonts w:ascii="Times New Roman" w:hAnsi="Times New Roman" w:cs="Times New Roman"/>
          <w:b/>
          <w:noProof/>
          <w:sz w:val="28"/>
          <w:szCs w:val="24"/>
          <w:lang w:val="en-GB" w:eastAsia="en-GB" w:bidi="ar-SA"/>
        </w:rPr>
        <mc:AlternateContent>
          <mc:Choice Requires="wps">
            <w:drawing>
              <wp:anchor distT="0" distB="0" distL="114300" distR="114300" simplePos="0" relativeHeight="251674624" behindDoc="0" locked="0" layoutInCell="1" allowOverlap="1">
                <wp:simplePos x="0" y="0"/>
                <wp:positionH relativeFrom="column">
                  <wp:posOffset>328295</wp:posOffset>
                </wp:positionH>
                <wp:positionV relativeFrom="paragraph">
                  <wp:posOffset>827991</wp:posOffset>
                </wp:positionV>
                <wp:extent cx="9202807" cy="4812665"/>
                <wp:effectExtent l="0" t="0" r="0" b="0"/>
                <wp:wrapNone/>
                <wp:docPr id="40" name="Rectangle 6"/>
                <wp:cNvGraphicFramePr/>
                <a:graphic xmlns:a="http://schemas.openxmlformats.org/drawingml/2006/main">
                  <a:graphicData uri="http://schemas.microsoft.com/office/word/2010/wordprocessingShape">
                    <wps:wsp>
                      <wps:cNvSpPr/>
                      <wps:spPr>
                        <a:xfrm>
                          <a:off x="0" y="0"/>
                          <a:ext cx="9202807" cy="4812665"/>
                        </a:xfrm>
                        <a:prstGeom prst="rect">
                          <a:avLst/>
                        </a:prstGeom>
                      </wps:spPr>
                      <wps:txbx>
                        <w:txbxContent>
                          <w:p w:rsidR="00497646" w:rsidRDefault="00B05ABE">
                            <w:pPr>
                              <w:pStyle w:val="NormalWeb"/>
                              <w:spacing w:after="0"/>
                              <w:textAlignment w:val="baseline"/>
                            </w:pPr>
                            <w:r>
                              <w:rPr>
                                <w:rFonts w:ascii="Arial" w:hAnsi="Arial"/>
                                <w:b/>
                                <w:kern w:val="24"/>
                                <w:sz w:val="28"/>
                              </w:rPr>
                              <w:t>Общи тенденции и размер</w:t>
                            </w:r>
                          </w:p>
                          <w:p w:rsidR="00497646" w:rsidRDefault="00B05ABE">
                            <w:pPr>
                              <w:pStyle w:val="ListParagraph"/>
                              <w:numPr>
                                <w:ilvl w:val="0"/>
                                <w:numId w:val="19"/>
                              </w:numPr>
                              <w:spacing w:after="0" w:line="240" w:lineRule="auto"/>
                              <w:textAlignment w:val="baseline"/>
                              <w:rPr>
                                <w:rFonts w:eastAsia="Times New Roman"/>
                                <w:sz w:val="21"/>
                                <w:szCs w:val="21"/>
                              </w:rPr>
                            </w:pPr>
                            <w:r>
                              <w:rPr>
                                <w:rFonts w:ascii="Arial" w:hAnsi="Arial"/>
                                <w:b/>
                                <w:kern w:val="24"/>
                                <w:sz w:val="21"/>
                                <w:szCs w:val="21"/>
                              </w:rPr>
                              <w:t xml:space="preserve">По-малък </w:t>
                            </w:r>
                          </w:p>
                          <w:p w:rsidR="00497646" w:rsidRDefault="00B05ABE">
                            <w:pPr>
                              <w:pStyle w:val="ListParagraph"/>
                              <w:numPr>
                                <w:ilvl w:val="0"/>
                                <w:numId w:val="19"/>
                              </w:numPr>
                              <w:spacing w:after="0" w:line="240" w:lineRule="auto"/>
                              <w:textAlignment w:val="baseline"/>
                              <w:rPr>
                                <w:rFonts w:eastAsia="Times New Roman"/>
                                <w:sz w:val="21"/>
                                <w:szCs w:val="21"/>
                              </w:rPr>
                            </w:pPr>
                            <w:r>
                              <w:rPr>
                                <w:rFonts w:ascii="Arial" w:hAnsi="Arial"/>
                                <w:b/>
                                <w:kern w:val="24"/>
                                <w:sz w:val="21"/>
                                <w:szCs w:val="21"/>
                              </w:rPr>
                              <w:t>Делът на политиката на сближаване и на общата селскостопанска политика е намален</w:t>
                            </w:r>
                          </w:p>
                          <w:p w:rsidR="00497646" w:rsidRDefault="00B05ABE">
                            <w:pPr>
                              <w:pStyle w:val="ListParagraph"/>
                              <w:numPr>
                                <w:ilvl w:val="0"/>
                                <w:numId w:val="19"/>
                              </w:numPr>
                              <w:spacing w:after="0" w:line="240" w:lineRule="auto"/>
                              <w:textAlignment w:val="baseline"/>
                              <w:rPr>
                                <w:rFonts w:eastAsia="Times New Roman"/>
                                <w:sz w:val="21"/>
                                <w:szCs w:val="21"/>
                              </w:rPr>
                            </w:pPr>
                            <w:r>
                              <w:rPr>
                                <w:rFonts w:ascii="Arial" w:hAnsi="Arial"/>
                                <w:b/>
                                <w:kern w:val="24"/>
                                <w:sz w:val="21"/>
                                <w:szCs w:val="21"/>
                              </w:rPr>
                              <w:t>Акцентът е върху приоритетите с много висока европейска добавена стойност</w:t>
                            </w:r>
                          </w:p>
                          <w:p w:rsidR="00497646" w:rsidRDefault="00B05ABE">
                            <w:pPr>
                              <w:pStyle w:val="ListParagraph"/>
                              <w:numPr>
                                <w:ilvl w:val="0"/>
                                <w:numId w:val="19"/>
                              </w:numPr>
                              <w:spacing w:after="0" w:line="240" w:lineRule="auto"/>
                              <w:textAlignment w:val="baseline"/>
                              <w:rPr>
                                <w:rFonts w:eastAsia="Times New Roman"/>
                                <w:sz w:val="21"/>
                                <w:szCs w:val="21"/>
                              </w:rPr>
                            </w:pPr>
                            <w:r>
                              <w:rPr>
                                <w:rFonts w:ascii="Arial" w:hAnsi="Arial"/>
                                <w:b/>
                                <w:kern w:val="24"/>
                                <w:sz w:val="21"/>
                                <w:szCs w:val="21"/>
                              </w:rPr>
                              <w:t xml:space="preserve">Много по-голямо използване на финансовите </w:t>
                            </w:r>
                            <w:r>
                              <w:rPr>
                                <w:rFonts w:ascii="Arial" w:hAnsi="Arial"/>
                                <w:b/>
                                <w:kern w:val="24"/>
                                <w:sz w:val="21"/>
                                <w:szCs w:val="21"/>
                              </w:rPr>
                              <w:t>инструменти и на гаранциите</w:t>
                            </w:r>
                          </w:p>
                          <w:p w:rsidR="00497646" w:rsidRDefault="00B05ABE">
                            <w:pPr>
                              <w:pStyle w:val="NormalWeb"/>
                              <w:spacing w:after="0"/>
                              <w:textAlignment w:val="baseline"/>
                              <w:rPr>
                                <w:rFonts w:eastAsiaTheme="minorEastAsia"/>
                              </w:rPr>
                            </w:pPr>
                            <w:r>
                              <w:rPr>
                                <w:rFonts w:ascii="Arial" w:hAnsi="Arial"/>
                                <w:b/>
                                <w:kern w:val="24"/>
                                <w:sz w:val="28"/>
                              </w:rPr>
                              <w:t>Разходи</w:t>
                            </w:r>
                          </w:p>
                          <w:p w:rsidR="00497646" w:rsidRDefault="00B05ABE">
                            <w:pPr>
                              <w:pStyle w:val="ListParagraph"/>
                              <w:numPr>
                                <w:ilvl w:val="0"/>
                                <w:numId w:val="20"/>
                              </w:numPr>
                              <w:spacing w:after="0" w:line="240" w:lineRule="auto"/>
                              <w:textAlignment w:val="baseline"/>
                              <w:rPr>
                                <w:rFonts w:eastAsia="Times New Roman"/>
                                <w:sz w:val="21"/>
                                <w:szCs w:val="21"/>
                              </w:rPr>
                            </w:pPr>
                            <w:r>
                              <w:rPr>
                                <w:rFonts w:ascii="Arial" w:hAnsi="Arial"/>
                                <w:b/>
                                <w:kern w:val="24"/>
                                <w:sz w:val="21"/>
                                <w:szCs w:val="21"/>
                              </w:rPr>
                              <w:t>Обща селскостопанска политика</w:t>
                            </w:r>
                          </w:p>
                          <w:p w:rsidR="00497646" w:rsidRDefault="00B05ABE">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Преките плащания са намалени</w:t>
                            </w:r>
                          </w:p>
                          <w:p w:rsidR="00497646" w:rsidRDefault="00B05ABE">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Акцент върху земеделските стопани при специални ограничения (напр. малки стопанства, планински райони и слабо населени райони)</w:t>
                            </w:r>
                          </w:p>
                          <w:p w:rsidR="00497646" w:rsidRDefault="00B05ABE">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 xml:space="preserve">Действия в областта на селското </w:t>
                            </w:r>
                            <w:r>
                              <w:rPr>
                                <w:rFonts w:ascii="Arial" w:hAnsi="Arial"/>
                                <w:kern w:val="24"/>
                                <w:sz w:val="21"/>
                                <w:szCs w:val="21"/>
                              </w:rPr>
                              <w:t>стопанство, околната среда и климата и инструменти за управление на риска за всички стопанства</w:t>
                            </w:r>
                          </w:p>
                          <w:p w:rsidR="00497646" w:rsidRDefault="00B05ABE">
                            <w:pPr>
                              <w:pStyle w:val="ListParagraph"/>
                              <w:numPr>
                                <w:ilvl w:val="0"/>
                                <w:numId w:val="20"/>
                              </w:numPr>
                              <w:spacing w:after="0" w:line="240" w:lineRule="auto"/>
                              <w:textAlignment w:val="baseline"/>
                              <w:rPr>
                                <w:rFonts w:eastAsia="Times New Roman"/>
                                <w:sz w:val="21"/>
                                <w:szCs w:val="21"/>
                              </w:rPr>
                            </w:pPr>
                            <w:r>
                              <w:rPr>
                                <w:rFonts w:ascii="Arial" w:hAnsi="Arial"/>
                                <w:b/>
                                <w:kern w:val="24"/>
                                <w:sz w:val="21"/>
                                <w:szCs w:val="21"/>
                              </w:rPr>
                              <w:t>Икономическо, социално и териториално сближаване</w:t>
                            </w:r>
                          </w:p>
                          <w:p w:rsidR="00497646" w:rsidRDefault="00B05ABE">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Подкрепа само за по-бедните региони и трансграничното сътрудничество</w:t>
                            </w:r>
                          </w:p>
                          <w:p w:rsidR="00497646" w:rsidRDefault="00B05ABE">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Акцент само върху социалното приобщаване, з</w:t>
                            </w:r>
                            <w:r>
                              <w:rPr>
                                <w:rFonts w:ascii="Arial" w:hAnsi="Arial"/>
                                <w:kern w:val="24"/>
                                <w:sz w:val="21"/>
                                <w:szCs w:val="21"/>
                              </w:rPr>
                              <w:t>аетостта, уменията, иновациите, изменението на климата, енергетиката и екологичния преход</w:t>
                            </w:r>
                          </w:p>
                          <w:p w:rsidR="00497646" w:rsidRDefault="00B05ABE">
                            <w:pPr>
                              <w:pStyle w:val="ListParagraph"/>
                              <w:numPr>
                                <w:ilvl w:val="0"/>
                                <w:numId w:val="20"/>
                              </w:numPr>
                              <w:spacing w:after="0" w:line="240" w:lineRule="auto"/>
                              <w:textAlignment w:val="baseline"/>
                              <w:rPr>
                                <w:rFonts w:eastAsia="Times New Roman"/>
                                <w:sz w:val="21"/>
                                <w:szCs w:val="21"/>
                              </w:rPr>
                            </w:pPr>
                            <w:r>
                              <w:rPr>
                                <w:rFonts w:ascii="Arial" w:hAnsi="Arial"/>
                                <w:b/>
                                <w:kern w:val="24"/>
                                <w:sz w:val="21"/>
                                <w:szCs w:val="21"/>
                              </w:rPr>
                              <w:t>Нови приоритети</w:t>
                            </w:r>
                          </w:p>
                          <w:p w:rsidR="00497646" w:rsidRDefault="00B05ABE">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Сигурност и отбрана (съвместно финансиране на ключови способности, съвместно възлагане на обществени поръчки)</w:t>
                            </w:r>
                          </w:p>
                          <w:p w:rsidR="00497646" w:rsidRDefault="00B05ABE">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Агенция за борба с тероризма и управлени</w:t>
                            </w:r>
                            <w:r>
                              <w:rPr>
                                <w:rFonts w:ascii="Arial" w:hAnsi="Arial"/>
                                <w:kern w:val="24"/>
                                <w:sz w:val="21"/>
                                <w:szCs w:val="21"/>
                              </w:rPr>
                              <w:t>е на миграцията с контрол на границите и брегова охрана със съвместно оборудване</w:t>
                            </w:r>
                          </w:p>
                          <w:p w:rsidR="00497646" w:rsidRDefault="00B05ABE">
                            <w:pPr>
                              <w:pStyle w:val="ListParagraph"/>
                              <w:numPr>
                                <w:ilvl w:val="0"/>
                                <w:numId w:val="20"/>
                              </w:numPr>
                              <w:spacing w:after="0" w:line="240" w:lineRule="auto"/>
                              <w:textAlignment w:val="baseline"/>
                              <w:rPr>
                                <w:rFonts w:eastAsia="Times New Roman"/>
                                <w:sz w:val="21"/>
                                <w:szCs w:val="21"/>
                              </w:rPr>
                            </w:pPr>
                            <w:r>
                              <w:rPr>
                                <w:rFonts w:ascii="Arial" w:hAnsi="Arial"/>
                                <w:b/>
                                <w:kern w:val="24"/>
                                <w:sz w:val="21"/>
                                <w:szCs w:val="21"/>
                              </w:rPr>
                              <w:t>Утвърждаване на съществуващите приоритети</w:t>
                            </w:r>
                          </w:p>
                          <w:p w:rsidR="00497646" w:rsidRDefault="00B05ABE">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Интелигентни транспортни и енергийни мрежи, високопроизводителни изчислителни технологии, научноизследователска и развойна дейност от</w:t>
                            </w:r>
                            <w:r>
                              <w:rPr>
                                <w:rFonts w:ascii="Arial" w:hAnsi="Arial"/>
                                <w:kern w:val="24"/>
                                <w:sz w:val="21"/>
                                <w:szCs w:val="21"/>
                              </w:rPr>
                              <w:t xml:space="preserve"> световна класа, електронен транспорт</w:t>
                            </w:r>
                          </w:p>
                          <w:p w:rsidR="00497646" w:rsidRDefault="00B05ABE">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Външни политики</w:t>
                            </w:r>
                          </w:p>
                          <w:p w:rsidR="00497646" w:rsidRDefault="00B05ABE">
                            <w:pPr>
                              <w:pStyle w:val="ListParagraph"/>
                              <w:numPr>
                                <w:ilvl w:val="0"/>
                                <w:numId w:val="20"/>
                              </w:numPr>
                              <w:spacing w:after="0" w:line="240" w:lineRule="auto"/>
                              <w:textAlignment w:val="baseline"/>
                              <w:rPr>
                                <w:rFonts w:eastAsia="Times New Roman"/>
                                <w:sz w:val="21"/>
                                <w:szCs w:val="21"/>
                              </w:rPr>
                            </w:pPr>
                            <w:r>
                              <w:rPr>
                                <w:rFonts w:ascii="Arial" w:hAnsi="Arial"/>
                                <w:b/>
                                <w:kern w:val="24"/>
                                <w:sz w:val="21"/>
                                <w:szCs w:val="21"/>
                              </w:rPr>
                              <w:t>Структурните реформи са обвързани с европейския семестър</w:t>
                            </w:r>
                          </w:p>
                          <w:p w:rsidR="00497646" w:rsidRDefault="00B05ABE">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Положителни стимули чрез политиката на сближаване или чрез специално създаден за целта фонд</w:t>
                            </w:r>
                          </w:p>
                          <w:p w:rsidR="00497646" w:rsidRDefault="00B05ABE">
                            <w:pPr>
                              <w:pStyle w:val="NormalWeb"/>
                              <w:spacing w:after="0"/>
                              <w:textAlignment w:val="baseline"/>
                              <w:rPr>
                                <w:rFonts w:eastAsiaTheme="minorEastAsia"/>
                              </w:rPr>
                            </w:pPr>
                            <w:r>
                              <w:rPr>
                                <w:rFonts w:ascii="Arial" w:hAnsi="Arial"/>
                                <w:b/>
                                <w:kern w:val="24"/>
                                <w:sz w:val="28"/>
                              </w:rPr>
                              <w:t>Приходи</w:t>
                            </w:r>
                          </w:p>
                          <w:p w:rsidR="00497646" w:rsidRDefault="00B05ABE">
                            <w:pPr>
                              <w:pStyle w:val="ListParagraph"/>
                              <w:numPr>
                                <w:ilvl w:val="0"/>
                                <w:numId w:val="21"/>
                              </w:numPr>
                              <w:spacing w:after="0" w:line="240" w:lineRule="auto"/>
                              <w:textAlignment w:val="baseline"/>
                              <w:rPr>
                                <w:rFonts w:eastAsia="Times New Roman"/>
                                <w:sz w:val="21"/>
                                <w:szCs w:val="21"/>
                              </w:rPr>
                            </w:pPr>
                            <w:r>
                              <w:rPr>
                                <w:rFonts w:ascii="Arial" w:hAnsi="Arial"/>
                                <w:b/>
                                <w:kern w:val="24"/>
                                <w:sz w:val="21"/>
                                <w:szCs w:val="21"/>
                              </w:rPr>
                              <w:t>Опростяване на настоящата система: премахване</w:t>
                            </w:r>
                            <w:r>
                              <w:rPr>
                                <w:rFonts w:ascii="Arial" w:hAnsi="Arial"/>
                                <w:b/>
                                <w:kern w:val="24"/>
                                <w:sz w:val="21"/>
                                <w:szCs w:val="21"/>
                              </w:rPr>
                              <w:t xml:space="preserve"> на всички отстъпки, реформа или премахване на собствения ресурс на база данъка върху добавената стойност</w:t>
                            </w:r>
                          </w:p>
                          <w:p w:rsidR="00497646" w:rsidRDefault="00B05ABE">
                            <w:pPr>
                              <w:pStyle w:val="ListParagraph"/>
                              <w:numPr>
                                <w:ilvl w:val="0"/>
                                <w:numId w:val="21"/>
                              </w:numPr>
                              <w:spacing w:after="0" w:line="240" w:lineRule="auto"/>
                              <w:textAlignment w:val="baseline"/>
                              <w:rPr>
                                <w:rFonts w:eastAsia="Times New Roman"/>
                                <w:sz w:val="21"/>
                                <w:szCs w:val="21"/>
                              </w:rPr>
                            </w:pPr>
                            <w:r>
                              <w:rPr>
                                <w:rFonts w:ascii="Arial" w:hAnsi="Arial"/>
                                <w:b/>
                                <w:kern w:val="24"/>
                                <w:sz w:val="21"/>
                                <w:szCs w:val="21"/>
                              </w:rPr>
                              <w:t>Нови собствени ресурси финансират част от бюджета на ЕС и подпомагат постигането на целите на политиката (напр. екологичен данък, данък върху финансов</w:t>
                            </w:r>
                            <w:r>
                              <w:rPr>
                                <w:rFonts w:ascii="Arial" w:hAnsi="Arial"/>
                                <w:b/>
                                <w:kern w:val="24"/>
                                <w:sz w:val="21"/>
                                <w:szCs w:val="21"/>
                              </w:rPr>
                              <w:t>ите сделки, обща консолидирана основа за облагане с корпоративен данък)</w:t>
                            </w:r>
                          </w:p>
                          <w:p w:rsidR="00497646" w:rsidRDefault="00B05ABE">
                            <w:pPr>
                              <w:pStyle w:val="ListParagraph"/>
                              <w:numPr>
                                <w:ilvl w:val="0"/>
                                <w:numId w:val="21"/>
                              </w:numPr>
                              <w:spacing w:after="0" w:line="240" w:lineRule="auto"/>
                              <w:textAlignment w:val="baseline"/>
                              <w:rPr>
                                <w:rFonts w:eastAsia="Times New Roman"/>
                                <w:sz w:val="21"/>
                                <w:szCs w:val="21"/>
                              </w:rPr>
                            </w:pPr>
                            <w:r>
                              <w:rPr>
                                <w:rFonts w:ascii="Arial" w:hAnsi="Arial"/>
                                <w:b/>
                                <w:kern w:val="24"/>
                                <w:sz w:val="21"/>
                                <w:szCs w:val="21"/>
                              </w:rPr>
                              <w:t xml:space="preserve">Бюджетът на ЕС се финансира с други източници на приходи или с такси </w:t>
                            </w:r>
                          </w:p>
                        </w:txbxContent>
                      </wps:txbx>
                      <wps:bodyPr wrap="square">
                        <a:spAutoFit/>
                      </wps:bodyPr>
                    </wps:wsp>
                  </a:graphicData>
                </a:graphic>
                <wp14:sizeRelH relativeFrom="margin">
                  <wp14:pctWidth>0</wp14:pctWidth>
                </wp14:sizeRelH>
              </wp:anchor>
            </w:drawing>
          </mc:Choice>
          <mc:Fallback>
            <w:pict>
              <v:rect id="_x0000_s1035" style="position:absolute;margin-left:25.85pt;margin-top:65.2pt;width:724.65pt;height:378.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" filled="f" stroked="f">
                <v:textbox style="mso-fit-shape-to-text:t">
                  <w:txbxContent>
                    <w:p>
                      <w:pPr>
                        <w:pStyle w:val="NormalWeb"/>
                        <w:spacing w:after="0"/>
                        <w:textAlignment w:val="baseline"/>
                      </w:pPr>
                      <w:r>
                        <w:rPr>
                          <w:rFonts w:ascii="Arial" w:hAnsi="Arial"/>
                          <w:b/>
                          <w:kern w:val="24"/>
                          <w:sz w:val="28"/>
                        </w:rPr>
                        <w:t>Общи тенденции и размер</w:t>
                      </w:r>
                    </w:p>
                    <w:p>
                      <w:pPr>
                        <w:pStyle w:val="ListParagraph"/>
                        <w:numPr>
                          <w:ilvl w:val="0"/>
                          <w:numId w:val="19"/>
                        </w:numPr>
                        <w:spacing w:after="0" w:line="240" w:lineRule="auto"/>
                        <w:textAlignment w:val="baseline"/>
                        <w:rPr>
                          <w:rFonts w:eastAsia="Times New Roman"/>
                          <w:sz w:val="21"/>
                          <w:szCs w:val="21"/>
                        </w:rPr>
                      </w:pPr>
                      <w:r>
                        <w:rPr>
                          <w:rFonts w:ascii="Arial" w:hAnsi="Arial"/>
                          <w:b/>
                          <w:kern w:val="24"/>
                          <w:sz w:val="21"/>
                          <w:szCs w:val="21"/>
                        </w:rPr>
                        <w:t xml:space="preserve">По-малък </w:t>
                      </w:r>
                    </w:p>
                    <w:p>
                      <w:pPr>
                        <w:pStyle w:val="ListParagraph"/>
                        <w:numPr>
                          <w:ilvl w:val="0"/>
                          <w:numId w:val="19"/>
                        </w:numPr>
                        <w:spacing w:after="0" w:line="240" w:lineRule="auto"/>
                        <w:textAlignment w:val="baseline"/>
                        <w:rPr>
                          <w:rFonts w:eastAsia="Times New Roman"/>
                          <w:sz w:val="21"/>
                          <w:szCs w:val="21"/>
                        </w:rPr>
                      </w:pPr>
                      <w:r>
                        <w:rPr>
                          <w:rFonts w:ascii="Arial" w:hAnsi="Arial"/>
                          <w:b/>
                          <w:kern w:val="24"/>
                          <w:sz w:val="21"/>
                          <w:szCs w:val="21"/>
                        </w:rPr>
                        <w:t>Делът на политиката на сближаване и на общата селскостопанска политика е намален</w:t>
                      </w:r>
                    </w:p>
                    <w:p>
                      <w:pPr>
                        <w:pStyle w:val="ListParagraph"/>
                        <w:numPr>
                          <w:ilvl w:val="0"/>
                          <w:numId w:val="19"/>
                        </w:numPr>
                        <w:spacing w:after="0" w:line="240" w:lineRule="auto"/>
                        <w:textAlignment w:val="baseline"/>
                        <w:rPr>
                          <w:rFonts w:eastAsia="Times New Roman"/>
                          <w:sz w:val="21"/>
                          <w:szCs w:val="21"/>
                        </w:rPr>
                      </w:pPr>
                      <w:r>
                        <w:rPr>
                          <w:rFonts w:ascii="Arial" w:hAnsi="Arial"/>
                          <w:b/>
                          <w:kern w:val="24"/>
                          <w:sz w:val="21"/>
                          <w:szCs w:val="21"/>
                        </w:rPr>
                        <w:t>Акцентът е върху приоритетите с много висока европейска добавена стойност</w:t>
                      </w:r>
                    </w:p>
                    <w:p>
                      <w:pPr>
                        <w:pStyle w:val="ListParagraph"/>
                        <w:numPr>
                          <w:ilvl w:val="0"/>
                          <w:numId w:val="19"/>
                        </w:numPr>
                        <w:spacing w:after="0" w:line="240" w:lineRule="auto"/>
                        <w:textAlignment w:val="baseline"/>
                        <w:rPr>
                          <w:rFonts w:eastAsia="Times New Roman"/>
                          <w:sz w:val="21"/>
                          <w:szCs w:val="21"/>
                        </w:rPr>
                      </w:pPr>
                      <w:r>
                        <w:rPr>
                          <w:rFonts w:ascii="Arial" w:hAnsi="Arial"/>
                          <w:b/>
                          <w:kern w:val="24"/>
                          <w:sz w:val="21"/>
                          <w:szCs w:val="21"/>
                        </w:rPr>
                        <w:t>Много по-голямо използване на финансовите инструменти и на гаранциите</w:t>
                      </w:r>
                    </w:p>
                    <w:p>
                      <w:pPr>
                        <w:pStyle w:val="NormalWeb"/>
                        <w:spacing w:after="0"/>
                        <w:textAlignment w:val="baseline"/>
                        <w:rPr>
                          <w:rFonts w:eastAsiaTheme="minorEastAsia"/>
                        </w:rPr>
                      </w:pPr>
                      <w:r>
                        <w:rPr>
                          <w:rFonts w:ascii="Arial" w:hAnsi="Arial"/>
                          <w:b/>
                          <w:kern w:val="24"/>
                          <w:sz w:val="28"/>
                        </w:rPr>
                        <w:t>Разходи</w:t>
                      </w:r>
                    </w:p>
                    <w:p>
                      <w:pPr>
                        <w:pStyle w:val="ListParagraph"/>
                        <w:numPr>
                          <w:ilvl w:val="0"/>
                          <w:numId w:val="20"/>
                        </w:numPr>
                        <w:spacing w:after="0" w:line="240" w:lineRule="auto"/>
                        <w:textAlignment w:val="baseline"/>
                        <w:rPr>
                          <w:rFonts w:eastAsia="Times New Roman"/>
                          <w:sz w:val="21"/>
                          <w:szCs w:val="21"/>
                        </w:rPr>
                      </w:pPr>
                      <w:r>
                        <w:rPr>
                          <w:rFonts w:ascii="Arial" w:hAnsi="Arial"/>
                          <w:b/>
                          <w:kern w:val="24"/>
                          <w:sz w:val="21"/>
                          <w:szCs w:val="21"/>
                        </w:rPr>
                        <w:t>Обща селскостопанска политика</w:t>
                      </w:r>
                    </w:p>
                    <w:p>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Преките плащания са намалени</w:t>
                      </w:r>
                    </w:p>
                    <w:p>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Акцент върху земеделските стопани при специални ограничения (напр. малки стопанства, планински райони и слабо населени райони)</w:t>
                      </w:r>
                    </w:p>
                    <w:p>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Действия в областта на селското стопанство, околната среда и климата и инструменти за управление на риска за всички стопанства</w:t>
                      </w:r>
                    </w:p>
                    <w:p>
                      <w:pPr>
                        <w:pStyle w:val="ListParagraph"/>
                        <w:numPr>
                          <w:ilvl w:val="0"/>
                          <w:numId w:val="20"/>
                        </w:numPr>
                        <w:spacing w:after="0" w:line="240" w:lineRule="auto"/>
                        <w:textAlignment w:val="baseline"/>
                        <w:rPr>
                          <w:rFonts w:eastAsia="Times New Roman"/>
                          <w:sz w:val="21"/>
                          <w:szCs w:val="21"/>
                        </w:rPr>
                      </w:pPr>
                      <w:r>
                        <w:rPr>
                          <w:rFonts w:ascii="Arial" w:hAnsi="Arial"/>
                          <w:b/>
                          <w:kern w:val="24"/>
                          <w:sz w:val="21"/>
                          <w:szCs w:val="21"/>
                        </w:rPr>
                        <w:t>Икономическо, социално и териториално сближаване</w:t>
                      </w:r>
                    </w:p>
                    <w:p>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Подкрепа само за по-бедните региони и трансграничното сътрудничество</w:t>
                      </w:r>
                    </w:p>
                    <w:p>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Акцент само върху социалното приобщаване, заетостта, уменията, иновациите, изменението на климата, енергетиката и екологичния преход</w:t>
                      </w:r>
                    </w:p>
                    <w:p>
                      <w:pPr>
                        <w:pStyle w:val="ListParagraph"/>
                        <w:numPr>
                          <w:ilvl w:val="0"/>
                          <w:numId w:val="20"/>
                        </w:numPr>
                        <w:spacing w:after="0" w:line="240" w:lineRule="auto"/>
                        <w:textAlignment w:val="baseline"/>
                        <w:rPr>
                          <w:rFonts w:eastAsia="Times New Roman"/>
                          <w:sz w:val="21"/>
                          <w:szCs w:val="21"/>
                        </w:rPr>
                      </w:pPr>
                      <w:r>
                        <w:rPr>
                          <w:rFonts w:ascii="Arial" w:hAnsi="Arial"/>
                          <w:b/>
                          <w:kern w:val="24"/>
                          <w:sz w:val="21"/>
                          <w:szCs w:val="21"/>
                        </w:rPr>
                        <w:t>Нови приоритети</w:t>
                      </w:r>
                    </w:p>
                    <w:p>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Сигурност и отбрана (съвместно финансиране на ключови способности, съвместно възлагане на обществени поръчки)</w:t>
                      </w:r>
                    </w:p>
                    <w:p>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Агенция за борба с тероризма и управление на миграцията с контрол на границите и брегова охрана със съвместно оборудване</w:t>
                      </w:r>
                    </w:p>
                    <w:p>
                      <w:pPr>
                        <w:pStyle w:val="ListParagraph"/>
                        <w:numPr>
                          <w:ilvl w:val="0"/>
                          <w:numId w:val="20"/>
                        </w:numPr>
                        <w:spacing w:after="0" w:line="240" w:lineRule="auto"/>
                        <w:textAlignment w:val="baseline"/>
                        <w:rPr>
                          <w:rFonts w:eastAsia="Times New Roman"/>
                          <w:sz w:val="21"/>
                          <w:szCs w:val="21"/>
                        </w:rPr>
                      </w:pPr>
                      <w:r>
                        <w:rPr>
                          <w:rFonts w:ascii="Arial" w:hAnsi="Arial"/>
                          <w:b/>
                          <w:kern w:val="24"/>
                          <w:sz w:val="21"/>
                          <w:szCs w:val="21"/>
                        </w:rPr>
                        <w:t>Утвърждаване на съществуващите приоритети</w:t>
                      </w:r>
                    </w:p>
                    <w:p>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Интелигентни транспортни и енергийни мрежи, високопроизводителни изчислителни технологии, научноизследователска и развойна дейност от световна класа, електронен транспорт</w:t>
                      </w:r>
                    </w:p>
                    <w:p>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Външни политики</w:t>
                      </w:r>
                    </w:p>
                    <w:p>
                      <w:pPr>
                        <w:pStyle w:val="ListParagraph"/>
                        <w:numPr>
                          <w:ilvl w:val="0"/>
                          <w:numId w:val="20"/>
                        </w:numPr>
                        <w:spacing w:after="0" w:line="240" w:lineRule="auto"/>
                        <w:textAlignment w:val="baseline"/>
                        <w:rPr>
                          <w:rFonts w:eastAsia="Times New Roman"/>
                          <w:sz w:val="21"/>
                          <w:szCs w:val="21"/>
                        </w:rPr>
                      </w:pPr>
                      <w:r>
                        <w:rPr>
                          <w:rFonts w:ascii="Arial" w:hAnsi="Arial"/>
                          <w:b/>
                          <w:kern w:val="24"/>
                          <w:sz w:val="21"/>
                          <w:szCs w:val="21"/>
                        </w:rPr>
                        <w:t>Структурните реформи са обвързани с европейския семестър</w:t>
                      </w:r>
                    </w:p>
                    <w:p>
                      <w:pPr>
                        <w:pStyle w:val="ListParagraph"/>
                        <w:numPr>
                          <w:ilvl w:val="1"/>
                          <w:numId w:val="20"/>
                        </w:numPr>
                        <w:spacing w:after="0" w:line="240" w:lineRule="auto"/>
                        <w:textAlignment w:val="baseline"/>
                        <w:rPr>
                          <w:rFonts w:eastAsia="Times New Roman"/>
                          <w:sz w:val="21"/>
                          <w:szCs w:val="21"/>
                        </w:rPr>
                      </w:pPr>
                      <w:r>
                        <w:rPr>
                          <w:rFonts w:ascii="Arial" w:hAnsi="Arial"/>
                          <w:kern w:val="24"/>
                          <w:sz w:val="21"/>
                          <w:szCs w:val="21"/>
                        </w:rPr>
                        <w:t>Положителни стимули чрез политиката на сближаване или чрез специално създаден за целта фонд</w:t>
                      </w:r>
                    </w:p>
                    <w:p>
                      <w:pPr>
                        <w:pStyle w:val="NormalWeb"/>
                        <w:spacing w:after="0"/>
                        <w:textAlignment w:val="baseline"/>
                        <w:rPr>
                          <w:rFonts w:eastAsiaTheme="minorEastAsia"/>
                        </w:rPr>
                      </w:pPr>
                      <w:r>
                        <w:rPr>
                          <w:rFonts w:ascii="Arial" w:hAnsi="Arial"/>
                          <w:b/>
                          <w:kern w:val="24"/>
                          <w:sz w:val="28"/>
                        </w:rPr>
                        <w:t>Приходи</w:t>
                      </w:r>
                    </w:p>
                    <w:p>
                      <w:pPr>
                        <w:pStyle w:val="ListParagraph"/>
                        <w:numPr>
                          <w:ilvl w:val="0"/>
                          <w:numId w:val="21"/>
                        </w:numPr>
                        <w:spacing w:after="0" w:line="240" w:lineRule="auto"/>
                        <w:textAlignment w:val="baseline"/>
                        <w:rPr>
                          <w:rFonts w:eastAsia="Times New Roman"/>
                          <w:sz w:val="21"/>
                          <w:szCs w:val="21"/>
                        </w:rPr>
                      </w:pPr>
                      <w:r>
                        <w:rPr>
                          <w:rFonts w:ascii="Arial" w:hAnsi="Arial"/>
                          <w:b/>
                          <w:kern w:val="24"/>
                          <w:sz w:val="21"/>
                          <w:szCs w:val="21"/>
                        </w:rPr>
                        <w:t>Опростяване на настоящата система: премахване на всички отстъпки, реформа или премахване на собствения ресурс на база данъка върху добавената стойност</w:t>
                      </w:r>
                    </w:p>
                    <w:p>
                      <w:pPr>
                        <w:pStyle w:val="ListParagraph"/>
                        <w:numPr>
                          <w:ilvl w:val="0"/>
                          <w:numId w:val="21"/>
                        </w:numPr>
                        <w:spacing w:after="0" w:line="240" w:lineRule="auto"/>
                        <w:textAlignment w:val="baseline"/>
                        <w:rPr>
                          <w:rFonts w:eastAsia="Times New Roman"/>
                          <w:sz w:val="21"/>
                          <w:szCs w:val="21"/>
                        </w:rPr>
                      </w:pPr>
                      <w:r>
                        <w:rPr>
                          <w:rFonts w:ascii="Arial" w:hAnsi="Arial"/>
                          <w:b/>
                          <w:kern w:val="24"/>
                          <w:sz w:val="21"/>
                          <w:szCs w:val="21"/>
                        </w:rPr>
                        <w:t>Нови собствени ресурси финансират част от бюджета на ЕС и подпомагат постигането на целите на политиката (напр. екологичен данък, данък върху финансовите сделки, обща консолидирана основа за облагане с корпоративен данък)</w:t>
                      </w:r>
                    </w:p>
                    <w:p>
                      <w:pPr>
                        <w:pStyle w:val="ListParagraph"/>
                        <w:numPr>
                          <w:ilvl w:val="0"/>
                          <w:numId w:val="21"/>
                        </w:numPr>
                        <w:spacing w:after="0" w:line="240" w:lineRule="auto"/>
                        <w:textAlignment w:val="baseline"/>
                        <w:rPr>
                          <w:rFonts w:eastAsia="Times New Roman"/>
                          <w:sz w:val="21"/>
                          <w:szCs w:val="21"/>
                        </w:rPr>
                      </w:pPr>
                      <w:r>
                        <w:rPr>
                          <w:rFonts w:ascii="Arial" w:hAnsi="Arial"/>
                          <w:b/>
                          <w:kern w:val="24"/>
                          <w:sz w:val="21"/>
                          <w:szCs w:val="21"/>
                        </w:rPr>
                        <w:t xml:space="preserve">Бюджетът на ЕС се финансира с други източници на приходи или с такси </w:t>
                      </w:r>
                    </w:p>
                  </w:txbxContent>
                </v:textbox>
              </v:rect>
            </w:pict>
          </mc:Fallback>
        </mc:AlternateContent>
      </w:r>
      <w:r>
        <w:rPr>
          <w:rFonts w:ascii="Times New Roman" w:hAnsi="Times New Roman" w:cs="Times New Roman"/>
          <w:b/>
          <w:noProof/>
          <w:sz w:val="28"/>
          <w:szCs w:val="24"/>
          <w:lang w:val="en-GB" w:eastAsia="en-GB" w:bidi="ar-SA"/>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143510</wp:posOffset>
                </wp:positionV>
                <wp:extent cx="2893695" cy="770890"/>
                <wp:effectExtent l="0" t="0" r="0" b="0"/>
                <wp:wrapNone/>
                <wp:docPr id="43" name="TextBox 8"/>
                <wp:cNvGraphicFramePr/>
                <a:graphic xmlns:a="http://schemas.openxmlformats.org/drawingml/2006/main">
                  <a:graphicData uri="http://schemas.microsoft.com/office/word/2010/wordprocessingShape">
                    <wps:wsp>
                      <wps:cNvSpPr txBox="1"/>
                      <wps:spPr>
                        <a:xfrm>
                          <a:off x="0" y="0"/>
                          <a:ext cx="2893695" cy="770890"/>
                        </a:xfrm>
                        <a:prstGeom prst="rect">
                          <a:avLst/>
                        </a:prstGeom>
                        <a:noFill/>
                      </wps:spPr>
                      <wps:txbx>
                        <w:txbxContent>
                          <w:p w:rsidR="00497646" w:rsidRDefault="00B05ABE">
                            <w:pPr>
                              <w:pStyle w:val="NormalWeb"/>
                              <w:spacing w:after="0"/>
                              <w:jc w:val="center"/>
                              <w:textAlignment w:val="baseline"/>
                            </w:pPr>
                            <w:r>
                              <w:rPr>
                                <w:rFonts w:ascii="Arial" w:hAnsi="Arial"/>
                                <w:b/>
                                <w:color w:val="1F497D" w:themeColor="text2"/>
                                <w:kern w:val="24"/>
                                <w:sz w:val="96"/>
                              </w:rPr>
                              <w:t>4</w:t>
                            </w:r>
                            <w:r>
                              <w:rPr>
                                <w:rFonts w:ascii="Arial" w:hAnsi="Arial"/>
                                <w:b/>
                                <w:color w:val="1F497D" w:themeColor="text2"/>
                                <w:kern w:val="24"/>
                              </w:rPr>
                              <w:t xml:space="preserve"> Радикално преструктуриране</w:t>
                            </w:r>
                          </w:p>
                        </w:txbxContent>
                      </wps:txbx>
                      <wps:bodyPr wrap="square" rtlCol="0">
                        <a:noAutofit/>
                      </wps:bodyPr>
                    </wps:wsp>
                  </a:graphicData>
                </a:graphic>
                <wp14:sizeRelV relativeFrom="margin">
                  <wp14:pctHeight>0</wp14:pctHeight>
                </wp14:sizeRelV>
              </wp:anchor>
            </w:drawing>
          </mc:Choice>
          <mc:Fallback>
            <w:pict>
              <v:shape id="_x0000_s1036" type="#_x0000_t202" style="position:absolute;margin-left:0;margin-top:11.3pt;width:227.85pt;height:60.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" filled="f" stroked="f">
                <v:textbox>
                  <w:txbxContent>
                    <w:p>
                      <w:pPr>
                        <w:pStyle w:val="NormalWeb"/>
                        <w:spacing w:after="0"/>
                        <w:jc w:val="center"/>
                        <w:textAlignment w:val="baseline"/>
                      </w:pPr>
                      <w:r>
                        <w:rPr>
                          <w:rFonts w:ascii="Arial" w:hAnsi="Arial"/>
                          <w:b/>
                          <w:color w:val="1F497D" w:themeColor="text2"/>
                          <w:kern w:val="24"/>
                          <w:sz w:val="96"/>
                        </w:rPr>
                        <w:t>4</w:t>
                      </w:r>
                      <w:r>
                        <w:rPr>
                          <w:rFonts w:ascii="Arial" w:hAnsi="Arial"/>
                          <w:b/>
                          <w:color w:val="1F497D" w:themeColor="text2"/>
                          <w:kern w:val="24"/>
                        </w:rPr>
                        <w:t xml:space="preserve"> Радикално преструктуриране</w:t>
                      </w:r>
                    </w:p>
                  </w:txbxContent>
                </v:textbox>
              </v:shape>
            </w:pict>
          </mc:Fallback>
        </mc:AlternateContent>
      </w:r>
      <w:r>
        <w:rPr>
          <w:rFonts w:ascii="Times New Roman" w:hAnsi="Times New Roman" w:cs="Times New Roman"/>
          <w:b/>
          <w:noProof/>
          <w:sz w:val="28"/>
          <w:szCs w:val="24"/>
          <w:lang w:val="en-GB" w:eastAsia="en-GB" w:bidi="ar-SA"/>
        </w:rPr>
        <mc:AlternateContent>
          <mc:Choice Requires="wps">
            <w:drawing>
              <wp:anchor distT="0" distB="0" distL="114300" distR="114300" simplePos="0" relativeHeight="251675648" behindDoc="0" locked="0" layoutInCell="1" allowOverlap="1">
                <wp:simplePos x="0" y="0"/>
                <wp:positionH relativeFrom="column">
                  <wp:posOffset>661534</wp:posOffset>
                </wp:positionH>
                <wp:positionV relativeFrom="paragraph">
                  <wp:posOffset>0</wp:posOffset>
                </wp:positionV>
                <wp:extent cx="7920880" cy="825851"/>
                <wp:effectExtent l="0" t="0" r="4445" b="0"/>
                <wp:wrapNone/>
                <wp:docPr id="41" name="Rectangle 7"/>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7" o:spid="_x0000_s1026" style="position:absolute;margin-left:52.1pt;margin-top:0;width:623.7pt;height:65.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8"/>
          <w:szCs w:val="24"/>
          <w:lang w:val="en-GB" w:eastAsia="en-GB" w:bidi="ar-SA"/>
        </w:rPr>
        <mc:AlternateContent>
          <mc:Choice Requires="wps">
            <w:drawing>
              <wp:anchor distT="0" distB="0" distL="114300" distR="114300" simplePos="0" relativeHeight="251677696" behindDoc="0" locked="0" layoutInCell="1" allowOverlap="1">
                <wp:simplePos x="0" y="0"/>
                <wp:positionH relativeFrom="column">
                  <wp:posOffset>661534</wp:posOffset>
                </wp:positionH>
                <wp:positionV relativeFrom="paragraph">
                  <wp:posOffset>0</wp:posOffset>
                </wp:positionV>
                <wp:extent cx="5616575" cy="427355"/>
                <wp:effectExtent l="0" t="0" r="0" b="0"/>
                <wp:wrapNone/>
                <wp:docPr id="44" name="TextBox 9"/>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497646" w:rsidRDefault="00B05ABE">
                            <w:pPr>
                              <w:pStyle w:val="NormalWeb"/>
                              <w:spacing w:after="0"/>
                              <w:textAlignment w:val="baseline"/>
                            </w:pPr>
                            <w:r>
                              <w:rPr>
                                <w:rFonts w:ascii="Arial" w:hAnsi="Arial"/>
                                <w:b/>
                                <w:color w:val="000000" w:themeColor="text1"/>
                                <w:kern w:val="24"/>
                                <w:sz w:val="40"/>
                              </w:rPr>
                              <w:t>Сценарий</w:t>
                            </w:r>
                          </w:p>
                        </w:txbxContent>
                      </wps:txbx>
                      <wps:bodyPr wrap="square" rtlCol="0">
                        <a:spAutoFit/>
                      </wps:bodyPr>
                    </wps:wsp>
                  </a:graphicData>
                </a:graphic>
              </wp:anchor>
            </w:drawing>
          </mc:Choice>
          <mc:Fallback>
            <w:pict>
              <v:shape id="_x0000_s1037" type="#_x0000_t202" style="position:absolute;margin-left:52.1pt;margin-top:0;width:442.25pt;height:33.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" filled="f" stroked="f">
                <v:textbox style="mso-fit-shape-to-text:t">
                  <w:txbxContent>
                    <w:p>
                      <w:pPr>
                        <w:pStyle w:val="NormalWeb"/>
                        <w:spacing w:after="0"/>
                        <w:textAlignment w:val="baseline"/>
                      </w:pPr>
                      <w:r>
                        <w:rPr>
                          <w:rFonts w:ascii="Arial" w:hAnsi="Arial"/>
                          <w:b/>
                          <w:color w:val="000000" w:themeColor="text1"/>
                          <w:kern w:val="24"/>
                          <w:sz w:val="40"/>
                        </w:rPr>
                        <w:t>Сценарий</w:t>
                      </w:r>
                    </w:p>
                  </w:txbxContent>
                </v:textbox>
              </v:shape>
            </w:pict>
          </mc:Fallback>
        </mc:AlternateContent>
      </w:r>
      <w:r>
        <w:rPr>
          <w:rFonts w:ascii="Times New Roman" w:hAnsi="Times New Roman" w:cs="Times New Roman"/>
          <w:b/>
          <w:noProof/>
          <w:sz w:val="28"/>
          <w:szCs w:val="24"/>
          <w:lang w:val="en-GB" w:eastAsia="en-GB" w:bidi="ar-SA"/>
        </w:rPr>
        <w:drawing>
          <wp:anchor distT="0" distB="0" distL="114300" distR="114300" simplePos="0" relativeHeight="251678720" behindDoc="0" locked="0" layoutInCell="1" allowOverlap="1">
            <wp:simplePos x="0" y="0"/>
            <wp:positionH relativeFrom="column">
              <wp:posOffset>7504259</wp:posOffset>
            </wp:positionH>
            <wp:positionV relativeFrom="paragraph">
              <wp:posOffset>118780</wp:posOffset>
            </wp:positionV>
            <wp:extent cx="857787" cy="601300"/>
            <wp:effectExtent l="0" t="0" r="0" b="8890"/>
            <wp:wrapNone/>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57787" cy="601300"/>
                    </a:xfrm>
                    <a:prstGeom prst="rect">
                      <a:avLst/>
                    </a:prstGeom>
                  </pic:spPr>
                </pic:pic>
              </a:graphicData>
            </a:graphic>
          </wp:anchor>
        </w:drawing>
      </w:r>
      <w:r>
        <w:rPr>
          <w:rFonts w:ascii="Times New Roman" w:hAnsi="Times New Roman"/>
          <w:b/>
          <w:noProof/>
          <w:sz w:val="28"/>
        </w:rPr>
        <w:t xml:space="preserve"> </w:t>
      </w:r>
      <w:r>
        <w:rPr>
          <w:noProof/>
        </w:rPr>
        <w:br w:type="page"/>
      </w:r>
    </w:p>
    <w:p w:rsidR="00497646" w:rsidRDefault="00497646">
      <w:pPr>
        <w:rPr>
          <w:rFonts w:ascii="Times New Roman" w:hAnsi="Times New Roman" w:cs="Times New Roman"/>
          <w:b/>
          <w:noProof/>
          <w:sz w:val="24"/>
          <w:szCs w:val="24"/>
        </w:rPr>
      </w:pPr>
    </w:p>
    <w:p w:rsidR="00497646" w:rsidRDefault="00B05ABE">
      <w:pPr>
        <w:rPr>
          <w:rFonts w:ascii="Times New Roman" w:hAnsi="Times New Roman" w:cs="Times New Roman"/>
          <w:b/>
          <w:noProof/>
          <w:sz w:val="24"/>
          <w:szCs w:val="24"/>
        </w:rPr>
      </w:pP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79744" behindDoc="0" locked="0" layoutInCell="1" allowOverlap="1">
                <wp:simplePos x="0" y="0"/>
                <wp:positionH relativeFrom="column">
                  <wp:posOffset>517518</wp:posOffset>
                </wp:positionH>
                <wp:positionV relativeFrom="paragraph">
                  <wp:posOffset>0</wp:posOffset>
                </wp:positionV>
                <wp:extent cx="7920880" cy="825851"/>
                <wp:effectExtent l="0" t="0" r="4445" b="0"/>
                <wp:wrapNone/>
                <wp:docPr id="46" name="Rectangle 7"/>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7" o:spid="_x0000_s1026" style="position:absolute;margin-left:40.75pt;margin-top:0;width:623.7pt;height:65.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144016</wp:posOffset>
                </wp:positionV>
                <wp:extent cx="2893782" cy="1152128"/>
                <wp:effectExtent l="0" t="0" r="0" b="0"/>
                <wp:wrapNone/>
                <wp:docPr id="47" name="TextBox 8"/>
                <wp:cNvGraphicFramePr/>
                <a:graphic xmlns:a="http://schemas.openxmlformats.org/drawingml/2006/main">
                  <a:graphicData uri="http://schemas.microsoft.com/office/word/2010/wordprocessingShape">
                    <wps:wsp>
                      <wps:cNvSpPr txBox="1"/>
                      <wps:spPr>
                        <a:xfrm>
                          <a:off x="0" y="0"/>
                          <a:ext cx="2893782" cy="1152128"/>
                        </a:xfrm>
                        <a:prstGeom prst="rect">
                          <a:avLst/>
                        </a:prstGeom>
                        <a:noFill/>
                      </wps:spPr>
                      <wps:txbx>
                        <w:txbxContent>
                          <w:p w:rsidR="00497646" w:rsidRDefault="00B05ABE">
                            <w:pPr>
                              <w:pStyle w:val="NormalWeb"/>
                              <w:spacing w:after="0"/>
                              <w:jc w:val="center"/>
                              <w:textAlignment w:val="baseline"/>
                            </w:pPr>
                            <w:r>
                              <w:rPr>
                                <w:rFonts w:ascii="Arial" w:hAnsi="Arial"/>
                                <w:b/>
                                <w:color w:val="1F497D" w:themeColor="text2"/>
                                <w:kern w:val="24"/>
                                <w:sz w:val="96"/>
                              </w:rPr>
                              <w:t>5</w:t>
                            </w:r>
                            <w:r>
                              <w:rPr>
                                <w:rFonts w:ascii="Arial" w:hAnsi="Arial"/>
                                <w:b/>
                                <w:color w:val="1F497D" w:themeColor="text2"/>
                                <w:kern w:val="24"/>
                              </w:rPr>
                              <w:t xml:space="preserve"> Правим много повече заедно</w:t>
                            </w:r>
                          </w:p>
                        </w:txbxContent>
                      </wps:txbx>
                      <wps:bodyPr wrap="square" rtlCol="0">
                        <a:noAutofit/>
                      </wps:bodyPr>
                    </wps:wsp>
                  </a:graphicData>
                </a:graphic>
              </wp:anchor>
            </w:drawing>
          </mc:Choice>
          <mc:Fallback>
            <w:pict>
              <v:shape id="_x0000_s1038" type="#_x0000_t202" style="position:absolute;margin-left:0;margin-top:11.35pt;width:227.85pt;height:90.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" filled="f" stroked="f">
                <v:textbox>
                  <w:txbxContent>
                    <w:p>
                      <w:pPr>
                        <w:pStyle w:val="NormalWeb"/>
                        <w:spacing w:after="0"/>
                        <w:jc w:val="center"/>
                        <w:textAlignment w:val="baseline"/>
                      </w:pPr>
                      <w:r>
                        <w:rPr>
                          <w:rFonts w:ascii="Arial" w:hAnsi="Arial"/>
                          <w:b/>
                          <w:color w:val="1F497D" w:themeColor="text2"/>
                          <w:kern w:val="24"/>
                          <w:sz w:val="96"/>
                        </w:rPr>
                        <w:t>5</w:t>
                      </w:r>
                      <w:r>
                        <w:rPr>
                          <w:rFonts w:ascii="Arial" w:hAnsi="Arial"/>
                          <w:b/>
                          <w:color w:val="1F497D" w:themeColor="text2"/>
                          <w:kern w:val="24"/>
                        </w:rPr>
                        <w:t xml:space="preserve"> Правим много повече заедно</w:t>
                      </w:r>
                    </w:p>
                  </w:txbxContent>
                </v:textbox>
              </v:shape>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81792" behindDoc="0" locked="0" layoutInCell="1" allowOverlap="1">
                <wp:simplePos x="0" y="0"/>
                <wp:positionH relativeFrom="column">
                  <wp:posOffset>517518</wp:posOffset>
                </wp:positionH>
                <wp:positionV relativeFrom="paragraph">
                  <wp:posOffset>0</wp:posOffset>
                </wp:positionV>
                <wp:extent cx="5616575" cy="427355"/>
                <wp:effectExtent l="0" t="0" r="0" b="0"/>
                <wp:wrapNone/>
                <wp:docPr id="48" name="TextBox 9"/>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497646" w:rsidRDefault="00B05ABE">
                            <w:pPr>
                              <w:pStyle w:val="NormalWeb"/>
                              <w:spacing w:after="0"/>
                              <w:textAlignment w:val="baseline"/>
                            </w:pPr>
                            <w:r>
                              <w:rPr>
                                <w:rFonts w:ascii="Arial" w:hAnsi="Arial"/>
                                <w:b/>
                                <w:color w:val="000000" w:themeColor="text1"/>
                                <w:kern w:val="24"/>
                                <w:sz w:val="40"/>
                              </w:rPr>
                              <w:t>Сценарий</w:t>
                            </w:r>
                          </w:p>
                        </w:txbxContent>
                      </wps:txbx>
                      <wps:bodyPr wrap="square" rtlCol="0">
                        <a:spAutoFit/>
                      </wps:bodyPr>
                    </wps:wsp>
                  </a:graphicData>
                </a:graphic>
              </wp:anchor>
            </w:drawing>
          </mc:Choice>
          <mc:Fallback>
            <w:pict>
              <v:shape id="_x0000_s1039" type="#_x0000_t202" style="position:absolute;margin-left:40.75pt;margin-top:0;width:442.25pt;height:33.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" filled="f" stroked="f">
                <v:textbox style="mso-fit-shape-to-text:t">
                  <w:txbxContent>
                    <w:p>
                      <w:pPr>
                        <w:pStyle w:val="NormalWeb"/>
                        <w:spacing w:after="0"/>
                        <w:textAlignment w:val="baseline"/>
                      </w:pPr>
                      <w:r>
                        <w:rPr>
                          <w:rFonts w:ascii="Arial" w:hAnsi="Arial"/>
                          <w:b/>
                          <w:color w:val="000000" w:themeColor="text1"/>
                          <w:kern w:val="24"/>
                          <w:sz w:val="40"/>
                        </w:rPr>
                        <w:t>Сценарий</w:t>
                      </w:r>
                    </w:p>
                  </w:txbxContent>
                </v:textbox>
              </v:shape>
            </w:pict>
          </mc:Fallback>
        </mc:AlternateContent>
      </w:r>
      <w:r>
        <w:rPr>
          <w:rFonts w:ascii="Times New Roman" w:hAnsi="Times New Roman" w:cs="Times New Roman"/>
          <w:b/>
          <w:noProof/>
          <w:sz w:val="24"/>
          <w:szCs w:val="24"/>
          <w:lang w:val="en-GB" w:eastAsia="en-GB" w:bidi="ar-SA"/>
        </w:rPr>
        <w:drawing>
          <wp:anchor distT="0" distB="0" distL="114300" distR="114300" simplePos="0" relativeHeight="251682816" behindDoc="0" locked="0" layoutInCell="1" allowOverlap="1">
            <wp:simplePos x="0" y="0"/>
            <wp:positionH relativeFrom="column">
              <wp:posOffset>7274645</wp:posOffset>
            </wp:positionH>
            <wp:positionV relativeFrom="paragraph">
              <wp:posOffset>89902</wp:posOffset>
            </wp:positionV>
            <wp:extent cx="864095" cy="605722"/>
            <wp:effectExtent l="0" t="0" r="0" b="4445"/>
            <wp:wrapNone/>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4095" cy="605722"/>
                    </a:xfrm>
                    <a:prstGeom prst="rect">
                      <a:avLst/>
                    </a:prstGeom>
                  </pic:spPr>
                </pic:pic>
              </a:graphicData>
            </a:graphic>
          </wp:anchor>
        </w:drawing>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83840" behindDoc="0" locked="0" layoutInCell="1" allowOverlap="1">
                <wp:simplePos x="0" y="0"/>
                <wp:positionH relativeFrom="column">
                  <wp:posOffset>279026</wp:posOffset>
                </wp:positionH>
                <wp:positionV relativeFrom="paragraph">
                  <wp:posOffset>864096</wp:posOffset>
                </wp:positionV>
                <wp:extent cx="8411210" cy="4009390"/>
                <wp:effectExtent l="0" t="0" r="0" b="0"/>
                <wp:wrapNone/>
                <wp:docPr id="49" name="Rectangle 17"/>
                <wp:cNvGraphicFramePr/>
                <a:graphic xmlns:a="http://schemas.openxmlformats.org/drawingml/2006/main">
                  <a:graphicData uri="http://schemas.microsoft.com/office/word/2010/wordprocessingShape">
                    <wps:wsp>
                      <wps:cNvSpPr/>
                      <wps:spPr>
                        <a:xfrm>
                          <a:off x="0" y="0"/>
                          <a:ext cx="8411210" cy="4009390"/>
                        </a:xfrm>
                        <a:prstGeom prst="rect">
                          <a:avLst/>
                        </a:prstGeom>
                      </wps:spPr>
                      <wps:txbx>
                        <w:txbxContent>
                          <w:p w:rsidR="00497646" w:rsidRDefault="00B05ABE">
                            <w:pPr>
                              <w:pStyle w:val="NormalWeb"/>
                              <w:spacing w:after="0"/>
                              <w:textAlignment w:val="baseline"/>
                            </w:pPr>
                            <w:r>
                              <w:rPr>
                                <w:rFonts w:ascii="Arial" w:hAnsi="Arial"/>
                                <w:b/>
                                <w:kern w:val="24"/>
                                <w:sz w:val="28"/>
                              </w:rPr>
                              <w:t xml:space="preserve">Общи тенденции </w:t>
                            </w:r>
                            <w:r>
                              <w:rPr>
                                <w:rFonts w:ascii="Arial" w:hAnsi="Arial"/>
                                <w:b/>
                                <w:kern w:val="24"/>
                                <w:sz w:val="28"/>
                              </w:rPr>
                              <w:t>и размер</w:t>
                            </w:r>
                          </w:p>
                          <w:p w:rsidR="00497646" w:rsidRDefault="00B05ABE">
                            <w:pPr>
                              <w:pStyle w:val="ListParagraph"/>
                              <w:numPr>
                                <w:ilvl w:val="0"/>
                                <w:numId w:val="22"/>
                              </w:numPr>
                              <w:spacing w:after="0" w:line="240" w:lineRule="auto"/>
                              <w:textAlignment w:val="baseline"/>
                              <w:rPr>
                                <w:rFonts w:eastAsia="Times New Roman"/>
                              </w:rPr>
                            </w:pPr>
                            <w:r>
                              <w:rPr>
                                <w:rFonts w:ascii="Arial" w:hAnsi="Arial"/>
                                <w:b/>
                                <w:kern w:val="24"/>
                              </w:rPr>
                              <w:t>Значително увеличен</w:t>
                            </w:r>
                          </w:p>
                          <w:p w:rsidR="00497646" w:rsidRDefault="00B05ABE">
                            <w:pPr>
                              <w:pStyle w:val="ListParagraph"/>
                              <w:numPr>
                                <w:ilvl w:val="0"/>
                                <w:numId w:val="22"/>
                              </w:numPr>
                              <w:spacing w:after="0" w:line="240" w:lineRule="auto"/>
                              <w:textAlignment w:val="baseline"/>
                              <w:rPr>
                                <w:rFonts w:eastAsia="Times New Roman"/>
                              </w:rPr>
                            </w:pPr>
                            <w:r>
                              <w:rPr>
                                <w:rFonts w:ascii="Arial" w:hAnsi="Arial"/>
                                <w:b/>
                                <w:kern w:val="24"/>
                              </w:rPr>
                              <w:t>Значително допълнително финансиране за нови приоритети и за външни действия</w:t>
                            </w:r>
                          </w:p>
                          <w:p w:rsidR="00497646" w:rsidRDefault="00B05ABE">
                            <w:pPr>
                              <w:pStyle w:val="ListParagraph"/>
                              <w:numPr>
                                <w:ilvl w:val="0"/>
                                <w:numId w:val="22"/>
                              </w:numPr>
                              <w:spacing w:after="0" w:line="240" w:lineRule="auto"/>
                              <w:textAlignment w:val="baseline"/>
                              <w:rPr>
                                <w:rFonts w:eastAsia="Times New Roman"/>
                              </w:rPr>
                            </w:pPr>
                            <w:r>
                              <w:rPr>
                                <w:rFonts w:ascii="Arial" w:hAnsi="Arial"/>
                                <w:b/>
                                <w:kern w:val="24"/>
                              </w:rPr>
                              <w:t>По-голямо използване на финансовите инструменти и на гаранциите</w:t>
                            </w:r>
                          </w:p>
                          <w:p w:rsidR="00497646" w:rsidRDefault="00B05ABE">
                            <w:pPr>
                              <w:pStyle w:val="ListParagraph"/>
                              <w:numPr>
                                <w:ilvl w:val="0"/>
                                <w:numId w:val="22"/>
                              </w:numPr>
                              <w:spacing w:after="0" w:line="240" w:lineRule="auto"/>
                              <w:textAlignment w:val="baseline"/>
                              <w:rPr>
                                <w:rFonts w:eastAsia="Times New Roman"/>
                              </w:rPr>
                            </w:pPr>
                            <w:r>
                              <w:rPr>
                                <w:rFonts w:ascii="Arial" w:hAnsi="Arial"/>
                                <w:b/>
                                <w:kern w:val="24"/>
                              </w:rPr>
                              <w:t>Увеличение на тавана на собствените ресурси</w:t>
                            </w:r>
                          </w:p>
                          <w:p w:rsidR="00497646" w:rsidRDefault="00B05ABE">
                            <w:pPr>
                              <w:pStyle w:val="NormalWeb"/>
                              <w:spacing w:after="0"/>
                              <w:textAlignment w:val="baseline"/>
                              <w:rPr>
                                <w:rFonts w:eastAsiaTheme="minorEastAsia"/>
                              </w:rPr>
                            </w:pPr>
                            <w:r>
                              <w:rPr>
                                <w:rFonts w:ascii="Arial" w:hAnsi="Arial"/>
                                <w:b/>
                                <w:kern w:val="24"/>
                                <w:sz w:val="28"/>
                              </w:rPr>
                              <w:t>Разходи</w:t>
                            </w:r>
                          </w:p>
                          <w:p w:rsidR="00497646" w:rsidRDefault="00B05ABE">
                            <w:pPr>
                              <w:pStyle w:val="ListParagraph"/>
                              <w:numPr>
                                <w:ilvl w:val="0"/>
                                <w:numId w:val="23"/>
                              </w:numPr>
                              <w:spacing w:after="0" w:line="240" w:lineRule="auto"/>
                              <w:textAlignment w:val="baseline"/>
                              <w:rPr>
                                <w:rFonts w:eastAsia="Times New Roman"/>
                              </w:rPr>
                            </w:pPr>
                            <w:r>
                              <w:rPr>
                                <w:rFonts w:ascii="Arial" w:hAnsi="Arial"/>
                                <w:b/>
                                <w:kern w:val="24"/>
                              </w:rPr>
                              <w:t xml:space="preserve">Общата селскостопанска политика – </w:t>
                            </w:r>
                            <w:r>
                              <w:rPr>
                                <w:rFonts w:ascii="Arial" w:hAnsi="Arial"/>
                                <w:b/>
                                <w:kern w:val="24"/>
                              </w:rPr>
                              <w:t>по-голяма сума</w:t>
                            </w:r>
                          </w:p>
                          <w:p w:rsidR="00497646" w:rsidRDefault="00B05ABE">
                            <w:pPr>
                              <w:pStyle w:val="ListParagraph"/>
                              <w:numPr>
                                <w:ilvl w:val="0"/>
                                <w:numId w:val="23"/>
                              </w:numPr>
                              <w:spacing w:after="0" w:line="240" w:lineRule="auto"/>
                              <w:textAlignment w:val="baseline"/>
                              <w:rPr>
                                <w:rFonts w:eastAsia="Times New Roman"/>
                              </w:rPr>
                            </w:pPr>
                            <w:r>
                              <w:rPr>
                                <w:rFonts w:ascii="Arial" w:hAnsi="Arial"/>
                                <w:b/>
                                <w:kern w:val="24"/>
                              </w:rPr>
                              <w:t>Икономическото, социалното и териториалното сближаване е като при сценарий 1 плюс:</w:t>
                            </w:r>
                          </w:p>
                          <w:p w:rsidR="00497646" w:rsidRDefault="00B05ABE">
                            <w:pPr>
                              <w:pStyle w:val="ListParagraph"/>
                              <w:numPr>
                                <w:ilvl w:val="1"/>
                                <w:numId w:val="23"/>
                              </w:numPr>
                              <w:spacing w:after="0" w:line="240" w:lineRule="auto"/>
                              <w:textAlignment w:val="baseline"/>
                              <w:rPr>
                                <w:rFonts w:eastAsia="Times New Roman"/>
                              </w:rPr>
                            </w:pPr>
                            <w:r>
                              <w:rPr>
                                <w:rFonts w:ascii="Arial" w:hAnsi="Arial"/>
                                <w:kern w:val="24"/>
                              </w:rPr>
                              <w:t>Засилено социално измерение (напр. гаранция за децата)</w:t>
                            </w:r>
                          </w:p>
                          <w:p w:rsidR="00497646" w:rsidRDefault="00B05ABE">
                            <w:pPr>
                              <w:pStyle w:val="ListParagraph"/>
                              <w:numPr>
                                <w:ilvl w:val="1"/>
                                <w:numId w:val="23"/>
                              </w:numPr>
                              <w:spacing w:after="0" w:line="240" w:lineRule="auto"/>
                              <w:textAlignment w:val="baseline"/>
                              <w:rPr>
                                <w:rFonts w:eastAsia="Times New Roman"/>
                              </w:rPr>
                            </w:pPr>
                            <w:r>
                              <w:rPr>
                                <w:rFonts w:ascii="Arial" w:hAnsi="Arial"/>
                                <w:kern w:val="24"/>
                              </w:rPr>
                              <w:t>Засилено измерение, свързано с териториалното сътрудничество</w:t>
                            </w:r>
                          </w:p>
                          <w:p w:rsidR="00497646" w:rsidRDefault="00B05ABE">
                            <w:pPr>
                              <w:pStyle w:val="ListParagraph"/>
                              <w:numPr>
                                <w:ilvl w:val="1"/>
                                <w:numId w:val="23"/>
                              </w:numPr>
                              <w:spacing w:after="0" w:line="240" w:lineRule="auto"/>
                              <w:textAlignment w:val="baseline"/>
                              <w:rPr>
                                <w:rFonts w:eastAsia="Times New Roman"/>
                              </w:rPr>
                            </w:pPr>
                            <w:r>
                              <w:rPr>
                                <w:rFonts w:ascii="Arial" w:hAnsi="Arial"/>
                                <w:kern w:val="24"/>
                              </w:rPr>
                              <w:t>Засилено градско измерение</w:t>
                            </w:r>
                          </w:p>
                          <w:p w:rsidR="00497646" w:rsidRDefault="00B05ABE">
                            <w:pPr>
                              <w:pStyle w:val="ListParagraph"/>
                              <w:numPr>
                                <w:ilvl w:val="0"/>
                                <w:numId w:val="23"/>
                              </w:numPr>
                              <w:spacing w:after="0" w:line="240" w:lineRule="auto"/>
                              <w:textAlignment w:val="baseline"/>
                              <w:rPr>
                                <w:rFonts w:eastAsia="Times New Roman"/>
                              </w:rPr>
                            </w:pPr>
                            <w:r>
                              <w:rPr>
                                <w:rFonts w:ascii="Arial" w:hAnsi="Arial"/>
                                <w:b/>
                                <w:kern w:val="24"/>
                              </w:rPr>
                              <w:t>Новите приорите</w:t>
                            </w:r>
                            <w:r>
                              <w:rPr>
                                <w:rFonts w:ascii="Arial" w:hAnsi="Arial"/>
                                <w:b/>
                                <w:kern w:val="24"/>
                              </w:rPr>
                              <w:t>ти и приоритетите с висока добавена стойност са като при сценарий 4</w:t>
                            </w:r>
                          </w:p>
                          <w:p w:rsidR="00497646" w:rsidRDefault="00B05ABE">
                            <w:pPr>
                              <w:pStyle w:val="ListParagraph"/>
                              <w:numPr>
                                <w:ilvl w:val="0"/>
                                <w:numId w:val="23"/>
                              </w:numPr>
                              <w:spacing w:after="0" w:line="240" w:lineRule="auto"/>
                              <w:textAlignment w:val="baseline"/>
                              <w:rPr>
                                <w:rFonts w:eastAsia="Times New Roman"/>
                              </w:rPr>
                            </w:pPr>
                            <w:r>
                              <w:rPr>
                                <w:rFonts w:ascii="Arial" w:hAnsi="Arial"/>
                                <w:b/>
                                <w:kern w:val="24"/>
                              </w:rPr>
                              <w:t>Структурните реформи са обвързани с европейския семестър</w:t>
                            </w:r>
                          </w:p>
                          <w:p w:rsidR="00497646" w:rsidRDefault="00B05ABE">
                            <w:pPr>
                              <w:pStyle w:val="ListParagraph"/>
                              <w:numPr>
                                <w:ilvl w:val="1"/>
                                <w:numId w:val="23"/>
                              </w:numPr>
                              <w:spacing w:after="0" w:line="240" w:lineRule="auto"/>
                              <w:textAlignment w:val="baseline"/>
                              <w:rPr>
                                <w:rFonts w:eastAsia="Times New Roman"/>
                              </w:rPr>
                            </w:pPr>
                            <w:r>
                              <w:rPr>
                                <w:rFonts w:ascii="Arial" w:hAnsi="Arial"/>
                                <w:kern w:val="24"/>
                              </w:rPr>
                              <w:t>Положителни стимули чрез политиката на сближаване или чрез специално създаден за целта фонд</w:t>
                            </w:r>
                          </w:p>
                          <w:p w:rsidR="00497646" w:rsidRDefault="00B05ABE">
                            <w:pPr>
                              <w:pStyle w:val="ListParagraph"/>
                              <w:numPr>
                                <w:ilvl w:val="0"/>
                                <w:numId w:val="23"/>
                              </w:numPr>
                              <w:spacing w:after="0" w:line="240" w:lineRule="auto"/>
                              <w:textAlignment w:val="baseline"/>
                              <w:rPr>
                                <w:rFonts w:eastAsia="Times New Roman"/>
                              </w:rPr>
                            </w:pPr>
                            <w:r>
                              <w:rPr>
                                <w:rFonts w:ascii="Arial" w:hAnsi="Arial"/>
                                <w:b/>
                                <w:kern w:val="24"/>
                              </w:rPr>
                              <w:t>Обща сигурност и отбрана, общо финансир</w:t>
                            </w:r>
                            <w:r>
                              <w:rPr>
                                <w:rFonts w:ascii="Arial" w:hAnsi="Arial"/>
                                <w:b/>
                                <w:kern w:val="24"/>
                              </w:rPr>
                              <w:t xml:space="preserve">ане и общо възлагане на обществени поръчки, бюджет на ЕС, допълнен с извънбюджетен фонд </w:t>
                            </w:r>
                          </w:p>
                          <w:p w:rsidR="00497646" w:rsidRDefault="00B05ABE">
                            <w:pPr>
                              <w:pStyle w:val="ListParagraph"/>
                              <w:numPr>
                                <w:ilvl w:val="0"/>
                                <w:numId w:val="23"/>
                              </w:numPr>
                              <w:spacing w:after="0" w:line="240" w:lineRule="auto"/>
                              <w:textAlignment w:val="baseline"/>
                              <w:rPr>
                                <w:rFonts w:eastAsia="Times New Roman"/>
                              </w:rPr>
                            </w:pPr>
                            <w:r>
                              <w:rPr>
                                <w:rFonts w:ascii="Arial" w:hAnsi="Arial"/>
                                <w:b/>
                                <w:kern w:val="24"/>
                              </w:rPr>
                              <w:t>Фонд за рисков капитал</w:t>
                            </w:r>
                          </w:p>
                          <w:p w:rsidR="00497646" w:rsidRDefault="00B05ABE">
                            <w:pPr>
                              <w:pStyle w:val="ListParagraph"/>
                              <w:numPr>
                                <w:ilvl w:val="0"/>
                                <w:numId w:val="23"/>
                              </w:numPr>
                              <w:spacing w:after="0" w:line="240" w:lineRule="auto"/>
                              <w:textAlignment w:val="baseline"/>
                              <w:rPr>
                                <w:rFonts w:eastAsia="Times New Roman"/>
                              </w:rPr>
                            </w:pPr>
                            <w:r>
                              <w:rPr>
                                <w:rFonts w:ascii="Arial" w:hAnsi="Arial"/>
                                <w:b/>
                                <w:kern w:val="24"/>
                              </w:rPr>
                              <w:t>Цялостен бюджет за еврозоната и Европейски валутен фонд</w:t>
                            </w:r>
                          </w:p>
                          <w:p w:rsidR="00497646" w:rsidRDefault="00B05ABE">
                            <w:pPr>
                              <w:pStyle w:val="ListParagraph"/>
                              <w:numPr>
                                <w:ilvl w:val="0"/>
                                <w:numId w:val="23"/>
                              </w:numPr>
                              <w:spacing w:after="0" w:line="240" w:lineRule="auto"/>
                              <w:textAlignment w:val="baseline"/>
                              <w:rPr>
                                <w:rFonts w:eastAsia="Times New Roman"/>
                              </w:rPr>
                            </w:pPr>
                            <w:r>
                              <w:rPr>
                                <w:rFonts w:ascii="Arial" w:hAnsi="Arial"/>
                                <w:b/>
                                <w:kern w:val="24"/>
                              </w:rPr>
                              <w:t>Външните действия са подсилени; Европейският фонд за развитие е включен в бюджета</w:t>
                            </w:r>
                          </w:p>
                          <w:p w:rsidR="00497646" w:rsidRDefault="00B05ABE">
                            <w:pPr>
                              <w:pStyle w:val="NormalWeb"/>
                              <w:spacing w:after="0"/>
                              <w:textAlignment w:val="baseline"/>
                              <w:rPr>
                                <w:rFonts w:eastAsiaTheme="minorEastAsia"/>
                              </w:rPr>
                            </w:pPr>
                            <w:r>
                              <w:rPr>
                                <w:rFonts w:ascii="Arial" w:hAnsi="Arial"/>
                                <w:b/>
                                <w:kern w:val="24"/>
                                <w:sz w:val="28"/>
                              </w:rPr>
                              <w:t>Приходи</w:t>
                            </w:r>
                          </w:p>
                          <w:p w:rsidR="00497646" w:rsidRDefault="00B05ABE">
                            <w:pPr>
                              <w:pStyle w:val="ListParagraph"/>
                              <w:numPr>
                                <w:ilvl w:val="0"/>
                                <w:numId w:val="24"/>
                              </w:numPr>
                              <w:spacing w:after="0" w:line="240" w:lineRule="auto"/>
                              <w:textAlignment w:val="baseline"/>
                              <w:rPr>
                                <w:rFonts w:eastAsia="Times New Roman"/>
                              </w:rPr>
                            </w:pPr>
                            <w:r>
                              <w:rPr>
                                <w:rFonts w:ascii="Arial" w:hAnsi="Arial"/>
                                <w:b/>
                                <w:kern w:val="24"/>
                              </w:rPr>
                              <w:t>Задълбочена реформа, надхвърляща сценарий 4</w:t>
                            </w:r>
                          </w:p>
                          <w:p w:rsidR="00497646" w:rsidRDefault="00B05ABE">
                            <w:pPr>
                              <w:pStyle w:val="ListParagraph"/>
                              <w:numPr>
                                <w:ilvl w:val="0"/>
                                <w:numId w:val="24"/>
                              </w:numPr>
                              <w:spacing w:after="0" w:line="240" w:lineRule="auto"/>
                              <w:textAlignment w:val="baseline"/>
                              <w:rPr>
                                <w:rFonts w:eastAsia="Times New Roman"/>
                              </w:rPr>
                            </w:pPr>
                            <w:r>
                              <w:rPr>
                                <w:rFonts w:ascii="Arial" w:hAnsi="Arial"/>
                                <w:b/>
                                <w:kern w:val="24"/>
                              </w:rPr>
                              <w:t xml:space="preserve">Нови собствени ресурси финансират голяма част от бюджета на ЕС и подпомагат постигането на целите на политиката </w:t>
                            </w:r>
                          </w:p>
                          <w:p w:rsidR="00497646" w:rsidRDefault="00B05ABE">
                            <w:pPr>
                              <w:pStyle w:val="ListParagraph"/>
                              <w:numPr>
                                <w:ilvl w:val="0"/>
                                <w:numId w:val="24"/>
                              </w:numPr>
                              <w:spacing w:after="0" w:line="240" w:lineRule="auto"/>
                              <w:textAlignment w:val="baseline"/>
                              <w:rPr>
                                <w:rFonts w:eastAsia="Times New Roman"/>
                              </w:rPr>
                            </w:pPr>
                            <w:r>
                              <w:rPr>
                                <w:rFonts w:ascii="Arial" w:hAnsi="Arial"/>
                                <w:b/>
                                <w:kern w:val="24"/>
                              </w:rPr>
                              <w:t xml:space="preserve">Бюджетът на ЕС се финансира с други източници на приходи или с такси </w:t>
                            </w:r>
                          </w:p>
                        </w:txbxContent>
                      </wps:txbx>
                      <wps:bodyPr wrap="square">
                        <a:spAutoFit/>
                      </wps:bodyPr>
                    </wps:wsp>
                  </a:graphicData>
                </a:graphic>
              </wp:anchor>
            </w:drawing>
          </mc:Choice>
          <mc:Fallback>
            <w:pict>
              <v:rect id="Rectangle 17" o:spid="_x0000_s1040" style="position:absolute;margin-left:21.95pt;margin-top:68.05pt;width:662.3pt;height:315.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" filled="f" stroked="f">
                <v:textbox style="mso-fit-shape-to-text:t">
                  <w:txbxContent>
                    <w:p>
                      <w:pPr>
                        <w:pStyle w:val="NormalWeb"/>
                        <w:spacing w:after="0"/>
                        <w:textAlignment w:val="baseline"/>
                      </w:pPr>
                      <w:r>
                        <w:rPr>
                          <w:rFonts w:ascii="Arial" w:hAnsi="Arial"/>
                          <w:b/>
                          <w:kern w:val="24"/>
                          <w:sz w:val="28"/>
                        </w:rPr>
                        <w:t>Общи тенденции и размер</w:t>
                      </w:r>
                    </w:p>
                    <w:p>
                      <w:pPr>
                        <w:pStyle w:val="ListParagraph"/>
                        <w:numPr>
                          <w:ilvl w:val="0"/>
                          <w:numId w:val="22"/>
                        </w:numPr>
                        <w:spacing w:after="0" w:line="240" w:lineRule="auto"/>
                        <w:textAlignment w:val="baseline"/>
                        <w:rPr>
                          <w:rFonts w:eastAsia="Times New Roman"/>
                        </w:rPr>
                      </w:pPr>
                      <w:r>
                        <w:rPr>
                          <w:rFonts w:ascii="Arial" w:hAnsi="Arial"/>
                          <w:b/>
                          <w:kern w:val="24"/>
                        </w:rPr>
                        <w:t>Значително увеличен</w:t>
                      </w:r>
                    </w:p>
                    <w:p>
                      <w:pPr>
                        <w:pStyle w:val="ListParagraph"/>
                        <w:numPr>
                          <w:ilvl w:val="0"/>
                          <w:numId w:val="22"/>
                        </w:numPr>
                        <w:spacing w:after="0" w:line="240" w:lineRule="auto"/>
                        <w:textAlignment w:val="baseline"/>
                        <w:rPr>
                          <w:rFonts w:eastAsia="Times New Roman"/>
                        </w:rPr>
                      </w:pPr>
                      <w:r>
                        <w:rPr>
                          <w:rFonts w:ascii="Arial" w:hAnsi="Arial"/>
                          <w:b/>
                          <w:kern w:val="24"/>
                        </w:rPr>
                        <w:t>Значително допълнително финансиране за нови приоритети и за външни действия</w:t>
                      </w:r>
                    </w:p>
                    <w:p>
                      <w:pPr>
                        <w:pStyle w:val="ListParagraph"/>
                        <w:numPr>
                          <w:ilvl w:val="0"/>
                          <w:numId w:val="22"/>
                        </w:numPr>
                        <w:spacing w:after="0" w:line="240" w:lineRule="auto"/>
                        <w:textAlignment w:val="baseline"/>
                        <w:rPr>
                          <w:rFonts w:eastAsia="Times New Roman"/>
                        </w:rPr>
                      </w:pPr>
                      <w:r>
                        <w:rPr>
                          <w:rFonts w:ascii="Arial" w:hAnsi="Arial"/>
                          <w:b/>
                          <w:kern w:val="24"/>
                        </w:rPr>
                        <w:t>По-голямо използване на финансовите инструменти и на гаранциите</w:t>
                      </w:r>
                    </w:p>
                    <w:p>
                      <w:pPr>
                        <w:pStyle w:val="ListParagraph"/>
                        <w:numPr>
                          <w:ilvl w:val="0"/>
                          <w:numId w:val="22"/>
                        </w:numPr>
                        <w:spacing w:after="0" w:line="240" w:lineRule="auto"/>
                        <w:textAlignment w:val="baseline"/>
                        <w:rPr>
                          <w:rFonts w:eastAsia="Times New Roman"/>
                        </w:rPr>
                      </w:pPr>
                      <w:r>
                        <w:rPr>
                          <w:rFonts w:ascii="Arial" w:hAnsi="Arial"/>
                          <w:b/>
                          <w:kern w:val="24"/>
                        </w:rPr>
                        <w:t>Увеличение на тавана на собствените ресурси</w:t>
                      </w:r>
                    </w:p>
                    <w:p>
                      <w:pPr>
                        <w:pStyle w:val="NormalWeb"/>
                        <w:spacing w:after="0"/>
                        <w:textAlignment w:val="baseline"/>
                        <w:rPr>
                          <w:rFonts w:eastAsiaTheme="minorEastAsia"/>
                        </w:rPr>
                      </w:pPr>
                      <w:r>
                        <w:rPr>
                          <w:rFonts w:ascii="Arial" w:hAnsi="Arial"/>
                          <w:b/>
                          <w:kern w:val="24"/>
                          <w:sz w:val="28"/>
                        </w:rPr>
                        <w:t>Разходи</w:t>
                      </w:r>
                    </w:p>
                    <w:p>
                      <w:pPr>
                        <w:pStyle w:val="ListParagraph"/>
                        <w:numPr>
                          <w:ilvl w:val="0"/>
                          <w:numId w:val="23"/>
                        </w:numPr>
                        <w:spacing w:after="0" w:line="240" w:lineRule="auto"/>
                        <w:textAlignment w:val="baseline"/>
                        <w:rPr>
                          <w:rFonts w:eastAsia="Times New Roman"/>
                        </w:rPr>
                      </w:pPr>
                      <w:r>
                        <w:rPr>
                          <w:rFonts w:ascii="Arial" w:hAnsi="Arial"/>
                          <w:b/>
                          <w:kern w:val="24"/>
                        </w:rPr>
                        <w:t>Общата селскостопанска политика – по-голяма сума</w:t>
                      </w:r>
                    </w:p>
                    <w:p>
                      <w:pPr>
                        <w:pStyle w:val="ListParagraph"/>
                        <w:numPr>
                          <w:ilvl w:val="0"/>
                          <w:numId w:val="23"/>
                        </w:numPr>
                        <w:spacing w:after="0" w:line="240" w:lineRule="auto"/>
                        <w:textAlignment w:val="baseline"/>
                        <w:rPr>
                          <w:rFonts w:eastAsia="Times New Roman"/>
                        </w:rPr>
                      </w:pPr>
                      <w:r>
                        <w:rPr>
                          <w:rFonts w:ascii="Arial" w:hAnsi="Arial"/>
                          <w:b/>
                          <w:kern w:val="24"/>
                        </w:rPr>
                        <w:t>Икономическото, социалното и териториалното сближаване е като при сценарий 1 плюс:</w:t>
                      </w:r>
                    </w:p>
                    <w:p>
                      <w:pPr>
                        <w:pStyle w:val="ListParagraph"/>
                        <w:numPr>
                          <w:ilvl w:val="1"/>
                          <w:numId w:val="23"/>
                        </w:numPr>
                        <w:spacing w:after="0" w:line="240" w:lineRule="auto"/>
                        <w:textAlignment w:val="baseline"/>
                        <w:rPr>
                          <w:rFonts w:eastAsia="Times New Roman"/>
                        </w:rPr>
                      </w:pPr>
                      <w:r>
                        <w:rPr>
                          <w:rFonts w:ascii="Arial" w:hAnsi="Arial"/>
                          <w:kern w:val="24"/>
                        </w:rPr>
                        <w:t>Засилено социално измерение (напр. гаранция за децата)</w:t>
                      </w:r>
                    </w:p>
                    <w:p>
                      <w:pPr>
                        <w:pStyle w:val="ListParagraph"/>
                        <w:numPr>
                          <w:ilvl w:val="1"/>
                          <w:numId w:val="23"/>
                        </w:numPr>
                        <w:spacing w:after="0" w:line="240" w:lineRule="auto"/>
                        <w:textAlignment w:val="baseline"/>
                        <w:rPr>
                          <w:rFonts w:eastAsia="Times New Roman"/>
                        </w:rPr>
                      </w:pPr>
                      <w:r>
                        <w:rPr>
                          <w:rFonts w:ascii="Arial" w:hAnsi="Arial"/>
                          <w:kern w:val="24"/>
                        </w:rPr>
                        <w:t>Засилено измерение, свързано с териториалното сътрудничество</w:t>
                      </w:r>
                    </w:p>
                    <w:p>
                      <w:pPr>
                        <w:pStyle w:val="ListParagraph"/>
                        <w:numPr>
                          <w:ilvl w:val="1"/>
                          <w:numId w:val="23"/>
                        </w:numPr>
                        <w:spacing w:after="0" w:line="240" w:lineRule="auto"/>
                        <w:textAlignment w:val="baseline"/>
                        <w:rPr>
                          <w:rFonts w:eastAsia="Times New Roman"/>
                        </w:rPr>
                      </w:pPr>
                      <w:r>
                        <w:rPr>
                          <w:rFonts w:ascii="Arial" w:hAnsi="Arial"/>
                          <w:kern w:val="24"/>
                        </w:rPr>
                        <w:t>Засилено градско измерение</w:t>
                      </w:r>
                    </w:p>
                    <w:p>
                      <w:pPr>
                        <w:pStyle w:val="ListParagraph"/>
                        <w:numPr>
                          <w:ilvl w:val="0"/>
                          <w:numId w:val="23"/>
                        </w:numPr>
                        <w:spacing w:after="0" w:line="240" w:lineRule="auto"/>
                        <w:textAlignment w:val="baseline"/>
                        <w:rPr>
                          <w:rFonts w:eastAsia="Times New Roman"/>
                        </w:rPr>
                      </w:pPr>
                      <w:r>
                        <w:rPr>
                          <w:rFonts w:ascii="Arial" w:hAnsi="Arial"/>
                          <w:b/>
                          <w:kern w:val="24"/>
                        </w:rPr>
                        <w:t>Новите приоритети и приоритетите с висока добавена стойност са като при сценарий 4</w:t>
                      </w:r>
                    </w:p>
                    <w:p>
                      <w:pPr>
                        <w:pStyle w:val="ListParagraph"/>
                        <w:numPr>
                          <w:ilvl w:val="0"/>
                          <w:numId w:val="23"/>
                        </w:numPr>
                        <w:spacing w:after="0" w:line="240" w:lineRule="auto"/>
                        <w:textAlignment w:val="baseline"/>
                        <w:rPr>
                          <w:rFonts w:eastAsia="Times New Roman"/>
                        </w:rPr>
                      </w:pPr>
                      <w:r>
                        <w:rPr>
                          <w:rFonts w:ascii="Arial" w:hAnsi="Arial"/>
                          <w:b/>
                          <w:kern w:val="24"/>
                        </w:rPr>
                        <w:t>Структурните реформи са обвързани с европейския семестър</w:t>
                      </w:r>
                    </w:p>
                    <w:p>
                      <w:pPr>
                        <w:pStyle w:val="ListParagraph"/>
                        <w:numPr>
                          <w:ilvl w:val="1"/>
                          <w:numId w:val="23"/>
                        </w:numPr>
                        <w:spacing w:after="0" w:line="240" w:lineRule="auto"/>
                        <w:textAlignment w:val="baseline"/>
                        <w:rPr>
                          <w:rFonts w:eastAsia="Times New Roman"/>
                        </w:rPr>
                      </w:pPr>
                      <w:r>
                        <w:rPr>
                          <w:rFonts w:ascii="Arial" w:hAnsi="Arial"/>
                          <w:kern w:val="24"/>
                        </w:rPr>
                        <w:t>Положителни стимули чрез политиката на сближаване или чрез специално създаден за целта фонд</w:t>
                      </w:r>
                    </w:p>
                    <w:p>
                      <w:pPr>
                        <w:pStyle w:val="ListParagraph"/>
                        <w:numPr>
                          <w:ilvl w:val="0"/>
                          <w:numId w:val="23"/>
                        </w:numPr>
                        <w:spacing w:after="0" w:line="240" w:lineRule="auto"/>
                        <w:textAlignment w:val="baseline"/>
                        <w:rPr>
                          <w:rFonts w:eastAsia="Times New Roman"/>
                        </w:rPr>
                      </w:pPr>
                      <w:r>
                        <w:rPr>
                          <w:rFonts w:ascii="Arial" w:hAnsi="Arial"/>
                          <w:b/>
                          <w:kern w:val="24"/>
                        </w:rPr>
                        <w:t xml:space="preserve">Обща сигурност и отбрана, общо финансиране и общо възлагане на обществени поръчки, бюджет на ЕС, допълнен с извънбюджетен фонд </w:t>
                      </w:r>
                    </w:p>
                    <w:p>
                      <w:pPr>
                        <w:pStyle w:val="ListParagraph"/>
                        <w:numPr>
                          <w:ilvl w:val="0"/>
                          <w:numId w:val="23"/>
                        </w:numPr>
                        <w:spacing w:after="0" w:line="240" w:lineRule="auto"/>
                        <w:textAlignment w:val="baseline"/>
                        <w:rPr>
                          <w:rFonts w:eastAsia="Times New Roman"/>
                        </w:rPr>
                      </w:pPr>
                      <w:r>
                        <w:rPr>
                          <w:rFonts w:ascii="Arial" w:hAnsi="Arial"/>
                          <w:b/>
                          <w:kern w:val="24"/>
                        </w:rPr>
                        <w:t>Фонд за рисков капитал</w:t>
                      </w:r>
                    </w:p>
                    <w:p>
                      <w:pPr>
                        <w:pStyle w:val="ListParagraph"/>
                        <w:numPr>
                          <w:ilvl w:val="0"/>
                          <w:numId w:val="23"/>
                        </w:numPr>
                        <w:spacing w:after="0" w:line="240" w:lineRule="auto"/>
                        <w:textAlignment w:val="baseline"/>
                        <w:rPr>
                          <w:rFonts w:eastAsia="Times New Roman"/>
                        </w:rPr>
                      </w:pPr>
                      <w:r>
                        <w:rPr>
                          <w:rFonts w:ascii="Arial" w:hAnsi="Arial"/>
                          <w:b/>
                          <w:kern w:val="24"/>
                        </w:rPr>
                        <w:t>Цялостен бюджет за еврозоната и Европейски валутен фонд</w:t>
                      </w:r>
                    </w:p>
                    <w:p>
                      <w:pPr>
                        <w:pStyle w:val="ListParagraph"/>
                        <w:numPr>
                          <w:ilvl w:val="0"/>
                          <w:numId w:val="23"/>
                        </w:numPr>
                        <w:spacing w:after="0" w:line="240" w:lineRule="auto"/>
                        <w:textAlignment w:val="baseline"/>
                        <w:rPr>
                          <w:rFonts w:eastAsia="Times New Roman"/>
                        </w:rPr>
                      </w:pPr>
                      <w:r>
                        <w:rPr>
                          <w:rFonts w:ascii="Arial" w:hAnsi="Arial"/>
                          <w:b/>
                          <w:kern w:val="24"/>
                        </w:rPr>
                        <w:t>Външните действия са подсилени; Европейският фонд за развитие е включен в бюджета</w:t>
                      </w:r>
                    </w:p>
                    <w:p>
                      <w:pPr>
                        <w:pStyle w:val="NormalWeb"/>
                        <w:spacing w:after="0"/>
                        <w:textAlignment w:val="baseline"/>
                        <w:rPr>
                          <w:rFonts w:eastAsiaTheme="minorEastAsia"/>
                        </w:rPr>
                      </w:pPr>
                      <w:r>
                        <w:rPr>
                          <w:rFonts w:ascii="Arial" w:hAnsi="Arial"/>
                          <w:b/>
                          <w:kern w:val="24"/>
                          <w:sz w:val="28"/>
                        </w:rPr>
                        <w:t>Приходи</w:t>
                      </w:r>
                    </w:p>
                    <w:p>
                      <w:pPr>
                        <w:pStyle w:val="ListParagraph"/>
                        <w:numPr>
                          <w:ilvl w:val="0"/>
                          <w:numId w:val="24"/>
                        </w:numPr>
                        <w:spacing w:after="0" w:line="240" w:lineRule="auto"/>
                        <w:textAlignment w:val="baseline"/>
                        <w:rPr>
                          <w:rFonts w:eastAsia="Times New Roman"/>
                        </w:rPr>
                      </w:pPr>
                      <w:r>
                        <w:rPr>
                          <w:rFonts w:ascii="Arial" w:hAnsi="Arial"/>
                          <w:b/>
                          <w:kern w:val="24"/>
                        </w:rPr>
                        <w:t>Задълбочена реформа, надхвърляща сценарий 4</w:t>
                      </w:r>
                    </w:p>
                    <w:p>
                      <w:pPr>
                        <w:pStyle w:val="ListParagraph"/>
                        <w:numPr>
                          <w:ilvl w:val="0"/>
                          <w:numId w:val="24"/>
                        </w:numPr>
                        <w:spacing w:after="0" w:line="240" w:lineRule="auto"/>
                        <w:textAlignment w:val="baseline"/>
                        <w:rPr>
                          <w:rFonts w:eastAsia="Times New Roman"/>
                        </w:rPr>
                      </w:pPr>
                      <w:r>
                        <w:rPr>
                          <w:rFonts w:ascii="Arial" w:hAnsi="Arial"/>
                          <w:b/>
                          <w:kern w:val="24"/>
                        </w:rPr>
                        <w:t xml:space="preserve">Нови собствени ресурси финансират голяма част от бюджета на ЕС и подпомагат постигането на целите на политиката </w:t>
                      </w:r>
                    </w:p>
                    <w:p>
                      <w:pPr>
                        <w:pStyle w:val="ListParagraph"/>
                        <w:numPr>
                          <w:ilvl w:val="0"/>
                          <w:numId w:val="24"/>
                        </w:numPr>
                        <w:spacing w:after="0" w:line="240" w:lineRule="auto"/>
                        <w:textAlignment w:val="baseline"/>
                        <w:rPr>
                          <w:rFonts w:eastAsia="Times New Roman"/>
                        </w:rPr>
                      </w:pPr>
                      <w:r>
                        <w:rPr>
                          <w:rFonts w:ascii="Arial" w:hAnsi="Arial"/>
                          <w:b/>
                          <w:kern w:val="24"/>
                        </w:rPr>
                        <w:t xml:space="preserve">Бюджетът на ЕС се финансира с други източници на приходи или с такси </w:t>
                      </w:r>
                    </w:p>
                  </w:txbxContent>
                </v:textbox>
              </v:rect>
            </w:pict>
          </mc:Fallback>
        </mc:AlternateContent>
      </w:r>
      <w:r>
        <w:rPr>
          <w:rFonts w:ascii="Times New Roman" w:hAnsi="Times New Roman"/>
          <w:b/>
          <w:noProof/>
          <w:sz w:val="24"/>
        </w:rPr>
        <w:t xml:space="preserve"> </w:t>
      </w:r>
    </w:p>
    <w:p w:rsidR="00497646" w:rsidRDefault="00497646">
      <w:pPr>
        <w:rPr>
          <w:rFonts w:ascii="Times New Roman" w:hAnsi="Times New Roman" w:cs="Times New Roman"/>
          <w:b/>
          <w:noProof/>
          <w:sz w:val="24"/>
          <w:szCs w:val="24"/>
        </w:rPr>
        <w:sectPr w:rsidR="00497646">
          <w:headerReference w:type="even" r:id="rId42"/>
          <w:headerReference w:type="default" r:id="rId43"/>
          <w:footerReference w:type="even" r:id="rId44"/>
          <w:footerReference w:type="default" r:id="rId45"/>
          <w:headerReference w:type="first" r:id="rId46"/>
          <w:footerReference w:type="first" r:id="rId47"/>
          <w:pgSz w:w="16838" w:h="11906" w:orient="landscape"/>
          <w:pgMar w:top="1417" w:right="1134" w:bottom="1106" w:left="960" w:header="709" w:footer="709" w:gutter="0"/>
          <w:cols w:space="720"/>
          <w:docGrid w:linePitch="299"/>
        </w:sectPr>
      </w:pPr>
    </w:p>
    <w:p w:rsidR="00497646" w:rsidRDefault="00B05ABE">
      <w:pPr>
        <w:pStyle w:val="Heading1"/>
        <w:spacing w:before="120" w:after="240"/>
        <w:ind w:left="709" w:hanging="709"/>
        <w:rPr>
          <w:noProof/>
        </w:rPr>
      </w:pPr>
      <w:r>
        <w:rPr>
          <w:noProof/>
        </w:rPr>
        <w:t>6.</w:t>
      </w:r>
      <w:r>
        <w:rPr>
          <w:noProof/>
        </w:rPr>
        <w:tab/>
        <w:t>ЗАКЛЮЧЕНИЯ: ФИНАНСИРАНЕ НА БЪДЕЩЕТО НА ЕС</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Бюджетът на ЕС, а всъщност и Европейският съюз като цяло, ще се промени след 2020 г.  Едно е сигурно: запазването на статуквото не е възможен вариант за нашия Съюз.  Бюджетът на ЕС ще трябва да бъде опростен, да стане по-гъвкав и по-рационализиран и да поз</w:t>
      </w:r>
      <w:r>
        <w:rPr>
          <w:rFonts w:ascii="Times New Roman" w:hAnsi="Times New Roman"/>
          <w:noProof/>
          <w:sz w:val="24"/>
        </w:rPr>
        <w:t xml:space="preserve">волява средствата да се разходват по-ефективно.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Как ще се промени бюджетът — и за какво ще се използва той — зависи от това какво бъдеще искаме за нашия Съюз и от равнището на амбиция, което ще изберем за съвместната си работа, за да оформим това бъдеще.</w:t>
      </w:r>
      <w:r>
        <w:rPr>
          <w:rFonts w:ascii="Times New Roman" w:hAnsi="Times New Roman"/>
          <w:noProof/>
          <w:sz w:val="24"/>
        </w:rPr>
        <w:t xml:space="preserve">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В настоящия документ за размисъл са описани няколко варианта и сценария за бъдещата посока на развитие на бюджета и за начина, по който той може да бъде използван. Целта му е да стимулира допълнителни дебати за това в каква посока ще се развива Съюзът и</w:t>
      </w:r>
      <w:r>
        <w:rPr>
          <w:rFonts w:ascii="Times New Roman" w:hAnsi="Times New Roman"/>
          <w:noProof/>
          <w:sz w:val="24"/>
        </w:rPr>
        <w:t xml:space="preserve"> какво искаме да постигнем заедно.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Настоящият документ е последният от 5-те документа за размисъл след Бялата книга за бъдещето на Европа.  В тези 6 документа, взети заедно, са изложени редица идеи, концепции и възможности за бъдещето на ЕС с 27 държави.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Обхватът и задълбочеността на деба</w:t>
      </w:r>
      <w:r>
        <w:rPr>
          <w:rFonts w:ascii="Times New Roman" w:hAnsi="Times New Roman"/>
          <w:noProof/>
          <w:sz w:val="24"/>
        </w:rPr>
        <w:t xml:space="preserve">тите и дискусиите, които Бялата книга и документите за размисъл са стимулирали до момента, показват колко важни са тези въпроси.  Това обсъждане следва да продължи през втората половина на 2017 г. с възможно най-обширни дебати, за да се гарантира, че цяла </w:t>
      </w:r>
      <w:r>
        <w:rPr>
          <w:rFonts w:ascii="Times New Roman" w:hAnsi="Times New Roman"/>
          <w:noProof/>
          <w:sz w:val="24"/>
        </w:rPr>
        <w:t xml:space="preserve">Европа обмисля внимателно своето бъдеще. Председателят Юнкер ще представи тези идеи и ще изрази собственото си становище в речта си относно състоянието на Съюза през септември.  </w:t>
      </w:r>
    </w:p>
    <w:p w:rsidR="00497646" w:rsidRDefault="00B05ABE">
      <w:pPr>
        <w:spacing w:after="240" w:line="240" w:lineRule="auto"/>
        <w:jc w:val="both"/>
        <w:rPr>
          <w:rFonts w:ascii="Times New Roman" w:hAnsi="Times New Roman" w:cs="Times New Roman"/>
          <w:noProof/>
          <w:sz w:val="24"/>
          <w:szCs w:val="24"/>
        </w:rPr>
      </w:pPr>
      <w:r>
        <w:rPr>
          <w:rFonts w:ascii="Times New Roman" w:hAnsi="Times New Roman"/>
          <w:noProof/>
          <w:sz w:val="24"/>
        </w:rPr>
        <w:t>Що се отнася до следващата многогодишна финансова рамка, Комисията ще разглед</w:t>
      </w:r>
      <w:r>
        <w:rPr>
          <w:rFonts w:ascii="Times New Roman" w:hAnsi="Times New Roman"/>
          <w:noProof/>
          <w:sz w:val="24"/>
        </w:rPr>
        <w:t xml:space="preserve">а всички реакции и отговори по отношение на Бялата книга и документите за размисъл. По този начин Комисията ще може да представи предложенията си за следващата многогодишна финансова рамка около средата на 2018 г. </w:t>
      </w:r>
    </w:p>
    <w:p w:rsidR="00497646" w:rsidRDefault="00B05ABE">
      <w:pPr>
        <w:pStyle w:val="Heading1"/>
        <w:spacing w:before="120" w:after="240"/>
        <w:ind w:left="709" w:hanging="709"/>
        <w:rPr>
          <w:rFonts w:ascii="Times New Roman" w:hAnsi="Times New Roman" w:cs="Times New Roman"/>
          <w:noProof/>
          <w:sz w:val="24"/>
          <w:szCs w:val="24"/>
        </w:rPr>
      </w:pPr>
      <w:r>
        <w:rPr>
          <w:rFonts w:ascii="Times New Roman" w:hAnsi="Times New Roman"/>
          <w:noProof/>
          <w:sz w:val="24"/>
        </w:rPr>
        <w:t xml:space="preserve"> </w:t>
      </w:r>
    </w:p>
    <w:sectPr w:rsidR="00497646">
      <w:headerReference w:type="even" r:id="rId48"/>
      <w:headerReference w:type="default" r:id="rId49"/>
      <w:footerReference w:type="even" r:id="rId50"/>
      <w:footerReference w:type="default" r:id="rId51"/>
      <w:headerReference w:type="first" r:id="rId52"/>
      <w:footerReference w:type="first" r:id="rId53"/>
      <w:pgSz w:w="11906" w:h="16838"/>
      <w:pgMar w:top="1134" w:right="1106" w:bottom="960" w:left="1417" w:header="709" w:footer="709"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F5C9BA" w15:done="0"/>
  <w15:commentEx w15:paraId="72908F17" w15:done="0"/>
  <w15:commentEx w15:paraId="16A61272" w15:done="0"/>
  <w15:commentEx w15:paraId="7C1E6877" w15:done="0"/>
  <w15:commentEx w15:paraId="2C44732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646" w:rsidRDefault="00B05ABE">
      <w:pPr>
        <w:spacing w:after="0" w:line="240" w:lineRule="auto"/>
      </w:pPr>
      <w:r>
        <w:separator/>
      </w:r>
    </w:p>
  </w:endnote>
  <w:endnote w:type="continuationSeparator" w:id="0">
    <w:p w:rsidR="00497646" w:rsidRDefault="00B05ABE">
      <w:pPr>
        <w:spacing w:after="0" w:line="240" w:lineRule="auto"/>
      </w:pPr>
      <w:r>
        <w:continuationSeparator/>
      </w:r>
    </w:p>
  </w:endnote>
  <w:endnote w:type="continuationNotice" w:id="1">
    <w:p w:rsidR="00497646" w:rsidRDefault="004976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C Square Sans Pro">
    <w:panose1 w:val="020B0506040000020004"/>
    <w:charset w:val="00"/>
    <w:family w:val="swiss"/>
    <w:pitch w:val="variable"/>
    <w:sig w:usb0="A00002B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EC Square Sans Pro Light">
    <w:altName w:val="Corbel"/>
    <w:panose1 w:val="020B050600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49764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49764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523574"/>
      <w:docPartObj>
        <w:docPartGallery w:val="Page Numbers (Bottom of Page)"/>
        <w:docPartUnique/>
      </w:docPartObj>
    </w:sdtPr>
    <w:sdtEndPr>
      <w:rPr>
        <w:noProof/>
      </w:rPr>
    </w:sdtEndPr>
    <w:sdtContent>
      <w:p w:rsidR="00497646" w:rsidRDefault="00B05ABE">
        <w:pPr>
          <w:pStyle w:val="Footer"/>
          <w:jc w:val="center"/>
        </w:pPr>
        <w:r>
          <w:fldChar w:fldCharType="begin"/>
        </w:r>
        <w:r>
          <w:instrText xml:space="preserve"> PAGE   \* MERGEFORMAT </w:instrText>
        </w:r>
        <w:r>
          <w:fldChar w:fldCharType="separate"/>
        </w:r>
        <w:r>
          <w:rPr>
            <w:noProof/>
          </w:rPr>
          <w:t>41</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4976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B05ABE">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497646">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49764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349413"/>
      <w:docPartObj>
        <w:docPartGallery w:val="Page Numbers (Bottom of Page)"/>
        <w:docPartUnique/>
      </w:docPartObj>
    </w:sdtPr>
    <w:sdtEndPr>
      <w:rPr>
        <w:noProof/>
      </w:rPr>
    </w:sdtEndPr>
    <w:sdtContent>
      <w:p w:rsidR="00497646" w:rsidRDefault="00B05A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49764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49764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982818"/>
      <w:docPartObj>
        <w:docPartGallery w:val="Page Numbers (Bottom of Page)"/>
        <w:docPartUnique/>
      </w:docPartObj>
    </w:sdtPr>
    <w:sdtEndPr>
      <w:rPr>
        <w:noProof/>
      </w:rPr>
    </w:sdtEndPr>
    <w:sdtContent>
      <w:p w:rsidR="00497646" w:rsidRDefault="00B05ABE">
        <w:pPr>
          <w:pStyle w:val="Footer"/>
          <w:jc w:val="center"/>
        </w:pPr>
        <w:r>
          <w:fldChar w:fldCharType="begin"/>
        </w:r>
        <w:r>
          <w:instrText xml:space="preserve"> PAGE   \* MERG</w:instrText>
        </w:r>
        <w:r>
          <w:instrText xml:space="preserve">EFORMAT </w:instrText>
        </w:r>
        <w:r>
          <w:fldChar w:fldCharType="separate"/>
        </w:r>
        <w:r>
          <w:rPr>
            <w:noProof/>
          </w:rPr>
          <w:t>36</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4976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646" w:rsidRDefault="00B05ABE">
      <w:pPr>
        <w:spacing w:after="0" w:line="240" w:lineRule="auto"/>
      </w:pPr>
      <w:r>
        <w:separator/>
      </w:r>
    </w:p>
  </w:footnote>
  <w:footnote w:type="continuationSeparator" w:id="0">
    <w:p w:rsidR="00497646" w:rsidRDefault="00B05ABE">
      <w:pPr>
        <w:spacing w:after="0" w:line="240" w:lineRule="auto"/>
      </w:pPr>
      <w:r>
        <w:continuationSeparator/>
      </w:r>
    </w:p>
  </w:footnote>
  <w:footnote w:type="continuationNotice" w:id="1">
    <w:p w:rsidR="00497646" w:rsidRDefault="00497646">
      <w:pPr>
        <w:spacing w:after="0" w:line="240" w:lineRule="auto"/>
      </w:pPr>
    </w:p>
  </w:footnote>
  <w:footnote w:id="2">
    <w:p w:rsidR="00497646" w:rsidRDefault="00B05ABE">
      <w:pPr>
        <w:pStyle w:val="FootnoteText"/>
      </w:pPr>
      <w:r>
        <w:rPr>
          <w:rStyle w:val="FootnoteReference"/>
        </w:rPr>
        <w:footnoteRef/>
      </w:r>
      <w:r>
        <w:t xml:space="preserve"> През септември 2016 г. Комисията внесе предложение за укрепване и разширяване на Европейския фонд за стратегически инвестиции до 2020 г.</w:t>
      </w:r>
    </w:p>
  </w:footnote>
  <w:footnote w:id="3">
    <w:p w:rsidR="00497646" w:rsidRDefault="00B05ABE">
      <w:pPr>
        <w:pStyle w:val="FootnoteText"/>
        <w:jc w:val="both"/>
      </w:pPr>
      <w:r>
        <w:rPr>
          <w:rStyle w:val="FootnoteReference"/>
        </w:rPr>
        <w:footnoteRef/>
      </w:r>
      <w:r>
        <w:t xml:space="preserve"> „Галилео“ е европейската глобална навигационна спътникова система, която предоставя гама от услуги за определ</w:t>
      </w:r>
      <w:r>
        <w:t>яне на местоположението, навигация и синхронизация на ползватели в целия свят. „Коперник“ е програмата на ЕС за наблюдение и мониторинг на Земята за целите, например, на селското стопанство, анализ на климата, гражданската защита и управлението на извънред</w:t>
      </w:r>
      <w:r>
        <w:t>ни ситуации. Международният експериментален термоядрен реактор (ITER) е най-голямото научно партньорство в света, което има за цел да докаже, че термоядреният синтез е жизнеспособен и устойчив източник на енергия, като ЕС е най-големият донор в партньорств</w:t>
      </w:r>
      <w:r>
        <w:t>о с Япония, Китай, Индия, Южна Корея, Русия и САЩ.</w:t>
      </w:r>
    </w:p>
  </w:footnote>
  <w:footnote w:id="4">
    <w:p w:rsidR="00497646" w:rsidRDefault="00B05ABE">
      <w:pPr>
        <w:pStyle w:val="FootnoteText"/>
      </w:pPr>
      <w:r>
        <w:rPr>
          <w:rStyle w:val="FootnoteReference"/>
        </w:rPr>
        <w:footnoteRef/>
      </w:r>
      <w:r>
        <w:t xml:space="preserve"> Вж. специално проучване 461 на Евробарометър „Проектиране на бъдещето на Европа“, публикувано на 28 юни 2017 г.</w:t>
      </w:r>
    </w:p>
  </w:footnote>
  <w:footnote w:id="5">
    <w:p w:rsidR="00497646" w:rsidRDefault="00B05ABE">
      <w:pPr>
        <w:pStyle w:val="FootnoteText"/>
        <w:ind w:left="426" w:hanging="426"/>
      </w:pPr>
      <w:r>
        <w:rPr>
          <w:rStyle w:val="FootnoteReference"/>
        </w:rPr>
        <w:footnoteRef/>
      </w:r>
      <w:r>
        <w:t xml:space="preserve"> </w:t>
      </w:r>
      <w:r>
        <w:tab/>
        <w:t xml:space="preserve">Глобалната стратегия в областта на външните работи и политиката на сигурност на ЕС беше </w:t>
      </w:r>
      <w:r>
        <w:t>представена от върховния представител и заместник-председател на Европейската комисия Федерика Могерини на заседанието на Европейския съвет през юни 2016 г.</w:t>
      </w:r>
    </w:p>
  </w:footnote>
  <w:footnote w:id="6">
    <w:p w:rsidR="00497646" w:rsidRDefault="00B05ABE">
      <w:pPr>
        <w:pStyle w:val="FootnoteText"/>
        <w:ind w:left="426" w:hanging="426"/>
      </w:pPr>
      <w:r>
        <w:rPr>
          <w:rStyle w:val="FootnoteReference"/>
        </w:rPr>
        <w:footnoteRef/>
      </w:r>
      <w:r>
        <w:t xml:space="preserve"> </w:t>
      </w:r>
      <w:r>
        <w:tab/>
        <w:t>Програмата на ЕС за конкурентоспособност на предприятията и малките и средните предприятия.</w:t>
      </w:r>
    </w:p>
  </w:footnote>
  <w:footnote w:id="7">
    <w:p w:rsidR="00497646" w:rsidRDefault="00B05ABE">
      <w:pPr>
        <w:pStyle w:val="FootnoteText"/>
      </w:pPr>
      <w:r>
        <w:rPr>
          <w:rStyle w:val="FootnoteReference"/>
        </w:rPr>
        <w:footnoteRef/>
      </w:r>
      <w:r>
        <w:t xml:space="preserve"> Ин</w:t>
      </w:r>
      <w:r>
        <w:t>формационното табло на ЕС в областта на правосъдието следи редица фактори, свързани с качеството, независимостта и ефективността на националните правосъдни системи, като например независимостта на съдиите.</w:t>
      </w:r>
    </w:p>
  </w:footnote>
  <w:footnote w:id="8">
    <w:p w:rsidR="00497646" w:rsidRDefault="00B05ABE">
      <w:pPr>
        <w:pStyle w:val="FootnoteText"/>
        <w:ind w:left="426" w:hanging="426"/>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1">
        <w:r>
          <w:rPr>
            <w:rStyle w:val="Hyperlink"/>
            <w:rFonts w:ascii="Times New Roman" w:hAnsi="Times New Roman" w:cs="Times New Roman"/>
          </w:rPr>
          <w:t>http://ec.europa.eu/budget/mff/hlgor/library/reports-communication/hlgor-report_20170104.pdf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49764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B05A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3171" o:spid="_x0000_s2050" type="#_x0000_t136" style="position:absolute;margin-left:0;margin-top:0;width:508.8pt;height:152.6pt;rotation:315;z-index:-251658239;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497646">
    <w:pPr>
      <w:pStyle w:val="Header"/>
    </w:pPr>
  </w:p>
  <w:p w:rsidR="00497646" w:rsidRDefault="0049764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B05A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3170" o:spid="_x0000_s2049" type="#_x0000_t136" style="position:absolute;margin-left:0;margin-top:0;width:508.8pt;height:152.6pt;rotation:315;z-index:-251658240;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497646">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497646">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B05A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08.8pt;height:152.6pt;rotation:315;z-index:-251656191;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49764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B05A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508.8pt;height:152.6pt;rotation:315;z-index:-251655167;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B05A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508.8pt;height:152.6pt;rotation:315;z-index:-251653119;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49764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646" w:rsidRDefault="00B05A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0;margin-top:0;width:508.8pt;height:152.6pt;rotation:315;z-index:-251654143;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23D48"/>
    <w:multiLevelType w:val="hybridMultilevel"/>
    <w:tmpl w:val="703656DA"/>
    <w:lvl w:ilvl="0" w:tplc="5F1E91E0">
      <w:start w:val="1"/>
      <w:numFmt w:val="bullet"/>
      <w:lvlText w:val="•"/>
      <w:lvlJc w:val="left"/>
      <w:pPr>
        <w:tabs>
          <w:tab w:val="num" w:pos="720"/>
        </w:tabs>
        <w:ind w:left="720" w:hanging="360"/>
      </w:pPr>
      <w:rPr>
        <w:rFonts w:ascii="Arial" w:hAnsi="Arial" w:hint="default"/>
      </w:rPr>
    </w:lvl>
    <w:lvl w:ilvl="1" w:tplc="BC3A6E86">
      <w:start w:val="1"/>
      <w:numFmt w:val="bullet"/>
      <w:lvlText w:val="•"/>
      <w:lvlJc w:val="left"/>
      <w:pPr>
        <w:tabs>
          <w:tab w:val="num" w:pos="1440"/>
        </w:tabs>
        <w:ind w:left="1440" w:hanging="360"/>
      </w:pPr>
      <w:rPr>
        <w:rFonts w:ascii="Arial" w:hAnsi="Arial" w:hint="default"/>
      </w:rPr>
    </w:lvl>
    <w:lvl w:ilvl="2" w:tplc="661EFD6A">
      <w:start w:val="6158"/>
      <w:numFmt w:val="bullet"/>
      <w:lvlText w:val="•"/>
      <w:lvlJc w:val="left"/>
      <w:pPr>
        <w:tabs>
          <w:tab w:val="num" w:pos="2160"/>
        </w:tabs>
        <w:ind w:left="2160" w:hanging="360"/>
      </w:pPr>
      <w:rPr>
        <w:rFonts w:ascii="Arial" w:hAnsi="Arial" w:hint="default"/>
      </w:rPr>
    </w:lvl>
    <w:lvl w:ilvl="3" w:tplc="62D05E2E" w:tentative="1">
      <w:start w:val="1"/>
      <w:numFmt w:val="bullet"/>
      <w:lvlText w:val="•"/>
      <w:lvlJc w:val="left"/>
      <w:pPr>
        <w:tabs>
          <w:tab w:val="num" w:pos="2880"/>
        </w:tabs>
        <w:ind w:left="2880" w:hanging="360"/>
      </w:pPr>
      <w:rPr>
        <w:rFonts w:ascii="Arial" w:hAnsi="Arial" w:hint="default"/>
      </w:rPr>
    </w:lvl>
    <w:lvl w:ilvl="4" w:tplc="7F323024" w:tentative="1">
      <w:start w:val="1"/>
      <w:numFmt w:val="bullet"/>
      <w:lvlText w:val="•"/>
      <w:lvlJc w:val="left"/>
      <w:pPr>
        <w:tabs>
          <w:tab w:val="num" w:pos="3600"/>
        </w:tabs>
        <w:ind w:left="3600" w:hanging="360"/>
      </w:pPr>
      <w:rPr>
        <w:rFonts w:ascii="Arial" w:hAnsi="Arial" w:hint="default"/>
      </w:rPr>
    </w:lvl>
    <w:lvl w:ilvl="5" w:tplc="5172E744" w:tentative="1">
      <w:start w:val="1"/>
      <w:numFmt w:val="bullet"/>
      <w:lvlText w:val="•"/>
      <w:lvlJc w:val="left"/>
      <w:pPr>
        <w:tabs>
          <w:tab w:val="num" w:pos="4320"/>
        </w:tabs>
        <w:ind w:left="4320" w:hanging="360"/>
      </w:pPr>
      <w:rPr>
        <w:rFonts w:ascii="Arial" w:hAnsi="Arial" w:hint="default"/>
      </w:rPr>
    </w:lvl>
    <w:lvl w:ilvl="6" w:tplc="A4FABE68" w:tentative="1">
      <w:start w:val="1"/>
      <w:numFmt w:val="bullet"/>
      <w:lvlText w:val="•"/>
      <w:lvlJc w:val="left"/>
      <w:pPr>
        <w:tabs>
          <w:tab w:val="num" w:pos="5040"/>
        </w:tabs>
        <w:ind w:left="5040" w:hanging="360"/>
      </w:pPr>
      <w:rPr>
        <w:rFonts w:ascii="Arial" w:hAnsi="Arial" w:hint="default"/>
      </w:rPr>
    </w:lvl>
    <w:lvl w:ilvl="7" w:tplc="55BEC692" w:tentative="1">
      <w:start w:val="1"/>
      <w:numFmt w:val="bullet"/>
      <w:lvlText w:val="•"/>
      <w:lvlJc w:val="left"/>
      <w:pPr>
        <w:tabs>
          <w:tab w:val="num" w:pos="5760"/>
        </w:tabs>
        <w:ind w:left="5760" w:hanging="360"/>
      </w:pPr>
      <w:rPr>
        <w:rFonts w:ascii="Arial" w:hAnsi="Arial" w:hint="default"/>
      </w:rPr>
    </w:lvl>
    <w:lvl w:ilvl="8" w:tplc="84CC0B36" w:tentative="1">
      <w:start w:val="1"/>
      <w:numFmt w:val="bullet"/>
      <w:lvlText w:val="•"/>
      <w:lvlJc w:val="left"/>
      <w:pPr>
        <w:tabs>
          <w:tab w:val="num" w:pos="6480"/>
        </w:tabs>
        <w:ind w:left="6480" w:hanging="360"/>
      </w:pPr>
      <w:rPr>
        <w:rFonts w:ascii="Arial" w:hAnsi="Arial" w:hint="default"/>
      </w:rPr>
    </w:lvl>
  </w:abstractNum>
  <w:abstractNum w:abstractNumId="1">
    <w:nsid w:val="0DD605A2"/>
    <w:multiLevelType w:val="hybridMultilevel"/>
    <w:tmpl w:val="7702E52E"/>
    <w:lvl w:ilvl="0" w:tplc="9F1CA04E">
      <w:start w:val="1"/>
      <w:numFmt w:val="bullet"/>
      <w:lvlText w:val="•"/>
      <w:lvlJc w:val="left"/>
      <w:pPr>
        <w:tabs>
          <w:tab w:val="num" w:pos="720"/>
        </w:tabs>
        <w:ind w:left="720" w:hanging="360"/>
      </w:pPr>
      <w:rPr>
        <w:rFonts w:ascii="Arial" w:hAnsi="Arial" w:hint="default"/>
      </w:rPr>
    </w:lvl>
    <w:lvl w:ilvl="1" w:tplc="6012EA22">
      <w:start w:val="4435"/>
      <w:numFmt w:val="bullet"/>
      <w:lvlText w:val="•"/>
      <w:lvlJc w:val="left"/>
      <w:pPr>
        <w:tabs>
          <w:tab w:val="num" w:pos="1440"/>
        </w:tabs>
        <w:ind w:left="1440" w:hanging="360"/>
      </w:pPr>
      <w:rPr>
        <w:rFonts w:ascii="Arial" w:hAnsi="Arial" w:hint="default"/>
      </w:rPr>
    </w:lvl>
    <w:lvl w:ilvl="2" w:tplc="BB1800B6" w:tentative="1">
      <w:start w:val="1"/>
      <w:numFmt w:val="bullet"/>
      <w:lvlText w:val="•"/>
      <w:lvlJc w:val="left"/>
      <w:pPr>
        <w:tabs>
          <w:tab w:val="num" w:pos="2160"/>
        </w:tabs>
        <w:ind w:left="2160" w:hanging="360"/>
      </w:pPr>
      <w:rPr>
        <w:rFonts w:ascii="Arial" w:hAnsi="Arial" w:hint="default"/>
      </w:rPr>
    </w:lvl>
    <w:lvl w:ilvl="3" w:tplc="C108C6AC" w:tentative="1">
      <w:start w:val="1"/>
      <w:numFmt w:val="bullet"/>
      <w:lvlText w:val="•"/>
      <w:lvlJc w:val="left"/>
      <w:pPr>
        <w:tabs>
          <w:tab w:val="num" w:pos="2880"/>
        </w:tabs>
        <w:ind w:left="2880" w:hanging="360"/>
      </w:pPr>
      <w:rPr>
        <w:rFonts w:ascii="Arial" w:hAnsi="Arial" w:hint="default"/>
      </w:rPr>
    </w:lvl>
    <w:lvl w:ilvl="4" w:tplc="34BA1B46" w:tentative="1">
      <w:start w:val="1"/>
      <w:numFmt w:val="bullet"/>
      <w:lvlText w:val="•"/>
      <w:lvlJc w:val="left"/>
      <w:pPr>
        <w:tabs>
          <w:tab w:val="num" w:pos="3600"/>
        </w:tabs>
        <w:ind w:left="3600" w:hanging="360"/>
      </w:pPr>
      <w:rPr>
        <w:rFonts w:ascii="Arial" w:hAnsi="Arial" w:hint="default"/>
      </w:rPr>
    </w:lvl>
    <w:lvl w:ilvl="5" w:tplc="9880DEC8" w:tentative="1">
      <w:start w:val="1"/>
      <w:numFmt w:val="bullet"/>
      <w:lvlText w:val="•"/>
      <w:lvlJc w:val="left"/>
      <w:pPr>
        <w:tabs>
          <w:tab w:val="num" w:pos="4320"/>
        </w:tabs>
        <w:ind w:left="4320" w:hanging="360"/>
      </w:pPr>
      <w:rPr>
        <w:rFonts w:ascii="Arial" w:hAnsi="Arial" w:hint="default"/>
      </w:rPr>
    </w:lvl>
    <w:lvl w:ilvl="6" w:tplc="47D8B54C" w:tentative="1">
      <w:start w:val="1"/>
      <w:numFmt w:val="bullet"/>
      <w:lvlText w:val="•"/>
      <w:lvlJc w:val="left"/>
      <w:pPr>
        <w:tabs>
          <w:tab w:val="num" w:pos="5040"/>
        </w:tabs>
        <w:ind w:left="5040" w:hanging="360"/>
      </w:pPr>
      <w:rPr>
        <w:rFonts w:ascii="Arial" w:hAnsi="Arial" w:hint="default"/>
      </w:rPr>
    </w:lvl>
    <w:lvl w:ilvl="7" w:tplc="DB001BD0" w:tentative="1">
      <w:start w:val="1"/>
      <w:numFmt w:val="bullet"/>
      <w:lvlText w:val="•"/>
      <w:lvlJc w:val="left"/>
      <w:pPr>
        <w:tabs>
          <w:tab w:val="num" w:pos="5760"/>
        </w:tabs>
        <w:ind w:left="5760" w:hanging="360"/>
      </w:pPr>
      <w:rPr>
        <w:rFonts w:ascii="Arial" w:hAnsi="Arial" w:hint="default"/>
      </w:rPr>
    </w:lvl>
    <w:lvl w:ilvl="8" w:tplc="54940CF0" w:tentative="1">
      <w:start w:val="1"/>
      <w:numFmt w:val="bullet"/>
      <w:lvlText w:val="•"/>
      <w:lvlJc w:val="left"/>
      <w:pPr>
        <w:tabs>
          <w:tab w:val="num" w:pos="6480"/>
        </w:tabs>
        <w:ind w:left="6480" w:hanging="360"/>
      </w:pPr>
      <w:rPr>
        <w:rFonts w:ascii="Arial" w:hAnsi="Arial" w:hint="default"/>
      </w:rPr>
    </w:lvl>
  </w:abstractNum>
  <w:abstractNum w:abstractNumId="2">
    <w:nsid w:val="10D9063E"/>
    <w:multiLevelType w:val="hybridMultilevel"/>
    <w:tmpl w:val="4CB2C56A"/>
    <w:lvl w:ilvl="0" w:tplc="0AA83EFA">
      <w:start w:val="1"/>
      <w:numFmt w:val="bullet"/>
      <w:lvlText w:val="•"/>
      <w:lvlJc w:val="left"/>
      <w:pPr>
        <w:tabs>
          <w:tab w:val="num" w:pos="720"/>
        </w:tabs>
        <w:ind w:left="720" w:hanging="360"/>
      </w:pPr>
      <w:rPr>
        <w:rFonts w:ascii="Arial" w:hAnsi="Arial" w:hint="default"/>
      </w:rPr>
    </w:lvl>
    <w:lvl w:ilvl="1" w:tplc="890E4680" w:tentative="1">
      <w:start w:val="1"/>
      <w:numFmt w:val="bullet"/>
      <w:lvlText w:val="•"/>
      <w:lvlJc w:val="left"/>
      <w:pPr>
        <w:tabs>
          <w:tab w:val="num" w:pos="1440"/>
        </w:tabs>
        <w:ind w:left="1440" w:hanging="360"/>
      </w:pPr>
      <w:rPr>
        <w:rFonts w:ascii="Arial" w:hAnsi="Arial" w:hint="default"/>
      </w:rPr>
    </w:lvl>
    <w:lvl w:ilvl="2" w:tplc="33140B98" w:tentative="1">
      <w:start w:val="1"/>
      <w:numFmt w:val="bullet"/>
      <w:lvlText w:val="•"/>
      <w:lvlJc w:val="left"/>
      <w:pPr>
        <w:tabs>
          <w:tab w:val="num" w:pos="2160"/>
        </w:tabs>
        <w:ind w:left="2160" w:hanging="360"/>
      </w:pPr>
      <w:rPr>
        <w:rFonts w:ascii="Arial" w:hAnsi="Arial" w:hint="default"/>
      </w:rPr>
    </w:lvl>
    <w:lvl w:ilvl="3" w:tplc="07049836" w:tentative="1">
      <w:start w:val="1"/>
      <w:numFmt w:val="bullet"/>
      <w:lvlText w:val="•"/>
      <w:lvlJc w:val="left"/>
      <w:pPr>
        <w:tabs>
          <w:tab w:val="num" w:pos="2880"/>
        </w:tabs>
        <w:ind w:left="2880" w:hanging="360"/>
      </w:pPr>
      <w:rPr>
        <w:rFonts w:ascii="Arial" w:hAnsi="Arial" w:hint="default"/>
      </w:rPr>
    </w:lvl>
    <w:lvl w:ilvl="4" w:tplc="BC6E63DC" w:tentative="1">
      <w:start w:val="1"/>
      <w:numFmt w:val="bullet"/>
      <w:lvlText w:val="•"/>
      <w:lvlJc w:val="left"/>
      <w:pPr>
        <w:tabs>
          <w:tab w:val="num" w:pos="3600"/>
        </w:tabs>
        <w:ind w:left="3600" w:hanging="360"/>
      </w:pPr>
      <w:rPr>
        <w:rFonts w:ascii="Arial" w:hAnsi="Arial" w:hint="default"/>
      </w:rPr>
    </w:lvl>
    <w:lvl w:ilvl="5" w:tplc="88F47378" w:tentative="1">
      <w:start w:val="1"/>
      <w:numFmt w:val="bullet"/>
      <w:lvlText w:val="•"/>
      <w:lvlJc w:val="left"/>
      <w:pPr>
        <w:tabs>
          <w:tab w:val="num" w:pos="4320"/>
        </w:tabs>
        <w:ind w:left="4320" w:hanging="360"/>
      </w:pPr>
      <w:rPr>
        <w:rFonts w:ascii="Arial" w:hAnsi="Arial" w:hint="default"/>
      </w:rPr>
    </w:lvl>
    <w:lvl w:ilvl="6" w:tplc="312255F0" w:tentative="1">
      <w:start w:val="1"/>
      <w:numFmt w:val="bullet"/>
      <w:lvlText w:val="•"/>
      <w:lvlJc w:val="left"/>
      <w:pPr>
        <w:tabs>
          <w:tab w:val="num" w:pos="5040"/>
        </w:tabs>
        <w:ind w:left="5040" w:hanging="360"/>
      </w:pPr>
      <w:rPr>
        <w:rFonts w:ascii="Arial" w:hAnsi="Arial" w:hint="default"/>
      </w:rPr>
    </w:lvl>
    <w:lvl w:ilvl="7" w:tplc="7478B69A" w:tentative="1">
      <w:start w:val="1"/>
      <w:numFmt w:val="bullet"/>
      <w:lvlText w:val="•"/>
      <w:lvlJc w:val="left"/>
      <w:pPr>
        <w:tabs>
          <w:tab w:val="num" w:pos="5760"/>
        </w:tabs>
        <w:ind w:left="5760" w:hanging="360"/>
      </w:pPr>
      <w:rPr>
        <w:rFonts w:ascii="Arial" w:hAnsi="Arial" w:hint="default"/>
      </w:rPr>
    </w:lvl>
    <w:lvl w:ilvl="8" w:tplc="DC46FF98" w:tentative="1">
      <w:start w:val="1"/>
      <w:numFmt w:val="bullet"/>
      <w:lvlText w:val="•"/>
      <w:lvlJc w:val="left"/>
      <w:pPr>
        <w:tabs>
          <w:tab w:val="num" w:pos="6480"/>
        </w:tabs>
        <w:ind w:left="6480" w:hanging="360"/>
      </w:pPr>
      <w:rPr>
        <w:rFonts w:ascii="Arial" w:hAnsi="Arial" w:hint="default"/>
      </w:rPr>
    </w:lvl>
  </w:abstractNum>
  <w:abstractNum w:abstractNumId="3">
    <w:nsid w:val="121D041C"/>
    <w:multiLevelType w:val="hybridMultilevel"/>
    <w:tmpl w:val="EC063248"/>
    <w:lvl w:ilvl="0" w:tplc="B8B21A10">
      <w:start w:val="1"/>
      <w:numFmt w:val="bullet"/>
      <w:pStyle w:val="Tiret1"/>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13206DD2"/>
    <w:multiLevelType w:val="hybridMultilevel"/>
    <w:tmpl w:val="AF5E14BE"/>
    <w:lvl w:ilvl="0" w:tplc="24425D76">
      <w:start w:val="1"/>
      <w:numFmt w:val="bullet"/>
      <w:lvlText w:val="•"/>
      <w:lvlJc w:val="left"/>
      <w:pPr>
        <w:tabs>
          <w:tab w:val="num" w:pos="720"/>
        </w:tabs>
        <w:ind w:left="720" w:hanging="360"/>
      </w:pPr>
      <w:rPr>
        <w:rFonts w:ascii="Arial" w:hAnsi="Arial" w:hint="default"/>
      </w:rPr>
    </w:lvl>
    <w:lvl w:ilvl="1" w:tplc="CBAE7DE6">
      <w:start w:val="1"/>
      <w:numFmt w:val="bullet"/>
      <w:lvlText w:val="•"/>
      <w:lvlJc w:val="left"/>
      <w:pPr>
        <w:tabs>
          <w:tab w:val="num" w:pos="1440"/>
        </w:tabs>
        <w:ind w:left="1440" w:hanging="360"/>
      </w:pPr>
      <w:rPr>
        <w:rFonts w:ascii="Arial" w:hAnsi="Arial" w:hint="default"/>
      </w:rPr>
    </w:lvl>
    <w:lvl w:ilvl="2" w:tplc="80B63768" w:tentative="1">
      <w:start w:val="1"/>
      <w:numFmt w:val="bullet"/>
      <w:lvlText w:val="•"/>
      <w:lvlJc w:val="left"/>
      <w:pPr>
        <w:tabs>
          <w:tab w:val="num" w:pos="2160"/>
        </w:tabs>
        <w:ind w:left="2160" w:hanging="360"/>
      </w:pPr>
      <w:rPr>
        <w:rFonts w:ascii="Arial" w:hAnsi="Arial" w:hint="default"/>
      </w:rPr>
    </w:lvl>
    <w:lvl w:ilvl="3" w:tplc="1520EC8A" w:tentative="1">
      <w:start w:val="1"/>
      <w:numFmt w:val="bullet"/>
      <w:lvlText w:val="•"/>
      <w:lvlJc w:val="left"/>
      <w:pPr>
        <w:tabs>
          <w:tab w:val="num" w:pos="2880"/>
        </w:tabs>
        <w:ind w:left="2880" w:hanging="360"/>
      </w:pPr>
      <w:rPr>
        <w:rFonts w:ascii="Arial" w:hAnsi="Arial" w:hint="default"/>
      </w:rPr>
    </w:lvl>
    <w:lvl w:ilvl="4" w:tplc="EBBC44A0" w:tentative="1">
      <w:start w:val="1"/>
      <w:numFmt w:val="bullet"/>
      <w:lvlText w:val="•"/>
      <w:lvlJc w:val="left"/>
      <w:pPr>
        <w:tabs>
          <w:tab w:val="num" w:pos="3600"/>
        </w:tabs>
        <w:ind w:left="3600" w:hanging="360"/>
      </w:pPr>
      <w:rPr>
        <w:rFonts w:ascii="Arial" w:hAnsi="Arial" w:hint="default"/>
      </w:rPr>
    </w:lvl>
    <w:lvl w:ilvl="5" w:tplc="456EF3A0" w:tentative="1">
      <w:start w:val="1"/>
      <w:numFmt w:val="bullet"/>
      <w:lvlText w:val="•"/>
      <w:lvlJc w:val="left"/>
      <w:pPr>
        <w:tabs>
          <w:tab w:val="num" w:pos="4320"/>
        </w:tabs>
        <w:ind w:left="4320" w:hanging="360"/>
      </w:pPr>
      <w:rPr>
        <w:rFonts w:ascii="Arial" w:hAnsi="Arial" w:hint="default"/>
      </w:rPr>
    </w:lvl>
    <w:lvl w:ilvl="6" w:tplc="0BCCE2BA" w:tentative="1">
      <w:start w:val="1"/>
      <w:numFmt w:val="bullet"/>
      <w:lvlText w:val="•"/>
      <w:lvlJc w:val="left"/>
      <w:pPr>
        <w:tabs>
          <w:tab w:val="num" w:pos="5040"/>
        </w:tabs>
        <w:ind w:left="5040" w:hanging="360"/>
      </w:pPr>
      <w:rPr>
        <w:rFonts w:ascii="Arial" w:hAnsi="Arial" w:hint="default"/>
      </w:rPr>
    </w:lvl>
    <w:lvl w:ilvl="7" w:tplc="B53E9A0A" w:tentative="1">
      <w:start w:val="1"/>
      <w:numFmt w:val="bullet"/>
      <w:lvlText w:val="•"/>
      <w:lvlJc w:val="left"/>
      <w:pPr>
        <w:tabs>
          <w:tab w:val="num" w:pos="5760"/>
        </w:tabs>
        <w:ind w:left="5760" w:hanging="360"/>
      </w:pPr>
      <w:rPr>
        <w:rFonts w:ascii="Arial" w:hAnsi="Arial" w:hint="default"/>
      </w:rPr>
    </w:lvl>
    <w:lvl w:ilvl="8" w:tplc="13ACFE1A" w:tentative="1">
      <w:start w:val="1"/>
      <w:numFmt w:val="bullet"/>
      <w:lvlText w:val="•"/>
      <w:lvlJc w:val="left"/>
      <w:pPr>
        <w:tabs>
          <w:tab w:val="num" w:pos="6480"/>
        </w:tabs>
        <w:ind w:left="6480" w:hanging="360"/>
      </w:pPr>
      <w:rPr>
        <w:rFonts w:ascii="Arial" w:hAnsi="Arial" w:hint="default"/>
      </w:rPr>
    </w:lvl>
  </w:abstractNum>
  <w:abstractNum w:abstractNumId="5">
    <w:nsid w:val="17C21CCA"/>
    <w:multiLevelType w:val="hybridMultilevel"/>
    <w:tmpl w:val="6204BE4A"/>
    <w:lvl w:ilvl="0" w:tplc="61DCCF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DD3599"/>
    <w:multiLevelType w:val="multilevel"/>
    <w:tmpl w:val="E04EAB78"/>
    <w:lvl w:ilvl="0">
      <w:start w:val="1"/>
      <w:numFmt w:val="decimal"/>
      <w:pStyle w:val="ListContinue5"/>
      <w:lvlText w:val="(%1)"/>
      <w:lvlJc w:val="left"/>
      <w:pPr>
        <w:tabs>
          <w:tab w:val="num" w:pos="709"/>
        </w:tabs>
        <w:ind w:left="709" w:hanging="709"/>
      </w:pPr>
      <w:rPr>
        <w:rFonts w:cs="Times New Roman"/>
        <w:i w:val="0"/>
      </w:rPr>
    </w:lvl>
    <w:lvl w:ilvl="1">
      <w:start w:val="1"/>
      <w:numFmt w:val="lowerLetter"/>
      <w:pStyle w:val="ListNumber1"/>
      <w:lvlText w:val="(%2)"/>
      <w:lvlJc w:val="left"/>
      <w:pPr>
        <w:tabs>
          <w:tab w:val="num" w:pos="1417"/>
        </w:tabs>
        <w:ind w:left="1417" w:hanging="708"/>
      </w:pPr>
      <w:rPr>
        <w:rFonts w:cs="Times New Roman"/>
      </w:rPr>
    </w:lvl>
    <w:lvl w:ilvl="2">
      <w:start w:val="1"/>
      <w:numFmt w:val="bullet"/>
      <w:pStyle w:val="ListNumber1Level2"/>
      <w:lvlText w:val="–"/>
      <w:lvlJc w:val="left"/>
      <w:pPr>
        <w:tabs>
          <w:tab w:val="num" w:pos="2126"/>
        </w:tabs>
        <w:ind w:left="2126" w:hanging="709"/>
      </w:pPr>
      <w:rPr>
        <w:rFonts w:ascii="Times New Roman" w:hAnsi="Times New Roman"/>
      </w:rPr>
    </w:lvl>
    <w:lvl w:ilvl="3">
      <w:start w:val="1"/>
      <w:numFmt w:val="bullet"/>
      <w:pStyle w:val="ListNumber1Level3"/>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2D8B6AFE"/>
    <w:multiLevelType w:val="hybridMultilevel"/>
    <w:tmpl w:val="E0D612AC"/>
    <w:lvl w:ilvl="0" w:tplc="9ADEC4BA">
      <w:start w:val="1"/>
      <w:numFmt w:val="bullet"/>
      <w:lvlText w:val="•"/>
      <w:lvlJc w:val="left"/>
      <w:pPr>
        <w:tabs>
          <w:tab w:val="num" w:pos="720"/>
        </w:tabs>
        <w:ind w:left="720" w:hanging="360"/>
      </w:pPr>
      <w:rPr>
        <w:rFonts w:ascii="Arial" w:hAnsi="Arial" w:hint="default"/>
      </w:rPr>
    </w:lvl>
    <w:lvl w:ilvl="1" w:tplc="CC128102">
      <w:start w:val="5308"/>
      <w:numFmt w:val="bullet"/>
      <w:lvlText w:val="•"/>
      <w:lvlJc w:val="left"/>
      <w:pPr>
        <w:tabs>
          <w:tab w:val="num" w:pos="1440"/>
        </w:tabs>
        <w:ind w:left="1440" w:hanging="360"/>
      </w:pPr>
      <w:rPr>
        <w:rFonts w:ascii="Arial" w:hAnsi="Arial" w:hint="default"/>
      </w:rPr>
    </w:lvl>
    <w:lvl w:ilvl="2" w:tplc="979E2718" w:tentative="1">
      <w:start w:val="1"/>
      <w:numFmt w:val="bullet"/>
      <w:lvlText w:val="•"/>
      <w:lvlJc w:val="left"/>
      <w:pPr>
        <w:tabs>
          <w:tab w:val="num" w:pos="2160"/>
        </w:tabs>
        <w:ind w:left="2160" w:hanging="360"/>
      </w:pPr>
      <w:rPr>
        <w:rFonts w:ascii="Arial" w:hAnsi="Arial" w:hint="default"/>
      </w:rPr>
    </w:lvl>
    <w:lvl w:ilvl="3" w:tplc="076E67BE" w:tentative="1">
      <w:start w:val="1"/>
      <w:numFmt w:val="bullet"/>
      <w:lvlText w:val="•"/>
      <w:lvlJc w:val="left"/>
      <w:pPr>
        <w:tabs>
          <w:tab w:val="num" w:pos="2880"/>
        </w:tabs>
        <w:ind w:left="2880" w:hanging="360"/>
      </w:pPr>
      <w:rPr>
        <w:rFonts w:ascii="Arial" w:hAnsi="Arial" w:hint="default"/>
      </w:rPr>
    </w:lvl>
    <w:lvl w:ilvl="4" w:tplc="64740F06" w:tentative="1">
      <w:start w:val="1"/>
      <w:numFmt w:val="bullet"/>
      <w:lvlText w:val="•"/>
      <w:lvlJc w:val="left"/>
      <w:pPr>
        <w:tabs>
          <w:tab w:val="num" w:pos="3600"/>
        </w:tabs>
        <w:ind w:left="3600" w:hanging="360"/>
      </w:pPr>
      <w:rPr>
        <w:rFonts w:ascii="Arial" w:hAnsi="Arial" w:hint="default"/>
      </w:rPr>
    </w:lvl>
    <w:lvl w:ilvl="5" w:tplc="B2A4C516" w:tentative="1">
      <w:start w:val="1"/>
      <w:numFmt w:val="bullet"/>
      <w:lvlText w:val="•"/>
      <w:lvlJc w:val="left"/>
      <w:pPr>
        <w:tabs>
          <w:tab w:val="num" w:pos="4320"/>
        </w:tabs>
        <w:ind w:left="4320" w:hanging="360"/>
      </w:pPr>
      <w:rPr>
        <w:rFonts w:ascii="Arial" w:hAnsi="Arial" w:hint="default"/>
      </w:rPr>
    </w:lvl>
    <w:lvl w:ilvl="6" w:tplc="808ACFFC" w:tentative="1">
      <w:start w:val="1"/>
      <w:numFmt w:val="bullet"/>
      <w:lvlText w:val="•"/>
      <w:lvlJc w:val="left"/>
      <w:pPr>
        <w:tabs>
          <w:tab w:val="num" w:pos="5040"/>
        </w:tabs>
        <w:ind w:left="5040" w:hanging="360"/>
      </w:pPr>
      <w:rPr>
        <w:rFonts w:ascii="Arial" w:hAnsi="Arial" w:hint="default"/>
      </w:rPr>
    </w:lvl>
    <w:lvl w:ilvl="7" w:tplc="771A9A7A" w:tentative="1">
      <w:start w:val="1"/>
      <w:numFmt w:val="bullet"/>
      <w:lvlText w:val="•"/>
      <w:lvlJc w:val="left"/>
      <w:pPr>
        <w:tabs>
          <w:tab w:val="num" w:pos="5760"/>
        </w:tabs>
        <w:ind w:left="5760" w:hanging="360"/>
      </w:pPr>
      <w:rPr>
        <w:rFonts w:ascii="Arial" w:hAnsi="Arial" w:hint="default"/>
      </w:rPr>
    </w:lvl>
    <w:lvl w:ilvl="8" w:tplc="D7EE656E" w:tentative="1">
      <w:start w:val="1"/>
      <w:numFmt w:val="bullet"/>
      <w:lvlText w:val="•"/>
      <w:lvlJc w:val="left"/>
      <w:pPr>
        <w:tabs>
          <w:tab w:val="num" w:pos="6480"/>
        </w:tabs>
        <w:ind w:left="6480" w:hanging="360"/>
      </w:pPr>
      <w:rPr>
        <w:rFonts w:ascii="Arial" w:hAnsi="Arial" w:hint="default"/>
      </w:rPr>
    </w:lvl>
  </w:abstractNum>
  <w:abstractNum w:abstractNumId="8">
    <w:nsid w:val="347E038C"/>
    <w:multiLevelType w:val="hybridMultilevel"/>
    <w:tmpl w:val="D3AE6278"/>
    <w:lvl w:ilvl="0" w:tplc="ED846C16">
      <w:start w:val="1"/>
      <w:numFmt w:val="bullet"/>
      <w:pStyle w:val="LTTBody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F002A16"/>
    <w:multiLevelType w:val="hybridMultilevel"/>
    <w:tmpl w:val="562C371E"/>
    <w:lvl w:ilvl="0" w:tplc="EF22B400">
      <w:numFmt w:val="bullet"/>
      <w:pStyle w:val="LTTbody2"/>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CA78F1"/>
    <w:multiLevelType w:val="hybridMultilevel"/>
    <w:tmpl w:val="0D385FAE"/>
    <w:lvl w:ilvl="0" w:tplc="33FA8A02">
      <w:start w:val="1"/>
      <w:numFmt w:val="bullet"/>
      <w:lvlText w:val="•"/>
      <w:lvlJc w:val="left"/>
      <w:pPr>
        <w:tabs>
          <w:tab w:val="num" w:pos="720"/>
        </w:tabs>
        <w:ind w:left="720" w:hanging="360"/>
      </w:pPr>
      <w:rPr>
        <w:rFonts w:ascii="Arial" w:hAnsi="Arial" w:hint="default"/>
      </w:rPr>
    </w:lvl>
    <w:lvl w:ilvl="1" w:tplc="E3B05668" w:tentative="1">
      <w:start w:val="1"/>
      <w:numFmt w:val="bullet"/>
      <w:lvlText w:val="•"/>
      <w:lvlJc w:val="left"/>
      <w:pPr>
        <w:tabs>
          <w:tab w:val="num" w:pos="1440"/>
        </w:tabs>
        <w:ind w:left="1440" w:hanging="360"/>
      </w:pPr>
      <w:rPr>
        <w:rFonts w:ascii="Arial" w:hAnsi="Arial" w:hint="default"/>
      </w:rPr>
    </w:lvl>
    <w:lvl w:ilvl="2" w:tplc="41D03ABA" w:tentative="1">
      <w:start w:val="1"/>
      <w:numFmt w:val="bullet"/>
      <w:lvlText w:val="•"/>
      <w:lvlJc w:val="left"/>
      <w:pPr>
        <w:tabs>
          <w:tab w:val="num" w:pos="2160"/>
        </w:tabs>
        <w:ind w:left="2160" w:hanging="360"/>
      </w:pPr>
      <w:rPr>
        <w:rFonts w:ascii="Arial" w:hAnsi="Arial" w:hint="default"/>
      </w:rPr>
    </w:lvl>
    <w:lvl w:ilvl="3" w:tplc="56902D50" w:tentative="1">
      <w:start w:val="1"/>
      <w:numFmt w:val="bullet"/>
      <w:lvlText w:val="•"/>
      <w:lvlJc w:val="left"/>
      <w:pPr>
        <w:tabs>
          <w:tab w:val="num" w:pos="2880"/>
        </w:tabs>
        <w:ind w:left="2880" w:hanging="360"/>
      </w:pPr>
      <w:rPr>
        <w:rFonts w:ascii="Arial" w:hAnsi="Arial" w:hint="default"/>
      </w:rPr>
    </w:lvl>
    <w:lvl w:ilvl="4" w:tplc="CE0C4250" w:tentative="1">
      <w:start w:val="1"/>
      <w:numFmt w:val="bullet"/>
      <w:lvlText w:val="•"/>
      <w:lvlJc w:val="left"/>
      <w:pPr>
        <w:tabs>
          <w:tab w:val="num" w:pos="3600"/>
        </w:tabs>
        <w:ind w:left="3600" w:hanging="360"/>
      </w:pPr>
      <w:rPr>
        <w:rFonts w:ascii="Arial" w:hAnsi="Arial" w:hint="default"/>
      </w:rPr>
    </w:lvl>
    <w:lvl w:ilvl="5" w:tplc="86642ADA" w:tentative="1">
      <w:start w:val="1"/>
      <w:numFmt w:val="bullet"/>
      <w:lvlText w:val="•"/>
      <w:lvlJc w:val="left"/>
      <w:pPr>
        <w:tabs>
          <w:tab w:val="num" w:pos="4320"/>
        </w:tabs>
        <w:ind w:left="4320" w:hanging="360"/>
      </w:pPr>
      <w:rPr>
        <w:rFonts w:ascii="Arial" w:hAnsi="Arial" w:hint="default"/>
      </w:rPr>
    </w:lvl>
    <w:lvl w:ilvl="6" w:tplc="3DDA485E" w:tentative="1">
      <w:start w:val="1"/>
      <w:numFmt w:val="bullet"/>
      <w:lvlText w:val="•"/>
      <w:lvlJc w:val="left"/>
      <w:pPr>
        <w:tabs>
          <w:tab w:val="num" w:pos="5040"/>
        </w:tabs>
        <w:ind w:left="5040" w:hanging="360"/>
      </w:pPr>
      <w:rPr>
        <w:rFonts w:ascii="Arial" w:hAnsi="Arial" w:hint="default"/>
      </w:rPr>
    </w:lvl>
    <w:lvl w:ilvl="7" w:tplc="8BE8E688" w:tentative="1">
      <w:start w:val="1"/>
      <w:numFmt w:val="bullet"/>
      <w:lvlText w:val="•"/>
      <w:lvlJc w:val="left"/>
      <w:pPr>
        <w:tabs>
          <w:tab w:val="num" w:pos="5760"/>
        </w:tabs>
        <w:ind w:left="5760" w:hanging="360"/>
      </w:pPr>
      <w:rPr>
        <w:rFonts w:ascii="Arial" w:hAnsi="Arial" w:hint="default"/>
      </w:rPr>
    </w:lvl>
    <w:lvl w:ilvl="8" w:tplc="8C94B5E6" w:tentative="1">
      <w:start w:val="1"/>
      <w:numFmt w:val="bullet"/>
      <w:lvlText w:val="•"/>
      <w:lvlJc w:val="left"/>
      <w:pPr>
        <w:tabs>
          <w:tab w:val="num" w:pos="6480"/>
        </w:tabs>
        <w:ind w:left="6480" w:hanging="360"/>
      </w:pPr>
      <w:rPr>
        <w:rFonts w:ascii="Arial" w:hAnsi="Arial" w:hint="default"/>
      </w:rPr>
    </w:lvl>
  </w:abstractNum>
  <w:abstractNum w:abstractNumId="11">
    <w:nsid w:val="43D22394"/>
    <w:multiLevelType w:val="hybridMultilevel"/>
    <w:tmpl w:val="4E44FCD2"/>
    <w:lvl w:ilvl="0" w:tplc="B956D0DE">
      <w:start w:val="1"/>
      <w:numFmt w:val="bullet"/>
      <w:lvlText w:val="•"/>
      <w:lvlJc w:val="left"/>
      <w:pPr>
        <w:tabs>
          <w:tab w:val="num" w:pos="720"/>
        </w:tabs>
        <w:ind w:left="720" w:hanging="360"/>
      </w:pPr>
      <w:rPr>
        <w:rFonts w:ascii="Arial" w:hAnsi="Arial" w:hint="default"/>
      </w:rPr>
    </w:lvl>
    <w:lvl w:ilvl="1" w:tplc="729ADFFE">
      <w:start w:val="5369"/>
      <w:numFmt w:val="bullet"/>
      <w:lvlText w:val="•"/>
      <w:lvlJc w:val="left"/>
      <w:pPr>
        <w:tabs>
          <w:tab w:val="num" w:pos="1440"/>
        </w:tabs>
        <w:ind w:left="1440" w:hanging="360"/>
      </w:pPr>
      <w:rPr>
        <w:rFonts w:ascii="Arial" w:hAnsi="Arial" w:hint="default"/>
      </w:rPr>
    </w:lvl>
    <w:lvl w:ilvl="2" w:tplc="9D428322" w:tentative="1">
      <w:start w:val="1"/>
      <w:numFmt w:val="bullet"/>
      <w:lvlText w:val="•"/>
      <w:lvlJc w:val="left"/>
      <w:pPr>
        <w:tabs>
          <w:tab w:val="num" w:pos="2160"/>
        </w:tabs>
        <w:ind w:left="2160" w:hanging="360"/>
      </w:pPr>
      <w:rPr>
        <w:rFonts w:ascii="Arial" w:hAnsi="Arial" w:hint="default"/>
      </w:rPr>
    </w:lvl>
    <w:lvl w:ilvl="3" w:tplc="4A5AF332" w:tentative="1">
      <w:start w:val="1"/>
      <w:numFmt w:val="bullet"/>
      <w:lvlText w:val="•"/>
      <w:lvlJc w:val="left"/>
      <w:pPr>
        <w:tabs>
          <w:tab w:val="num" w:pos="2880"/>
        </w:tabs>
        <w:ind w:left="2880" w:hanging="360"/>
      </w:pPr>
      <w:rPr>
        <w:rFonts w:ascii="Arial" w:hAnsi="Arial" w:hint="default"/>
      </w:rPr>
    </w:lvl>
    <w:lvl w:ilvl="4" w:tplc="8BDAA604" w:tentative="1">
      <w:start w:val="1"/>
      <w:numFmt w:val="bullet"/>
      <w:lvlText w:val="•"/>
      <w:lvlJc w:val="left"/>
      <w:pPr>
        <w:tabs>
          <w:tab w:val="num" w:pos="3600"/>
        </w:tabs>
        <w:ind w:left="3600" w:hanging="360"/>
      </w:pPr>
      <w:rPr>
        <w:rFonts w:ascii="Arial" w:hAnsi="Arial" w:hint="default"/>
      </w:rPr>
    </w:lvl>
    <w:lvl w:ilvl="5" w:tplc="8ACE79E8" w:tentative="1">
      <w:start w:val="1"/>
      <w:numFmt w:val="bullet"/>
      <w:lvlText w:val="•"/>
      <w:lvlJc w:val="left"/>
      <w:pPr>
        <w:tabs>
          <w:tab w:val="num" w:pos="4320"/>
        </w:tabs>
        <w:ind w:left="4320" w:hanging="360"/>
      </w:pPr>
      <w:rPr>
        <w:rFonts w:ascii="Arial" w:hAnsi="Arial" w:hint="default"/>
      </w:rPr>
    </w:lvl>
    <w:lvl w:ilvl="6" w:tplc="35685DE0" w:tentative="1">
      <w:start w:val="1"/>
      <w:numFmt w:val="bullet"/>
      <w:lvlText w:val="•"/>
      <w:lvlJc w:val="left"/>
      <w:pPr>
        <w:tabs>
          <w:tab w:val="num" w:pos="5040"/>
        </w:tabs>
        <w:ind w:left="5040" w:hanging="360"/>
      </w:pPr>
      <w:rPr>
        <w:rFonts w:ascii="Arial" w:hAnsi="Arial" w:hint="default"/>
      </w:rPr>
    </w:lvl>
    <w:lvl w:ilvl="7" w:tplc="BC30125E" w:tentative="1">
      <w:start w:val="1"/>
      <w:numFmt w:val="bullet"/>
      <w:lvlText w:val="•"/>
      <w:lvlJc w:val="left"/>
      <w:pPr>
        <w:tabs>
          <w:tab w:val="num" w:pos="5760"/>
        </w:tabs>
        <w:ind w:left="5760" w:hanging="360"/>
      </w:pPr>
      <w:rPr>
        <w:rFonts w:ascii="Arial" w:hAnsi="Arial" w:hint="default"/>
      </w:rPr>
    </w:lvl>
    <w:lvl w:ilvl="8" w:tplc="E29613CA" w:tentative="1">
      <w:start w:val="1"/>
      <w:numFmt w:val="bullet"/>
      <w:lvlText w:val="•"/>
      <w:lvlJc w:val="left"/>
      <w:pPr>
        <w:tabs>
          <w:tab w:val="num" w:pos="6480"/>
        </w:tabs>
        <w:ind w:left="6480" w:hanging="360"/>
      </w:pPr>
      <w:rPr>
        <w:rFonts w:ascii="Arial" w:hAnsi="Arial" w:hint="default"/>
      </w:rPr>
    </w:lvl>
  </w:abstractNum>
  <w:abstractNum w:abstractNumId="12">
    <w:nsid w:val="458D6A60"/>
    <w:multiLevelType w:val="multilevel"/>
    <w:tmpl w:val="88B890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4BF07AE9"/>
    <w:multiLevelType w:val="hybridMultilevel"/>
    <w:tmpl w:val="1CB0F0EA"/>
    <w:lvl w:ilvl="0" w:tplc="E14A6A0E">
      <w:start w:val="1"/>
      <w:numFmt w:val="bullet"/>
      <w:lvlText w:val="•"/>
      <w:lvlJc w:val="left"/>
      <w:pPr>
        <w:tabs>
          <w:tab w:val="num" w:pos="720"/>
        </w:tabs>
        <w:ind w:left="720" w:hanging="360"/>
      </w:pPr>
      <w:rPr>
        <w:rFonts w:ascii="Arial" w:hAnsi="Arial" w:hint="default"/>
      </w:rPr>
    </w:lvl>
    <w:lvl w:ilvl="1" w:tplc="239A4986" w:tentative="1">
      <w:start w:val="1"/>
      <w:numFmt w:val="bullet"/>
      <w:lvlText w:val="•"/>
      <w:lvlJc w:val="left"/>
      <w:pPr>
        <w:tabs>
          <w:tab w:val="num" w:pos="1440"/>
        </w:tabs>
        <w:ind w:left="1440" w:hanging="360"/>
      </w:pPr>
      <w:rPr>
        <w:rFonts w:ascii="Arial" w:hAnsi="Arial" w:hint="default"/>
      </w:rPr>
    </w:lvl>
    <w:lvl w:ilvl="2" w:tplc="0616C006" w:tentative="1">
      <w:start w:val="1"/>
      <w:numFmt w:val="bullet"/>
      <w:lvlText w:val="•"/>
      <w:lvlJc w:val="left"/>
      <w:pPr>
        <w:tabs>
          <w:tab w:val="num" w:pos="2160"/>
        </w:tabs>
        <w:ind w:left="2160" w:hanging="360"/>
      </w:pPr>
      <w:rPr>
        <w:rFonts w:ascii="Arial" w:hAnsi="Arial" w:hint="default"/>
      </w:rPr>
    </w:lvl>
    <w:lvl w:ilvl="3" w:tplc="1E5621AC" w:tentative="1">
      <w:start w:val="1"/>
      <w:numFmt w:val="bullet"/>
      <w:lvlText w:val="•"/>
      <w:lvlJc w:val="left"/>
      <w:pPr>
        <w:tabs>
          <w:tab w:val="num" w:pos="2880"/>
        </w:tabs>
        <w:ind w:left="2880" w:hanging="360"/>
      </w:pPr>
      <w:rPr>
        <w:rFonts w:ascii="Arial" w:hAnsi="Arial" w:hint="default"/>
      </w:rPr>
    </w:lvl>
    <w:lvl w:ilvl="4" w:tplc="1782529E" w:tentative="1">
      <w:start w:val="1"/>
      <w:numFmt w:val="bullet"/>
      <w:lvlText w:val="•"/>
      <w:lvlJc w:val="left"/>
      <w:pPr>
        <w:tabs>
          <w:tab w:val="num" w:pos="3600"/>
        </w:tabs>
        <w:ind w:left="3600" w:hanging="360"/>
      </w:pPr>
      <w:rPr>
        <w:rFonts w:ascii="Arial" w:hAnsi="Arial" w:hint="default"/>
      </w:rPr>
    </w:lvl>
    <w:lvl w:ilvl="5" w:tplc="0178C3F0" w:tentative="1">
      <w:start w:val="1"/>
      <w:numFmt w:val="bullet"/>
      <w:lvlText w:val="•"/>
      <w:lvlJc w:val="left"/>
      <w:pPr>
        <w:tabs>
          <w:tab w:val="num" w:pos="4320"/>
        </w:tabs>
        <w:ind w:left="4320" w:hanging="360"/>
      </w:pPr>
      <w:rPr>
        <w:rFonts w:ascii="Arial" w:hAnsi="Arial" w:hint="default"/>
      </w:rPr>
    </w:lvl>
    <w:lvl w:ilvl="6" w:tplc="411425C6" w:tentative="1">
      <w:start w:val="1"/>
      <w:numFmt w:val="bullet"/>
      <w:lvlText w:val="•"/>
      <w:lvlJc w:val="left"/>
      <w:pPr>
        <w:tabs>
          <w:tab w:val="num" w:pos="5040"/>
        </w:tabs>
        <w:ind w:left="5040" w:hanging="360"/>
      </w:pPr>
      <w:rPr>
        <w:rFonts w:ascii="Arial" w:hAnsi="Arial" w:hint="default"/>
      </w:rPr>
    </w:lvl>
    <w:lvl w:ilvl="7" w:tplc="9AE4BDF8" w:tentative="1">
      <w:start w:val="1"/>
      <w:numFmt w:val="bullet"/>
      <w:lvlText w:val="•"/>
      <w:lvlJc w:val="left"/>
      <w:pPr>
        <w:tabs>
          <w:tab w:val="num" w:pos="5760"/>
        </w:tabs>
        <w:ind w:left="5760" w:hanging="360"/>
      </w:pPr>
      <w:rPr>
        <w:rFonts w:ascii="Arial" w:hAnsi="Arial" w:hint="default"/>
      </w:rPr>
    </w:lvl>
    <w:lvl w:ilvl="8" w:tplc="42BC75D6" w:tentative="1">
      <w:start w:val="1"/>
      <w:numFmt w:val="bullet"/>
      <w:lvlText w:val="•"/>
      <w:lvlJc w:val="left"/>
      <w:pPr>
        <w:tabs>
          <w:tab w:val="num" w:pos="6480"/>
        </w:tabs>
        <w:ind w:left="6480" w:hanging="360"/>
      </w:pPr>
      <w:rPr>
        <w:rFonts w:ascii="Arial" w:hAnsi="Arial" w:hint="default"/>
      </w:rPr>
    </w:lvl>
  </w:abstractNum>
  <w:abstractNum w:abstractNumId="14">
    <w:nsid w:val="4C9531FC"/>
    <w:multiLevelType w:val="hybridMultilevel"/>
    <w:tmpl w:val="8E745AEA"/>
    <w:lvl w:ilvl="0" w:tplc="20DAA5EE">
      <w:start w:val="1"/>
      <w:numFmt w:val="bullet"/>
      <w:lvlText w:val="•"/>
      <w:lvlJc w:val="left"/>
      <w:pPr>
        <w:tabs>
          <w:tab w:val="num" w:pos="720"/>
        </w:tabs>
        <w:ind w:left="720" w:hanging="360"/>
      </w:pPr>
      <w:rPr>
        <w:rFonts w:ascii="Arial" w:hAnsi="Arial" w:hint="default"/>
      </w:rPr>
    </w:lvl>
    <w:lvl w:ilvl="1" w:tplc="336AE9FC" w:tentative="1">
      <w:start w:val="1"/>
      <w:numFmt w:val="bullet"/>
      <w:lvlText w:val="•"/>
      <w:lvlJc w:val="left"/>
      <w:pPr>
        <w:tabs>
          <w:tab w:val="num" w:pos="1440"/>
        </w:tabs>
        <w:ind w:left="1440" w:hanging="360"/>
      </w:pPr>
      <w:rPr>
        <w:rFonts w:ascii="Arial" w:hAnsi="Arial" w:hint="default"/>
      </w:rPr>
    </w:lvl>
    <w:lvl w:ilvl="2" w:tplc="FC7E18F8" w:tentative="1">
      <w:start w:val="1"/>
      <w:numFmt w:val="bullet"/>
      <w:lvlText w:val="•"/>
      <w:lvlJc w:val="left"/>
      <w:pPr>
        <w:tabs>
          <w:tab w:val="num" w:pos="2160"/>
        </w:tabs>
        <w:ind w:left="2160" w:hanging="360"/>
      </w:pPr>
      <w:rPr>
        <w:rFonts w:ascii="Arial" w:hAnsi="Arial" w:hint="default"/>
      </w:rPr>
    </w:lvl>
    <w:lvl w:ilvl="3" w:tplc="3A901F54" w:tentative="1">
      <w:start w:val="1"/>
      <w:numFmt w:val="bullet"/>
      <w:lvlText w:val="•"/>
      <w:lvlJc w:val="left"/>
      <w:pPr>
        <w:tabs>
          <w:tab w:val="num" w:pos="2880"/>
        </w:tabs>
        <w:ind w:left="2880" w:hanging="360"/>
      </w:pPr>
      <w:rPr>
        <w:rFonts w:ascii="Arial" w:hAnsi="Arial" w:hint="default"/>
      </w:rPr>
    </w:lvl>
    <w:lvl w:ilvl="4" w:tplc="1F486882" w:tentative="1">
      <w:start w:val="1"/>
      <w:numFmt w:val="bullet"/>
      <w:lvlText w:val="•"/>
      <w:lvlJc w:val="left"/>
      <w:pPr>
        <w:tabs>
          <w:tab w:val="num" w:pos="3600"/>
        </w:tabs>
        <w:ind w:left="3600" w:hanging="360"/>
      </w:pPr>
      <w:rPr>
        <w:rFonts w:ascii="Arial" w:hAnsi="Arial" w:hint="default"/>
      </w:rPr>
    </w:lvl>
    <w:lvl w:ilvl="5" w:tplc="AB846E9C" w:tentative="1">
      <w:start w:val="1"/>
      <w:numFmt w:val="bullet"/>
      <w:lvlText w:val="•"/>
      <w:lvlJc w:val="left"/>
      <w:pPr>
        <w:tabs>
          <w:tab w:val="num" w:pos="4320"/>
        </w:tabs>
        <w:ind w:left="4320" w:hanging="360"/>
      </w:pPr>
      <w:rPr>
        <w:rFonts w:ascii="Arial" w:hAnsi="Arial" w:hint="default"/>
      </w:rPr>
    </w:lvl>
    <w:lvl w:ilvl="6" w:tplc="EB74791A" w:tentative="1">
      <w:start w:val="1"/>
      <w:numFmt w:val="bullet"/>
      <w:lvlText w:val="•"/>
      <w:lvlJc w:val="left"/>
      <w:pPr>
        <w:tabs>
          <w:tab w:val="num" w:pos="5040"/>
        </w:tabs>
        <w:ind w:left="5040" w:hanging="360"/>
      </w:pPr>
      <w:rPr>
        <w:rFonts w:ascii="Arial" w:hAnsi="Arial" w:hint="default"/>
      </w:rPr>
    </w:lvl>
    <w:lvl w:ilvl="7" w:tplc="787002B2" w:tentative="1">
      <w:start w:val="1"/>
      <w:numFmt w:val="bullet"/>
      <w:lvlText w:val="•"/>
      <w:lvlJc w:val="left"/>
      <w:pPr>
        <w:tabs>
          <w:tab w:val="num" w:pos="5760"/>
        </w:tabs>
        <w:ind w:left="5760" w:hanging="360"/>
      </w:pPr>
      <w:rPr>
        <w:rFonts w:ascii="Arial" w:hAnsi="Arial" w:hint="default"/>
      </w:rPr>
    </w:lvl>
    <w:lvl w:ilvl="8" w:tplc="CE9A8CEE" w:tentative="1">
      <w:start w:val="1"/>
      <w:numFmt w:val="bullet"/>
      <w:lvlText w:val="•"/>
      <w:lvlJc w:val="left"/>
      <w:pPr>
        <w:tabs>
          <w:tab w:val="num" w:pos="6480"/>
        </w:tabs>
        <w:ind w:left="6480" w:hanging="360"/>
      </w:pPr>
      <w:rPr>
        <w:rFonts w:ascii="Arial" w:hAnsi="Arial" w:hint="default"/>
      </w:rPr>
    </w:lvl>
  </w:abstractNum>
  <w:abstractNum w:abstractNumId="15">
    <w:nsid w:val="4F5239BE"/>
    <w:multiLevelType w:val="hybridMultilevel"/>
    <w:tmpl w:val="FC46B75E"/>
    <w:lvl w:ilvl="0" w:tplc="0A20A8D4">
      <w:start w:val="1"/>
      <w:numFmt w:val="bullet"/>
      <w:lvlText w:val="•"/>
      <w:lvlJc w:val="left"/>
      <w:pPr>
        <w:tabs>
          <w:tab w:val="num" w:pos="720"/>
        </w:tabs>
        <w:ind w:left="720" w:hanging="360"/>
      </w:pPr>
      <w:rPr>
        <w:rFonts w:ascii="Arial" w:hAnsi="Arial" w:hint="default"/>
      </w:rPr>
    </w:lvl>
    <w:lvl w:ilvl="1" w:tplc="74822AA4" w:tentative="1">
      <w:start w:val="1"/>
      <w:numFmt w:val="bullet"/>
      <w:lvlText w:val="•"/>
      <w:lvlJc w:val="left"/>
      <w:pPr>
        <w:tabs>
          <w:tab w:val="num" w:pos="1440"/>
        </w:tabs>
        <w:ind w:left="1440" w:hanging="360"/>
      </w:pPr>
      <w:rPr>
        <w:rFonts w:ascii="Arial" w:hAnsi="Arial" w:hint="default"/>
      </w:rPr>
    </w:lvl>
    <w:lvl w:ilvl="2" w:tplc="4CB42432" w:tentative="1">
      <w:start w:val="1"/>
      <w:numFmt w:val="bullet"/>
      <w:lvlText w:val="•"/>
      <w:lvlJc w:val="left"/>
      <w:pPr>
        <w:tabs>
          <w:tab w:val="num" w:pos="2160"/>
        </w:tabs>
        <w:ind w:left="2160" w:hanging="360"/>
      </w:pPr>
      <w:rPr>
        <w:rFonts w:ascii="Arial" w:hAnsi="Arial" w:hint="default"/>
      </w:rPr>
    </w:lvl>
    <w:lvl w:ilvl="3" w:tplc="D46A6A60" w:tentative="1">
      <w:start w:val="1"/>
      <w:numFmt w:val="bullet"/>
      <w:lvlText w:val="•"/>
      <w:lvlJc w:val="left"/>
      <w:pPr>
        <w:tabs>
          <w:tab w:val="num" w:pos="2880"/>
        </w:tabs>
        <w:ind w:left="2880" w:hanging="360"/>
      </w:pPr>
      <w:rPr>
        <w:rFonts w:ascii="Arial" w:hAnsi="Arial" w:hint="default"/>
      </w:rPr>
    </w:lvl>
    <w:lvl w:ilvl="4" w:tplc="4FF6257C" w:tentative="1">
      <w:start w:val="1"/>
      <w:numFmt w:val="bullet"/>
      <w:lvlText w:val="•"/>
      <w:lvlJc w:val="left"/>
      <w:pPr>
        <w:tabs>
          <w:tab w:val="num" w:pos="3600"/>
        </w:tabs>
        <w:ind w:left="3600" w:hanging="360"/>
      </w:pPr>
      <w:rPr>
        <w:rFonts w:ascii="Arial" w:hAnsi="Arial" w:hint="default"/>
      </w:rPr>
    </w:lvl>
    <w:lvl w:ilvl="5" w:tplc="5142BD62" w:tentative="1">
      <w:start w:val="1"/>
      <w:numFmt w:val="bullet"/>
      <w:lvlText w:val="•"/>
      <w:lvlJc w:val="left"/>
      <w:pPr>
        <w:tabs>
          <w:tab w:val="num" w:pos="4320"/>
        </w:tabs>
        <w:ind w:left="4320" w:hanging="360"/>
      </w:pPr>
      <w:rPr>
        <w:rFonts w:ascii="Arial" w:hAnsi="Arial" w:hint="default"/>
      </w:rPr>
    </w:lvl>
    <w:lvl w:ilvl="6" w:tplc="DB8E7572" w:tentative="1">
      <w:start w:val="1"/>
      <w:numFmt w:val="bullet"/>
      <w:lvlText w:val="•"/>
      <w:lvlJc w:val="left"/>
      <w:pPr>
        <w:tabs>
          <w:tab w:val="num" w:pos="5040"/>
        </w:tabs>
        <w:ind w:left="5040" w:hanging="360"/>
      </w:pPr>
      <w:rPr>
        <w:rFonts w:ascii="Arial" w:hAnsi="Arial" w:hint="default"/>
      </w:rPr>
    </w:lvl>
    <w:lvl w:ilvl="7" w:tplc="FDA2C6BE" w:tentative="1">
      <w:start w:val="1"/>
      <w:numFmt w:val="bullet"/>
      <w:lvlText w:val="•"/>
      <w:lvlJc w:val="left"/>
      <w:pPr>
        <w:tabs>
          <w:tab w:val="num" w:pos="5760"/>
        </w:tabs>
        <w:ind w:left="5760" w:hanging="360"/>
      </w:pPr>
      <w:rPr>
        <w:rFonts w:ascii="Arial" w:hAnsi="Arial" w:hint="default"/>
      </w:rPr>
    </w:lvl>
    <w:lvl w:ilvl="8" w:tplc="DE8E7CAC" w:tentative="1">
      <w:start w:val="1"/>
      <w:numFmt w:val="bullet"/>
      <w:lvlText w:val="•"/>
      <w:lvlJc w:val="left"/>
      <w:pPr>
        <w:tabs>
          <w:tab w:val="num" w:pos="6480"/>
        </w:tabs>
        <w:ind w:left="6480" w:hanging="360"/>
      </w:pPr>
      <w:rPr>
        <w:rFonts w:ascii="Arial" w:hAnsi="Arial" w:hint="default"/>
      </w:rPr>
    </w:lvl>
  </w:abstractNum>
  <w:abstractNum w:abstractNumId="16">
    <w:nsid w:val="5092364C"/>
    <w:multiLevelType w:val="hybridMultilevel"/>
    <w:tmpl w:val="6B80A1EE"/>
    <w:lvl w:ilvl="0" w:tplc="91304718">
      <w:start w:val="1"/>
      <w:numFmt w:val="bullet"/>
      <w:lvlText w:val="•"/>
      <w:lvlJc w:val="left"/>
      <w:pPr>
        <w:tabs>
          <w:tab w:val="num" w:pos="720"/>
        </w:tabs>
        <w:ind w:left="720" w:hanging="360"/>
      </w:pPr>
      <w:rPr>
        <w:rFonts w:ascii="Arial" w:hAnsi="Arial" w:hint="default"/>
      </w:rPr>
    </w:lvl>
    <w:lvl w:ilvl="1" w:tplc="EE166586">
      <w:start w:val="6635"/>
      <w:numFmt w:val="bullet"/>
      <w:lvlText w:val="•"/>
      <w:lvlJc w:val="left"/>
      <w:pPr>
        <w:tabs>
          <w:tab w:val="num" w:pos="1440"/>
        </w:tabs>
        <w:ind w:left="1440" w:hanging="360"/>
      </w:pPr>
      <w:rPr>
        <w:rFonts w:ascii="Arial" w:hAnsi="Arial" w:hint="default"/>
      </w:rPr>
    </w:lvl>
    <w:lvl w:ilvl="2" w:tplc="60B691FE" w:tentative="1">
      <w:start w:val="1"/>
      <w:numFmt w:val="bullet"/>
      <w:lvlText w:val="•"/>
      <w:lvlJc w:val="left"/>
      <w:pPr>
        <w:tabs>
          <w:tab w:val="num" w:pos="2160"/>
        </w:tabs>
        <w:ind w:left="2160" w:hanging="360"/>
      </w:pPr>
      <w:rPr>
        <w:rFonts w:ascii="Arial" w:hAnsi="Arial" w:hint="default"/>
      </w:rPr>
    </w:lvl>
    <w:lvl w:ilvl="3" w:tplc="2E6C38C6" w:tentative="1">
      <w:start w:val="1"/>
      <w:numFmt w:val="bullet"/>
      <w:lvlText w:val="•"/>
      <w:lvlJc w:val="left"/>
      <w:pPr>
        <w:tabs>
          <w:tab w:val="num" w:pos="2880"/>
        </w:tabs>
        <w:ind w:left="2880" w:hanging="360"/>
      </w:pPr>
      <w:rPr>
        <w:rFonts w:ascii="Arial" w:hAnsi="Arial" w:hint="default"/>
      </w:rPr>
    </w:lvl>
    <w:lvl w:ilvl="4" w:tplc="9090666E" w:tentative="1">
      <w:start w:val="1"/>
      <w:numFmt w:val="bullet"/>
      <w:lvlText w:val="•"/>
      <w:lvlJc w:val="left"/>
      <w:pPr>
        <w:tabs>
          <w:tab w:val="num" w:pos="3600"/>
        </w:tabs>
        <w:ind w:left="3600" w:hanging="360"/>
      </w:pPr>
      <w:rPr>
        <w:rFonts w:ascii="Arial" w:hAnsi="Arial" w:hint="default"/>
      </w:rPr>
    </w:lvl>
    <w:lvl w:ilvl="5" w:tplc="FBCA40D4" w:tentative="1">
      <w:start w:val="1"/>
      <w:numFmt w:val="bullet"/>
      <w:lvlText w:val="•"/>
      <w:lvlJc w:val="left"/>
      <w:pPr>
        <w:tabs>
          <w:tab w:val="num" w:pos="4320"/>
        </w:tabs>
        <w:ind w:left="4320" w:hanging="360"/>
      </w:pPr>
      <w:rPr>
        <w:rFonts w:ascii="Arial" w:hAnsi="Arial" w:hint="default"/>
      </w:rPr>
    </w:lvl>
    <w:lvl w:ilvl="6" w:tplc="746487F4" w:tentative="1">
      <w:start w:val="1"/>
      <w:numFmt w:val="bullet"/>
      <w:lvlText w:val="•"/>
      <w:lvlJc w:val="left"/>
      <w:pPr>
        <w:tabs>
          <w:tab w:val="num" w:pos="5040"/>
        </w:tabs>
        <w:ind w:left="5040" w:hanging="360"/>
      </w:pPr>
      <w:rPr>
        <w:rFonts w:ascii="Arial" w:hAnsi="Arial" w:hint="default"/>
      </w:rPr>
    </w:lvl>
    <w:lvl w:ilvl="7" w:tplc="0986AE5C" w:tentative="1">
      <w:start w:val="1"/>
      <w:numFmt w:val="bullet"/>
      <w:lvlText w:val="•"/>
      <w:lvlJc w:val="left"/>
      <w:pPr>
        <w:tabs>
          <w:tab w:val="num" w:pos="5760"/>
        </w:tabs>
        <w:ind w:left="5760" w:hanging="360"/>
      </w:pPr>
      <w:rPr>
        <w:rFonts w:ascii="Arial" w:hAnsi="Arial" w:hint="default"/>
      </w:rPr>
    </w:lvl>
    <w:lvl w:ilvl="8" w:tplc="ADD67FA2" w:tentative="1">
      <w:start w:val="1"/>
      <w:numFmt w:val="bullet"/>
      <w:lvlText w:val="•"/>
      <w:lvlJc w:val="left"/>
      <w:pPr>
        <w:tabs>
          <w:tab w:val="num" w:pos="6480"/>
        </w:tabs>
        <w:ind w:left="6480" w:hanging="360"/>
      </w:pPr>
      <w:rPr>
        <w:rFonts w:ascii="Arial" w:hAnsi="Arial" w:hint="default"/>
      </w:rPr>
    </w:lvl>
  </w:abstractNum>
  <w:abstractNum w:abstractNumId="17">
    <w:nsid w:val="53FF2D8D"/>
    <w:multiLevelType w:val="hybridMultilevel"/>
    <w:tmpl w:val="7DFEF548"/>
    <w:lvl w:ilvl="0" w:tplc="65B2D89A">
      <w:start w:val="1"/>
      <w:numFmt w:val="bullet"/>
      <w:lvlText w:val="•"/>
      <w:lvlJc w:val="left"/>
      <w:pPr>
        <w:tabs>
          <w:tab w:val="num" w:pos="720"/>
        </w:tabs>
        <w:ind w:left="720" w:hanging="360"/>
      </w:pPr>
      <w:rPr>
        <w:rFonts w:ascii="Arial" w:hAnsi="Arial" w:hint="default"/>
      </w:rPr>
    </w:lvl>
    <w:lvl w:ilvl="1" w:tplc="121AD10E" w:tentative="1">
      <w:start w:val="1"/>
      <w:numFmt w:val="bullet"/>
      <w:lvlText w:val="•"/>
      <w:lvlJc w:val="left"/>
      <w:pPr>
        <w:tabs>
          <w:tab w:val="num" w:pos="1440"/>
        </w:tabs>
        <w:ind w:left="1440" w:hanging="360"/>
      </w:pPr>
      <w:rPr>
        <w:rFonts w:ascii="Arial" w:hAnsi="Arial" w:hint="default"/>
      </w:rPr>
    </w:lvl>
    <w:lvl w:ilvl="2" w:tplc="AE1CFCCA" w:tentative="1">
      <w:start w:val="1"/>
      <w:numFmt w:val="bullet"/>
      <w:lvlText w:val="•"/>
      <w:lvlJc w:val="left"/>
      <w:pPr>
        <w:tabs>
          <w:tab w:val="num" w:pos="2160"/>
        </w:tabs>
        <w:ind w:left="2160" w:hanging="360"/>
      </w:pPr>
      <w:rPr>
        <w:rFonts w:ascii="Arial" w:hAnsi="Arial" w:hint="default"/>
      </w:rPr>
    </w:lvl>
    <w:lvl w:ilvl="3" w:tplc="991429FA" w:tentative="1">
      <w:start w:val="1"/>
      <w:numFmt w:val="bullet"/>
      <w:lvlText w:val="•"/>
      <w:lvlJc w:val="left"/>
      <w:pPr>
        <w:tabs>
          <w:tab w:val="num" w:pos="2880"/>
        </w:tabs>
        <w:ind w:left="2880" w:hanging="360"/>
      </w:pPr>
      <w:rPr>
        <w:rFonts w:ascii="Arial" w:hAnsi="Arial" w:hint="default"/>
      </w:rPr>
    </w:lvl>
    <w:lvl w:ilvl="4" w:tplc="B38C7B24" w:tentative="1">
      <w:start w:val="1"/>
      <w:numFmt w:val="bullet"/>
      <w:lvlText w:val="•"/>
      <w:lvlJc w:val="left"/>
      <w:pPr>
        <w:tabs>
          <w:tab w:val="num" w:pos="3600"/>
        </w:tabs>
        <w:ind w:left="3600" w:hanging="360"/>
      </w:pPr>
      <w:rPr>
        <w:rFonts w:ascii="Arial" w:hAnsi="Arial" w:hint="default"/>
      </w:rPr>
    </w:lvl>
    <w:lvl w:ilvl="5" w:tplc="86FE3A44" w:tentative="1">
      <w:start w:val="1"/>
      <w:numFmt w:val="bullet"/>
      <w:lvlText w:val="•"/>
      <w:lvlJc w:val="left"/>
      <w:pPr>
        <w:tabs>
          <w:tab w:val="num" w:pos="4320"/>
        </w:tabs>
        <w:ind w:left="4320" w:hanging="360"/>
      </w:pPr>
      <w:rPr>
        <w:rFonts w:ascii="Arial" w:hAnsi="Arial" w:hint="default"/>
      </w:rPr>
    </w:lvl>
    <w:lvl w:ilvl="6" w:tplc="C6E60360" w:tentative="1">
      <w:start w:val="1"/>
      <w:numFmt w:val="bullet"/>
      <w:lvlText w:val="•"/>
      <w:lvlJc w:val="left"/>
      <w:pPr>
        <w:tabs>
          <w:tab w:val="num" w:pos="5040"/>
        </w:tabs>
        <w:ind w:left="5040" w:hanging="360"/>
      </w:pPr>
      <w:rPr>
        <w:rFonts w:ascii="Arial" w:hAnsi="Arial" w:hint="default"/>
      </w:rPr>
    </w:lvl>
    <w:lvl w:ilvl="7" w:tplc="B810C99C" w:tentative="1">
      <w:start w:val="1"/>
      <w:numFmt w:val="bullet"/>
      <w:lvlText w:val="•"/>
      <w:lvlJc w:val="left"/>
      <w:pPr>
        <w:tabs>
          <w:tab w:val="num" w:pos="5760"/>
        </w:tabs>
        <w:ind w:left="5760" w:hanging="360"/>
      </w:pPr>
      <w:rPr>
        <w:rFonts w:ascii="Arial" w:hAnsi="Arial" w:hint="default"/>
      </w:rPr>
    </w:lvl>
    <w:lvl w:ilvl="8" w:tplc="E13093AA" w:tentative="1">
      <w:start w:val="1"/>
      <w:numFmt w:val="bullet"/>
      <w:lvlText w:val="•"/>
      <w:lvlJc w:val="left"/>
      <w:pPr>
        <w:tabs>
          <w:tab w:val="num" w:pos="6480"/>
        </w:tabs>
        <w:ind w:left="6480" w:hanging="360"/>
      </w:pPr>
      <w:rPr>
        <w:rFonts w:ascii="Arial" w:hAnsi="Arial" w:hint="default"/>
      </w:rPr>
    </w:lvl>
  </w:abstractNum>
  <w:abstractNum w:abstractNumId="18">
    <w:nsid w:val="555F62D2"/>
    <w:multiLevelType w:val="hybridMultilevel"/>
    <w:tmpl w:val="CB5C326A"/>
    <w:lvl w:ilvl="0" w:tplc="83D863A2">
      <w:start w:val="1"/>
      <w:numFmt w:val="bullet"/>
      <w:lvlText w:val="•"/>
      <w:lvlJc w:val="left"/>
      <w:pPr>
        <w:tabs>
          <w:tab w:val="num" w:pos="720"/>
        </w:tabs>
        <w:ind w:left="720" w:hanging="360"/>
      </w:pPr>
      <w:rPr>
        <w:rFonts w:ascii="Arial" w:hAnsi="Arial" w:hint="default"/>
      </w:rPr>
    </w:lvl>
    <w:lvl w:ilvl="1" w:tplc="BA34E2C8" w:tentative="1">
      <w:start w:val="1"/>
      <w:numFmt w:val="bullet"/>
      <w:lvlText w:val="•"/>
      <w:lvlJc w:val="left"/>
      <w:pPr>
        <w:tabs>
          <w:tab w:val="num" w:pos="1440"/>
        </w:tabs>
        <w:ind w:left="1440" w:hanging="360"/>
      </w:pPr>
      <w:rPr>
        <w:rFonts w:ascii="Arial" w:hAnsi="Arial" w:hint="default"/>
      </w:rPr>
    </w:lvl>
    <w:lvl w:ilvl="2" w:tplc="98C65178" w:tentative="1">
      <w:start w:val="1"/>
      <w:numFmt w:val="bullet"/>
      <w:lvlText w:val="•"/>
      <w:lvlJc w:val="left"/>
      <w:pPr>
        <w:tabs>
          <w:tab w:val="num" w:pos="2160"/>
        </w:tabs>
        <w:ind w:left="2160" w:hanging="360"/>
      </w:pPr>
      <w:rPr>
        <w:rFonts w:ascii="Arial" w:hAnsi="Arial" w:hint="default"/>
      </w:rPr>
    </w:lvl>
    <w:lvl w:ilvl="3" w:tplc="DFA45216" w:tentative="1">
      <w:start w:val="1"/>
      <w:numFmt w:val="bullet"/>
      <w:lvlText w:val="•"/>
      <w:lvlJc w:val="left"/>
      <w:pPr>
        <w:tabs>
          <w:tab w:val="num" w:pos="2880"/>
        </w:tabs>
        <w:ind w:left="2880" w:hanging="360"/>
      </w:pPr>
      <w:rPr>
        <w:rFonts w:ascii="Arial" w:hAnsi="Arial" w:hint="default"/>
      </w:rPr>
    </w:lvl>
    <w:lvl w:ilvl="4" w:tplc="AEE060D2" w:tentative="1">
      <w:start w:val="1"/>
      <w:numFmt w:val="bullet"/>
      <w:lvlText w:val="•"/>
      <w:lvlJc w:val="left"/>
      <w:pPr>
        <w:tabs>
          <w:tab w:val="num" w:pos="3600"/>
        </w:tabs>
        <w:ind w:left="3600" w:hanging="360"/>
      </w:pPr>
      <w:rPr>
        <w:rFonts w:ascii="Arial" w:hAnsi="Arial" w:hint="default"/>
      </w:rPr>
    </w:lvl>
    <w:lvl w:ilvl="5" w:tplc="AC8E5DA2" w:tentative="1">
      <w:start w:val="1"/>
      <w:numFmt w:val="bullet"/>
      <w:lvlText w:val="•"/>
      <w:lvlJc w:val="left"/>
      <w:pPr>
        <w:tabs>
          <w:tab w:val="num" w:pos="4320"/>
        </w:tabs>
        <w:ind w:left="4320" w:hanging="360"/>
      </w:pPr>
      <w:rPr>
        <w:rFonts w:ascii="Arial" w:hAnsi="Arial" w:hint="default"/>
      </w:rPr>
    </w:lvl>
    <w:lvl w:ilvl="6" w:tplc="6FE2AB34" w:tentative="1">
      <w:start w:val="1"/>
      <w:numFmt w:val="bullet"/>
      <w:lvlText w:val="•"/>
      <w:lvlJc w:val="left"/>
      <w:pPr>
        <w:tabs>
          <w:tab w:val="num" w:pos="5040"/>
        </w:tabs>
        <w:ind w:left="5040" w:hanging="360"/>
      </w:pPr>
      <w:rPr>
        <w:rFonts w:ascii="Arial" w:hAnsi="Arial" w:hint="default"/>
      </w:rPr>
    </w:lvl>
    <w:lvl w:ilvl="7" w:tplc="9FD08854" w:tentative="1">
      <w:start w:val="1"/>
      <w:numFmt w:val="bullet"/>
      <w:lvlText w:val="•"/>
      <w:lvlJc w:val="left"/>
      <w:pPr>
        <w:tabs>
          <w:tab w:val="num" w:pos="5760"/>
        </w:tabs>
        <w:ind w:left="5760" w:hanging="360"/>
      </w:pPr>
      <w:rPr>
        <w:rFonts w:ascii="Arial" w:hAnsi="Arial" w:hint="default"/>
      </w:rPr>
    </w:lvl>
    <w:lvl w:ilvl="8" w:tplc="89E20334" w:tentative="1">
      <w:start w:val="1"/>
      <w:numFmt w:val="bullet"/>
      <w:lvlText w:val="•"/>
      <w:lvlJc w:val="left"/>
      <w:pPr>
        <w:tabs>
          <w:tab w:val="num" w:pos="6480"/>
        </w:tabs>
        <w:ind w:left="6480" w:hanging="360"/>
      </w:pPr>
      <w:rPr>
        <w:rFonts w:ascii="Arial" w:hAnsi="Arial" w:hint="default"/>
      </w:rPr>
    </w:lvl>
  </w:abstractNum>
  <w:abstractNum w:abstractNumId="19">
    <w:nsid w:val="55630F21"/>
    <w:multiLevelType w:val="hybridMultilevel"/>
    <w:tmpl w:val="42E84D96"/>
    <w:lvl w:ilvl="0" w:tplc="C1EC2F7E">
      <w:start w:val="1"/>
      <w:numFmt w:val="bullet"/>
      <w:lvlText w:val="•"/>
      <w:lvlJc w:val="left"/>
      <w:pPr>
        <w:tabs>
          <w:tab w:val="num" w:pos="720"/>
        </w:tabs>
        <w:ind w:left="720" w:hanging="360"/>
      </w:pPr>
      <w:rPr>
        <w:rFonts w:ascii="Arial" w:hAnsi="Arial" w:hint="default"/>
      </w:rPr>
    </w:lvl>
    <w:lvl w:ilvl="1" w:tplc="5BEA769A" w:tentative="1">
      <w:start w:val="1"/>
      <w:numFmt w:val="bullet"/>
      <w:lvlText w:val="•"/>
      <w:lvlJc w:val="left"/>
      <w:pPr>
        <w:tabs>
          <w:tab w:val="num" w:pos="1440"/>
        </w:tabs>
        <w:ind w:left="1440" w:hanging="360"/>
      </w:pPr>
      <w:rPr>
        <w:rFonts w:ascii="Arial" w:hAnsi="Arial" w:hint="default"/>
      </w:rPr>
    </w:lvl>
    <w:lvl w:ilvl="2" w:tplc="82E619DE" w:tentative="1">
      <w:start w:val="1"/>
      <w:numFmt w:val="bullet"/>
      <w:lvlText w:val="•"/>
      <w:lvlJc w:val="left"/>
      <w:pPr>
        <w:tabs>
          <w:tab w:val="num" w:pos="2160"/>
        </w:tabs>
        <w:ind w:left="2160" w:hanging="360"/>
      </w:pPr>
      <w:rPr>
        <w:rFonts w:ascii="Arial" w:hAnsi="Arial" w:hint="default"/>
      </w:rPr>
    </w:lvl>
    <w:lvl w:ilvl="3" w:tplc="DD22EFAE" w:tentative="1">
      <w:start w:val="1"/>
      <w:numFmt w:val="bullet"/>
      <w:lvlText w:val="•"/>
      <w:lvlJc w:val="left"/>
      <w:pPr>
        <w:tabs>
          <w:tab w:val="num" w:pos="2880"/>
        </w:tabs>
        <w:ind w:left="2880" w:hanging="360"/>
      </w:pPr>
      <w:rPr>
        <w:rFonts w:ascii="Arial" w:hAnsi="Arial" w:hint="default"/>
      </w:rPr>
    </w:lvl>
    <w:lvl w:ilvl="4" w:tplc="90E07D30" w:tentative="1">
      <w:start w:val="1"/>
      <w:numFmt w:val="bullet"/>
      <w:lvlText w:val="•"/>
      <w:lvlJc w:val="left"/>
      <w:pPr>
        <w:tabs>
          <w:tab w:val="num" w:pos="3600"/>
        </w:tabs>
        <w:ind w:left="3600" w:hanging="360"/>
      </w:pPr>
      <w:rPr>
        <w:rFonts w:ascii="Arial" w:hAnsi="Arial" w:hint="default"/>
      </w:rPr>
    </w:lvl>
    <w:lvl w:ilvl="5" w:tplc="1B56F778" w:tentative="1">
      <w:start w:val="1"/>
      <w:numFmt w:val="bullet"/>
      <w:lvlText w:val="•"/>
      <w:lvlJc w:val="left"/>
      <w:pPr>
        <w:tabs>
          <w:tab w:val="num" w:pos="4320"/>
        </w:tabs>
        <w:ind w:left="4320" w:hanging="360"/>
      </w:pPr>
      <w:rPr>
        <w:rFonts w:ascii="Arial" w:hAnsi="Arial" w:hint="default"/>
      </w:rPr>
    </w:lvl>
    <w:lvl w:ilvl="6" w:tplc="4A2A9B9C" w:tentative="1">
      <w:start w:val="1"/>
      <w:numFmt w:val="bullet"/>
      <w:lvlText w:val="•"/>
      <w:lvlJc w:val="left"/>
      <w:pPr>
        <w:tabs>
          <w:tab w:val="num" w:pos="5040"/>
        </w:tabs>
        <w:ind w:left="5040" w:hanging="360"/>
      </w:pPr>
      <w:rPr>
        <w:rFonts w:ascii="Arial" w:hAnsi="Arial" w:hint="default"/>
      </w:rPr>
    </w:lvl>
    <w:lvl w:ilvl="7" w:tplc="2BEE9BD2" w:tentative="1">
      <w:start w:val="1"/>
      <w:numFmt w:val="bullet"/>
      <w:lvlText w:val="•"/>
      <w:lvlJc w:val="left"/>
      <w:pPr>
        <w:tabs>
          <w:tab w:val="num" w:pos="5760"/>
        </w:tabs>
        <w:ind w:left="5760" w:hanging="360"/>
      </w:pPr>
      <w:rPr>
        <w:rFonts w:ascii="Arial" w:hAnsi="Arial" w:hint="default"/>
      </w:rPr>
    </w:lvl>
    <w:lvl w:ilvl="8" w:tplc="305812CC" w:tentative="1">
      <w:start w:val="1"/>
      <w:numFmt w:val="bullet"/>
      <w:lvlText w:val="•"/>
      <w:lvlJc w:val="left"/>
      <w:pPr>
        <w:tabs>
          <w:tab w:val="num" w:pos="6480"/>
        </w:tabs>
        <w:ind w:left="6480" w:hanging="360"/>
      </w:pPr>
      <w:rPr>
        <w:rFonts w:ascii="Arial" w:hAnsi="Arial" w:hint="default"/>
      </w:rPr>
    </w:lvl>
  </w:abstractNum>
  <w:abstractNum w:abstractNumId="20">
    <w:nsid w:val="58057D46"/>
    <w:multiLevelType w:val="hybridMultilevel"/>
    <w:tmpl w:val="F288F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A0F3B6B"/>
    <w:multiLevelType w:val="hybridMultilevel"/>
    <w:tmpl w:val="715C3B44"/>
    <w:lvl w:ilvl="0" w:tplc="08090001">
      <w:start w:val="1"/>
      <w:numFmt w:val="bullet"/>
      <w:lvlText w:val=""/>
      <w:lvlJc w:val="left"/>
      <w:pPr>
        <w:ind w:left="4560" w:hanging="360"/>
      </w:pPr>
      <w:rPr>
        <w:rFonts w:ascii="Symbol" w:hAnsi="Symbol" w:hint="default"/>
      </w:rPr>
    </w:lvl>
    <w:lvl w:ilvl="1" w:tplc="08090003">
      <w:start w:val="1"/>
      <w:numFmt w:val="bullet"/>
      <w:lvlText w:val="o"/>
      <w:lvlJc w:val="left"/>
      <w:pPr>
        <w:ind w:left="5280" w:hanging="360"/>
      </w:pPr>
      <w:rPr>
        <w:rFonts w:ascii="Courier New" w:hAnsi="Courier New" w:cs="Courier New" w:hint="default"/>
      </w:rPr>
    </w:lvl>
    <w:lvl w:ilvl="2" w:tplc="08090005" w:tentative="1">
      <w:start w:val="1"/>
      <w:numFmt w:val="bullet"/>
      <w:lvlText w:val=""/>
      <w:lvlJc w:val="left"/>
      <w:pPr>
        <w:ind w:left="6000" w:hanging="360"/>
      </w:pPr>
      <w:rPr>
        <w:rFonts w:ascii="Wingdings" w:hAnsi="Wingdings" w:hint="default"/>
      </w:rPr>
    </w:lvl>
    <w:lvl w:ilvl="3" w:tplc="08090001" w:tentative="1">
      <w:start w:val="1"/>
      <w:numFmt w:val="bullet"/>
      <w:lvlText w:val=""/>
      <w:lvlJc w:val="left"/>
      <w:pPr>
        <w:ind w:left="6720" w:hanging="360"/>
      </w:pPr>
      <w:rPr>
        <w:rFonts w:ascii="Symbol" w:hAnsi="Symbol" w:hint="default"/>
      </w:rPr>
    </w:lvl>
    <w:lvl w:ilvl="4" w:tplc="08090003" w:tentative="1">
      <w:start w:val="1"/>
      <w:numFmt w:val="bullet"/>
      <w:lvlText w:val="o"/>
      <w:lvlJc w:val="left"/>
      <w:pPr>
        <w:ind w:left="7440" w:hanging="360"/>
      </w:pPr>
      <w:rPr>
        <w:rFonts w:ascii="Courier New" w:hAnsi="Courier New" w:cs="Courier New" w:hint="default"/>
      </w:rPr>
    </w:lvl>
    <w:lvl w:ilvl="5" w:tplc="08090005" w:tentative="1">
      <w:start w:val="1"/>
      <w:numFmt w:val="bullet"/>
      <w:lvlText w:val=""/>
      <w:lvlJc w:val="left"/>
      <w:pPr>
        <w:ind w:left="8160" w:hanging="360"/>
      </w:pPr>
      <w:rPr>
        <w:rFonts w:ascii="Wingdings" w:hAnsi="Wingdings" w:hint="default"/>
      </w:rPr>
    </w:lvl>
    <w:lvl w:ilvl="6" w:tplc="08090001" w:tentative="1">
      <w:start w:val="1"/>
      <w:numFmt w:val="bullet"/>
      <w:lvlText w:val=""/>
      <w:lvlJc w:val="left"/>
      <w:pPr>
        <w:ind w:left="8880" w:hanging="360"/>
      </w:pPr>
      <w:rPr>
        <w:rFonts w:ascii="Symbol" w:hAnsi="Symbol" w:hint="default"/>
      </w:rPr>
    </w:lvl>
    <w:lvl w:ilvl="7" w:tplc="08090003" w:tentative="1">
      <w:start w:val="1"/>
      <w:numFmt w:val="bullet"/>
      <w:lvlText w:val="o"/>
      <w:lvlJc w:val="left"/>
      <w:pPr>
        <w:ind w:left="9600" w:hanging="360"/>
      </w:pPr>
      <w:rPr>
        <w:rFonts w:ascii="Courier New" w:hAnsi="Courier New" w:cs="Courier New" w:hint="default"/>
      </w:rPr>
    </w:lvl>
    <w:lvl w:ilvl="8" w:tplc="08090005" w:tentative="1">
      <w:start w:val="1"/>
      <w:numFmt w:val="bullet"/>
      <w:lvlText w:val=""/>
      <w:lvlJc w:val="left"/>
      <w:pPr>
        <w:ind w:left="10320" w:hanging="360"/>
      </w:pPr>
      <w:rPr>
        <w:rFonts w:ascii="Wingdings" w:hAnsi="Wingdings" w:hint="default"/>
      </w:rPr>
    </w:lvl>
  </w:abstractNum>
  <w:abstractNum w:abstractNumId="22">
    <w:nsid w:val="5D8D3F32"/>
    <w:multiLevelType w:val="hybridMultilevel"/>
    <w:tmpl w:val="4224ED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EAF3AEC"/>
    <w:multiLevelType w:val="hybridMultilevel"/>
    <w:tmpl w:val="7DE0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270D87"/>
    <w:multiLevelType w:val="hybridMultilevel"/>
    <w:tmpl w:val="34D416EA"/>
    <w:lvl w:ilvl="0" w:tplc="78C0F516">
      <w:start w:val="1"/>
      <w:numFmt w:val="bullet"/>
      <w:lvlText w:val="•"/>
      <w:lvlJc w:val="left"/>
      <w:pPr>
        <w:tabs>
          <w:tab w:val="num" w:pos="720"/>
        </w:tabs>
        <w:ind w:left="720" w:hanging="360"/>
      </w:pPr>
      <w:rPr>
        <w:rFonts w:ascii="Arial" w:hAnsi="Arial" w:hint="default"/>
      </w:rPr>
    </w:lvl>
    <w:lvl w:ilvl="1" w:tplc="FD8EEC92" w:tentative="1">
      <w:start w:val="1"/>
      <w:numFmt w:val="bullet"/>
      <w:lvlText w:val="•"/>
      <w:lvlJc w:val="left"/>
      <w:pPr>
        <w:tabs>
          <w:tab w:val="num" w:pos="1440"/>
        </w:tabs>
        <w:ind w:left="1440" w:hanging="360"/>
      </w:pPr>
      <w:rPr>
        <w:rFonts w:ascii="Arial" w:hAnsi="Arial" w:hint="default"/>
      </w:rPr>
    </w:lvl>
    <w:lvl w:ilvl="2" w:tplc="3C9A6B1E" w:tentative="1">
      <w:start w:val="1"/>
      <w:numFmt w:val="bullet"/>
      <w:lvlText w:val="•"/>
      <w:lvlJc w:val="left"/>
      <w:pPr>
        <w:tabs>
          <w:tab w:val="num" w:pos="2160"/>
        </w:tabs>
        <w:ind w:left="2160" w:hanging="360"/>
      </w:pPr>
      <w:rPr>
        <w:rFonts w:ascii="Arial" w:hAnsi="Arial" w:hint="default"/>
      </w:rPr>
    </w:lvl>
    <w:lvl w:ilvl="3" w:tplc="F3047F12" w:tentative="1">
      <w:start w:val="1"/>
      <w:numFmt w:val="bullet"/>
      <w:lvlText w:val="•"/>
      <w:lvlJc w:val="left"/>
      <w:pPr>
        <w:tabs>
          <w:tab w:val="num" w:pos="2880"/>
        </w:tabs>
        <w:ind w:left="2880" w:hanging="360"/>
      </w:pPr>
      <w:rPr>
        <w:rFonts w:ascii="Arial" w:hAnsi="Arial" w:hint="default"/>
      </w:rPr>
    </w:lvl>
    <w:lvl w:ilvl="4" w:tplc="3844D182" w:tentative="1">
      <w:start w:val="1"/>
      <w:numFmt w:val="bullet"/>
      <w:lvlText w:val="•"/>
      <w:lvlJc w:val="left"/>
      <w:pPr>
        <w:tabs>
          <w:tab w:val="num" w:pos="3600"/>
        </w:tabs>
        <w:ind w:left="3600" w:hanging="360"/>
      </w:pPr>
      <w:rPr>
        <w:rFonts w:ascii="Arial" w:hAnsi="Arial" w:hint="default"/>
      </w:rPr>
    </w:lvl>
    <w:lvl w:ilvl="5" w:tplc="28F0E250" w:tentative="1">
      <w:start w:val="1"/>
      <w:numFmt w:val="bullet"/>
      <w:lvlText w:val="•"/>
      <w:lvlJc w:val="left"/>
      <w:pPr>
        <w:tabs>
          <w:tab w:val="num" w:pos="4320"/>
        </w:tabs>
        <w:ind w:left="4320" w:hanging="360"/>
      </w:pPr>
      <w:rPr>
        <w:rFonts w:ascii="Arial" w:hAnsi="Arial" w:hint="default"/>
      </w:rPr>
    </w:lvl>
    <w:lvl w:ilvl="6" w:tplc="AC5E3658" w:tentative="1">
      <w:start w:val="1"/>
      <w:numFmt w:val="bullet"/>
      <w:lvlText w:val="•"/>
      <w:lvlJc w:val="left"/>
      <w:pPr>
        <w:tabs>
          <w:tab w:val="num" w:pos="5040"/>
        </w:tabs>
        <w:ind w:left="5040" w:hanging="360"/>
      </w:pPr>
      <w:rPr>
        <w:rFonts w:ascii="Arial" w:hAnsi="Arial" w:hint="default"/>
      </w:rPr>
    </w:lvl>
    <w:lvl w:ilvl="7" w:tplc="5CE05154" w:tentative="1">
      <w:start w:val="1"/>
      <w:numFmt w:val="bullet"/>
      <w:lvlText w:val="•"/>
      <w:lvlJc w:val="left"/>
      <w:pPr>
        <w:tabs>
          <w:tab w:val="num" w:pos="5760"/>
        </w:tabs>
        <w:ind w:left="5760" w:hanging="360"/>
      </w:pPr>
      <w:rPr>
        <w:rFonts w:ascii="Arial" w:hAnsi="Arial" w:hint="default"/>
      </w:rPr>
    </w:lvl>
    <w:lvl w:ilvl="8" w:tplc="6D98C95E" w:tentative="1">
      <w:start w:val="1"/>
      <w:numFmt w:val="bullet"/>
      <w:lvlText w:val="•"/>
      <w:lvlJc w:val="left"/>
      <w:pPr>
        <w:tabs>
          <w:tab w:val="num" w:pos="6480"/>
        </w:tabs>
        <w:ind w:left="6480" w:hanging="360"/>
      </w:pPr>
      <w:rPr>
        <w:rFonts w:ascii="Arial" w:hAnsi="Arial" w:hint="default"/>
      </w:rPr>
    </w:lvl>
  </w:abstractNum>
  <w:abstractNum w:abstractNumId="25">
    <w:nsid w:val="710632FF"/>
    <w:multiLevelType w:val="hybridMultilevel"/>
    <w:tmpl w:val="5128DD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B56E33"/>
    <w:multiLevelType w:val="hybridMultilevel"/>
    <w:tmpl w:val="B6A428D8"/>
    <w:lvl w:ilvl="0" w:tplc="6F7448F0">
      <w:start w:val="1"/>
      <w:numFmt w:val="bullet"/>
      <w:lvlText w:val="•"/>
      <w:lvlJc w:val="left"/>
      <w:pPr>
        <w:tabs>
          <w:tab w:val="num" w:pos="720"/>
        </w:tabs>
        <w:ind w:left="720" w:hanging="360"/>
      </w:pPr>
      <w:rPr>
        <w:rFonts w:ascii="Arial" w:hAnsi="Arial" w:hint="default"/>
      </w:rPr>
    </w:lvl>
    <w:lvl w:ilvl="1" w:tplc="A5842478">
      <w:start w:val="6158"/>
      <w:numFmt w:val="bullet"/>
      <w:lvlText w:val="•"/>
      <w:lvlJc w:val="left"/>
      <w:pPr>
        <w:tabs>
          <w:tab w:val="num" w:pos="1440"/>
        </w:tabs>
        <w:ind w:left="1440" w:hanging="360"/>
      </w:pPr>
      <w:rPr>
        <w:rFonts w:ascii="Arial" w:hAnsi="Arial" w:hint="default"/>
      </w:rPr>
    </w:lvl>
    <w:lvl w:ilvl="2" w:tplc="6F266520">
      <w:start w:val="6158"/>
      <w:numFmt w:val="bullet"/>
      <w:lvlText w:val="•"/>
      <w:lvlJc w:val="left"/>
      <w:pPr>
        <w:tabs>
          <w:tab w:val="num" w:pos="2160"/>
        </w:tabs>
        <w:ind w:left="2160" w:hanging="360"/>
      </w:pPr>
      <w:rPr>
        <w:rFonts w:ascii="Arial" w:hAnsi="Arial" w:hint="default"/>
      </w:rPr>
    </w:lvl>
    <w:lvl w:ilvl="3" w:tplc="E51E5546" w:tentative="1">
      <w:start w:val="1"/>
      <w:numFmt w:val="bullet"/>
      <w:lvlText w:val="•"/>
      <w:lvlJc w:val="left"/>
      <w:pPr>
        <w:tabs>
          <w:tab w:val="num" w:pos="2880"/>
        </w:tabs>
        <w:ind w:left="2880" w:hanging="360"/>
      </w:pPr>
      <w:rPr>
        <w:rFonts w:ascii="Arial" w:hAnsi="Arial" w:hint="default"/>
      </w:rPr>
    </w:lvl>
    <w:lvl w:ilvl="4" w:tplc="F9664050" w:tentative="1">
      <w:start w:val="1"/>
      <w:numFmt w:val="bullet"/>
      <w:lvlText w:val="•"/>
      <w:lvlJc w:val="left"/>
      <w:pPr>
        <w:tabs>
          <w:tab w:val="num" w:pos="3600"/>
        </w:tabs>
        <w:ind w:left="3600" w:hanging="360"/>
      </w:pPr>
      <w:rPr>
        <w:rFonts w:ascii="Arial" w:hAnsi="Arial" w:hint="default"/>
      </w:rPr>
    </w:lvl>
    <w:lvl w:ilvl="5" w:tplc="C5909F10" w:tentative="1">
      <w:start w:val="1"/>
      <w:numFmt w:val="bullet"/>
      <w:lvlText w:val="•"/>
      <w:lvlJc w:val="left"/>
      <w:pPr>
        <w:tabs>
          <w:tab w:val="num" w:pos="4320"/>
        </w:tabs>
        <w:ind w:left="4320" w:hanging="360"/>
      </w:pPr>
      <w:rPr>
        <w:rFonts w:ascii="Arial" w:hAnsi="Arial" w:hint="default"/>
      </w:rPr>
    </w:lvl>
    <w:lvl w:ilvl="6" w:tplc="C0389FE8" w:tentative="1">
      <w:start w:val="1"/>
      <w:numFmt w:val="bullet"/>
      <w:lvlText w:val="•"/>
      <w:lvlJc w:val="left"/>
      <w:pPr>
        <w:tabs>
          <w:tab w:val="num" w:pos="5040"/>
        </w:tabs>
        <w:ind w:left="5040" w:hanging="360"/>
      </w:pPr>
      <w:rPr>
        <w:rFonts w:ascii="Arial" w:hAnsi="Arial" w:hint="default"/>
      </w:rPr>
    </w:lvl>
    <w:lvl w:ilvl="7" w:tplc="F91C2F5A" w:tentative="1">
      <w:start w:val="1"/>
      <w:numFmt w:val="bullet"/>
      <w:lvlText w:val="•"/>
      <w:lvlJc w:val="left"/>
      <w:pPr>
        <w:tabs>
          <w:tab w:val="num" w:pos="5760"/>
        </w:tabs>
        <w:ind w:left="5760" w:hanging="360"/>
      </w:pPr>
      <w:rPr>
        <w:rFonts w:ascii="Arial" w:hAnsi="Arial" w:hint="default"/>
      </w:rPr>
    </w:lvl>
    <w:lvl w:ilvl="8" w:tplc="DB72361E"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3"/>
  </w:num>
  <w:num w:numId="4">
    <w:abstractNumId w:val="23"/>
  </w:num>
  <w:num w:numId="5">
    <w:abstractNumId w:val="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2"/>
  </w:num>
  <w:num w:numId="8">
    <w:abstractNumId w:val="20"/>
  </w:num>
  <w:num w:numId="9">
    <w:abstractNumId w:val="24"/>
  </w:num>
  <w:num w:numId="10">
    <w:abstractNumId w:val="7"/>
  </w:num>
  <w:num w:numId="11">
    <w:abstractNumId w:val="18"/>
  </w:num>
  <w:num w:numId="12">
    <w:abstractNumId w:val="14"/>
  </w:num>
  <w:num w:numId="13">
    <w:abstractNumId w:val="11"/>
  </w:num>
  <w:num w:numId="14">
    <w:abstractNumId w:val="15"/>
  </w:num>
  <w:num w:numId="15">
    <w:abstractNumId w:val="10"/>
  </w:num>
  <w:num w:numId="16">
    <w:abstractNumId w:val="4"/>
  </w:num>
  <w:num w:numId="17">
    <w:abstractNumId w:val="0"/>
  </w:num>
  <w:num w:numId="18">
    <w:abstractNumId w:val="26"/>
  </w:num>
  <w:num w:numId="19">
    <w:abstractNumId w:val="19"/>
  </w:num>
  <w:num w:numId="20">
    <w:abstractNumId w:val="1"/>
  </w:num>
  <w:num w:numId="21">
    <w:abstractNumId w:val="13"/>
  </w:num>
  <w:num w:numId="22">
    <w:abstractNumId w:val="17"/>
  </w:num>
  <w:num w:numId="23">
    <w:abstractNumId w:val="16"/>
  </w:num>
  <w:num w:numId="24">
    <w:abstractNumId w:val="2"/>
  </w:num>
  <w:num w:numId="25">
    <w:abstractNumId w:val="12"/>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1"/>
  </w:num>
  <w:num w:numId="47">
    <w:abstractNumId w:val="21"/>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iannis Latoudis">
    <w15:presenceInfo w15:providerId="Windows Live" w15:userId="d2652b3c93abad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hideSpellingErrors/>
  <w:hideGrammaticalErrors/>
  <w:doNotTrackFormatting/>
  <w:defaultTabStop w:val="720"/>
  <w:hyphenationZone w:val="425"/>
  <w:characterSpacingControl w:val="doNotCompress"/>
  <w:hdrShapeDefaults>
    <o:shapedefaults v:ext="edit" spidmax="206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65C56AEAAC8A4141BF4364DCC8AB2163"/>
    <w:docVar w:name="LW_CROSSREFERENCE" w:val="&lt;UNUSED&gt;"/>
    <w:docVar w:name="LW_DocType" w:val="NORMAL"/>
    <w:docVar w:name="LW_EMISSION" w:val="28.6.2017"/>
    <w:docVar w:name="LW_EMISSION_ISODATE" w:val="2017-06-28"/>
    <w:docVar w:name="LW_EMISSION_LOCATION" w:val="BRX"/>
    <w:docVar w:name="LW_EMISSION_PREFIX" w:val="Брюксел, "/>
    <w:docVar w:name="LW_EMISSION_SUFFIX" w:val=" \u1075?."/>
    <w:docVar w:name="LW_ID_DOCTYPE_NONLW" w:val="CP-035"/>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358"/>
    <w:docVar w:name="LW_REF.INTERNE" w:val="&lt;UNUSED&gt;"/>
    <w:docVar w:name="LW_SOUS.TITRE.OBJ.CP" w:val="&lt;UNUSED&gt;"/>
    <w:docVar w:name="LW_SUPERTITRE" w:val="&lt;UNUSED&gt;"/>
    <w:docVar w:name="LW_TITRE.OBJ.CP" w:val="\u1054?\u1058?\u1053?\u1054?\u1057?\u1053?\u1054? \u1041?\u1066?\u1044?\u1045?\u1065?\u1045?\u1058?\u1054? \u1053?\u1040? \u1060?\u1048?\u1053?\u1040?\u1053?\u1057?\u1048?\u1058?\u1045? \u1053?\u1040? \u1045?\u1057?"/>
    <w:docVar w:name="LW_TYPE.DOC.CP" w:val="\u1044?\u1054?\u1050?\u1059?\u1052?\u1045?\u1053?\u1058? \u1047?\u1040? \u1056?\u1040?\u1047?\u1052?\u1048?\u1057?\u1066?\u1051?"/>
  </w:docVars>
  <w:rsids>
    <w:rsidRoot w:val="00497646"/>
    <w:rsid w:val="00497646"/>
    <w:rsid w:val="00B05A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pPr>
      <w:widowControl w:val="0"/>
      <w:spacing w:before="46" w:after="0" w:line="240" w:lineRule="auto"/>
      <w:outlineLvl w:val="1"/>
    </w:pPr>
    <w:rPr>
      <w:rFonts w:asciiTheme="majorHAnsi" w:eastAsia="EC Square Sans Pro" w:hAnsiTheme="majorHAnsi" w:cs="Times New Roman"/>
      <w:b/>
      <w:bCs/>
      <w:color w:val="365F91" w:themeColor="accent1" w:themeShade="BF"/>
      <w:sz w:val="24"/>
      <w:szCs w:val="28"/>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pPr>
      <w:keepNext/>
      <w:keepLines/>
      <w:widowControl w:val="0"/>
      <w:spacing w:before="200" w:after="0" w:line="240" w:lineRule="auto"/>
      <w:outlineLvl w:val="4"/>
    </w:pPr>
    <w:rPr>
      <w:rFonts w:asciiTheme="majorHAnsi" w:eastAsiaTheme="majorEastAsia" w:hAnsiTheme="majorHAnsi" w:cstheme="majorBidi"/>
      <w:color w:val="243F60" w:themeColor="accent1" w:themeShade="7F"/>
      <w:sz w:val="20"/>
      <w:szCs w:val="20"/>
    </w:rPr>
  </w:style>
  <w:style w:type="paragraph" w:styleId="Heading6">
    <w:name w:val="heading 6"/>
    <w:basedOn w:val="Normal"/>
    <w:next w:val="Normal"/>
    <w:link w:val="Heading6Char"/>
    <w:semiHidden/>
    <w:unhideWhenUsed/>
    <w:qFormat/>
    <w:pPr>
      <w:keepNext/>
      <w:keepLines/>
      <w:widowControl w:val="0"/>
      <w:spacing w:before="200" w:after="0" w:line="240" w:lineRule="auto"/>
      <w:outlineLvl w:val="5"/>
    </w:pPr>
    <w:rPr>
      <w:rFonts w:asciiTheme="majorHAnsi" w:eastAsiaTheme="majorEastAsia" w:hAnsiTheme="majorHAnsi" w:cstheme="majorBidi"/>
      <w:i/>
      <w:iCs/>
      <w:color w:val="243F60" w:themeColor="accent1" w:themeShade="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Revision">
    <w:name w:val="Revision"/>
    <w:hidden/>
    <w:uiPriority w:val="99"/>
    <w:semiHidden/>
    <w:pPr>
      <w:spacing w:after="0" w:line="240" w:lineRule="auto"/>
    </w:pPr>
  </w:style>
  <w:style w:type="paragraph" w:styleId="FootnoteText">
    <w:name w:val="footnote text"/>
    <w:basedOn w:val="Normal"/>
    <w:link w:val="FootnoteTextChar"/>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semiHidden/>
    <w:rPr>
      <w:vertAlign w:val="superscript"/>
    </w:rPr>
  </w:style>
  <w:style w:type="paragraph" w:customStyle="1" w:styleId="FooterCoverPage">
    <w:name w:val="Footer Cover Page"/>
    <w:basedOn w:val="Normal"/>
    <w:link w:val="FooterCoverPageChar"/>
    <w:pPr>
      <w:widowControl w:val="0"/>
      <w:tabs>
        <w:tab w:val="center" w:pos="4535"/>
        <w:tab w:val="right" w:pos="9071"/>
        <w:tab w:val="right" w:pos="9921"/>
      </w:tabs>
      <w:spacing w:before="360" w:after="0" w:line="240" w:lineRule="auto"/>
      <w:ind w:left="-850" w:right="-850"/>
      <w:outlineLvl w:val="1"/>
    </w:pPr>
    <w:rPr>
      <w:rFonts w:ascii="Times New Roman" w:eastAsia="EC Square Sans Pro" w:hAnsi="Times New Roman" w:cs="Times New Roman"/>
      <w:bCs/>
      <w:color w:val="164194"/>
      <w:sz w:val="24"/>
      <w:szCs w:val="28"/>
    </w:rPr>
  </w:style>
  <w:style w:type="character" w:customStyle="1" w:styleId="FooterCoverPageChar">
    <w:name w:val="Footer Cover Page Char"/>
    <w:basedOn w:val="DefaultParagraphFont"/>
    <w:link w:val="FooterCoverPage"/>
    <w:rPr>
      <w:rFonts w:ascii="Times New Roman" w:eastAsia="EC Square Sans Pro" w:hAnsi="Times New Roman" w:cs="Times New Roman"/>
      <w:bCs/>
      <w:color w:val="164194"/>
      <w:sz w:val="24"/>
      <w:szCs w:val="28"/>
    </w:rPr>
  </w:style>
  <w:style w:type="paragraph" w:customStyle="1" w:styleId="HeaderCoverPage">
    <w:name w:val="Header Cover Page"/>
    <w:basedOn w:val="Normal"/>
    <w:link w:val="HeaderCoverPageChar"/>
    <w:pPr>
      <w:widowControl w:val="0"/>
      <w:tabs>
        <w:tab w:val="center" w:pos="4535"/>
        <w:tab w:val="right" w:pos="9071"/>
      </w:tabs>
      <w:spacing w:after="120" w:line="240" w:lineRule="auto"/>
      <w:jc w:val="both"/>
      <w:outlineLvl w:val="1"/>
    </w:pPr>
    <w:rPr>
      <w:rFonts w:ascii="Times New Roman" w:eastAsia="EC Square Sans Pro" w:hAnsi="Times New Roman" w:cs="Times New Roman"/>
      <w:bCs/>
      <w:color w:val="164194"/>
      <w:sz w:val="24"/>
      <w:szCs w:val="28"/>
    </w:rPr>
  </w:style>
  <w:style w:type="character" w:customStyle="1" w:styleId="HeaderCoverPageChar">
    <w:name w:val="Header Cover Page Char"/>
    <w:basedOn w:val="DefaultParagraphFont"/>
    <w:link w:val="HeaderCoverPage"/>
    <w:rPr>
      <w:rFonts w:ascii="Times New Roman" w:eastAsia="EC Square Sans Pro" w:hAnsi="Times New Roman" w:cs="Times New Roman"/>
      <w:bCs/>
      <w:color w:val="164194"/>
      <w:sz w:val="24"/>
      <w:szCs w:val="28"/>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bg-BG"/>
    </w:rPr>
  </w:style>
  <w:style w:type="character" w:customStyle="1" w:styleId="Heading2Char">
    <w:name w:val="Heading 2 Char"/>
    <w:basedOn w:val="DefaultParagraphFont"/>
    <w:link w:val="Heading2"/>
    <w:uiPriority w:val="1"/>
    <w:rPr>
      <w:rFonts w:asciiTheme="majorHAnsi" w:eastAsia="EC Square Sans Pro" w:hAnsiTheme="majorHAnsi" w:cs="Times New Roman"/>
      <w:b/>
      <w:bCs/>
      <w:color w:val="365F91" w:themeColor="accent1" w:themeShade="BF"/>
      <w:sz w:val="24"/>
      <w:szCs w:val="28"/>
      <w:lang w:eastAsia="bg-BG"/>
    </w:rPr>
  </w:style>
  <w:style w:type="character" w:customStyle="1" w:styleId="Heading5Char">
    <w:name w:val="Heading 5 Char"/>
    <w:basedOn w:val="DefaultParagraphFont"/>
    <w:link w:val="Heading5"/>
    <w:semiHidden/>
    <w:rPr>
      <w:rFonts w:asciiTheme="majorHAnsi" w:eastAsiaTheme="majorEastAsia" w:hAnsiTheme="majorHAnsi" w:cstheme="majorBidi"/>
      <w:color w:val="243F60" w:themeColor="accent1" w:themeShade="7F"/>
      <w:sz w:val="20"/>
      <w:szCs w:val="20"/>
      <w:lang w:eastAsia="bg-BG"/>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243F60" w:themeColor="accent1" w:themeShade="7F"/>
      <w:sz w:val="20"/>
      <w:szCs w:val="20"/>
      <w:lang w:eastAsia="bg-BG"/>
    </w:rPr>
  </w:style>
  <w:style w:type="numbering" w:customStyle="1" w:styleId="NoList1">
    <w:name w:val="No List1"/>
    <w:next w:val="NoList"/>
    <w:uiPriority w:val="99"/>
    <w:semiHidden/>
    <w:unhideWhenUsed/>
  </w:style>
  <w:style w:type="paragraph" w:customStyle="1" w:styleId="LTTTitlered">
    <w:name w:val="LTT Title red"/>
    <w:basedOn w:val="Normal"/>
    <w:qFormat/>
    <w:pPr>
      <w:widowControl w:val="0"/>
      <w:pBdr>
        <w:bottom w:val="single" w:sz="6" w:space="1" w:color="auto"/>
      </w:pBdr>
      <w:spacing w:after="0" w:line="240" w:lineRule="auto"/>
    </w:pPr>
    <w:rPr>
      <w:rFonts w:ascii="Calibri" w:eastAsia="Times New Roman" w:hAnsi="Calibri" w:cs="Calibri"/>
      <w:b/>
      <w:color w:val="FF0000"/>
      <w:sz w:val="32"/>
      <w:szCs w:val="32"/>
    </w:rPr>
  </w:style>
  <w:style w:type="paragraph" w:customStyle="1" w:styleId="LTTBody1">
    <w:name w:val="LTT Body 1"/>
    <w:basedOn w:val="Normal"/>
    <w:qFormat/>
    <w:pPr>
      <w:widowControl w:val="0"/>
      <w:numPr>
        <w:numId w:val="1"/>
      </w:numPr>
      <w:spacing w:after="0" w:line="240" w:lineRule="auto"/>
    </w:pPr>
    <w:rPr>
      <w:rFonts w:ascii="Calibri" w:eastAsia="Times New Roman" w:hAnsi="Calibri" w:cs="Calibri"/>
      <w:sz w:val="28"/>
      <w:szCs w:val="28"/>
    </w:rPr>
  </w:style>
  <w:style w:type="paragraph" w:customStyle="1" w:styleId="LTTTitle1">
    <w:name w:val="LTT Title 1"/>
    <w:basedOn w:val="Normal"/>
    <w:qFormat/>
    <w:pPr>
      <w:widowControl w:val="0"/>
      <w:pBdr>
        <w:bottom w:val="single" w:sz="6" w:space="1" w:color="auto"/>
      </w:pBdr>
      <w:spacing w:after="0" w:line="240" w:lineRule="auto"/>
    </w:pPr>
    <w:rPr>
      <w:rFonts w:ascii="Calibri" w:eastAsia="Times New Roman" w:hAnsi="Calibri" w:cs="Calibri"/>
      <w:b/>
      <w:sz w:val="28"/>
      <w:szCs w:val="28"/>
    </w:rPr>
  </w:style>
  <w:style w:type="paragraph" w:customStyle="1" w:styleId="LTTTitle2">
    <w:name w:val="LTT Title 2"/>
    <w:basedOn w:val="Normal"/>
    <w:qFormat/>
    <w:pPr>
      <w:widowControl w:val="0"/>
      <w:pBdr>
        <w:bottom w:val="single" w:sz="6" w:space="1" w:color="auto"/>
      </w:pBdr>
      <w:spacing w:after="0" w:line="240" w:lineRule="auto"/>
    </w:pPr>
    <w:rPr>
      <w:rFonts w:ascii="Calibri" w:eastAsia="Times New Roman" w:hAnsi="Calibri" w:cs="Calibri"/>
      <w:b/>
      <w:sz w:val="20"/>
      <w:szCs w:val="20"/>
    </w:rPr>
  </w:style>
  <w:style w:type="paragraph" w:customStyle="1" w:styleId="LTTbody2">
    <w:name w:val="LTT body 2"/>
    <w:basedOn w:val="Normal"/>
    <w:qFormat/>
    <w:pPr>
      <w:widowControl w:val="0"/>
      <w:numPr>
        <w:numId w:val="2"/>
      </w:numPr>
      <w:spacing w:after="0" w:line="240" w:lineRule="auto"/>
    </w:pPr>
    <w:rPr>
      <w:rFonts w:ascii="Calibri" w:eastAsia="Times New Roman" w:hAnsi="Calibri" w:cs="Calibri"/>
      <w:sz w:val="20"/>
      <w:szCs w:val="20"/>
    </w:rPr>
  </w:style>
  <w:style w:type="paragraph" w:customStyle="1" w:styleId="LTTSPPcontacts">
    <w:name w:val="LTT SPP contacts"/>
    <w:basedOn w:val="Normal"/>
    <w:qFormat/>
    <w:pPr>
      <w:widowControl w:val="0"/>
      <w:spacing w:after="0" w:line="240" w:lineRule="auto"/>
    </w:pPr>
    <w:rPr>
      <w:rFonts w:ascii="Calibri" w:eastAsia="Times New Roman" w:hAnsi="Calibri" w:cs="Calibri"/>
      <w:sz w:val="20"/>
      <w:szCs w:val="20"/>
    </w:rPr>
  </w:style>
  <w:style w:type="paragraph" w:styleId="BodyText">
    <w:name w:val="Body Text"/>
    <w:basedOn w:val="Normal"/>
    <w:link w:val="BodyTextChar"/>
    <w:uiPriority w:val="1"/>
    <w:qFormat/>
    <w:pPr>
      <w:widowControl w:val="0"/>
      <w:spacing w:after="0" w:line="240" w:lineRule="auto"/>
      <w:ind w:left="137"/>
    </w:pPr>
    <w:rPr>
      <w:rFonts w:ascii="Garamond" w:eastAsia="Garamond" w:hAnsi="Garamond" w:cs="Times New Roman"/>
      <w:sz w:val="20"/>
      <w:szCs w:val="20"/>
    </w:rPr>
  </w:style>
  <w:style w:type="character" w:customStyle="1" w:styleId="BodyTextChar">
    <w:name w:val="Body Text Char"/>
    <w:basedOn w:val="DefaultParagraphFont"/>
    <w:link w:val="BodyText"/>
    <w:uiPriority w:val="1"/>
    <w:rPr>
      <w:rFonts w:ascii="Garamond" w:eastAsia="Garamond" w:hAnsi="Garamond" w:cs="Times New Roman"/>
      <w:sz w:val="20"/>
      <w:szCs w:val="20"/>
      <w:lang w:eastAsia="bg-BG"/>
    </w:rPr>
  </w:style>
  <w:style w:type="paragraph" w:customStyle="1" w:styleId="TableParagraph">
    <w:name w:val="Table Paragraph"/>
    <w:basedOn w:val="Normal"/>
    <w:uiPriority w:val="1"/>
    <w:qFormat/>
    <w:pPr>
      <w:widowControl w:val="0"/>
      <w:spacing w:after="0" w:line="240" w:lineRule="auto"/>
    </w:pPr>
    <w:rPr>
      <w:rFonts w:ascii="Times New Roman" w:eastAsia="Times New Roman" w:hAnsi="Times New Roman" w:cs="Times New Roman"/>
      <w:sz w:val="20"/>
      <w:szCs w:val="20"/>
    </w:rPr>
  </w:style>
  <w:style w:type="paragraph" w:customStyle="1" w:styleId="Tiret1">
    <w:name w:val="Tiret 1"/>
    <w:basedOn w:val="Normal"/>
    <w:pPr>
      <w:numPr>
        <w:numId w:val="3"/>
      </w:numPr>
      <w:spacing w:after="40" w:line="240" w:lineRule="auto"/>
      <w:ind w:right="57"/>
      <w:jc w:val="both"/>
    </w:pPr>
    <w:rPr>
      <w:rFonts w:ascii="Verdana" w:eastAsia="Times New Roman" w:hAnsi="Verdana" w:cs="Times New Roman"/>
      <w:spacing w:val="-2"/>
      <w:sz w:val="20"/>
      <w:szCs w:val="20"/>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imes New Roman" w:hAnsi="Times New Roman" w:cs="Times New Roman"/>
      <w:sz w:val="24"/>
      <w:szCs w:val="20"/>
    </w:rPr>
  </w:style>
  <w:style w:type="paragraph" w:customStyle="1" w:styleId="Langue">
    <w:name w:val="Langue"/>
    <w:basedOn w:val="Normal"/>
    <w:next w:val="Normal"/>
    <w:pPr>
      <w:framePr w:wrap="around" w:vAnchor="page" w:hAnchor="text" w:xAlign="center" w:y="14741"/>
      <w:spacing w:after="600" w:line="240" w:lineRule="auto"/>
      <w:jc w:val="center"/>
    </w:pPr>
    <w:rPr>
      <w:rFonts w:ascii="Times New Roman" w:eastAsia="Times New Roman" w:hAnsi="Times New Roman" w:cs="Times New Roman"/>
      <w:b/>
      <w:caps/>
      <w:sz w:val="24"/>
      <w:szCs w:val="20"/>
    </w:rPr>
  </w:style>
  <w:style w:type="paragraph" w:customStyle="1" w:styleId="Nomdelinstitution">
    <w:name w:val="Nom de l'institution"/>
    <w:basedOn w:val="Normal"/>
    <w:next w:val="Normal"/>
    <w:pPr>
      <w:spacing w:after="0" w:line="240" w:lineRule="auto"/>
    </w:pPr>
    <w:rPr>
      <w:rFonts w:ascii="Arial" w:eastAsia="Times New Roman" w:hAnsi="Arial" w:cs="Arial"/>
      <w:sz w:val="24"/>
      <w:szCs w:val="20"/>
    </w:rPr>
  </w:style>
  <w:style w:type="paragraph" w:customStyle="1" w:styleId="Emission">
    <w:name w:val="Emission"/>
    <w:basedOn w:val="Normal"/>
    <w:next w:val="Normal"/>
    <w:pPr>
      <w:spacing w:after="0" w:line="240" w:lineRule="auto"/>
      <w:ind w:left="5103"/>
    </w:pPr>
    <w:rPr>
      <w:rFonts w:ascii="Times New Roman" w:eastAsia="Times New Roman" w:hAnsi="Times New Roman" w:cs="Times New Roman"/>
      <w:sz w:val="24"/>
      <w:szCs w:val="20"/>
    </w:rPr>
  </w:style>
  <w:style w:type="character" w:customStyle="1" w:styleId="Marker2">
    <w:name w:val="Marker2"/>
    <w:basedOn w:val="DefaultParagraphFont"/>
    <w:rPr>
      <w:color w:val="FF0000"/>
      <w:shd w:val="clear" w:color="auto" w:fill="auto"/>
    </w:rPr>
  </w:style>
  <w:style w:type="paragraph" w:customStyle="1" w:styleId="Rfrenceinstitutionnelle">
    <w:name w:val="Référence institutionnelle"/>
    <w:basedOn w:val="Normal"/>
    <w:next w:val="Normal"/>
    <w:pPr>
      <w:spacing w:after="240" w:line="240" w:lineRule="auto"/>
      <w:ind w:left="5103"/>
    </w:pPr>
    <w:rPr>
      <w:rFonts w:ascii="Times New Roman" w:eastAsia="Times New Roman" w:hAnsi="Times New Roman" w:cs="Times New Roman"/>
      <w:sz w:val="24"/>
      <w:szCs w:val="20"/>
    </w:rPr>
  </w:style>
  <w:style w:type="paragraph" w:customStyle="1" w:styleId="Confidentialit">
    <w:name w:val="Confidentialité"/>
    <w:basedOn w:val="Normal"/>
    <w:next w:val="Normal"/>
    <w:pPr>
      <w:spacing w:before="240" w:after="240" w:line="240" w:lineRule="auto"/>
      <w:ind w:left="5103"/>
    </w:pPr>
    <w:rPr>
      <w:rFonts w:ascii="Times New Roman" w:eastAsia="Times New Roman" w:hAnsi="Times New Roman" w:cs="Times New Roman"/>
      <w:i/>
      <w:sz w:val="32"/>
      <w:szCs w:val="20"/>
    </w:rPr>
  </w:style>
  <w:style w:type="paragraph" w:customStyle="1" w:styleId="TypedudocumentPagedecouverture">
    <w:name w:val="Type du document (Page de couverture)"/>
    <w:basedOn w:val="Normal"/>
    <w:next w:val="Normal"/>
    <w:pPr>
      <w:spacing w:before="360" w:after="0" w:line="240" w:lineRule="auto"/>
      <w:jc w:val="center"/>
    </w:pPr>
    <w:rPr>
      <w:rFonts w:ascii="Times New Roman" w:eastAsia="Times New Roman" w:hAnsi="Times New Roman" w:cs="Times New Roman"/>
      <w:b/>
      <w:sz w:val="24"/>
      <w:szCs w:val="20"/>
    </w:rPr>
  </w:style>
  <w:style w:type="paragraph" w:customStyle="1" w:styleId="TitreobjetPagedecouverture">
    <w:name w:val="Titre objet (Page de couverture)"/>
    <w:basedOn w:val="Normal"/>
    <w:next w:val="Normal"/>
    <w:pPr>
      <w:spacing w:before="360" w:after="360" w:line="240" w:lineRule="auto"/>
      <w:jc w:val="center"/>
    </w:pPr>
    <w:rPr>
      <w:rFonts w:ascii="Times New Roman" w:eastAsia="Times New Roman" w:hAnsi="Times New Roman" w:cs="Times New Roman"/>
      <w:b/>
      <w:sz w:val="24"/>
      <w:szCs w:val="20"/>
    </w:rPr>
  </w:style>
  <w:style w:type="paragraph" w:styleId="NormalWeb">
    <w:name w:val="Normal (Web)"/>
    <w:basedOn w:val="Normal"/>
    <w:uiPriority w:val="99"/>
    <w:semiHidden/>
    <w:unhideWhenUsed/>
    <w:rPr>
      <w:rFonts w:ascii="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Continue5">
    <w:name w:val="List Continue 5"/>
    <w:basedOn w:val="Normal"/>
    <w:uiPriority w:val="99"/>
    <w:semiHidden/>
    <w:unhideWhenUsed/>
    <w:pPr>
      <w:numPr>
        <w:numId w:val="5"/>
      </w:numPr>
      <w:spacing w:after="120" w:line="240" w:lineRule="auto"/>
      <w:jc w:val="both"/>
    </w:pPr>
    <w:rPr>
      <w:rFonts w:ascii="Times New Roman" w:eastAsia="Times New Roman" w:hAnsi="Times New Roman" w:cs="Times New Roman"/>
      <w:sz w:val="24"/>
      <w:szCs w:val="24"/>
    </w:rPr>
  </w:style>
  <w:style w:type="paragraph" w:customStyle="1" w:styleId="ListNumber1">
    <w:name w:val="List Number 1"/>
    <w:basedOn w:val="Normal"/>
    <w:pPr>
      <w:numPr>
        <w:ilvl w:val="1"/>
        <w:numId w:val="5"/>
      </w:numPr>
      <w:spacing w:after="240" w:line="240" w:lineRule="auto"/>
      <w:jc w:val="both"/>
    </w:pPr>
    <w:rPr>
      <w:rFonts w:ascii="Times New Roman" w:eastAsia="Times New Roman" w:hAnsi="Times New Roman" w:cs="Times New Roman"/>
      <w:sz w:val="24"/>
      <w:szCs w:val="24"/>
    </w:rPr>
  </w:style>
  <w:style w:type="paragraph" w:customStyle="1" w:styleId="ListNumber1Level2">
    <w:name w:val="List Number 1 (Level 2)"/>
    <w:basedOn w:val="Normal"/>
    <w:pPr>
      <w:numPr>
        <w:ilvl w:val="2"/>
        <w:numId w:val="5"/>
      </w:numPr>
      <w:spacing w:after="240" w:line="240" w:lineRule="auto"/>
      <w:jc w:val="both"/>
    </w:pPr>
    <w:rPr>
      <w:rFonts w:ascii="Times New Roman" w:eastAsia="Times New Roman" w:hAnsi="Times New Roman" w:cs="Times New Roman"/>
      <w:sz w:val="24"/>
      <w:szCs w:val="24"/>
    </w:rPr>
  </w:style>
  <w:style w:type="paragraph" w:customStyle="1" w:styleId="ListNumber1Level3">
    <w:name w:val="List Number 1 (Level 3)"/>
    <w:basedOn w:val="Normal"/>
    <w:pPr>
      <w:numPr>
        <w:ilvl w:val="3"/>
        <w:numId w:val="5"/>
      </w:numPr>
      <w:spacing w:after="240" w:line="240" w:lineRule="auto"/>
      <w:jc w:val="both"/>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paragraph" w:styleId="PlainText">
    <w:name w:val="Plain Text"/>
    <w:basedOn w:val="Normal"/>
    <w:link w:val="PlainTextChar"/>
    <w:uiPriority w:val="99"/>
    <w:unhideWhenUsed/>
    <w:pPr>
      <w:spacing w:after="0" w:line="240" w:lineRule="auto"/>
    </w:pPr>
    <w:rPr>
      <w:rFonts w:ascii="Tahoma" w:hAnsi="Tahoma" w:cs="Tahoma"/>
      <w:color w:val="17365D"/>
      <w:sz w:val="20"/>
      <w:szCs w:val="20"/>
    </w:rPr>
  </w:style>
  <w:style w:type="character" w:customStyle="1" w:styleId="PlainTextChar">
    <w:name w:val="Plain Text Char"/>
    <w:basedOn w:val="DefaultParagraphFont"/>
    <w:link w:val="PlainText"/>
    <w:uiPriority w:val="99"/>
    <w:rPr>
      <w:rFonts w:ascii="Tahoma" w:hAnsi="Tahoma" w:cs="Tahoma"/>
      <w:color w:val="17365D"/>
      <w:sz w:val="20"/>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yiv5137631650msonormal">
    <w:name w:val="yiv5137631650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customStyle="1" w:styleId="Text2">
    <w:name w:val="Text 2"/>
    <w:basedOn w:val="Normal"/>
    <w:pPr>
      <w:tabs>
        <w:tab w:val="left" w:pos="2160"/>
      </w:tabs>
      <w:spacing w:after="240" w:line="240" w:lineRule="auto"/>
      <w:ind w:left="1077"/>
      <w:jc w:val="both"/>
    </w:pPr>
    <w:rPr>
      <w:rFonts w:ascii="Times New Roman" w:eastAsia="Times New Roman" w:hAnsi="Times New Roman" w:cs="Times New Roman"/>
      <w:sz w:val="24"/>
      <w:szCs w:val="20"/>
    </w:rPr>
  </w:style>
  <w:style w:type="character" w:customStyle="1" w:styleId="st1">
    <w:name w:val="st1"/>
    <w:basedOn w:val="DefaultParagraphFont"/>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IntenseEmphasis">
    <w:name w:val="Intense Emphasis"/>
    <w:basedOn w:val="DefaultParagraphFont"/>
    <w:uiPriority w:val="21"/>
    <w:qFormat/>
    <w:rPr>
      <w:b/>
      <w:bCs/>
      <w:i/>
      <w:iCs/>
      <w:color w:val="4F81BD" w:themeColor="accent1"/>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A7">
    <w:name w:val="A7"/>
    <w:uiPriority w:val="99"/>
    <w:rPr>
      <w:rFonts w:cs="EC Square Sans Pro"/>
      <w:i/>
      <w:iCs/>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pPr>
      <w:widowControl w:val="0"/>
      <w:spacing w:before="46" w:after="0" w:line="240" w:lineRule="auto"/>
      <w:outlineLvl w:val="1"/>
    </w:pPr>
    <w:rPr>
      <w:rFonts w:asciiTheme="majorHAnsi" w:eastAsia="EC Square Sans Pro" w:hAnsiTheme="majorHAnsi" w:cs="Times New Roman"/>
      <w:b/>
      <w:bCs/>
      <w:color w:val="365F91" w:themeColor="accent1" w:themeShade="BF"/>
      <w:sz w:val="24"/>
      <w:szCs w:val="28"/>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pPr>
      <w:keepNext/>
      <w:keepLines/>
      <w:widowControl w:val="0"/>
      <w:spacing w:before="200" w:after="0" w:line="240" w:lineRule="auto"/>
      <w:outlineLvl w:val="4"/>
    </w:pPr>
    <w:rPr>
      <w:rFonts w:asciiTheme="majorHAnsi" w:eastAsiaTheme="majorEastAsia" w:hAnsiTheme="majorHAnsi" w:cstheme="majorBidi"/>
      <w:color w:val="243F60" w:themeColor="accent1" w:themeShade="7F"/>
      <w:sz w:val="20"/>
      <w:szCs w:val="20"/>
    </w:rPr>
  </w:style>
  <w:style w:type="paragraph" w:styleId="Heading6">
    <w:name w:val="heading 6"/>
    <w:basedOn w:val="Normal"/>
    <w:next w:val="Normal"/>
    <w:link w:val="Heading6Char"/>
    <w:semiHidden/>
    <w:unhideWhenUsed/>
    <w:qFormat/>
    <w:pPr>
      <w:keepNext/>
      <w:keepLines/>
      <w:widowControl w:val="0"/>
      <w:spacing w:before="200" w:after="0" w:line="240" w:lineRule="auto"/>
      <w:outlineLvl w:val="5"/>
    </w:pPr>
    <w:rPr>
      <w:rFonts w:asciiTheme="majorHAnsi" w:eastAsiaTheme="majorEastAsia" w:hAnsiTheme="majorHAnsi" w:cstheme="majorBidi"/>
      <w:i/>
      <w:iCs/>
      <w:color w:val="243F60" w:themeColor="accent1" w:themeShade="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Revision">
    <w:name w:val="Revision"/>
    <w:hidden/>
    <w:uiPriority w:val="99"/>
    <w:semiHidden/>
    <w:pPr>
      <w:spacing w:after="0" w:line="240" w:lineRule="auto"/>
    </w:pPr>
  </w:style>
  <w:style w:type="paragraph" w:styleId="FootnoteText">
    <w:name w:val="footnote text"/>
    <w:basedOn w:val="Normal"/>
    <w:link w:val="FootnoteTextChar"/>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semiHidden/>
    <w:rPr>
      <w:vertAlign w:val="superscript"/>
    </w:rPr>
  </w:style>
  <w:style w:type="paragraph" w:customStyle="1" w:styleId="FooterCoverPage">
    <w:name w:val="Footer Cover Page"/>
    <w:basedOn w:val="Normal"/>
    <w:link w:val="FooterCoverPageChar"/>
    <w:pPr>
      <w:widowControl w:val="0"/>
      <w:tabs>
        <w:tab w:val="center" w:pos="4535"/>
        <w:tab w:val="right" w:pos="9071"/>
        <w:tab w:val="right" w:pos="9921"/>
      </w:tabs>
      <w:spacing w:before="360" w:after="0" w:line="240" w:lineRule="auto"/>
      <w:ind w:left="-850" w:right="-850"/>
      <w:outlineLvl w:val="1"/>
    </w:pPr>
    <w:rPr>
      <w:rFonts w:ascii="Times New Roman" w:eastAsia="EC Square Sans Pro" w:hAnsi="Times New Roman" w:cs="Times New Roman"/>
      <w:bCs/>
      <w:color w:val="164194"/>
      <w:sz w:val="24"/>
      <w:szCs w:val="28"/>
    </w:rPr>
  </w:style>
  <w:style w:type="character" w:customStyle="1" w:styleId="FooterCoverPageChar">
    <w:name w:val="Footer Cover Page Char"/>
    <w:basedOn w:val="DefaultParagraphFont"/>
    <w:link w:val="FooterCoverPage"/>
    <w:rPr>
      <w:rFonts w:ascii="Times New Roman" w:eastAsia="EC Square Sans Pro" w:hAnsi="Times New Roman" w:cs="Times New Roman"/>
      <w:bCs/>
      <w:color w:val="164194"/>
      <w:sz w:val="24"/>
      <w:szCs w:val="28"/>
    </w:rPr>
  </w:style>
  <w:style w:type="paragraph" w:customStyle="1" w:styleId="HeaderCoverPage">
    <w:name w:val="Header Cover Page"/>
    <w:basedOn w:val="Normal"/>
    <w:link w:val="HeaderCoverPageChar"/>
    <w:pPr>
      <w:widowControl w:val="0"/>
      <w:tabs>
        <w:tab w:val="center" w:pos="4535"/>
        <w:tab w:val="right" w:pos="9071"/>
      </w:tabs>
      <w:spacing w:after="120" w:line="240" w:lineRule="auto"/>
      <w:jc w:val="both"/>
      <w:outlineLvl w:val="1"/>
    </w:pPr>
    <w:rPr>
      <w:rFonts w:ascii="Times New Roman" w:eastAsia="EC Square Sans Pro" w:hAnsi="Times New Roman" w:cs="Times New Roman"/>
      <w:bCs/>
      <w:color w:val="164194"/>
      <w:sz w:val="24"/>
      <w:szCs w:val="28"/>
    </w:rPr>
  </w:style>
  <w:style w:type="character" w:customStyle="1" w:styleId="HeaderCoverPageChar">
    <w:name w:val="Header Cover Page Char"/>
    <w:basedOn w:val="DefaultParagraphFont"/>
    <w:link w:val="HeaderCoverPage"/>
    <w:rPr>
      <w:rFonts w:ascii="Times New Roman" w:eastAsia="EC Square Sans Pro" w:hAnsi="Times New Roman" w:cs="Times New Roman"/>
      <w:bCs/>
      <w:color w:val="164194"/>
      <w:sz w:val="24"/>
      <w:szCs w:val="28"/>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bg-BG"/>
    </w:rPr>
  </w:style>
  <w:style w:type="character" w:customStyle="1" w:styleId="Heading2Char">
    <w:name w:val="Heading 2 Char"/>
    <w:basedOn w:val="DefaultParagraphFont"/>
    <w:link w:val="Heading2"/>
    <w:uiPriority w:val="1"/>
    <w:rPr>
      <w:rFonts w:asciiTheme="majorHAnsi" w:eastAsia="EC Square Sans Pro" w:hAnsiTheme="majorHAnsi" w:cs="Times New Roman"/>
      <w:b/>
      <w:bCs/>
      <w:color w:val="365F91" w:themeColor="accent1" w:themeShade="BF"/>
      <w:sz w:val="24"/>
      <w:szCs w:val="28"/>
      <w:lang w:eastAsia="bg-BG"/>
    </w:rPr>
  </w:style>
  <w:style w:type="character" w:customStyle="1" w:styleId="Heading5Char">
    <w:name w:val="Heading 5 Char"/>
    <w:basedOn w:val="DefaultParagraphFont"/>
    <w:link w:val="Heading5"/>
    <w:semiHidden/>
    <w:rPr>
      <w:rFonts w:asciiTheme="majorHAnsi" w:eastAsiaTheme="majorEastAsia" w:hAnsiTheme="majorHAnsi" w:cstheme="majorBidi"/>
      <w:color w:val="243F60" w:themeColor="accent1" w:themeShade="7F"/>
      <w:sz w:val="20"/>
      <w:szCs w:val="20"/>
      <w:lang w:eastAsia="bg-BG"/>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243F60" w:themeColor="accent1" w:themeShade="7F"/>
      <w:sz w:val="20"/>
      <w:szCs w:val="20"/>
      <w:lang w:eastAsia="bg-BG"/>
    </w:rPr>
  </w:style>
  <w:style w:type="numbering" w:customStyle="1" w:styleId="NoList1">
    <w:name w:val="No List1"/>
    <w:next w:val="NoList"/>
    <w:uiPriority w:val="99"/>
    <w:semiHidden/>
    <w:unhideWhenUsed/>
  </w:style>
  <w:style w:type="paragraph" w:customStyle="1" w:styleId="LTTTitlered">
    <w:name w:val="LTT Title red"/>
    <w:basedOn w:val="Normal"/>
    <w:qFormat/>
    <w:pPr>
      <w:widowControl w:val="0"/>
      <w:pBdr>
        <w:bottom w:val="single" w:sz="6" w:space="1" w:color="auto"/>
      </w:pBdr>
      <w:spacing w:after="0" w:line="240" w:lineRule="auto"/>
    </w:pPr>
    <w:rPr>
      <w:rFonts w:ascii="Calibri" w:eastAsia="Times New Roman" w:hAnsi="Calibri" w:cs="Calibri"/>
      <w:b/>
      <w:color w:val="FF0000"/>
      <w:sz w:val="32"/>
      <w:szCs w:val="32"/>
    </w:rPr>
  </w:style>
  <w:style w:type="paragraph" w:customStyle="1" w:styleId="LTTBody1">
    <w:name w:val="LTT Body 1"/>
    <w:basedOn w:val="Normal"/>
    <w:qFormat/>
    <w:pPr>
      <w:widowControl w:val="0"/>
      <w:numPr>
        <w:numId w:val="1"/>
      </w:numPr>
      <w:spacing w:after="0" w:line="240" w:lineRule="auto"/>
    </w:pPr>
    <w:rPr>
      <w:rFonts w:ascii="Calibri" w:eastAsia="Times New Roman" w:hAnsi="Calibri" w:cs="Calibri"/>
      <w:sz w:val="28"/>
      <w:szCs w:val="28"/>
    </w:rPr>
  </w:style>
  <w:style w:type="paragraph" w:customStyle="1" w:styleId="LTTTitle1">
    <w:name w:val="LTT Title 1"/>
    <w:basedOn w:val="Normal"/>
    <w:qFormat/>
    <w:pPr>
      <w:widowControl w:val="0"/>
      <w:pBdr>
        <w:bottom w:val="single" w:sz="6" w:space="1" w:color="auto"/>
      </w:pBdr>
      <w:spacing w:after="0" w:line="240" w:lineRule="auto"/>
    </w:pPr>
    <w:rPr>
      <w:rFonts w:ascii="Calibri" w:eastAsia="Times New Roman" w:hAnsi="Calibri" w:cs="Calibri"/>
      <w:b/>
      <w:sz w:val="28"/>
      <w:szCs w:val="28"/>
    </w:rPr>
  </w:style>
  <w:style w:type="paragraph" w:customStyle="1" w:styleId="LTTTitle2">
    <w:name w:val="LTT Title 2"/>
    <w:basedOn w:val="Normal"/>
    <w:qFormat/>
    <w:pPr>
      <w:widowControl w:val="0"/>
      <w:pBdr>
        <w:bottom w:val="single" w:sz="6" w:space="1" w:color="auto"/>
      </w:pBdr>
      <w:spacing w:after="0" w:line="240" w:lineRule="auto"/>
    </w:pPr>
    <w:rPr>
      <w:rFonts w:ascii="Calibri" w:eastAsia="Times New Roman" w:hAnsi="Calibri" w:cs="Calibri"/>
      <w:b/>
      <w:sz w:val="20"/>
      <w:szCs w:val="20"/>
    </w:rPr>
  </w:style>
  <w:style w:type="paragraph" w:customStyle="1" w:styleId="LTTbody2">
    <w:name w:val="LTT body 2"/>
    <w:basedOn w:val="Normal"/>
    <w:qFormat/>
    <w:pPr>
      <w:widowControl w:val="0"/>
      <w:numPr>
        <w:numId w:val="2"/>
      </w:numPr>
      <w:spacing w:after="0" w:line="240" w:lineRule="auto"/>
    </w:pPr>
    <w:rPr>
      <w:rFonts w:ascii="Calibri" w:eastAsia="Times New Roman" w:hAnsi="Calibri" w:cs="Calibri"/>
      <w:sz w:val="20"/>
      <w:szCs w:val="20"/>
    </w:rPr>
  </w:style>
  <w:style w:type="paragraph" w:customStyle="1" w:styleId="LTTSPPcontacts">
    <w:name w:val="LTT SPP contacts"/>
    <w:basedOn w:val="Normal"/>
    <w:qFormat/>
    <w:pPr>
      <w:widowControl w:val="0"/>
      <w:spacing w:after="0" w:line="240" w:lineRule="auto"/>
    </w:pPr>
    <w:rPr>
      <w:rFonts w:ascii="Calibri" w:eastAsia="Times New Roman" w:hAnsi="Calibri" w:cs="Calibri"/>
      <w:sz w:val="20"/>
      <w:szCs w:val="20"/>
    </w:rPr>
  </w:style>
  <w:style w:type="paragraph" w:styleId="BodyText">
    <w:name w:val="Body Text"/>
    <w:basedOn w:val="Normal"/>
    <w:link w:val="BodyTextChar"/>
    <w:uiPriority w:val="1"/>
    <w:qFormat/>
    <w:pPr>
      <w:widowControl w:val="0"/>
      <w:spacing w:after="0" w:line="240" w:lineRule="auto"/>
      <w:ind w:left="137"/>
    </w:pPr>
    <w:rPr>
      <w:rFonts w:ascii="Garamond" w:eastAsia="Garamond" w:hAnsi="Garamond" w:cs="Times New Roman"/>
      <w:sz w:val="20"/>
      <w:szCs w:val="20"/>
    </w:rPr>
  </w:style>
  <w:style w:type="character" w:customStyle="1" w:styleId="BodyTextChar">
    <w:name w:val="Body Text Char"/>
    <w:basedOn w:val="DefaultParagraphFont"/>
    <w:link w:val="BodyText"/>
    <w:uiPriority w:val="1"/>
    <w:rPr>
      <w:rFonts w:ascii="Garamond" w:eastAsia="Garamond" w:hAnsi="Garamond" w:cs="Times New Roman"/>
      <w:sz w:val="20"/>
      <w:szCs w:val="20"/>
      <w:lang w:eastAsia="bg-BG"/>
    </w:rPr>
  </w:style>
  <w:style w:type="paragraph" w:customStyle="1" w:styleId="TableParagraph">
    <w:name w:val="Table Paragraph"/>
    <w:basedOn w:val="Normal"/>
    <w:uiPriority w:val="1"/>
    <w:qFormat/>
    <w:pPr>
      <w:widowControl w:val="0"/>
      <w:spacing w:after="0" w:line="240" w:lineRule="auto"/>
    </w:pPr>
    <w:rPr>
      <w:rFonts w:ascii="Times New Roman" w:eastAsia="Times New Roman" w:hAnsi="Times New Roman" w:cs="Times New Roman"/>
      <w:sz w:val="20"/>
      <w:szCs w:val="20"/>
    </w:rPr>
  </w:style>
  <w:style w:type="paragraph" w:customStyle="1" w:styleId="Tiret1">
    <w:name w:val="Tiret 1"/>
    <w:basedOn w:val="Normal"/>
    <w:pPr>
      <w:numPr>
        <w:numId w:val="3"/>
      </w:numPr>
      <w:spacing w:after="40" w:line="240" w:lineRule="auto"/>
      <w:ind w:right="57"/>
      <w:jc w:val="both"/>
    </w:pPr>
    <w:rPr>
      <w:rFonts w:ascii="Verdana" w:eastAsia="Times New Roman" w:hAnsi="Verdana" w:cs="Times New Roman"/>
      <w:spacing w:val="-2"/>
      <w:sz w:val="20"/>
      <w:szCs w:val="20"/>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imes New Roman" w:hAnsi="Times New Roman" w:cs="Times New Roman"/>
      <w:sz w:val="24"/>
      <w:szCs w:val="20"/>
    </w:rPr>
  </w:style>
  <w:style w:type="paragraph" w:customStyle="1" w:styleId="Langue">
    <w:name w:val="Langue"/>
    <w:basedOn w:val="Normal"/>
    <w:next w:val="Normal"/>
    <w:pPr>
      <w:framePr w:wrap="around" w:vAnchor="page" w:hAnchor="text" w:xAlign="center" w:y="14741"/>
      <w:spacing w:after="600" w:line="240" w:lineRule="auto"/>
      <w:jc w:val="center"/>
    </w:pPr>
    <w:rPr>
      <w:rFonts w:ascii="Times New Roman" w:eastAsia="Times New Roman" w:hAnsi="Times New Roman" w:cs="Times New Roman"/>
      <w:b/>
      <w:caps/>
      <w:sz w:val="24"/>
      <w:szCs w:val="20"/>
    </w:rPr>
  </w:style>
  <w:style w:type="paragraph" w:customStyle="1" w:styleId="Nomdelinstitution">
    <w:name w:val="Nom de l'institution"/>
    <w:basedOn w:val="Normal"/>
    <w:next w:val="Normal"/>
    <w:pPr>
      <w:spacing w:after="0" w:line="240" w:lineRule="auto"/>
    </w:pPr>
    <w:rPr>
      <w:rFonts w:ascii="Arial" w:eastAsia="Times New Roman" w:hAnsi="Arial" w:cs="Arial"/>
      <w:sz w:val="24"/>
      <w:szCs w:val="20"/>
    </w:rPr>
  </w:style>
  <w:style w:type="paragraph" w:customStyle="1" w:styleId="Emission">
    <w:name w:val="Emission"/>
    <w:basedOn w:val="Normal"/>
    <w:next w:val="Normal"/>
    <w:pPr>
      <w:spacing w:after="0" w:line="240" w:lineRule="auto"/>
      <w:ind w:left="5103"/>
    </w:pPr>
    <w:rPr>
      <w:rFonts w:ascii="Times New Roman" w:eastAsia="Times New Roman" w:hAnsi="Times New Roman" w:cs="Times New Roman"/>
      <w:sz w:val="24"/>
      <w:szCs w:val="20"/>
    </w:rPr>
  </w:style>
  <w:style w:type="character" w:customStyle="1" w:styleId="Marker2">
    <w:name w:val="Marker2"/>
    <w:basedOn w:val="DefaultParagraphFont"/>
    <w:rPr>
      <w:color w:val="FF0000"/>
      <w:shd w:val="clear" w:color="auto" w:fill="auto"/>
    </w:rPr>
  </w:style>
  <w:style w:type="paragraph" w:customStyle="1" w:styleId="Rfrenceinstitutionnelle">
    <w:name w:val="Référence institutionnelle"/>
    <w:basedOn w:val="Normal"/>
    <w:next w:val="Normal"/>
    <w:pPr>
      <w:spacing w:after="240" w:line="240" w:lineRule="auto"/>
      <w:ind w:left="5103"/>
    </w:pPr>
    <w:rPr>
      <w:rFonts w:ascii="Times New Roman" w:eastAsia="Times New Roman" w:hAnsi="Times New Roman" w:cs="Times New Roman"/>
      <w:sz w:val="24"/>
      <w:szCs w:val="20"/>
    </w:rPr>
  </w:style>
  <w:style w:type="paragraph" w:customStyle="1" w:styleId="Confidentialit">
    <w:name w:val="Confidentialité"/>
    <w:basedOn w:val="Normal"/>
    <w:next w:val="Normal"/>
    <w:pPr>
      <w:spacing w:before="240" w:after="240" w:line="240" w:lineRule="auto"/>
      <w:ind w:left="5103"/>
    </w:pPr>
    <w:rPr>
      <w:rFonts w:ascii="Times New Roman" w:eastAsia="Times New Roman" w:hAnsi="Times New Roman" w:cs="Times New Roman"/>
      <w:i/>
      <w:sz w:val="32"/>
      <w:szCs w:val="20"/>
    </w:rPr>
  </w:style>
  <w:style w:type="paragraph" w:customStyle="1" w:styleId="TypedudocumentPagedecouverture">
    <w:name w:val="Type du document (Page de couverture)"/>
    <w:basedOn w:val="Normal"/>
    <w:next w:val="Normal"/>
    <w:pPr>
      <w:spacing w:before="360" w:after="0" w:line="240" w:lineRule="auto"/>
      <w:jc w:val="center"/>
    </w:pPr>
    <w:rPr>
      <w:rFonts w:ascii="Times New Roman" w:eastAsia="Times New Roman" w:hAnsi="Times New Roman" w:cs="Times New Roman"/>
      <w:b/>
      <w:sz w:val="24"/>
      <w:szCs w:val="20"/>
    </w:rPr>
  </w:style>
  <w:style w:type="paragraph" w:customStyle="1" w:styleId="TitreobjetPagedecouverture">
    <w:name w:val="Titre objet (Page de couverture)"/>
    <w:basedOn w:val="Normal"/>
    <w:next w:val="Normal"/>
    <w:pPr>
      <w:spacing w:before="360" w:after="360" w:line="240" w:lineRule="auto"/>
      <w:jc w:val="center"/>
    </w:pPr>
    <w:rPr>
      <w:rFonts w:ascii="Times New Roman" w:eastAsia="Times New Roman" w:hAnsi="Times New Roman" w:cs="Times New Roman"/>
      <w:b/>
      <w:sz w:val="24"/>
      <w:szCs w:val="20"/>
    </w:rPr>
  </w:style>
  <w:style w:type="paragraph" w:styleId="NormalWeb">
    <w:name w:val="Normal (Web)"/>
    <w:basedOn w:val="Normal"/>
    <w:uiPriority w:val="99"/>
    <w:semiHidden/>
    <w:unhideWhenUsed/>
    <w:rPr>
      <w:rFonts w:ascii="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Continue5">
    <w:name w:val="List Continue 5"/>
    <w:basedOn w:val="Normal"/>
    <w:uiPriority w:val="99"/>
    <w:semiHidden/>
    <w:unhideWhenUsed/>
    <w:pPr>
      <w:numPr>
        <w:numId w:val="5"/>
      </w:numPr>
      <w:spacing w:after="120" w:line="240" w:lineRule="auto"/>
      <w:jc w:val="both"/>
    </w:pPr>
    <w:rPr>
      <w:rFonts w:ascii="Times New Roman" w:eastAsia="Times New Roman" w:hAnsi="Times New Roman" w:cs="Times New Roman"/>
      <w:sz w:val="24"/>
      <w:szCs w:val="24"/>
    </w:rPr>
  </w:style>
  <w:style w:type="paragraph" w:customStyle="1" w:styleId="ListNumber1">
    <w:name w:val="List Number 1"/>
    <w:basedOn w:val="Normal"/>
    <w:pPr>
      <w:numPr>
        <w:ilvl w:val="1"/>
        <w:numId w:val="5"/>
      </w:numPr>
      <w:spacing w:after="240" w:line="240" w:lineRule="auto"/>
      <w:jc w:val="both"/>
    </w:pPr>
    <w:rPr>
      <w:rFonts w:ascii="Times New Roman" w:eastAsia="Times New Roman" w:hAnsi="Times New Roman" w:cs="Times New Roman"/>
      <w:sz w:val="24"/>
      <w:szCs w:val="24"/>
    </w:rPr>
  </w:style>
  <w:style w:type="paragraph" w:customStyle="1" w:styleId="ListNumber1Level2">
    <w:name w:val="List Number 1 (Level 2)"/>
    <w:basedOn w:val="Normal"/>
    <w:pPr>
      <w:numPr>
        <w:ilvl w:val="2"/>
        <w:numId w:val="5"/>
      </w:numPr>
      <w:spacing w:after="240" w:line="240" w:lineRule="auto"/>
      <w:jc w:val="both"/>
    </w:pPr>
    <w:rPr>
      <w:rFonts w:ascii="Times New Roman" w:eastAsia="Times New Roman" w:hAnsi="Times New Roman" w:cs="Times New Roman"/>
      <w:sz w:val="24"/>
      <w:szCs w:val="24"/>
    </w:rPr>
  </w:style>
  <w:style w:type="paragraph" w:customStyle="1" w:styleId="ListNumber1Level3">
    <w:name w:val="List Number 1 (Level 3)"/>
    <w:basedOn w:val="Normal"/>
    <w:pPr>
      <w:numPr>
        <w:ilvl w:val="3"/>
        <w:numId w:val="5"/>
      </w:numPr>
      <w:spacing w:after="240" w:line="240" w:lineRule="auto"/>
      <w:jc w:val="both"/>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paragraph" w:styleId="PlainText">
    <w:name w:val="Plain Text"/>
    <w:basedOn w:val="Normal"/>
    <w:link w:val="PlainTextChar"/>
    <w:uiPriority w:val="99"/>
    <w:unhideWhenUsed/>
    <w:pPr>
      <w:spacing w:after="0" w:line="240" w:lineRule="auto"/>
    </w:pPr>
    <w:rPr>
      <w:rFonts w:ascii="Tahoma" w:hAnsi="Tahoma" w:cs="Tahoma"/>
      <w:color w:val="17365D"/>
      <w:sz w:val="20"/>
      <w:szCs w:val="20"/>
    </w:rPr>
  </w:style>
  <w:style w:type="character" w:customStyle="1" w:styleId="PlainTextChar">
    <w:name w:val="Plain Text Char"/>
    <w:basedOn w:val="DefaultParagraphFont"/>
    <w:link w:val="PlainText"/>
    <w:uiPriority w:val="99"/>
    <w:rPr>
      <w:rFonts w:ascii="Tahoma" w:hAnsi="Tahoma" w:cs="Tahoma"/>
      <w:color w:val="17365D"/>
      <w:sz w:val="20"/>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yiv5137631650msonormal">
    <w:name w:val="yiv5137631650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customStyle="1" w:styleId="Text2">
    <w:name w:val="Text 2"/>
    <w:basedOn w:val="Normal"/>
    <w:pPr>
      <w:tabs>
        <w:tab w:val="left" w:pos="2160"/>
      </w:tabs>
      <w:spacing w:after="240" w:line="240" w:lineRule="auto"/>
      <w:ind w:left="1077"/>
      <w:jc w:val="both"/>
    </w:pPr>
    <w:rPr>
      <w:rFonts w:ascii="Times New Roman" w:eastAsia="Times New Roman" w:hAnsi="Times New Roman" w:cs="Times New Roman"/>
      <w:sz w:val="24"/>
      <w:szCs w:val="20"/>
    </w:rPr>
  </w:style>
  <w:style w:type="character" w:customStyle="1" w:styleId="st1">
    <w:name w:val="st1"/>
    <w:basedOn w:val="DefaultParagraphFont"/>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IntenseEmphasis">
    <w:name w:val="Intense Emphasis"/>
    <w:basedOn w:val="DefaultParagraphFont"/>
    <w:uiPriority w:val="21"/>
    <w:qFormat/>
    <w:rPr>
      <w:b/>
      <w:bCs/>
      <w:i/>
      <w:iCs/>
      <w:color w:val="4F81BD" w:themeColor="accent1"/>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A7">
    <w:name w:val="A7"/>
    <w:uiPriority w:val="99"/>
    <w:rPr>
      <w:rFonts w:cs="EC Square Sans Pro"/>
      <w:i/>
      <w:i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486">
      <w:bodyDiv w:val="1"/>
      <w:marLeft w:val="0"/>
      <w:marRight w:val="0"/>
      <w:marTop w:val="0"/>
      <w:marBottom w:val="0"/>
      <w:divBdr>
        <w:top w:val="none" w:sz="0" w:space="0" w:color="auto"/>
        <w:left w:val="none" w:sz="0" w:space="0" w:color="auto"/>
        <w:bottom w:val="none" w:sz="0" w:space="0" w:color="auto"/>
        <w:right w:val="none" w:sz="0" w:space="0" w:color="auto"/>
      </w:divBdr>
    </w:div>
    <w:div w:id="7487168">
      <w:bodyDiv w:val="1"/>
      <w:marLeft w:val="0"/>
      <w:marRight w:val="0"/>
      <w:marTop w:val="0"/>
      <w:marBottom w:val="0"/>
      <w:divBdr>
        <w:top w:val="none" w:sz="0" w:space="0" w:color="auto"/>
        <w:left w:val="none" w:sz="0" w:space="0" w:color="auto"/>
        <w:bottom w:val="none" w:sz="0" w:space="0" w:color="auto"/>
        <w:right w:val="none" w:sz="0" w:space="0" w:color="auto"/>
      </w:divBdr>
    </w:div>
    <w:div w:id="16664774">
      <w:bodyDiv w:val="1"/>
      <w:marLeft w:val="0"/>
      <w:marRight w:val="0"/>
      <w:marTop w:val="0"/>
      <w:marBottom w:val="0"/>
      <w:divBdr>
        <w:top w:val="none" w:sz="0" w:space="0" w:color="auto"/>
        <w:left w:val="none" w:sz="0" w:space="0" w:color="auto"/>
        <w:bottom w:val="none" w:sz="0" w:space="0" w:color="auto"/>
        <w:right w:val="none" w:sz="0" w:space="0" w:color="auto"/>
      </w:divBdr>
    </w:div>
    <w:div w:id="65495041">
      <w:bodyDiv w:val="1"/>
      <w:marLeft w:val="0"/>
      <w:marRight w:val="0"/>
      <w:marTop w:val="0"/>
      <w:marBottom w:val="0"/>
      <w:divBdr>
        <w:top w:val="none" w:sz="0" w:space="0" w:color="auto"/>
        <w:left w:val="none" w:sz="0" w:space="0" w:color="auto"/>
        <w:bottom w:val="none" w:sz="0" w:space="0" w:color="auto"/>
        <w:right w:val="none" w:sz="0" w:space="0" w:color="auto"/>
      </w:divBdr>
    </w:div>
    <w:div w:id="76480562">
      <w:bodyDiv w:val="1"/>
      <w:marLeft w:val="0"/>
      <w:marRight w:val="0"/>
      <w:marTop w:val="0"/>
      <w:marBottom w:val="0"/>
      <w:divBdr>
        <w:top w:val="none" w:sz="0" w:space="0" w:color="auto"/>
        <w:left w:val="none" w:sz="0" w:space="0" w:color="auto"/>
        <w:bottom w:val="none" w:sz="0" w:space="0" w:color="auto"/>
        <w:right w:val="none" w:sz="0" w:space="0" w:color="auto"/>
      </w:divBdr>
    </w:div>
    <w:div w:id="93941829">
      <w:bodyDiv w:val="1"/>
      <w:marLeft w:val="0"/>
      <w:marRight w:val="0"/>
      <w:marTop w:val="0"/>
      <w:marBottom w:val="0"/>
      <w:divBdr>
        <w:top w:val="none" w:sz="0" w:space="0" w:color="auto"/>
        <w:left w:val="none" w:sz="0" w:space="0" w:color="auto"/>
        <w:bottom w:val="none" w:sz="0" w:space="0" w:color="auto"/>
        <w:right w:val="none" w:sz="0" w:space="0" w:color="auto"/>
      </w:divBdr>
    </w:div>
    <w:div w:id="145054620">
      <w:bodyDiv w:val="1"/>
      <w:marLeft w:val="0"/>
      <w:marRight w:val="0"/>
      <w:marTop w:val="0"/>
      <w:marBottom w:val="0"/>
      <w:divBdr>
        <w:top w:val="none" w:sz="0" w:space="0" w:color="auto"/>
        <w:left w:val="none" w:sz="0" w:space="0" w:color="auto"/>
        <w:bottom w:val="none" w:sz="0" w:space="0" w:color="auto"/>
        <w:right w:val="none" w:sz="0" w:space="0" w:color="auto"/>
      </w:divBdr>
    </w:div>
    <w:div w:id="155195134">
      <w:bodyDiv w:val="1"/>
      <w:marLeft w:val="0"/>
      <w:marRight w:val="0"/>
      <w:marTop w:val="0"/>
      <w:marBottom w:val="0"/>
      <w:divBdr>
        <w:top w:val="none" w:sz="0" w:space="0" w:color="auto"/>
        <w:left w:val="none" w:sz="0" w:space="0" w:color="auto"/>
        <w:bottom w:val="none" w:sz="0" w:space="0" w:color="auto"/>
        <w:right w:val="none" w:sz="0" w:space="0" w:color="auto"/>
      </w:divBdr>
    </w:div>
    <w:div w:id="160046819">
      <w:bodyDiv w:val="1"/>
      <w:marLeft w:val="0"/>
      <w:marRight w:val="0"/>
      <w:marTop w:val="0"/>
      <w:marBottom w:val="0"/>
      <w:divBdr>
        <w:top w:val="none" w:sz="0" w:space="0" w:color="auto"/>
        <w:left w:val="none" w:sz="0" w:space="0" w:color="auto"/>
        <w:bottom w:val="none" w:sz="0" w:space="0" w:color="auto"/>
        <w:right w:val="none" w:sz="0" w:space="0" w:color="auto"/>
      </w:divBdr>
      <w:divsChild>
        <w:div w:id="1793983635">
          <w:marLeft w:val="0"/>
          <w:marRight w:val="0"/>
          <w:marTop w:val="0"/>
          <w:marBottom w:val="0"/>
          <w:divBdr>
            <w:top w:val="none" w:sz="0" w:space="0" w:color="auto"/>
            <w:left w:val="none" w:sz="0" w:space="0" w:color="auto"/>
            <w:bottom w:val="none" w:sz="0" w:space="0" w:color="auto"/>
            <w:right w:val="none" w:sz="0" w:space="0" w:color="auto"/>
          </w:divBdr>
          <w:divsChild>
            <w:div w:id="84570533">
              <w:marLeft w:val="-225"/>
              <w:marRight w:val="-225"/>
              <w:marTop w:val="0"/>
              <w:marBottom w:val="0"/>
              <w:divBdr>
                <w:top w:val="none" w:sz="0" w:space="0" w:color="auto"/>
                <w:left w:val="none" w:sz="0" w:space="0" w:color="auto"/>
                <w:bottom w:val="none" w:sz="0" w:space="0" w:color="auto"/>
                <w:right w:val="none" w:sz="0" w:space="0" w:color="auto"/>
              </w:divBdr>
              <w:divsChild>
                <w:div w:id="633289308">
                  <w:marLeft w:val="0"/>
                  <w:marRight w:val="0"/>
                  <w:marTop w:val="0"/>
                  <w:marBottom w:val="0"/>
                  <w:divBdr>
                    <w:top w:val="none" w:sz="0" w:space="0" w:color="auto"/>
                    <w:left w:val="none" w:sz="0" w:space="0" w:color="auto"/>
                    <w:bottom w:val="none" w:sz="0" w:space="0" w:color="auto"/>
                    <w:right w:val="none" w:sz="0" w:space="0" w:color="auto"/>
                  </w:divBdr>
                  <w:divsChild>
                    <w:div w:id="574582873">
                      <w:marLeft w:val="-225"/>
                      <w:marRight w:val="-225"/>
                      <w:marTop w:val="0"/>
                      <w:marBottom w:val="0"/>
                      <w:divBdr>
                        <w:top w:val="none" w:sz="0" w:space="0" w:color="auto"/>
                        <w:left w:val="none" w:sz="0" w:space="0" w:color="auto"/>
                        <w:bottom w:val="none" w:sz="0" w:space="0" w:color="auto"/>
                        <w:right w:val="none" w:sz="0" w:space="0" w:color="auto"/>
                      </w:divBdr>
                      <w:divsChild>
                        <w:div w:id="942961696">
                          <w:marLeft w:val="0"/>
                          <w:marRight w:val="0"/>
                          <w:marTop w:val="0"/>
                          <w:marBottom w:val="0"/>
                          <w:divBdr>
                            <w:top w:val="none" w:sz="0" w:space="0" w:color="auto"/>
                            <w:left w:val="none" w:sz="0" w:space="0" w:color="auto"/>
                            <w:bottom w:val="none" w:sz="0" w:space="0" w:color="auto"/>
                            <w:right w:val="none" w:sz="0" w:space="0" w:color="auto"/>
                          </w:divBdr>
                          <w:divsChild>
                            <w:div w:id="373847069">
                              <w:marLeft w:val="0"/>
                              <w:marRight w:val="0"/>
                              <w:marTop w:val="0"/>
                              <w:marBottom w:val="0"/>
                              <w:divBdr>
                                <w:top w:val="none" w:sz="0" w:space="0" w:color="auto"/>
                                <w:left w:val="none" w:sz="0" w:space="0" w:color="auto"/>
                                <w:bottom w:val="none" w:sz="0" w:space="0" w:color="auto"/>
                                <w:right w:val="none" w:sz="0" w:space="0" w:color="auto"/>
                              </w:divBdr>
                              <w:divsChild>
                                <w:div w:id="1821383726">
                                  <w:marLeft w:val="0"/>
                                  <w:marRight w:val="0"/>
                                  <w:marTop w:val="0"/>
                                  <w:marBottom w:val="0"/>
                                  <w:divBdr>
                                    <w:top w:val="none" w:sz="0" w:space="0" w:color="auto"/>
                                    <w:left w:val="none" w:sz="0" w:space="0" w:color="auto"/>
                                    <w:bottom w:val="none" w:sz="0" w:space="0" w:color="auto"/>
                                    <w:right w:val="none" w:sz="0" w:space="0" w:color="auto"/>
                                  </w:divBdr>
                                  <w:divsChild>
                                    <w:div w:id="2110195145">
                                      <w:marLeft w:val="0"/>
                                      <w:marRight w:val="0"/>
                                      <w:marTop w:val="0"/>
                                      <w:marBottom w:val="0"/>
                                      <w:divBdr>
                                        <w:top w:val="none" w:sz="0" w:space="0" w:color="auto"/>
                                        <w:left w:val="none" w:sz="0" w:space="0" w:color="auto"/>
                                        <w:bottom w:val="none" w:sz="0" w:space="0" w:color="auto"/>
                                        <w:right w:val="none" w:sz="0" w:space="0" w:color="auto"/>
                                      </w:divBdr>
                                      <w:divsChild>
                                        <w:div w:id="918292881">
                                          <w:marLeft w:val="0"/>
                                          <w:marRight w:val="0"/>
                                          <w:marTop w:val="0"/>
                                          <w:marBottom w:val="0"/>
                                          <w:divBdr>
                                            <w:top w:val="none" w:sz="0" w:space="0" w:color="auto"/>
                                            <w:left w:val="none" w:sz="0" w:space="0" w:color="auto"/>
                                            <w:bottom w:val="none" w:sz="0" w:space="0" w:color="auto"/>
                                            <w:right w:val="none" w:sz="0" w:space="0" w:color="auto"/>
                                          </w:divBdr>
                                          <w:divsChild>
                                            <w:div w:id="1790976641">
                                              <w:marLeft w:val="0"/>
                                              <w:marRight w:val="0"/>
                                              <w:marTop w:val="0"/>
                                              <w:marBottom w:val="0"/>
                                              <w:divBdr>
                                                <w:top w:val="none" w:sz="0" w:space="0" w:color="auto"/>
                                                <w:left w:val="none" w:sz="0" w:space="0" w:color="auto"/>
                                                <w:bottom w:val="none" w:sz="0" w:space="0" w:color="auto"/>
                                                <w:right w:val="none" w:sz="0" w:space="0" w:color="auto"/>
                                              </w:divBdr>
                                              <w:divsChild>
                                                <w:div w:id="1574314903">
                                                  <w:marLeft w:val="0"/>
                                                  <w:marRight w:val="0"/>
                                                  <w:marTop w:val="0"/>
                                                  <w:marBottom w:val="0"/>
                                                  <w:divBdr>
                                                    <w:top w:val="none" w:sz="0" w:space="0" w:color="auto"/>
                                                    <w:left w:val="none" w:sz="0" w:space="0" w:color="auto"/>
                                                    <w:bottom w:val="none" w:sz="0" w:space="0" w:color="auto"/>
                                                    <w:right w:val="none" w:sz="0" w:space="0" w:color="auto"/>
                                                  </w:divBdr>
                                                  <w:divsChild>
                                                    <w:div w:id="725950489">
                                                      <w:marLeft w:val="0"/>
                                                      <w:marRight w:val="0"/>
                                                      <w:marTop w:val="0"/>
                                                      <w:marBottom w:val="0"/>
                                                      <w:divBdr>
                                                        <w:top w:val="none" w:sz="0" w:space="0" w:color="auto"/>
                                                        <w:left w:val="none" w:sz="0" w:space="0" w:color="auto"/>
                                                        <w:bottom w:val="none" w:sz="0" w:space="0" w:color="auto"/>
                                                        <w:right w:val="none" w:sz="0" w:space="0" w:color="auto"/>
                                                      </w:divBdr>
                                                      <w:divsChild>
                                                        <w:div w:id="33233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817208">
      <w:bodyDiv w:val="1"/>
      <w:marLeft w:val="0"/>
      <w:marRight w:val="0"/>
      <w:marTop w:val="0"/>
      <w:marBottom w:val="0"/>
      <w:divBdr>
        <w:top w:val="none" w:sz="0" w:space="0" w:color="auto"/>
        <w:left w:val="none" w:sz="0" w:space="0" w:color="auto"/>
        <w:bottom w:val="none" w:sz="0" w:space="0" w:color="auto"/>
        <w:right w:val="none" w:sz="0" w:space="0" w:color="auto"/>
      </w:divBdr>
    </w:div>
    <w:div w:id="234248564">
      <w:bodyDiv w:val="1"/>
      <w:marLeft w:val="0"/>
      <w:marRight w:val="0"/>
      <w:marTop w:val="0"/>
      <w:marBottom w:val="0"/>
      <w:divBdr>
        <w:top w:val="none" w:sz="0" w:space="0" w:color="auto"/>
        <w:left w:val="none" w:sz="0" w:space="0" w:color="auto"/>
        <w:bottom w:val="none" w:sz="0" w:space="0" w:color="auto"/>
        <w:right w:val="none" w:sz="0" w:space="0" w:color="auto"/>
      </w:divBdr>
    </w:div>
    <w:div w:id="237445362">
      <w:bodyDiv w:val="1"/>
      <w:marLeft w:val="0"/>
      <w:marRight w:val="0"/>
      <w:marTop w:val="0"/>
      <w:marBottom w:val="0"/>
      <w:divBdr>
        <w:top w:val="none" w:sz="0" w:space="0" w:color="auto"/>
        <w:left w:val="none" w:sz="0" w:space="0" w:color="auto"/>
        <w:bottom w:val="none" w:sz="0" w:space="0" w:color="auto"/>
        <w:right w:val="none" w:sz="0" w:space="0" w:color="auto"/>
      </w:divBdr>
    </w:div>
    <w:div w:id="261955513">
      <w:bodyDiv w:val="1"/>
      <w:marLeft w:val="0"/>
      <w:marRight w:val="0"/>
      <w:marTop w:val="0"/>
      <w:marBottom w:val="0"/>
      <w:divBdr>
        <w:top w:val="none" w:sz="0" w:space="0" w:color="auto"/>
        <w:left w:val="none" w:sz="0" w:space="0" w:color="auto"/>
        <w:bottom w:val="none" w:sz="0" w:space="0" w:color="auto"/>
        <w:right w:val="none" w:sz="0" w:space="0" w:color="auto"/>
      </w:divBdr>
    </w:div>
    <w:div w:id="305862871">
      <w:bodyDiv w:val="1"/>
      <w:marLeft w:val="0"/>
      <w:marRight w:val="0"/>
      <w:marTop w:val="0"/>
      <w:marBottom w:val="0"/>
      <w:divBdr>
        <w:top w:val="none" w:sz="0" w:space="0" w:color="auto"/>
        <w:left w:val="none" w:sz="0" w:space="0" w:color="auto"/>
        <w:bottom w:val="none" w:sz="0" w:space="0" w:color="auto"/>
        <w:right w:val="none" w:sz="0" w:space="0" w:color="auto"/>
      </w:divBdr>
    </w:div>
    <w:div w:id="556673023">
      <w:bodyDiv w:val="1"/>
      <w:marLeft w:val="0"/>
      <w:marRight w:val="0"/>
      <w:marTop w:val="0"/>
      <w:marBottom w:val="0"/>
      <w:divBdr>
        <w:top w:val="none" w:sz="0" w:space="0" w:color="auto"/>
        <w:left w:val="none" w:sz="0" w:space="0" w:color="auto"/>
        <w:bottom w:val="none" w:sz="0" w:space="0" w:color="auto"/>
        <w:right w:val="none" w:sz="0" w:space="0" w:color="auto"/>
      </w:divBdr>
    </w:div>
    <w:div w:id="588542434">
      <w:bodyDiv w:val="1"/>
      <w:marLeft w:val="0"/>
      <w:marRight w:val="0"/>
      <w:marTop w:val="0"/>
      <w:marBottom w:val="0"/>
      <w:divBdr>
        <w:top w:val="none" w:sz="0" w:space="0" w:color="auto"/>
        <w:left w:val="none" w:sz="0" w:space="0" w:color="auto"/>
        <w:bottom w:val="none" w:sz="0" w:space="0" w:color="auto"/>
        <w:right w:val="none" w:sz="0" w:space="0" w:color="auto"/>
      </w:divBdr>
    </w:div>
    <w:div w:id="608199861">
      <w:bodyDiv w:val="1"/>
      <w:marLeft w:val="0"/>
      <w:marRight w:val="0"/>
      <w:marTop w:val="0"/>
      <w:marBottom w:val="0"/>
      <w:divBdr>
        <w:top w:val="none" w:sz="0" w:space="0" w:color="auto"/>
        <w:left w:val="none" w:sz="0" w:space="0" w:color="auto"/>
        <w:bottom w:val="none" w:sz="0" w:space="0" w:color="auto"/>
        <w:right w:val="none" w:sz="0" w:space="0" w:color="auto"/>
      </w:divBdr>
    </w:div>
    <w:div w:id="620721492">
      <w:bodyDiv w:val="1"/>
      <w:marLeft w:val="0"/>
      <w:marRight w:val="0"/>
      <w:marTop w:val="0"/>
      <w:marBottom w:val="0"/>
      <w:divBdr>
        <w:top w:val="none" w:sz="0" w:space="0" w:color="auto"/>
        <w:left w:val="none" w:sz="0" w:space="0" w:color="auto"/>
        <w:bottom w:val="none" w:sz="0" w:space="0" w:color="auto"/>
        <w:right w:val="none" w:sz="0" w:space="0" w:color="auto"/>
      </w:divBdr>
    </w:div>
    <w:div w:id="801574723">
      <w:bodyDiv w:val="1"/>
      <w:marLeft w:val="0"/>
      <w:marRight w:val="0"/>
      <w:marTop w:val="0"/>
      <w:marBottom w:val="0"/>
      <w:divBdr>
        <w:top w:val="none" w:sz="0" w:space="0" w:color="auto"/>
        <w:left w:val="none" w:sz="0" w:space="0" w:color="auto"/>
        <w:bottom w:val="none" w:sz="0" w:space="0" w:color="auto"/>
        <w:right w:val="none" w:sz="0" w:space="0" w:color="auto"/>
      </w:divBdr>
    </w:div>
    <w:div w:id="943729309">
      <w:bodyDiv w:val="1"/>
      <w:marLeft w:val="0"/>
      <w:marRight w:val="0"/>
      <w:marTop w:val="0"/>
      <w:marBottom w:val="0"/>
      <w:divBdr>
        <w:top w:val="none" w:sz="0" w:space="0" w:color="auto"/>
        <w:left w:val="none" w:sz="0" w:space="0" w:color="auto"/>
        <w:bottom w:val="none" w:sz="0" w:space="0" w:color="auto"/>
        <w:right w:val="none" w:sz="0" w:space="0" w:color="auto"/>
      </w:divBdr>
    </w:div>
    <w:div w:id="959651362">
      <w:bodyDiv w:val="1"/>
      <w:marLeft w:val="0"/>
      <w:marRight w:val="0"/>
      <w:marTop w:val="0"/>
      <w:marBottom w:val="0"/>
      <w:divBdr>
        <w:top w:val="none" w:sz="0" w:space="0" w:color="auto"/>
        <w:left w:val="none" w:sz="0" w:space="0" w:color="auto"/>
        <w:bottom w:val="none" w:sz="0" w:space="0" w:color="auto"/>
        <w:right w:val="none" w:sz="0" w:space="0" w:color="auto"/>
      </w:divBdr>
    </w:div>
    <w:div w:id="979073618">
      <w:bodyDiv w:val="1"/>
      <w:marLeft w:val="0"/>
      <w:marRight w:val="0"/>
      <w:marTop w:val="0"/>
      <w:marBottom w:val="0"/>
      <w:divBdr>
        <w:top w:val="none" w:sz="0" w:space="0" w:color="auto"/>
        <w:left w:val="none" w:sz="0" w:space="0" w:color="auto"/>
        <w:bottom w:val="none" w:sz="0" w:space="0" w:color="auto"/>
        <w:right w:val="none" w:sz="0" w:space="0" w:color="auto"/>
      </w:divBdr>
    </w:div>
    <w:div w:id="1017345689">
      <w:bodyDiv w:val="1"/>
      <w:marLeft w:val="0"/>
      <w:marRight w:val="0"/>
      <w:marTop w:val="0"/>
      <w:marBottom w:val="0"/>
      <w:divBdr>
        <w:top w:val="none" w:sz="0" w:space="0" w:color="auto"/>
        <w:left w:val="none" w:sz="0" w:space="0" w:color="auto"/>
        <w:bottom w:val="none" w:sz="0" w:space="0" w:color="auto"/>
        <w:right w:val="none" w:sz="0" w:space="0" w:color="auto"/>
      </w:divBdr>
    </w:div>
    <w:div w:id="1179808456">
      <w:bodyDiv w:val="1"/>
      <w:marLeft w:val="0"/>
      <w:marRight w:val="0"/>
      <w:marTop w:val="0"/>
      <w:marBottom w:val="0"/>
      <w:divBdr>
        <w:top w:val="none" w:sz="0" w:space="0" w:color="auto"/>
        <w:left w:val="none" w:sz="0" w:space="0" w:color="auto"/>
        <w:bottom w:val="none" w:sz="0" w:space="0" w:color="auto"/>
        <w:right w:val="none" w:sz="0" w:space="0" w:color="auto"/>
      </w:divBdr>
    </w:div>
    <w:div w:id="1180461122">
      <w:bodyDiv w:val="1"/>
      <w:marLeft w:val="0"/>
      <w:marRight w:val="0"/>
      <w:marTop w:val="0"/>
      <w:marBottom w:val="0"/>
      <w:divBdr>
        <w:top w:val="none" w:sz="0" w:space="0" w:color="auto"/>
        <w:left w:val="none" w:sz="0" w:space="0" w:color="auto"/>
        <w:bottom w:val="none" w:sz="0" w:space="0" w:color="auto"/>
        <w:right w:val="none" w:sz="0" w:space="0" w:color="auto"/>
      </w:divBdr>
    </w:div>
    <w:div w:id="1235240385">
      <w:bodyDiv w:val="1"/>
      <w:marLeft w:val="0"/>
      <w:marRight w:val="0"/>
      <w:marTop w:val="0"/>
      <w:marBottom w:val="0"/>
      <w:divBdr>
        <w:top w:val="none" w:sz="0" w:space="0" w:color="auto"/>
        <w:left w:val="none" w:sz="0" w:space="0" w:color="auto"/>
        <w:bottom w:val="none" w:sz="0" w:space="0" w:color="auto"/>
        <w:right w:val="none" w:sz="0" w:space="0" w:color="auto"/>
      </w:divBdr>
    </w:div>
    <w:div w:id="1428650400">
      <w:bodyDiv w:val="1"/>
      <w:marLeft w:val="0"/>
      <w:marRight w:val="0"/>
      <w:marTop w:val="0"/>
      <w:marBottom w:val="0"/>
      <w:divBdr>
        <w:top w:val="none" w:sz="0" w:space="0" w:color="auto"/>
        <w:left w:val="none" w:sz="0" w:space="0" w:color="auto"/>
        <w:bottom w:val="none" w:sz="0" w:space="0" w:color="auto"/>
        <w:right w:val="none" w:sz="0" w:space="0" w:color="auto"/>
      </w:divBdr>
    </w:div>
    <w:div w:id="1451046593">
      <w:bodyDiv w:val="1"/>
      <w:marLeft w:val="0"/>
      <w:marRight w:val="0"/>
      <w:marTop w:val="0"/>
      <w:marBottom w:val="0"/>
      <w:divBdr>
        <w:top w:val="none" w:sz="0" w:space="0" w:color="auto"/>
        <w:left w:val="none" w:sz="0" w:space="0" w:color="auto"/>
        <w:bottom w:val="none" w:sz="0" w:space="0" w:color="auto"/>
        <w:right w:val="none" w:sz="0" w:space="0" w:color="auto"/>
      </w:divBdr>
    </w:div>
    <w:div w:id="1498498520">
      <w:bodyDiv w:val="1"/>
      <w:marLeft w:val="0"/>
      <w:marRight w:val="0"/>
      <w:marTop w:val="0"/>
      <w:marBottom w:val="0"/>
      <w:divBdr>
        <w:top w:val="none" w:sz="0" w:space="0" w:color="auto"/>
        <w:left w:val="none" w:sz="0" w:space="0" w:color="auto"/>
        <w:bottom w:val="none" w:sz="0" w:space="0" w:color="auto"/>
        <w:right w:val="none" w:sz="0" w:space="0" w:color="auto"/>
      </w:divBdr>
    </w:div>
    <w:div w:id="1517228642">
      <w:bodyDiv w:val="1"/>
      <w:marLeft w:val="0"/>
      <w:marRight w:val="0"/>
      <w:marTop w:val="0"/>
      <w:marBottom w:val="0"/>
      <w:divBdr>
        <w:top w:val="none" w:sz="0" w:space="0" w:color="auto"/>
        <w:left w:val="none" w:sz="0" w:space="0" w:color="auto"/>
        <w:bottom w:val="none" w:sz="0" w:space="0" w:color="auto"/>
        <w:right w:val="none" w:sz="0" w:space="0" w:color="auto"/>
      </w:divBdr>
    </w:div>
    <w:div w:id="1572353463">
      <w:bodyDiv w:val="1"/>
      <w:marLeft w:val="0"/>
      <w:marRight w:val="0"/>
      <w:marTop w:val="0"/>
      <w:marBottom w:val="0"/>
      <w:divBdr>
        <w:top w:val="none" w:sz="0" w:space="0" w:color="auto"/>
        <w:left w:val="none" w:sz="0" w:space="0" w:color="auto"/>
        <w:bottom w:val="none" w:sz="0" w:space="0" w:color="auto"/>
        <w:right w:val="none" w:sz="0" w:space="0" w:color="auto"/>
      </w:divBdr>
    </w:div>
    <w:div w:id="1633517162">
      <w:bodyDiv w:val="1"/>
      <w:marLeft w:val="0"/>
      <w:marRight w:val="0"/>
      <w:marTop w:val="0"/>
      <w:marBottom w:val="0"/>
      <w:divBdr>
        <w:top w:val="none" w:sz="0" w:space="0" w:color="auto"/>
        <w:left w:val="none" w:sz="0" w:space="0" w:color="auto"/>
        <w:bottom w:val="none" w:sz="0" w:space="0" w:color="auto"/>
        <w:right w:val="none" w:sz="0" w:space="0" w:color="auto"/>
      </w:divBdr>
    </w:div>
    <w:div w:id="1668366319">
      <w:bodyDiv w:val="1"/>
      <w:marLeft w:val="0"/>
      <w:marRight w:val="0"/>
      <w:marTop w:val="0"/>
      <w:marBottom w:val="0"/>
      <w:divBdr>
        <w:top w:val="none" w:sz="0" w:space="0" w:color="auto"/>
        <w:left w:val="none" w:sz="0" w:space="0" w:color="auto"/>
        <w:bottom w:val="none" w:sz="0" w:space="0" w:color="auto"/>
        <w:right w:val="none" w:sz="0" w:space="0" w:color="auto"/>
      </w:divBdr>
    </w:div>
    <w:div w:id="1686512377">
      <w:bodyDiv w:val="1"/>
      <w:marLeft w:val="0"/>
      <w:marRight w:val="0"/>
      <w:marTop w:val="0"/>
      <w:marBottom w:val="0"/>
      <w:divBdr>
        <w:top w:val="none" w:sz="0" w:space="0" w:color="auto"/>
        <w:left w:val="none" w:sz="0" w:space="0" w:color="auto"/>
        <w:bottom w:val="none" w:sz="0" w:space="0" w:color="auto"/>
        <w:right w:val="none" w:sz="0" w:space="0" w:color="auto"/>
      </w:divBdr>
      <w:divsChild>
        <w:div w:id="1402019245">
          <w:marLeft w:val="634"/>
          <w:marRight w:val="58"/>
          <w:marTop w:val="60"/>
          <w:marBottom w:val="60"/>
          <w:divBdr>
            <w:top w:val="none" w:sz="0" w:space="0" w:color="auto"/>
            <w:left w:val="none" w:sz="0" w:space="0" w:color="auto"/>
            <w:bottom w:val="none" w:sz="0" w:space="0" w:color="auto"/>
            <w:right w:val="none" w:sz="0" w:space="0" w:color="auto"/>
          </w:divBdr>
        </w:div>
        <w:div w:id="2084598852">
          <w:marLeft w:val="1123"/>
          <w:marRight w:val="58"/>
          <w:marTop w:val="60"/>
          <w:marBottom w:val="60"/>
          <w:divBdr>
            <w:top w:val="none" w:sz="0" w:space="0" w:color="auto"/>
            <w:left w:val="none" w:sz="0" w:space="0" w:color="auto"/>
            <w:bottom w:val="none" w:sz="0" w:space="0" w:color="auto"/>
            <w:right w:val="none" w:sz="0" w:space="0" w:color="auto"/>
          </w:divBdr>
        </w:div>
        <w:div w:id="532617020">
          <w:marLeft w:val="1123"/>
          <w:marRight w:val="58"/>
          <w:marTop w:val="60"/>
          <w:marBottom w:val="60"/>
          <w:divBdr>
            <w:top w:val="none" w:sz="0" w:space="0" w:color="auto"/>
            <w:left w:val="none" w:sz="0" w:space="0" w:color="auto"/>
            <w:bottom w:val="none" w:sz="0" w:space="0" w:color="auto"/>
            <w:right w:val="none" w:sz="0" w:space="0" w:color="auto"/>
          </w:divBdr>
        </w:div>
        <w:div w:id="620722143">
          <w:marLeft w:val="1123"/>
          <w:marRight w:val="58"/>
          <w:marTop w:val="60"/>
          <w:marBottom w:val="60"/>
          <w:divBdr>
            <w:top w:val="none" w:sz="0" w:space="0" w:color="auto"/>
            <w:left w:val="none" w:sz="0" w:space="0" w:color="auto"/>
            <w:bottom w:val="none" w:sz="0" w:space="0" w:color="auto"/>
            <w:right w:val="none" w:sz="0" w:space="0" w:color="auto"/>
          </w:divBdr>
        </w:div>
        <w:div w:id="559049786">
          <w:marLeft w:val="634"/>
          <w:marRight w:val="58"/>
          <w:marTop w:val="60"/>
          <w:marBottom w:val="60"/>
          <w:divBdr>
            <w:top w:val="none" w:sz="0" w:space="0" w:color="auto"/>
            <w:left w:val="none" w:sz="0" w:space="0" w:color="auto"/>
            <w:bottom w:val="none" w:sz="0" w:space="0" w:color="auto"/>
            <w:right w:val="none" w:sz="0" w:space="0" w:color="auto"/>
          </w:divBdr>
        </w:div>
        <w:div w:id="301665000">
          <w:marLeft w:val="446"/>
          <w:marRight w:val="58"/>
          <w:marTop w:val="60"/>
          <w:marBottom w:val="60"/>
          <w:divBdr>
            <w:top w:val="none" w:sz="0" w:space="0" w:color="auto"/>
            <w:left w:val="none" w:sz="0" w:space="0" w:color="auto"/>
            <w:bottom w:val="none" w:sz="0" w:space="0" w:color="auto"/>
            <w:right w:val="none" w:sz="0" w:space="0" w:color="auto"/>
          </w:divBdr>
        </w:div>
        <w:div w:id="2094622966">
          <w:marLeft w:val="1123"/>
          <w:marRight w:val="58"/>
          <w:marTop w:val="60"/>
          <w:marBottom w:val="60"/>
          <w:divBdr>
            <w:top w:val="none" w:sz="0" w:space="0" w:color="auto"/>
            <w:left w:val="none" w:sz="0" w:space="0" w:color="auto"/>
            <w:bottom w:val="none" w:sz="0" w:space="0" w:color="auto"/>
            <w:right w:val="none" w:sz="0" w:space="0" w:color="auto"/>
          </w:divBdr>
        </w:div>
        <w:div w:id="800342065">
          <w:marLeft w:val="1123"/>
          <w:marRight w:val="58"/>
          <w:marTop w:val="60"/>
          <w:marBottom w:val="60"/>
          <w:divBdr>
            <w:top w:val="none" w:sz="0" w:space="0" w:color="auto"/>
            <w:left w:val="none" w:sz="0" w:space="0" w:color="auto"/>
            <w:bottom w:val="none" w:sz="0" w:space="0" w:color="auto"/>
            <w:right w:val="none" w:sz="0" w:space="0" w:color="auto"/>
          </w:divBdr>
        </w:div>
        <w:div w:id="1889755918">
          <w:marLeft w:val="634"/>
          <w:marRight w:val="58"/>
          <w:marTop w:val="60"/>
          <w:marBottom w:val="60"/>
          <w:divBdr>
            <w:top w:val="none" w:sz="0" w:space="0" w:color="auto"/>
            <w:left w:val="none" w:sz="0" w:space="0" w:color="auto"/>
            <w:bottom w:val="none" w:sz="0" w:space="0" w:color="auto"/>
            <w:right w:val="none" w:sz="0" w:space="0" w:color="auto"/>
          </w:divBdr>
        </w:div>
        <w:div w:id="2030524272">
          <w:marLeft w:val="1123"/>
          <w:marRight w:val="58"/>
          <w:marTop w:val="60"/>
          <w:marBottom w:val="60"/>
          <w:divBdr>
            <w:top w:val="none" w:sz="0" w:space="0" w:color="auto"/>
            <w:left w:val="none" w:sz="0" w:space="0" w:color="auto"/>
            <w:bottom w:val="none" w:sz="0" w:space="0" w:color="auto"/>
            <w:right w:val="none" w:sz="0" w:space="0" w:color="auto"/>
          </w:divBdr>
        </w:div>
        <w:div w:id="331102313">
          <w:marLeft w:val="634"/>
          <w:marRight w:val="58"/>
          <w:marTop w:val="60"/>
          <w:marBottom w:val="60"/>
          <w:divBdr>
            <w:top w:val="none" w:sz="0" w:space="0" w:color="auto"/>
            <w:left w:val="none" w:sz="0" w:space="0" w:color="auto"/>
            <w:bottom w:val="none" w:sz="0" w:space="0" w:color="auto"/>
            <w:right w:val="none" w:sz="0" w:space="0" w:color="auto"/>
          </w:divBdr>
        </w:div>
        <w:div w:id="404376293">
          <w:marLeft w:val="1123"/>
          <w:marRight w:val="58"/>
          <w:marTop w:val="60"/>
          <w:marBottom w:val="60"/>
          <w:divBdr>
            <w:top w:val="none" w:sz="0" w:space="0" w:color="auto"/>
            <w:left w:val="none" w:sz="0" w:space="0" w:color="auto"/>
            <w:bottom w:val="none" w:sz="0" w:space="0" w:color="auto"/>
            <w:right w:val="none" w:sz="0" w:space="0" w:color="auto"/>
          </w:divBdr>
        </w:div>
        <w:div w:id="949750110">
          <w:marLeft w:val="1123"/>
          <w:marRight w:val="58"/>
          <w:marTop w:val="60"/>
          <w:marBottom w:val="60"/>
          <w:divBdr>
            <w:top w:val="none" w:sz="0" w:space="0" w:color="auto"/>
            <w:left w:val="none" w:sz="0" w:space="0" w:color="auto"/>
            <w:bottom w:val="none" w:sz="0" w:space="0" w:color="auto"/>
            <w:right w:val="none" w:sz="0" w:space="0" w:color="auto"/>
          </w:divBdr>
        </w:div>
      </w:divsChild>
    </w:div>
    <w:div w:id="1719360152">
      <w:bodyDiv w:val="1"/>
      <w:marLeft w:val="0"/>
      <w:marRight w:val="0"/>
      <w:marTop w:val="0"/>
      <w:marBottom w:val="0"/>
      <w:divBdr>
        <w:top w:val="none" w:sz="0" w:space="0" w:color="auto"/>
        <w:left w:val="none" w:sz="0" w:space="0" w:color="auto"/>
        <w:bottom w:val="none" w:sz="0" w:space="0" w:color="auto"/>
        <w:right w:val="none" w:sz="0" w:space="0" w:color="auto"/>
      </w:divBdr>
    </w:div>
    <w:div w:id="1722092029">
      <w:bodyDiv w:val="1"/>
      <w:marLeft w:val="0"/>
      <w:marRight w:val="0"/>
      <w:marTop w:val="0"/>
      <w:marBottom w:val="0"/>
      <w:divBdr>
        <w:top w:val="none" w:sz="0" w:space="0" w:color="auto"/>
        <w:left w:val="none" w:sz="0" w:space="0" w:color="auto"/>
        <w:bottom w:val="none" w:sz="0" w:space="0" w:color="auto"/>
        <w:right w:val="none" w:sz="0" w:space="0" w:color="auto"/>
      </w:divBdr>
    </w:div>
    <w:div w:id="1722099687">
      <w:bodyDiv w:val="1"/>
      <w:marLeft w:val="0"/>
      <w:marRight w:val="0"/>
      <w:marTop w:val="0"/>
      <w:marBottom w:val="0"/>
      <w:divBdr>
        <w:top w:val="none" w:sz="0" w:space="0" w:color="auto"/>
        <w:left w:val="none" w:sz="0" w:space="0" w:color="auto"/>
        <w:bottom w:val="none" w:sz="0" w:space="0" w:color="auto"/>
        <w:right w:val="none" w:sz="0" w:space="0" w:color="auto"/>
      </w:divBdr>
    </w:div>
    <w:div w:id="1747073774">
      <w:bodyDiv w:val="1"/>
      <w:marLeft w:val="0"/>
      <w:marRight w:val="0"/>
      <w:marTop w:val="0"/>
      <w:marBottom w:val="0"/>
      <w:divBdr>
        <w:top w:val="none" w:sz="0" w:space="0" w:color="auto"/>
        <w:left w:val="none" w:sz="0" w:space="0" w:color="auto"/>
        <w:bottom w:val="none" w:sz="0" w:space="0" w:color="auto"/>
        <w:right w:val="none" w:sz="0" w:space="0" w:color="auto"/>
      </w:divBdr>
    </w:div>
    <w:div w:id="1751001575">
      <w:bodyDiv w:val="1"/>
      <w:marLeft w:val="0"/>
      <w:marRight w:val="0"/>
      <w:marTop w:val="0"/>
      <w:marBottom w:val="0"/>
      <w:divBdr>
        <w:top w:val="none" w:sz="0" w:space="0" w:color="auto"/>
        <w:left w:val="none" w:sz="0" w:space="0" w:color="auto"/>
        <w:bottom w:val="none" w:sz="0" w:space="0" w:color="auto"/>
        <w:right w:val="none" w:sz="0" w:space="0" w:color="auto"/>
      </w:divBdr>
    </w:div>
    <w:div w:id="1760448443">
      <w:bodyDiv w:val="1"/>
      <w:marLeft w:val="0"/>
      <w:marRight w:val="0"/>
      <w:marTop w:val="0"/>
      <w:marBottom w:val="0"/>
      <w:divBdr>
        <w:top w:val="none" w:sz="0" w:space="0" w:color="auto"/>
        <w:left w:val="none" w:sz="0" w:space="0" w:color="auto"/>
        <w:bottom w:val="none" w:sz="0" w:space="0" w:color="auto"/>
        <w:right w:val="none" w:sz="0" w:space="0" w:color="auto"/>
      </w:divBdr>
    </w:div>
    <w:div w:id="1762607424">
      <w:bodyDiv w:val="1"/>
      <w:marLeft w:val="0"/>
      <w:marRight w:val="0"/>
      <w:marTop w:val="0"/>
      <w:marBottom w:val="0"/>
      <w:divBdr>
        <w:top w:val="none" w:sz="0" w:space="0" w:color="auto"/>
        <w:left w:val="none" w:sz="0" w:space="0" w:color="auto"/>
        <w:bottom w:val="none" w:sz="0" w:space="0" w:color="auto"/>
        <w:right w:val="none" w:sz="0" w:space="0" w:color="auto"/>
      </w:divBdr>
    </w:div>
    <w:div w:id="1766344440">
      <w:bodyDiv w:val="1"/>
      <w:marLeft w:val="0"/>
      <w:marRight w:val="0"/>
      <w:marTop w:val="0"/>
      <w:marBottom w:val="0"/>
      <w:divBdr>
        <w:top w:val="none" w:sz="0" w:space="0" w:color="auto"/>
        <w:left w:val="none" w:sz="0" w:space="0" w:color="auto"/>
        <w:bottom w:val="none" w:sz="0" w:space="0" w:color="auto"/>
        <w:right w:val="none" w:sz="0" w:space="0" w:color="auto"/>
      </w:divBdr>
    </w:div>
    <w:div w:id="1866751968">
      <w:bodyDiv w:val="1"/>
      <w:marLeft w:val="0"/>
      <w:marRight w:val="0"/>
      <w:marTop w:val="0"/>
      <w:marBottom w:val="0"/>
      <w:divBdr>
        <w:top w:val="none" w:sz="0" w:space="0" w:color="auto"/>
        <w:left w:val="none" w:sz="0" w:space="0" w:color="auto"/>
        <w:bottom w:val="none" w:sz="0" w:space="0" w:color="auto"/>
        <w:right w:val="none" w:sz="0" w:space="0" w:color="auto"/>
      </w:divBdr>
    </w:div>
    <w:div w:id="2027166824">
      <w:bodyDiv w:val="1"/>
      <w:marLeft w:val="0"/>
      <w:marRight w:val="0"/>
      <w:marTop w:val="0"/>
      <w:marBottom w:val="0"/>
      <w:divBdr>
        <w:top w:val="none" w:sz="0" w:space="0" w:color="auto"/>
        <w:left w:val="none" w:sz="0" w:space="0" w:color="auto"/>
        <w:bottom w:val="none" w:sz="0" w:space="0" w:color="auto"/>
        <w:right w:val="none" w:sz="0" w:space="0" w:color="auto"/>
      </w:divBdr>
    </w:div>
    <w:div w:id="2032367103">
      <w:bodyDiv w:val="1"/>
      <w:marLeft w:val="0"/>
      <w:marRight w:val="0"/>
      <w:marTop w:val="0"/>
      <w:marBottom w:val="0"/>
      <w:divBdr>
        <w:top w:val="none" w:sz="0" w:space="0" w:color="auto"/>
        <w:left w:val="none" w:sz="0" w:space="0" w:color="auto"/>
        <w:bottom w:val="none" w:sz="0" w:space="0" w:color="auto"/>
        <w:right w:val="none" w:sz="0" w:space="0" w:color="auto"/>
      </w:divBdr>
    </w:div>
    <w:div w:id="207974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footer" Target="footer5.xml"/><Relationship Id="rId42" Type="http://schemas.openxmlformats.org/officeDocument/2006/relationships/header" Target="header7.xml"/><Relationship Id="rId47" Type="http://schemas.openxmlformats.org/officeDocument/2006/relationships/footer" Target="footer9.xml"/><Relationship Id="rId50" Type="http://schemas.openxmlformats.org/officeDocument/2006/relationships/footer" Target="footer10.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4.xml"/><Relationship Id="rId38" Type="http://schemas.openxmlformats.org/officeDocument/2006/relationships/image" Target="media/image18.png"/><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8.xml"/><Relationship Id="rId53"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6.xml"/><Relationship Id="rId49" Type="http://schemas.openxmlformats.org/officeDocument/2006/relationships/header" Target="header1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4.xml"/><Relationship Id="rId44" Type="http://schemas.openxmlformats.org/officeDocument/2006/relationships/footer" Target="footer7.xml"/><Relationship Id="rId52" Type="http://schemas.openxmlformats.org/officeDocument/2006/relationships/header" Target="header12.xml"/><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header" Target="header6.xml"/><Relationship Id="rId43" Type="http://schemas.openxmlformats.org/officeDocument/2006/relationships/header" Target="header8.xml"/><Relationship Id="rId48"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footer" Target="footer11.xml"/><Relationship Id="rId72" Type="http://schemas.microsoft.com/office/2011/relationships/people" Target="people.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budget/mff/hlgor/library/reports-communication/hlgor-report_2017010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31098-CD37-4008-873F-5DBC032A5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12734</Words>
  <Characters>74282</Characters>
  <Application>Microsoft Office Word</Application>
  <DocSecurity>0</DocSecurity>
  <Lines>619</Lines>
  <Paragraphs>173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2017-06-27T15:23:00Z</dcterms:created>
  <dcterms:modified xsi:type="dcterms:W3CDTF">2017-06-29T08:42:00Z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