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5AE" w:rsidRDefault="005A1DF6">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633581FE004EE18162B5D8B0498265" style="width:450.6pt;height:293.8pt">
            <v:imagedata r:id="rId9" o:title=""/>
          </v:shape>
        </w:pict>
      </w:r>
    </w:p>
    <w:bookmarkEnd w:id="0"/>
    <w:p w:rsidR="005965AE" w:rsidRDefault="005965AE">
      <w:pPr>
        <w:rPr>
          <w:noProof/>
        </w:rPr>
        <w:sectPr w:rsidR="005965AE">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p w:rsidR="005965AE" w:rsidRDefault="005A1DF6">
      <w:pPr>
        <w:pStyle w:val="Title"/>
        <w:rPr>
          <w:noProof/>
        </w:rPr>
      </w:pPr>
      <w:r>
        <w:rPr>
          <w:noProof/>
        </w:rPr>
        <w:lastRenderedPageBreak/>
        <w:t xml:space="preserve">Document de réflexion sur l’avenir des finances de l’UE </w:t>
      </w:r>
    </w:p>
    <w:p w:rsidR="005965AE" w:rsidRDefault="005A1DF6">
      <w:pPr>
        <w:pStyle w:val="Heading1"/>
        <w:spacing w:before="120" w:after="240"/>
        <w:ind w:left="709" w:hanging="709"/>
        <w:rPr>
          <w:b w:val="0"/>
          <w:noProof/>
        </w:rPr>
      </w:pPr>
      <w:r>
        <w:rPr>
          <w:noProof/>
        </w:rPr>
        <w:t>1.</w:t>
      </w:r>
      <w:r>
        <w:rPr>
          <w:noProof/>
        </w:rPr>
        <w:tab/>
        <w:t xml:space="preserve">FINANCER L’INTÉGRATION EUROPÉENNE: </w:t>
      </w:r>
      <w:r>
        <w:rPr>
          <w:noProof/>
        </w:rPr>
        <w:t>L’ÉVOLUTION DES FINANCES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Le budget de l’Union européenne aide à produire des résultats dans les domaines importants pour les Européens</w:t>
      </w:r>
      <w:r>
        <w:rPr>
          <w:rFonts w:ascii="Times New Roman" w:hAnsi="Times New Roman"/>
          <w:noProof/>
          <w:sz w:val="24"/>
        </w:rPr>
        <w:t>. En mettant leurs ressources en commun au niveau européen, les États membres peuvent mener à bien davantage de ré</w:t>
      </w:r>
      <w:r>
        <w:rPr>
          <w:rFonts w:ascii="Times New Roman" w:hAnsi="Times New Roman"/>
          <w:noProof/>
          <w:sz w:val="24"/>
        </w:rPr>
        <w:t xml:space="preserve">alisations que s'ils agissaient seuls. Le budget de l’UE, avec les budgets nationaux et un large éventail d’instruments législatifs et réglementaires, soutient des objectifs partagés et aide à faire face à des défis communs.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Entre les années 1960 où est n</w:t>
      </w:r>
      <w:r>
        <w:rPr>
          <w:rFonts w:ascii="Times New Roman" w:hAnsi="Times New Roman"/>
          <w:noProof/>
          <w:sz w:val="24"/>
        </w:rPr>
        <w:t>ée la première grande politique commune, la politique agricole, et aujourd’hui, le budget de l’UE a changé progressivement, parallèlement à la construction de l’Union européenne.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Dans les années 1980 et 1990, les États membres et le Parlement européen ont </w:t>
      </w:r>
      <w:r>
        <w:rPr>
          <w:rFonts w:ascii="Times New Roman" w:hAnsi="Times New Roman"/>
          <w:noProof/>
          <w:sz w:val="24"/>
        </w:rPr>
        <w:t>élargi les compétences de l’UE en modifiant ses traités fondateurs. Reconnaissant la nécessité de soutenir le nouveau marché unique, ils ont augmenté les ressources disponibles au titre des fonds structurels pour favoriser la cohésion économique, sociale e</w:t>
      </w:r>
      <w:r>
        <w:rPr>
          <w:rFonts w:ascii="Times New Roman" w:hAnsi="Times New Roman"/>
          <w:noProof/>
          <w:sz w:val="24"/>
        </w:rPr>
        <w:t>t territoriale. En parallèle, l’UE a renforcé son rôle dans des domaines tels que les transports, l’espace, la santé, l’éducation et la culture, la protection des consommateurs, l’environnement, la recherche, la coopération judiciaire et la politique étran</w:t>
      </w:r>
      <w:r>
        <w:rPr>
          <w:rFonts w:ascii="Times New Roman" w:hAnsi="Times New Roman"/>
          <w:noProof/>
          <w:sz w:val="24"/>
        </w:rPr>
        <w:t xml:space="preserve">gère.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u w:val="single"/>
        </w:rPr>
        <w:t>Domaines financés par le budget de l’UE</w:t>
      </w:r>
      <w:r>
        <w:rPr>
          <w:rFonts w:ascii="Times New Roman" w:hAnsi="Times New Roman"/>
          <w:noProof/>
          <w:sz w:val="24"/>
        </w:rPr>
        <w:t xml:space="preserve"> (2014-2020)</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En Mrd EUR</w:t>
      </w:r>
    </w:p>
    <w:p w:rsidR="005965AE" w:rsidRDefault="005A1DF6">
      <w:pPr>
        <w:spacing w:after="240" w:line="240" w:lineRule="auto"/>
        <w:jc w:val="both"/>
        <w:rPr>
          <w:rFonts w:ascii="Times New Roman" w:hAnsi="Times New Roman" w:cs="Times New Roman"/>
          <w:noProof/>
          <w:sz w:val="24"/>
          <w:szCs w:val="24"/>
        </w:rPr>
      </w:pPr>
      <w:r>
        <w:rPr>
          <w:noProof/>
          <w:lang w:val="en-GB" w:eastAsia="en-GB"/>
        </w:rPr>
        <w:drawing>
          <wp:inline distT="0" distB="0" distL="0" distR="0">
            <wp:extent cx="5958205" cy="3865929"/>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58205" cy="3865929"/>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lastRenderedPageBreak/>
        <w:t>Remarque: Engagements; ajustés pour 2018.</w:t>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Depuis l’an 2000, le budget de l’UE a été influencé par l’arrivée de 13 nouveaux États membres aux situations socioéconomiques diverses et par les stratégies successives de l’Union pour soutenir l’emploi et la croissance. Il a également accompagné le rôle </w:t>
      </w:r>
      <w:r>
        <w:rPr>
          <w:rFonts w:ascii="Times New Roman" w:hAnsi="Times New Roman"/>
          <w:noProof/>
          <w:sz w:val="24"/>
        </w:rPr>
        <w:t xml:space="preserve">croissant de l’Union sur la scène internationale: elle est au premier plan dans la lutte contre le changement climatique et le premier contributeur mondial à l'aide humanitaire et à l’aide au développement.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Cependant, le budget de l’UE a continué de repré</w:t>
      </w:r>
      <w:r>
        <w:rPr>
          <w:rFonts w:ascii="Times New Roman" w:hAnsi="Times New Roman"/>
          <w:noProof/>
          <w:sz w:val="24"/>
        </w:rPr>
        <w:t xml:space="preserve">senter une petite part des dépenses publiques totales dans l’UE, équivalant à moins de 1 % des revenus générés dans l’UE et environ 2 % seulement des dépenses publiques dans l’UE. Cette part a diminué au fil du temps. </w:t>
      </w: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Le budget de l’UE par rapport aux rev</w:t>
      </w:r>
      <w:r w:rsidRPr="005A1DF6">
        <w:rPr>
          <w:rFonts w:ascii="Times New Roman" w:eastAsia="Calibri" w:hAnsi="Times New Roman" w:cs="Times New Roman"/>
          <w:noProof/>
          <w:sz w:val="24"/>
          <w:szCs w:val="24"/>
          <w:u w:val="single"/>
        </w:rPr>
        <w:t>enus et dépenses publiques globales dans l’UE</w:t>
      </w:r>
    </w:p>
    <w:p w:rsidR="005965AE" w:rsidRDefault="005A1DF6">
      <w:pPr>
        <w:spacing w:after="240" w:line="240" w:lineRule="auto"/>
        <w:rPr>
          <w:rFonts w:ascii="Times New Roman" w:eastAsia="Calibri" w:hAnsi="Times New Roman" w:cs="Times New Roman"/>
          <w:noProof/>
          <w:sz w:val="24"/>
          <w:szCs w:val="24"/>
        </w:rPr>
      </w:pPr>
      <w:r>
        <w:rPr>
          <w:noProof/>
          <w:lang w:val="en-GB" w:eastAsia="en-GB"/>
        </w:rPr>
        <w:drawing>
          <wp:inline distT="0" distB="0" distL="0" distR="0">
            <wp:extent cx="3114675" cy="1905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4675" cy="1905000"/>
                    </a:xfrm>
                    <a:prstGeom prst="rect">
                      <a:avLst/>
                    </a:prstGeom>
                  </pic:spPr>
                </pic:pic>
              </a:graphicData>
            </a:graphic>
          </wp:inline>
        </w:drawing>
      </w:r>
      <w:r>
        <w:rPr>
          <w:noProof/>
        </w:rPr>
        <w:tab/>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965AE">
      <w:pPr>
        <w:spacing w:after="240" w:line="240" w:lineRule="auto"/>
        <w:rPr>
          <w:rFonts w:ascii="Times New Roman" w:eastAsia="Calibri" w:hAnsi="Times New Roman" w:cs="Times New Roman"/>
          <w:noProof/>
          <w:sz w:val="24"/>
          <w:szCs w:val="24"/>
        </w:rPr>
      </w:pP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Taille du budget de l’UE en pourcentage du revenu national brut</w:t>
      </w:r>
    </w:p>
    <w:p w:rsidR="005965AE" w:rsidRDefault="005A1DF6">
      <w:pPr>
        <w:spacing w:after="240" w:line="240" w:lineRule="auto"/>
        <w:rPr>
          <w:rFonts w:ascii="Times New Roman" w:eastAsia="Calibri" w:hAnsi="Times New Roman" w:cs="Times New Roman"/>
          <w:noProof/>
          <w:sz w:val="24"/>
          <w:szCs w:val="24"/>
        </w:rPr>
      </w:pPr>
      <w:r>
        <w:rPr>
          <w:noProof/>
          <w:lang w:val="en-GB" w:eastAsia="en-GB"/>
        </w:rPr>
        <w:drawing>
          <wp:inline distT="0" distB="0" distL="0" distR="0">
            <wp:extent cx="2657475" cy="2152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57475" cy="2152650"/>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Dès lors, le budget de l’UE a subi une pression croissante visant à ce qu'il soi</w:t>
      </w:r>
      <w:r>
        <w:rPr>
          <w:rFonts w:ascii="Times New Roman" w:hAnsi="Times New Roman"/>
          <w:noProof/>
          <w:sz w:val="24"/>
        </w:rPr>
        <w:t xml:space="preserve">t plus efficient, à ce qu'il se concentre sur les domaines dans lesquels son incidence est la plus grande et à ce que ses résultats ne soient pas entravés par de lourds règlements et procédures. </w:t>
      </w:r>
    </w:p>
    <w:p w:rsidR="005965AE" w:rsidRDefault="005A1DF6">
      <w:pPr>
        <w:spacing w:after="240" w:line="240" w:lineRule="auto"/>
        <w:jc w:val="both"/>
        <w:rPr>
          <w:rFonts w:ascii="Times New Roman" w:eastAsia="Calibri" w:hAnsi="Times New Roman" w:cs="Times New Roman"/>
          <w:i/>
          <w:noProof/>
          <w:sz w:val="24"/>
          <w:szCs w:val="24"/>
        </w:rPr>
      </w:pPr>
      <w:r>
        <w:rPr>
          <w:rFonts w:ascii="Times New Roman" w:hAnsi="Times New Roman"/>
          <w:noProof/>
          <w:sz w:val="24"/>
        </w:rPr>
        <w:t>La composition du budget de l’UE a évolué au fil du temps. L</w:t>
      </w:r>
      <w:r>
        <w:rPr>
          <w:rFonts w:ascii="Times New Roman" w:hAnsi="Times New Roman"/>
          <w:noProof/>
          <w:sz w:val="24"/>
        </w:rPr>
        <w:t xml:space="preserve">a part des dépenses agricoles et des dépenses de cohésion a diminué, mais ces deux secteurs considérés ensemble représentent </w:t>
      </w:r>
      <w:r>
        <w:rPr>
          <w:rFonts w:ascii="Times New Roman" w:hAnsi="Times New Roman"/>
          <w:noProof/>
          <w:sz w:val="24"/>
        </w:rPr>
        <w:lastRenderedPageBreak/>
        <w:t>toujours plus de 70 % du total. Les dépenses se sont de plus en plus concentrées sur des domaines comme la recherche, les réseaux t</w:t>
      </w:r>
      <w:r>
        <w:rPr>
          <w:rFonts w:ascii="Times New Roman" w:hAnsi="Times New Roman"/>
          <w:noProof/>
          <w:sz w:val="24"/>
        </w:rPr>
        <w:t>ranseuropéens et l'action extérieure, et sur des programmes gérés directement au niveau européen.</w:t>
      </w:r>
      <w:r>
        <w:rPr>
          <w:rFonts w:ascii="Times New Roman" w:hAnsi="Times New Roman"/>
          <w:i/>
          <w:noProof/>
          <w:sz w:val="24"/>
        </w:rPr>
        <w:t xml:space="preserve"> </w:t>
      </w:r>
    </w:p>
    <w:p w:rsidR="005965AE" w:rsidRPr="005A1DF6"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Évolution des principaux domaines de politique dans le budget de l’UE</w:t>
      </w:r>
    </w:p>
    <w:p w:rsidR="005965AE" w:rsidRPr="005A1DF6" w:rsidRDefault="005965AE">
      <w:pPr>
        <w:spacing w:after="240" w:line="240" w:lineRule="auto"/>
        <w:jc w:val="both"/>
        <w:rPr>
          <w:rFonts w:ascii="Times New Roman" w:eastAsia="Calibri" w:hAnsi="Times New Roman" w:cs="Times New Roman"/>
          <w:noProof/>
          <w:sz w:val="24"/>
          <w:szCs w:val="24"/>
          <w:u w:val="single"/>
        </w:rPr>
      </w:pP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958205" cy="2588266"/>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8205" cy="2588266"/>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Pendant la crise économique et financière, le budget </w:t>
      </w:r>
      <w:r>
        <w:rPr>
          <w:rFonts w:ascii="Times New Roman" w:hAnsi="Times New Roman"/>
          <w:noProof/>
          <w:sz w:val="24"/>
        </w:rPr>
        <w:t>de l’UE s’est révélé être un puissant instrument de soutien des investissements. Depuis 2008, étant donné les fortes tensions auxquelles sont soumis les budgets nationaux de nombreux États membres, le budget de l’UE et la politique de cohésion en particuli</w:t>
      </w:r>
      <w:r>
        <w:rPr>
          <w:rFonts w:ascii="Times New Roman" w:hAnsi="Times New Roman"/>
          <w:noProof/>
          <w:sz w:val="24"/>
        </w:rPr>
        <w:t xml:space="preserve">er se sont avérés être une source majeure d'investissements stables et propices à la croissance. Dans certains États membres, ils se sont même révélés être la principale source budgétaire de ce type. Le Fonds européen pour les investissements stratégiques </w:t>
      </w:r>
      <w:r>
        <w:rPr>
          <w:rFonts w:ascii="Times New Roman" w:hAnsi="Times New Roman"/>
          <w:noProof/>
          <w:sz w:val="24"/>
        </w:rPr>
        <w:t>(EFSI) a également joué un rôle essentiel pour catalyser les investissements privés partout en Europe. Ainsi, il a été montré que le budget de l’UE pouvait réagir rapidement aux nouveaux défis et créer un effet de levier significatif</w:t>
      </w:r>
      <w:r>
        <w:rPr>
          <w:rStyle w:val="FootnoteReference"/>
          <w:rFonts w:ascii="Times New Roman" w:hAnsi="Times New Roman"/>
          <w:noProof/>
          <w:sz w:val="24"/>
        </w:rPr>
        <w:footnoteReference w:id="2"/>
      </w:r>
      <w:r>
        <w:rPr>
          <w:rFonts w:ascii="Times New Roman" w:hAnsi="Times New Roman"/>
          <w:noProof/>
          <w:sz w:val="24"/>
        </w:rPr>
        <w:t>.</w:t>
      </w:r>
    </w:p>
    <w:p w:rsidR="005965AE" w:rsidRDefault="005A1DF6">
      <w:pPr>
        <w:rPr>
          <w:rFonts w:ascii="Times New Roman" w:eastAsia="Calibri" w:hAnsi="Times New Roman" w:cs="Times New Roman"/>
          <w:bCs/>
          <w:noProof/>
          <w:sz w:val="24"/>
          <w:szCs w:val="24"/>
          <w:u w:val="single"/>
        </w:rPr>
      </w:pPr>
      <w:r>
        <w:rPr>
          <w:noProof/>
        </w:rPr>
        <w:br w:type="page"/>
      </w: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lastRenderedPageBreak/>
        <w:t>Part des Fonds str</w:t>
      </w:r>
      <w:r w:rsidRPr="005A1DF6">
        <w:rPr>
          <w:rFonts w:ascii="Times New Roman" w:eastAsia="Calibri" w:hAnsi="Times New Roman" w:cs="Times New Roman"/>
          <w:noProof/>
          <w:sz w:val="24"/>
          <w:szCs w:val="24"/>
          <w:u w:val="single"/>
        </w:rPr>
        <w:t>ucturels et d’investissement européens dans les investissements publics, 2015-2017</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En %</w:t>
      </w:r>
    </w:p>
    <w:p w:rsidR="005965AE" w:rsidRDefault="005A1DF6">
      <w:pPr>
        <w:spacing w:after="240" w:line="240" w:lineRule="auto"/>
        <w:jc w:val="both"/>
        <w:rPr>
          <w:rFonts w:ascii="Times New Roman" w:hAnsi="Times New Roman" w:cs="Times New Roman"/>
          <w:noProof/>
          <w:sz w:val="20"/>
          <w:szCs w:val="24"/>
          <w:u w:val="single"/>
        </w:rPr>
      </w:pPr>
      <w:r>
        <w:rPr>
          <w:noProof/>
          <w:lang w:val="en-GB" w:eastAsia="en-GB"/>
        </w:rPr>
        <w:drawing>
          <wp:inline distT="0" distB="0" distL="0" distR="0">
            <wp:extent cx="3649956" cy="2446316"/>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49956" cy="2446316"/>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budget de l’UE a aussi soutenu la réaction européenne à la crise des réfugiés et à la menace que constituent la criminalité organisée</w:t>
      </w:r>
      <w:r>
        <w:rPr>
          <w:rFonts w:ascii="Times New Roman" w:hAnsi="Times New Roman"/>
          <w:noProof/>
          <w:sz w:val="24"/>
        </w:rPr>
        <w:t xml:space="preserve"> et le terrorisme. Le financement consacré à la sécurité et à la migration a doublé, pour soutenir par exemple le nouveau corps européen de garde-frontières et de garde-côtes et aider les États membres recevant un afflux important de réfugiés. La réponse à</w:t>
      </w:r>
      <w:r>
        <w:rPr>
          <w:rFonts w:ascii="Times New Roman" w:hAnsi="Times New Roman"/>
          <w:noProof/>
          <w:sz w:val="24"/>
        </w:rPr>
        <w:t xml:space="preserve"> ces crises a poussé la flexibilité du budget dans ses limites.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tendance est que les défis pour l'Union se multiplient, parallèlement à l'augmentation de la pression sur les budgets européens et nationaux. La faiblesse de la productivité et des investis</w:t>
      </w:r>
      <w:r>
        <w:rPr>
          <w:rFonts w:ascii="Times New Roman" w:hAnsi="Times New Roman"/>
          <w:noProof/>
          <w:sz w:val="24"/>
        </w:rPr>
        <w:t>sements, l'évolution démographique et d'autres enjeux à long terme comme la migration, le changement climatique, la défense, la cybersécurité et le terrorisme constituent tous des domaines dans lesquels le budget de l’UE est appelé à jouer un rôle proémine</w:t>
      </w:r>
      <w:r>
        <w:rPr>
          <w:rFonts w:ascii="Times New Roman" w:hAnsi="Times New Roman"/>
          <w:noProof/>
          <w:sz w:val="24"/>
        </w:rPr>
        <w:t>nt.</w:t>
      </w:r>
    </w:p>
    <w:p w:rsidR="005965AE" w:rsidRDefault="005A1DF6">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Il est également temps de se pencher sur la manière dont le budget de l’UE est financé. Le financement du budget a évolué, tout comme son volet des dépenses. Contrairement aux budgets nationaux, l’Union ne peut pas emprunter. Au lieu de cela, son finan</w:t>
      </w:r>
      <w:r>
        <w:rPr>
          <w:rFonts w:ascii="Times New Roman" w:hAnsi="Times New Roman"/>
          <w:noProof/>
          <w:sz w:val="24"/>
        </w:rPr>
        <w:t>cement provient de «ressources propres». Il existe aujourd'hui trois principaux types de ressources propres: les contributions des États membres sur la base de leur niveau de revenus mesuré par le revenu national brut (RNB), les contributions fondées sur l</w:t>
      </w:r>
      <w:r>
        <w:rPr>
          <w:rFonts w:ascii="Times New Roman" w:hAnsi="Times New Roman"/>
          <w:noProof/>
          <w:sz w:val="24"/>
        </w:rPr>
        <w:t>a taxe sur la valeur ajoutée (TVA) et les droits de douane perçus aux frontières extérieures de l’Union.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Environ 80 % du budget de l’UE est financé par les contributions nationales fondées sur le RNB et la TVA. Les contributions fondées sur le RNB sont </w:t>
      </w:r>
      <w:r>
        <w:rPr>
          <w:rFonts w:ascii="Times New Roman" w:hAnsi="Times New Roman"/>
          <w:noProof/>
          <w:sz w:val="24"/>
        </w:rPr>
        <w:t>généralement considérées comme justes, car elles reflètent de façon adéquate la «capacité de payer» relative des États membres. Les recettes douanières sont considérées comme étant de véritables ressources propres, car elles sont tirées de la politique com</w:t>
      </w:r>
      <w:r>
        <w:rPr>
          <w:rFonts w:ascii="Times New Roman" w:hAnsi="Times New Roman"/>
          <w:noProof/>
          <w:sz w:val="24"/>
        </w:rPr>
        <w:t>merciale commune dont les recettes alimentent le budget de l’UE.</w:t>
      </w:r>
    </w:p>
    <w:p w:rsidR="005965AE" w:rsidRDefault="005A1DF6">
      <w:pPr>
        <w:rPr>
          <w:rFonts w:ascii="Times New Roman" w:hAnsi="Times New Roman"/>
          <w:noProof/>
          <w:sz w:val="24"/>
          <w:u w:val="single"/>
        </w:rPr>
      </w:pPr>
      <w:r>
        <w:rPr>
          <w:rFonts w:ascii="Times New Roman" w:hAnsi="Times New Roman"/>
          <w:noProof/>
          <w:sz w:val="24"/>
          <w:u w:val="single"/>
        </w:rPr>
        <w:br w:type="page"/>
      </w:r>
    </w:p>
    <w:p w:rsidR="005965AE" w:rsidRPr="005A1DF6"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lastRenderedPageBreak/>
        <w:t>Les sources de financement du budget de l’UE</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958205" cy="2753595"/>
            <wp:effectExtent l="0" t="0" r="444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58205" cy="2753595"/>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Toutefois, un certain nombre d'ajustements et de «rabais» ont été instaurés au fil du temps parce que certains États membres considéraient que leurs contributions au budget de l’UE étaient excessives par rapport à ce qu'ils recevaient en retour. Cela a ren</w:t>
      </w:r>
      <w:r>
        <w:rPr>
          <w:rFonts w:ascii="Times New Roman" w:hAnsi="Times New Roman"/>
          <w:noProof/>
          <w:sz w:val="24"/>
        </w:rPr>
        <w:t xml:space="preserve">du le système de financement de l’UE de plus en plus complexe et opaque.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Ce système, basé principalement sur les contributions des États membres, a aussi renforcé une perception fausse selon laquelle la valeur du budget de l’UE pour un État membre peut êt</w:t>
      </w:r>
      <w:r>
        <w:rPr>
          <w:rFonts w:ascii="Times New Roman" w:hAnsi="Times New Roman"/>
          <w:noProof/>
          <w:sz w:val="24"/>
        </w:rPr>
        <w:t>re mesurée par le solde net des contributions versées et des fonds reçus. C’est ignorer l’essence même d’un budget de l’UE modernisé, à savoir la valeur ajoutée qui découle de la mise en commun de ressources, et de résultats que des dépenses nationales non</w:t>
      </w:r>
      <w:r>
        <w:rPr>
          <w:rFonts w:ascii="Times New Roman" w:hAnsi="Times New Roman"/>
          <w:noProof/>
          <w:sz w:val="24"/>
        </w:rPr>
        <w:t xml:space="preserve"> coordonnées ne permettent pas d’obtenir. Ces gains économiques au sens large ne sont que trop souvent ignorés, tout comme la valeur plus large que revêt l’appartenance à la plus grande zone économique et puissance commerciale du monde.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Si nous voulons am</w:t>
      </w:r>
      <w:r>
        <w:rPr>
          <w:rFonts w:ascii="Times New Roman" w:hAnsi="Times New Roman"/>
          <w:noProof/>
          <w:sz w:val="24"/>
        </w:rPr>
        <w:t>éliorer l’efficacité du budget, nous devrions aussi examiner comment les recettes peuvent contribuer aux priorités de l’UE. Le départ du Royaume-Uni et la disparition des rabais liés à ce pays devraient déjà supprimer certains obstacles aux réformes du vol</w:t>
      </w:r>
      <w:r>
        <w:rPr>
          <w:rFonts w:ascii="Times New Roman" w:hAnsi="Times New Roman"/>
          <w:noProof/>
          <w:sz w:val="24"/>
        </w:rPr>
        <w:t>et des recettes du budget de l’UE.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Enfin, pour répondre aux différents besoins, le budget de l’UE a été complété par un certain nombre de nouveaux outils, institutions et instruments. Certains d’entre eux sont en dehors du budget de l’UE et ne sont pas rég</w:t>
      </w:r>
      <w:r>
        <w:rPr>
          <w:rFonts w:ascii="Times New Roman" w:hAnsi="Times New Roman"/>
          <w:noProof/>
          <w:sz w:val="24"/>
        </w:rPr>
        <w:t>is par les mêmes règles. Des financements supplémentaires sont fournis par la Banque européenne d’investissement ou d’autres organismes fondés sur des accords intergouvernementaux, comme le Fonds européen de développement lié au partenariat spécial avec le</w:t>
      </w:r>
      <w:r>
        <w:rPr>
          <w:rFonts w:ascii="Times New Roman" w:hAnsi="Times New Roman"/>
          <w:noProof/>
          <w:sz w:val="24"/>
        </w:rPr>
        <w:t>s pays d’Afrique, des Caraïbes et du Pacifique. Plus récemment, les fonds fiduciaires de l’Union européenne et d'autres dispositifs ont été créés pour mettre en commun de l’argent provenant du budget de l’UE, des États membres et d'autres donateurs afin de</w:t>
      </w:r>
      <w:r>
        <w:rPr>
          <w:rFonts w:ascii="Times New Roman" w:hAnsi="Times New Roman"/>
          <w:noProof/>
          <w:sz w:val="24"/>
        </w:rPr>
        <w:t xml:space="preserve"> faire face à des crises extérieures. Cette architecture financière étendue a permis à l’Union de mobiliser des financements additionnels, mais a ajouté à la complexité des finances de l’UE. Le graphique ci-dessous donne une vue d’ensemble de tous les élém</w:t>
      </w:r>
      <w:r>
        <w:rPr>
          <w:rFonts w:ascii="Times New Roman" w:hAnsi="Times New Roman"/>
          <w:noProof/>
          <w:sz w:val="24"/>
        </w:rPr>
        <w:t xml:space="preserve">ents de financement de l’UE au-delà du budget de l’UE lui-même. Il montre aussi quels éléments sont soumis au contrôle démocratique du Parlement européen et au contrôle de la Cour des comptes européenne. </w:t>
      </w:r>
    </w:p>
    <w:p w:rsidR="005965AE" w:rsidRDefault="005A1DF6">
      <w:pPr>
        <w:spacing w:after="240" w:line="240" w:lineRule="auto"/>
        <w:jc w:val="both"/>
        <w:rPr>
          <w:rFonts w:ascii="Times New Roman" w:hAnsi="Times New Roman" w:cs="Times New Roman"/>
          <w:noProof/>
          <w:color w:val="17365D"/>
          <w:sz w:val="24"/>
          <w:szCs w:val="24"/>
        </w:rPr>
      </w:pPr>
      <w:r w:rsidRPr="005A1DF6">
        <w:rPr>
          <w:rFonts w:ascii="Times New Roman" w:eastAsia="Calibri" w:hAnsi="Times New Roman" w:cs="Times New Roman"/>
          <w:noProof/>
          <w:sz w:val="24"/>
          <w:szCs w:val="24"/>
          <w:u w:val="single"/>
        </w:rPr>
        <w:t>Finances de l’UE: vue d’ensemble</w:t>
      </w:r>
    </w:p>
    <w:p w:rsidR="005965AE" w:rsidRDefault="005A1DF6">
      <w:pPr>
        <w:keepNext/>
        <w:spacing w:after="240" w:line="240" w:lineRule="auto"/>
        <w:jc w:val="both"/>
        <w:rPr>
          <w:rFonts w:ascii="Times New Roman" w:hAnsi="Times New Roman" w:cs="Times New Roman"/>
          <w:noProof/>
          <w:color w:val="17365D"/>
          <w:lang w:val="fr-FR" w:eastAsia="en-GB"/>
        </w:rPr>
      </w:pPr>
      <w:r>
        <w:rPr>
          <w:rStyle w:val="A7"/>
          <w:noProof/>
          <w:sz w:val="22"/>
          <w:szCs w:val="22"/>
          <w:lang w:val="fr-FR"/>
        </w:rPr>
        <w:t>À titre purement i</w:t>
      </w:r>
      <w:r>
        <w:rPr>
          <w:rStyle w:val="A7"/>
          <w:noProof/>
          <w:sz w:val="22"/>
          <w:szCs w:val="22"/>
          <w:lang w:val="fr-FR"/>
        </w:rPr>
        <w:t>llustratif, la taille des cercles ne correspondant pas aux volumes réels</w:t>
      </w:r>
    </w:p>
    <w:p w:rsidR="005965AE" w:rsidRDefault="005A1DF6">
      <w:pPr>
        <w:pStyle w:val="PlainText"/>
        <w:spacing w:after="240"/>
        <w:jc w:val="both"/>
        <w:rPr>
          <w:noProof/>
        </w:rPr>
      </w:pPr>
      <w:r>
        <w:rPr>
          <w:noProof/>
          <w:lang w:val="en-GB" w:eastAsia="en-GB"/>
        </w:rPr>
        <w:drawing>
          <wp:inline distT="0" distB="0" distL="0" distR="0">
            <wp:extent cx="5825459" cy="3960000"/>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25459" cy="3960000"/>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965AE">
      <w:pPr>
        <w:rPr>
          <w:noProof/>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9356"/>
      </w:tblGrid>
      <w:tr w:rsidR="005965AE">
        <w:tc>
          <w:tcPr>
            <w:tcW w:w="9356" w:type="dxa"/>
            <w:shd w:val="clear" w:color="auto" w:fill="F2F2F2" w:themeFill="background1" w:themeFillShade="F2"/>
          </w:tcPr>
          <w:p w:rsidR="005965AE" w:rsidRDefault="005A1DF6">
            <w:pPr>
              <w:pStyle w:val="Subtitle"/>
              <w:rPr>
                <w:noProof/>
              </w:rPr>
            </w:pPr>
            <w:r>
              <w:rPr>
                <w:noProof/>
              </w:rPr>
              <w:br w:type="page"/>
              <w:t>Encadré 1: Le budget de l’UE en un coup d’œil, pour la période 2014-2020</w:t>
            </w:r>
          </w:p>
          <w:p w:rsidR="005965AE" w:rsidRDefault="005A1DF6">
            <w:pPr>
              <w:numPr>
                <w:ilvl w:val="0"/>
                <w:numId w:val="4"/>
              </w:numPr>
              <w:ind w:left="318" w:hanging="284"/>
              <w:jc w:val="both"/>
              <w:rPr>
                <w:rFonts w:eastAsia="Calibri"/>
                <w:noProof/>
                <w:szCs w:val="24"/>
              </w:rPr>
            </w:pPr>
            <w:r>
              <w:rPr>
                <w:noProof/>
              </w:rPr>
              <w:t xml:space="preserve">il représente environ 1 % du RNB de l’UE et 2 % des dépenses publiques </w:t>
            </w:r>
            <w:r>
              <w:rPr>
                <w:noProof/>
              </w:rPr>
              <w:t>totales;</w:t>
            </w:r>
          </w:p>
          <w:p w:rsidR="005965AE" w:rsidRDefault="005A1DF6">
            <w:pPr>
              <w:numPr>
                <w:ilvl w:val="0"/>
                <w:numId w:val="4"/>
              </w:numPr>
              <w:ind w:left="318" w:hanging="284"/>
              <w:jc w:val="both"/>
              <w:rPr>
                <w:rFonts w:eastAsia="Calibri"/>
                <w:noProof/>
                <w:szCs w:val="24"/>
              </w:rPr>
            </w:pPr>
            <w:r>
              <w:rPr>
                <w:noProof/>
              </w:rPr>
              <w:t>il s’inscrit dans un cadre financier pluriannuel d’une durée de 5 ans au moins. Le cadre actuel (2014-2020) prévoit une enveloppe de 1 087 milliards d’EUR;</w:t>
            </w:r>
          </w:p>
          <w:p w:rsidR="005965AE" w:rsidRDefault="005A1DF6">
            <w:pPr>
              <w:numPr>
                <w:ilvl w:val="0"/>
                <w:numId w:val="4"/>
              </w:numPr>
              <w:ind w:left="318" w:hanging="284"/>
              <w:jc w:val="both"/>
              <w:rPr>
                <w:rFonts w:eastAsia="Calibri"/>
                <w:noProof/>
                <w:szCs w:val="24"/>
              </w:rPr>
            </w:pPr>
            <w:r>
              <w:rPr>
                <w:noProof/>
              </w:rPr>
              <w:t>il est principalement financé par des contributions de chaque État membre sur la base de so</w:t>
            </w:r>
            <w:r>
              <w:rPr>
                <w:noProof/>
              </w:rPr>
              <w:t xml:space="preserve">n revenu relatif, ainsi que par les droits de douanes perçus aux frontières extérieures et, dans une moindre mesure, par la taxe sur la valeur ajoutée. Il n’existe pas d'impôt européen. Le système des recettes est approuvé par l’ensemble des États membres </w:t>
            </w:r>
            <w:r>
              <w:rPr>
                <w:noProof/>
              </w:rPr>
              <w:t>et ratifié par les parlements nationaux;</w:t>
            </w:r>
          </w:p>
          <w:p w:rsidR="005965AE" w:rsidRDefault="005A1DF6">
            <w:pPr>
              <w:numPr>
                <w:ilvl w:val="0"/>
                <w:numId w:val="4"/>
              </w:numPr>
              <w:ind w:left="318" w:hanging="284"/>
              <w:jc w:val="both"/>
              <w:rPr>
                <w:rFonts w:eastAsia="Calibri"/>
                <w:noProof/>
                <w:szCs w:val="24"/>
              </w:rPr>
            </w:pPr>
            <w:r>
              <w:rPr>
                <w:noProof/>
              </w:rPr>
              <w:t xml:space="preserve">il mobilise dans toute l’UE, via la politique de cohésion, plus de 480 milliards d’EUR d'investissements, ce qui représente par exemple un soutien pour plus d’1 million d’entreprises, de meilleurs services de santé </w:t>
            </w:r>
            <w:r>
              <w:rPr>
                <w:noProof/>
              </w:rPr>
              <w:t xml:space="preserve">pour 42 millions de citoyens, une prévention des inondations et des incendies pour 25 millions de citoyens, un raccordement aux installations de traitement des eaux usées pour près de 17 millions de citoyens de l’UE supplémentaires, l’accès à l'internet à </w:t>
            </w:r>
            <w:r>
              <w:rPr>
                <w:noProof/>
              </w:rPr>
              <w:t xml:space="preserve">haut débit pour 15 millions de ménages supplémentaires et plus de 420 000 nouveaux emplois. En outre, 5 millions d’Européens pourront bénéficier de programmes de formation et d’apprentissage tout au long de la vie, et 6,6 millions d’enfants auront accès à </w:t>
            </w:r>
            <w:r>
              <w:rPr>
                <w:noProof/>
              </w:rPr>
              <w:t xml:space="preserve">de nouvelles écoles et structures d’accueil modernes; </w:t>
            </w:r>
          </w:p>
          <w:p w:rsidR="005965AE" w:rsidRDefault="005A1DF6">
            <w:pPr>
              <w:numPr>
                <w:ilvl w:val="0"/>
                <w:numId w:val="4"/>
              </w:numPr>
              <w:ind w:left="318" w:hanging="284"/>
              <w:jc w:val="both"/>
              <w:rPr>
                <w:rFonts w:eastAsia="Calibri"/>
                <w:noProof/>
                <w:szCs w:val="24"/>
              </w:rPr>
            </w:pPr>
            <w:r>
              <w:rPr>
                <w:noProof/>
              </w:rPr>
              <w:t xml:space="preserve">il devrait mobiliser au moins 500 milliards d’EUR d'investissements par l’intermédiaire du «plan Juncker» prolongé (Fonds européen pour les investissements stratégiques); </w:t>
            </w:r>
          </w:p>
          <w:p w:rsidR="005965AE" w:rsidRDefault="005A1DF6">
            <w:pPr>
              <w:numPr>
                <w:ilvl w:val="0"/>
                <w:numId w:val="4"/>
              </w:numPr>
              <w:ind w:left="318" w:hanging="284"/>
              <w:jc w:val="both"/>
              <w:rPr>
                <w:rFonts w:eastAsia="Calibri"/>
                <w:noProof/>
                <w:szCs w:val="24"/>
              </w:rPr>
            </w:pPr>
            <w:r>
              <w:rPr>
                <w:noProof/>
              </w:rPr>
              <w:t>il apporte plus de 74 milliar</w:t>
            </w:r>
            <w:r>
              <w:rPr>
                <w:noProof/>
              </w:rPr>
              <w:t>ds d’EUR au programme Horizon 2020 pour la recherche et l’innovation, qui a déjà débouché – à ce jour – sur 6 prix Nobel, 4 médailles Fields et des découvertes d’importance mondiale (p.ex. la recherche sur un vaccin contre Ebola, des travaux révolutionnair</w:t>
            </w:r>
            <w:r>
              <w:rPr>
                <w:noProof/>
              </w:rPr>
              <w:t>es sur le cancer et la maladie d’Alzheimer; des avions émettant moins de CO</w:t>
            </w:r>
            <w:r>
              <w:rPr>
                <w:noProof/>
                <w:vertAlign w:val="subscript"/>
              </w:rPr>
              <w:t>2</w:t>
            </w:r>
            <w:r>
              <w:rPr>
                <w:noProof/>
              </w:rPr>
              <w:t xml:space="preserve"> et de bruit);</w:t>
            </w:r>
          </w:p>
          <w:p w:rsidR="005965AE" w:rsidRDefault="005A1DF6">
            <w:pPr>
              <w:numPr>
                <w:ilvl w:val="0"/>
                <w:numId w:val="4"/>
              </w:numPr>
              <w:ind w:left="318" w:hanging="284"/>
              <w:jc w:val="both"/>
              <w:rPr>
                <w:rFonts w:eastAsia="Calibri"/>
                <w:noProof/>
                <w:szCs w:val="24"/>
              </w:rPr>
            </w:pPr>
            <w:r>
              <w:rPr>
                <w:noProof/>
              </w:rPr>
              <w:t xml:space="preserve">il soutient à hauteur de plus de 30 milliards d’EUR les réseaux transeuropéens dans les domaines des transports, de l’énergie et des communications via le mécanisme pour l’interconnexion en Europe;  </w:t>
            </w:r>
          </w:p>
          <w:p w:rsidR="005965AE" w:rsidRDefault="005A1DF6">
            <w:pPr>
              <w:numPr>
                <w:ilvl w:val="0"/>
                <w:numId w:val="4"/>
              </w:numPr>
              <w:ind w:left="318" w:hanging="284"/>
              <w:jc w:val="both"/>
              <w:rPr>
                <w:rFonts w:eastAsia="Calibri"/>
                <w:noProof/>
                <w:szCs w:val="24"/>
              </w:rPr>
            </w:pPr>
            <w:r>
              <w:rPr>
                <w:noProof/>
              </w:rPr>
              <w:t>il soutient un secteur agricole dynamique à hauteur de 4</w:t>
            </w:r>
            <w:r>
              <w:rPr>
                <w:noProof/>
              </w:rPr>
              <w:t>00 milliards d’EUR environ, aide 7 millions d'agriculteurs, encourage la modernisation de 380 000 exploitations agricoles à hauteur de 8,7 milliards d’EUR; il finance, au titre du développement rural, des investissements en faveur de la biodiversité, de l’</w:t>
            </w:r>
            <w:r>
              <w:rPr>
                <w:noProof/>
              </w:rPr>
              <w:t xml:space="preserve">efficacité énergétique, de la création d’entreprises et de la modernisation des installations de production; </w:t>
            </w:r>
          </w:p>
          <w:p w:rsidR="005965AE" w:rsidRDefault="005A1DF6">
            <w:pPr>
              <w:numPr>
                <w:ilvl w:val="0"/>
                <w:numId w:val="4"/>
              </w:numPr>
              <w:ind w:left="318" w:hanging="284"/>
              <w:jc w:val="both"/>
              <w:rPr>
                <w:rFonts w:eastAsia="Calibri"/>
                <w:noProof/>
                <w:szCs w:val="24"/>
              </w:rPr>
            </w:pPr>
            <w:r>
              <w:rPr>
                <w:noProof/>
              </w:rPr>
              <w:t>il finance le système de navigation Galileo, qui a à ce jour mis en orbite plus de 15 satellites européens pleinement opérationnels, et le program</w:t>
            </w:r>
            <w:r>
              <w:rPr>
                <w:noProof/>
              </w:rPr>
              <w:t>me européen d’observation de la Terre Copernicus;</w:t>
            </w:r>
          </w:p>
          <w:p w:rsidR="005965AE" w:rsidRDefault="005A1DF6">
            <w:pPr>
              <w:numPr>
                <w:ilvl w:val="0"/>
                <w:numId w:val="4"/>
              </w:numPr>
              <w:ind w:left="318" w:hanging="284"/>
              <w:jc w:val="both"/>
              <w:rPr>
                <w:rFonts w:eastAsia="Calibri"/>
                <w:noProof/>
                <w:szCs w:val="24"/>
              </w:rPr>
            </w:pPr>
            <w:r>
              <w:rPr>
                <w:noProof/>
              </w:rPr>
              <w:t xml:space="preserve">il a mobilisé plus de 17 milliards d’EUR entre 2015 et 2017 pour faire face à la crise des réfugiés dans l’UE et ailleurs; </w:t>
            </w:r>
          </w:p>
          <w:p w:rsidR="005965AE" w:rsidRDefault="005A1DF6">
            <w:pPr>
              <w:numPr>
                <w:ilvl w:val="0"/>
                <w:numId w:val="4"/>
              </w:numPr>
              <w:ind w:left="318" w:hanging="284"/>
              <w:jc w:val="both"/>
              <w:rPr>
                <w:rFonts w:eastAsia="Calibri"/>
                <w:noProof/>
                <w:szCs w:val="24"/>
              </w:rPr>
            </w:pPr>
            <w:r>
              <w:rPr>
                <w:noProof/>
              </w:rPr>
              <w:t>il finance le programme Erasmus, qui encourage la mobilité entre pays, spécialemen</w:t>
            </w:r>
            <w:r>
              <w:rPr>
                <w:noProof/>
              </w:rPr>
              <w:t>t pour les étudiants et les jeunes, et dont ont bénéficié plus de 9 millions de personnes ces 30 dernières années;</w:t>
            </w:r>
          </w:p>
          <w:p w:rsidR="005965AE" w:rsidRDefault="005A1DF6">
            <w:pPr>
              <w:numPr>
                <w:ilvl w:val="0"/>
                <w:numId w:val="4"/>
              </w:numPr>
              <w:ind w:left="318" w:hanging="284"/>
              <w:jc w:val="both"/>
              <w:rPr>
                <w:rFonts w:eastAsia="Calibri"/>
                <w:noProof/>
                <w:szCs w:val="24"/>
              </w:rPr>
            </w:pPr>
            <w:r>
              <w:rPr>
                <w:noProof/>
              </w:rPr>
              <w:t xml:space="preserve">il contribue à hauteur de plus de 8 milliards d’EUR à la lutte contre le chômage des jeunes via l’initiative pour l’emploi des jeunes et a à </w:t>
            </w:r>
            <w:r>
              <w:rPr>
                <w:noProof/>
              </w:rPr>
              <w:t>ce jour soutenu 1,6 million de personnes dans ce cadre;</w:t>
            </w:r>
          </w:p>
          <w:p w:rsidR="005965AE" w:rsidRDefault="005A1DF6">
            <w:pPr>
              <w:numPr>
                <w:ilvl w:val="0"/>
                <w:numId w:val="4"/>
              </w:numPr>
              <w:ind w:left="318" w:hanging="284"/>
              <w:jc w:val="both"/>
              <w:rPr>
                <w:rFonts w:eastAsia="Calibri"/>
                <w:noProof/>
                <w:szCs w:val="24"/>
              </w:rPr>
            </w:pPr>
            <w:r>
              <w:rPr>
                <w:noProof/>
              </w:rPr>
              <w:t xml:space="preserve">20 % de ses dépenses totales devraient être consacrées à des actions contre le changement climatique; </w:t>
            </w:r>
          </w:p>
          <w:p w:rsidR="005965AE" w:rsidRDefault="005A1DF6">
            <w:pPr>
              <w:numPr>
                <w:ilvl w:val="0"/>
                <w:numId w:val="4"/>
              </w:numPr>
              <w:ind w:left="318" w:hanging="284"/>
              <w:jc w:val="both"/>
              <w:rPr>
                <w:rFonts w:eastAsia="Calibri"/>
                <w:noProof/>
                <w:szCs w:val="24"/>
              </w:rPr>
            </w:pPr>
            <w:r>
              <w:rPr>
                <w:noProof/>
              </w:rPr>
              <w:t>il permet d'apporter environ 8 milliards d’EUR d’aide humanitaire, faisant de l’UE le principal d</w:t>
            </w:r>
            <w:r>
              <w:rPr>
                <w:noProof/>
              </w:rPr>
              <w:t>onateur en la matière dans le monde.</w:t>
            </w:r>
            <w:r>
              <w:rPr>
                <w:noProof/>
                <w:highlight w:val="yellow"/>
              </w:rPr>
              <w:t xml:space="preserve"> </w:t>
            </w:r>
          </w:p>
        </w:tc>
      </w:tr>
    </w:tbl>
    <w:p w:rsidR="005965AE" w:rsidRDefault="005A1DF6">
      <w:pPr>
        <w:rPr>
          <w:rFonts w:asciiTheme="majorHAnsi" w:eastAsiaTheme="majorEastAsia" w:hAnsiTheme="majorHAnsi" w:cstheme="majorBidi"/>
          <w:b/>
          <w:bCs/>
          <w:noProof/>
          <w:color w:val="365F91" w:themeColor="accent1" w:themeShade="BF"/>
          <w:sz w:val="28"/>
          <w:szCs w:val="28"/>
          <w:lang w:eastAsia="en-GB"/>
        </w:rPr>
      </w:pPr>
      <w:r>
        <w:rPr>
          <w:noProof/>
        </w:rPr>
        <w:br w:type="page"/>
      </w:r>
    </w:p>
    <w:p w:rsidR="005965AE" w:rsidRDefault="005A1DF6">
      <w:pPr>
        <w:pStyle w:val="Heading1"/>
        <w:spacing w:before="120" w:after="240"/>
        <w:ind w:left="709" w:hanging="709"/>
        <w:rPr>
          <w:noProof/>
        </w:rPr>
      </w:pPr>
      <w:r>
        <w:rPr>
          <w:noProof/>
        </w:rPr>
        <w:t>2.</w:t>
      </w:r>
      <w:r>
        <w:rPr>
          <w:noProof/>
        </w:rPr>
        <w:tab/>
        <w:t>LA VALEUR AJOUTÉE DES FINANCES EUROPÉENNES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L'Union a pour but de promouvoir la paix, ses valeurs et le bien-être de ses peuples. Son budget soutient cet objectif aux côtés des budgets nationaux, en complétant les</w:t>
      </w:r>
      <w:r>
        <w:rPr>
          <w:rFonts w:ascii="Times New Roman" w:hAnsi="Times New Roman"/>
          <w:noProof/>
          <w:sz w:val="24"/>
        </w:rPr>
        <w:t xml:space="preserve"> efforts entrepris aux niveaux national et européen.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Toute réflexion sur l’avenir du budget de l’UE devrait donc commencer par la question la plus élémentaire de toutes: à quoi devrait servir le budget de l’UE? </w:t>
      </w:r>
      <w:r>
        <w:rPr>
          <w:rFonts w:ascii="Times New Roman" w:hAnsi="Times New Roman"/>
          <w:b/>
          <w:noProof/>
          <w:sz w:val="24"/>
        </w:rPr>
        <w:t>La valeur ajoutée européenne</w:t>
      </w:r>
      <w:r>
        <w:rPr>
          <w:rFonts w:ascii="Times New Roman" w:hAnsi="Times New Roman"/>
          <w:noProof/>
          <w:sz w:val="24"/>
        </w:rPr>
        <w:t xml:space="preserve"> doit être au cœu</w:t>
      </w:r>
      <w:r>
        <w:rPr>
          <w:rFonts w:ascii="Times New Roman" w:hAnsi="Times New Roman"/>
          <w:noProof/>
          <w:sz w:val="24"/>
        </w:rPr>
        <w:t>r de cette discussion. D’une part, cette valeur ajoutée européenne consiste en la réalisation des objectifs fixés dans le traité; d’autre part, il s’agit d’un budget qui est consacré à des biens publics de dimension européenne ou qui contribue à défendre n</w:t>
      </w:r>
      <w:r>
        <w:rPr>
          <w:rFonts w:ascii="Times New Roman" w:hAnsi="Times New Roman"/>
          <w:noProof/>
          <w:sz w:val="24"/>
        </w:rPr>
        <w:t>os libertés fondamentales, le marché unique ou l’union économique et monétaire.</w:t>
      </w: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La valeur ajoutée de l’UE et le financement au titre du budget de l’UE</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5643245" cy="38455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3245" cy="3845560"/>
                    </a:xfrm>
                    <a:prstGeom prst="rect">
                      <a:avLst/>
                    </a:prstGeom>
                    <a:noFill/>
                    <a:ln>
                      <a:noFill/>
                    </a:ln>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La valeur ajoutée de l’Union cadre également avec les principes de </w:t>
      </w:r>
      <w:r>
        <w:rPr>
          <w:rFonts w:ascii="Times New Roman" w:hAnsi="Times New Roman"/>
          <w:noProof/>
          <w:sz w:val="24"/>
        </w:rPr>
        <w:t>subsidiarité et de proportionnalité. L’Union ne devrait agir que si son action est plus efficace que celle qui pourrait être menée au niveau national, régional ou local. L’action de l’UE doit venir s’ajouter aux efforts nationaux ou régionaux, ou les compl</w:t>
      </w:r>
      <w:r>
        <w:rPr>
          <w:rFonts w:ascii="Times New Roman" w:hAnsi="Times New Roman"/>
          <w:noProof/>
          <w:sz w:val="24"/>
        </w:rPr>
        <w:t>éter, mais elle ne devrait pas combler les lacunes liées aux insuffisances des politiques nationales. La valeur ajoutée peut également prendre la forme de coûts évités et d’avantages indirects.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préoccupations et les attentes des Européens devraient êtr</w:t>
      </w:r>
      <w:r>
        <w:rPr>
          <w:rFonts w:ascii="Times New Roman" w:hAnsi="Times New Roman"/>
          <w:noProof/>
          <w:sz w:val="24"/>
        </w:rPr>
        <w:t>e un facteur majeur dans la définition du nouveau budget de l’UE. Ces dernières années ont vu se multiplier les attentes envers l’Union, certains lui demandant de résoudre des problèmes pour lesquels elle n’a ni les compétences, ni les ressources financièr</w:t>
      </w:r>
      <w:r>
        <w:rPr>
          <w:rFonts w:ascii="Times New Roman" w:hAnsi="Times New Roman"/>
          <w:noProof/>
          <w:sz w:val="24"/>
        </w:rPr>
        <w:t>es. Ce décalage par rapport aux attentes se trouve au cœur du débat et est directement lié à la fois à la taille et à la flexibilité du nouveau budget.</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contribuables européens attendent un budget de l’UE qui soit transparent et facile à comprendre. Ils</w:t>
      </w:r>
      <w:r>
        <w:rPr>
          <w:rFonts w:ascii="Times New Roman" w:hAnsi="Times New Roman"/>
          <w:noProof/>
          <w:sz w:val="24"/>
        </w:rPr>
        <w:t xml:space="preserve"> veulent en outre que chaque euro dépensé soit utilisé au mieux. Les résultats obtenus doivent être visibles et mesurables. Chaque politique, chaque programme financé par le budget de l’UE devrait présenter clairement les objectifs visés ainsi que la maniè</w:t>
      </w:r>
      <w:r>
        <w:rPr>
          <w:rFonts w:ascii="Times New Roman" w:hAnsi="Times New Roman"/>
          <w:noProof/>
          <w:sz w:val="24"/>
        </w:rPr>
        <w:t>re dont il est prévu de les atteindre, et rendre compte des résultats effectivement obtenus. Cela permettrait de renforcer la responsabilité et d’avoir un débat public éclairé sur la façon dont le budget de l’UE est utilisé. Si certains progrès dans ce sen</w:t>
      </w:r>
      <w:r>
        <w:rPr>
          <w:rFonts w:ascii="Times New Roman" w:hAnsi="Times New Roman"/>
          <w:noProof/>
          <w:sz w:val="24"/>
        </w:rPr>
        <w:t>s ont déjà été réalisés dans le cadre financier actuel, notamment au titre de la politique de cohésion, d’autres mesures sont nécessaires pour l’ensemble des instruments.</w:t>
      </w:r>
    </w:p>
    <w:p w:rsidR="005965AE" w:rsidRDefault="005A1DF6">
      <w:pPr>
        <w:spacing w:before="120" w:after="240" w:line="240" w:lineRule="auto"/>
        <w:jc w:val="both"/>
        <w:rPr>
          <w:rFonts w:ascii="Times New Roman" w:eastAsia="Calibri" w:hAnsi="Times New Roman" w:cs="Times New Roman"/>
          <w:noProof/>
          <w:sz w:val="24"/>
          <w:szCs w:val="24"/>
        </w:rPr>
      </w:pPr>
      <w:r>
        <w:rPr>
          <w:rFonts w:ascii="Times New Roman" w:hAnsi="Times New Roman"/>
          <w:noProof/>
          <w:sz w:val="24"/>
        </w:rPr>
        <w:t>Il existe aussi une valeur ajoutée manifeste lorsque l’action au niveau européen va p</w:t>
      </w:r>
      <w:r>
        <w:rPr>
          <w:rFonts w:ascii="Times New Roman" w:hAnsi="Times New Roman"/>
          <w:noProof/>
          <w:sz w:val="24"/>
        </w:rPr>
        <w:t xml:space="preserve">lus loin que ne pourraient le faire les efforts nationaux, par exemple: </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 xml:space="preserve">des programmes transfrontières ont transformé des zones frontalières en contribuant à éliminer les sources de conflit et à créer de nouvelles perspectives économiques; </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de même, des i</w:t>
      </w:r>
      <w:r>
        <w:rPr>
          <w:rFonts w:ascii="Times New Roman" w:hAnsi="Times New Roman"/>
          <w:noProof/>
          <w:sz w:val="24"/>
        </w:rPr>
        <w:t>nfrastructures transnationales, telles que des interconnexions énergétiques (par exemple entre Malte et l’Italie), des réseaux numériques, des infrastructures de recherche ou des tunnels (par exemple, le tunnel ferroviaire du Brenner dans les Alpes entre l</w:t>
      </w:r>
      <w:r>
        <w:rPr>
          <w:rFonts w:ascii="Times New Roman" w:hAnsi="Times New Roman"/>
          <w:noProof/>
          <w:sz w:val="24"/>
        </w:rPr>
        <w:t xml:space="preserve">’Autriche et l’Italie), profitent aux citoyens et aux entreprises dans l’ensemble de l’UE; </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des investissements réalisés au titre de la politique de cohésion dans une région ou un État membre contribuent à la stabilité macroéconomique, et le potentiel de c</w:t>
      </w:r>
      <w:r>
        <w:rPr>
          <w:rFonts w:ascii="Times New Roman" w:hAnsi="Times New Roman"/>
          <w:noProof/>
          <w:sz w:val="24"/>
        </w:rPr>
        <w:t xml:space="preserve">roissance de l’Union dans son ensemble en est accru; </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 xml:space="preserve">le contrôle des frontières extérieures méridionales ou orientales a pour effet manifeste de protéger le reste de l’Europe; </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l’aide et l’investissement dans les pays partenaires permettent de bâtir des s</w:t>
      </w:r>
      <w:r>
        <w:rPr>
          <w:rFonts w:ascii="Times New Roman" w:eastAsia="Calibri" w:hAnsi="Times New Roman" w:cs="Times New Roman"/>
          <w:noProof/>
          <w:sz w:val="24"/>
          <w:szCs w:val="24"/>
        </w:rPr>
        <w:t>ociétés plus résilientes.</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 xml:space="preserve">les concours généraux organisés au niveau de l’UE pour financer des projets scientifiques et d’innovation ont augmenté l’excellence par rapport aux financements nationaux (par ex. les publications scientifiques ont plus d’impact, </w:t>
      </w:r>
      <w:r>
        <w:rPr>
          <w:rFonts w:ascii="Times New Roman" w:hAnsi="Times New Roman"/>
          <w:noProof/>
          <w:sz w:val="24"/>
        </w:rPr>
        <w:t>le nombre et la qualité des brevets) et ont attiré des talents du monde entier;</w:t>
      </w:r>
    </w:p>
    <w:p w:rsidR="005965AE" w:rsidRDefault="005A1DF6">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hAnsi="Times New Roman"/>
          <w:noProof/>
          <w:sz w:val="24"/>
        </w:rPr>
        <w:t>d’autres grands projets et technologies clés génériques, tels que Galileo, Copernicus, ITER</w:t>
      </w:r>
      <w:r>
        <w:rPr>
          <w:rStyle w:val="FootnoteReference"/>
          <w:rFonts w:ascii="Times New Roman" w:hAnsi="Times New Roman"/>
          <w:noProof/>
          <w:sz w:val="24"/>
        </w:rPr>
        <w:footnoteReference w:id="3"/>
      </w:r>
      <w:r>
        <w:rPr>
          <w:rFonts w:ascii="Times New Roman" w:hAnsi="Times New Roman"/>
          <w:noProof/>
          <w:sz w:val="24"/>
        </w:rPr>
        <w:t xml:space="preserve"> ou le calcul à haute performance, ne peuvent être financés que par la mise en commu</w:t>
      </w:r>
      <w:r>
        <w:rPr>
          <w:rFonts w:ascii="Times New Roman" w:hAnsi="Times New Roman"/>
          <w:noProof/>
          <w:sz w:val="24"/>
        </w:rPr>
        <w:t xml:space="preserve">n des ressources au niveau de l’Union en raison de leurs besoins de financement très élevés.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Des finances européennes peuvent également présenter une valeur ajoutée en matière de défense des valeurs européennes communes, comme la démocratie, la liberté, l</w:t>
      </w:r>
      <w:r>
        <w:rPr>
          <w:rFonts w:ascii="Times New Roman" w:hAnsi="Times New Roman"/>
          <w:noProof/>
          <w:sz w:val="24"/>
        </w:rPr>
        <w:t xml:space="preserve">’État de droit, les droits fondamentaux, l’égalité, la solidarité, le développement durable et la paix. Par exemple, le programme Erasmus et le corps européen de solidarité encouragent la mobilité, permettent aux étudiants et aux travailleurs de découvrir </w:t>
      </w:r>
      <w:r>
        <w:rPr>
          <w:rFonts w:ascii="Times New Roman" w:hAnsi="Times New Roman"/>
          <w:noProof/>
          <w:sz w:val="24"/>
        </w:rPr>
        <w:t>les cultures européennes, d’apprendre de nouvelles langues et compétences et d’acquérir une expérience professionnelle à l’étranger, et ils créent des liens entre tous les pays de l’UE. Le rôle actif joué par l’UE dans son voisinage et plus loin, ainsi que</w:t>
      </w:r>
      <w:r>
        <w:rPr>
          <w:rFonts w:ascii="Times New Roman" w:hAnsi="Times New Roman"/>
          <w:noProof/>
          <w:sz w:val="24"/>
        </w:rPr>
        <w:t xml:space="preserve"> le fait d’offrir une perspective d’adhésion à l’UE ont soutenu la paix et diffusé la stabilité. Le coût de l’inaction dans ce domaine serait catastrophique si l’instabilité et la guerre venaient à revenir dans la région. Certains résultats sont plus concr</w:t>
      </w:r>
      <w:r>
        <w:rPr>
          <w:rFonts w:ascii="Times New Roman" w:hAnsi="Times New Roman"/>
          <w:noProof/>
          <w:sz w:val="24"/>
        </w:rPr>
        <w:t xml:space="preserve">ets et plus substantiels que d’autres, mais tous revêtent la même importance. </w:t>
      </w:r>
    </w:p>
    <w:p w:rsidR="005965AE" w:rsidRDefault="005A1DF6">
      <w:pPr>
        <w:spacing w:after="0"/>
        <w:rPr>
          <w:rFonts w:ascii="Times New Roman" w:eastAsia="Calibri" w:hAnsi="Times New Roman" w:cs="Times New Roman"/>
          <w:b/>
          <w:noProof/>
          <w:sz w:val="24"/>
          <w:szCs w:val="24"/>
        </w:rPr>
      </w:pPr>
      <w:r>
        <w:rPr>
          <w:rFonts w:ascii="Times New Roman" w:hAnsi="Times New Roman"/>
          <w:noProof/>
          <w:sz w:val="24"/>
        </w:rPr>
        <w:t xml:space="preserve">Enfin, la valeur ajoutée du budget de l’UE dépend </w:t>
      </w:r>
      <w:r>
        <w:rPr>
          <w:rFonts w:ascii="Times New Roman" w:hAnsi="Times New Roman"/>
          <w:noProof/>
          <w:sz w:val="24"/>
        </w:rPr>
        <w:tab/>
        <w:t>de sa cohérence stratégique interne. Les doublons doivent être supprimés et les instruments devraient se compléter mutuellemen</w:t>
      </w:r>
      <w:r>
        <w:rPr>
          <w:rFonts w:ascii="Times New Roman" w:hAnsi="Times New Roman"/>
          <w:noProof/>
          <w:sz w:val="24"/>
        </w:rPr>
        <w:t>t et être compatibles d’un point de vue politique.</w:t>
      </w:r>
      <w:r>
        <w:rPr>
          <w:rFonts w:ascii="Times New Roman" w:eastAsia="Calibri" w:hAnsi="Times New Roman" w:cs="Times New Roman"/>
          <w:b/>
          <w:noProof/>
          <w:sz w:val="24"/>
          <w:szCs w:val="24"/>
        </w:rPr>
        <w:br w:type="page"/>
      </w:r>
    </w:p>
    <w:p w:rsidR="005965AE" w:rsidRDefault="005A1DF6">
      <w:pPr>
        <w:pStyle w:val="Heading1"/>
        <w:spacing w:before="120" w:after="240"/>
        <w:ind w:left="709" w:hanging="709"/>
        <w:rPr>
          <w:noProof/>
        </w:rPr>
      </w:pPr>
      <w:r>
        <w:rPr>
          <w:noProof/>
        </w:rPr>
        <w:t>3.</w:t>
      </w:r>
      <w:r>
        <w:rPr>
          <w:noProof/>
        </w:rPr>
        <w:tab/>
        <w:t>TENDANCES ET DÉFIS</w:t>
      </w:r>
    </w:p>
    <w:p w:rsidR="005965AE" w:rsidRDefault="005A1DF6">
      <w:pPr>
        <w:spacing w:after="240" w:line="240" w:lineRule="auto"/>
        <w:jc w:val="both"/>
        <w:rPr>
          <w:rFonts w:ascii="Times New Roman" w:hAnsi="Times New Roman" w:cs="Times New Roman"/>
          <w:bCs/>
          <w:noProof/>
          <w:sz w:val="24"/>
          <w:szCs w:val="24"/>
        </w:rPr>
      </w:pPr>
      <w:r>
        <w:rPr>
          <w:rFonts w:ascii="Times New Roman" w:hAnsi="Times New Roman"/>
          <w:noProof/>
          <w:sz w:val="24"/>
        </w:rPr>
        <w:t xml:space="preserve">Le Livre blanc sur l’avenir de l’Europe et les autres documents de réflexion publiés récemment montrent que l’UE à 27 devra relever toute une série de défis d’ici à 2025 et dans les années qui suivront. </w:t>
      </w:r>
    </w:p>
    <w:p w:rsidR="005965AE" w:rsidRDefault="005A1DF6">
      <w:pPr>
        <w:spacing w:after="240" w:line="240" w:lineRule="auto"/>
        <w:jc w:val="both"/>
        <w:rPr>
          <w:rFonts w:ascii="Times New Roman" w:hAnsi="Times New Roman" w:cs="Times New Roman"/>
          <w:bCs/>
          <w:noProof/>
          <w:sz w:val="24"/>
          <w:szCs w:val="24"/>
        </w:rPr>
      </w:pPr>
      <w:r>
        <w:rPr>
          <w:rFonts w:ascii="Times New Roman" w:hAnsi="Times New Roman"/>
          <w:noProof/>
          <w:sz w:val="24"/>
        </w:rPr>
        <w:t>Parmi ces défis figurent les évolutions auxquelles n</w:t>
      </w:r>
      <w:r>
        <w:rPr>
          <w:rFonts w:ascii="Times New Roman" w:hAnsi="Times New Roman"/>
          <w:noProof/>
          <w:sz w:val="24"/>
        </w:rPr>
        <w:t>ous assistons aujourd’hui et qui continueront à influencer les prochaines décennies, telles que la révolution numérique et la mondialisation, l’évolution démographique et la cohésion sociale, ou encore la convergence économique et le changement climatique.</w:t>
      </w:r>
      <w:r>
        <w:rPr>
          <w:rFonts w:ascii="Times New Roman" w:hAnsi="Times New Roman"/>
          <w:noProof/>
          <w:sz w:val="24"/>
        </w:rPr>
        <w:t xml:space="preserve"> S’ajoute à cela le fait que les citoyens européens attendent de l’Union et des gouvernements nationaux qu'ils soient les garants de la prospérité, de la stabilité et de la sécurité dans ce monde incertain et en mutation rapide</w:t>
      </w:r>
      <w:r>
        <w:rPr>
          <w:rStyle w:val="FootnoteReference"/>
          <w:rFonts w:ascii="Times New Roman" w:hAnsi="Times New Roman"/>
          <w:noProof/>
          <w:sz w:val="24"/>
        </w:rPr>
        <w:footnoteReference w:id="4"/>
      </w:r>
      <w:r>
        <w:rPr>
          <w:rFonts w:ascii="Times New Roman" w:hAnsi="Times New Roman"/>
          <w:noProof/>
          <w:sz w:val="24"/>
        </w:rPr>
        <w:t>. D’autres difficultés impré</w:t>
      </w:r>
      <w:r>
        <w:rPr>
          <w:rFonts w:ascii="Times New Roman" w:hAnsi="Times New Roman"/>
          <w:noProof/>
          <w:sz w:val="24"/>
        </w:rPr>
        <w:t xml:space="preserve">vues pourraient surgir de cet environnement mondial plus instable. </w:t>
      </w:r>
    </w:p>
    <w:p w:rsidR="005965AE" w:rsidRDefault="005A1DF6">
      <w:pPr>
        <w:spacing w:after="240" w:line="240" w:lineRule="auto"/>
        <w:jc w:val="both"/>
        <w:rPr>
          <w:rFonts w:ascii="Times New Roman" w:hAnsi="Times New Roman" w:cs="Times New Roman"/>
          <w:bCs/>
          <w:noProof/>
          <w:sz w:val="24"/>
          <w:szCs w:val="24"/>
        </w:rPr>
      </w:pPr>
      <w:r>
        <w:rPr>
          <w:rFonts w:ascii="Times New Roman" w:hAnsi="Times New Roman"/>
          <w:noProof/>
          <w:sz w:val="24"/>
        </w:rPr>
        <w:t xml:space="preserve">Face à ces nouveaux défis et face aux évolutions en cours, l’action de l'Union devrait privilégier les objectifs de sécurité, de puissance économique, de durabilité et de solidarité. Mais </w:t>
      </w:r>
      <w:r>
        <w:rPr>
          <w:rFonts w:ascii="Times New Roman" w:hAnsi="Times New Roman"/>
          <w:noProof/>
          <w:sz w:val="24"/>
        </w:rPr>
        <w:t>son budget actuel le lui permet-il? Comment ses dépenses s’accordent-elles avec ces priorités? Et quelles améliorations est-il possible d'y apporter?</w:t>
      </w:r>
    </w:p>
    <w:p w:rsidR="005965AE" w:rsidRDefault="005A1DF6">
      <w:pPr>
        <w:pStyle w:val="Heading2"/>
        <w:rPr>
          <w:noProof/>
        </w:rPr>
      </w:pPr>
      <w:r>
        <w:rPr>
          <w:noProof/>
        </w:rPr>
        <w:t>3.1</w:t>
      </w:r>
      <w:r>
        <w:rPr>
          <w:noProof/>
        </w:rPr>
        <w:tab/>
        <w:t>La sécurité et la sûreté pour les citoyens de l’Union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L’instabilité de son voisinage et les nouvelles </w:t>
      </w:r>
      <w:r>
        <w:rPr>
          <w:rFonts w:ascii="Times New Roman" w:hAnsi="Times New Roman"/>
          <w:noProof/>
          <w:sz w:val="24"/>
        </w:rPr>
        <w:t xml:space="preserve">formes de terrorisme posent de graves problèmes à l’Europe, tant à l’intérieur qu’à l’extérieur de ses frontières. La sécurité d’un État membre est devenue la sécurité de toute l’UE. Bien qu’un grand nombre des outils permettant d’améliorer la sécurité de </w:t>
      </w:r>
      <w:r>
        <w:rPr>
          <w:rFonts w:ascii="Times New Roman" w:hAnsi="Times New Roman"/>
          <w:noProof/>
          <w:sz w:val="24"/>
        </w:rPr>
        <w:t>tous les citoyens soient entre les mains des États membres, l’UE a elle aussi un rôle essentiel à jouer, en améliorant le contrôle de ses frontières extérieures, en renforçant ses réseaux d’information et l'appui fourni par les agences, ou en apportant des</w:t>
      </w:r>
      <w:r>
        <w:rPr>
          <w:rFonts w:ascii="Times New Roman" w:hAnsi="Times New Roman"/>
          <w:noProof/>
          <w:sz w:val="24"/>
        </w:rPr>
        <w:t xml:space="preserve"> réponses à la montée de l’instabilité dans son voisinage.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menaces pour la sécurité et la sûreté concernent aussi d’autres domaines. Par exemple, le domaine de la santé publique, où il est nécessaire de protéger la chaîne alimentaire et de mettre en pl</w:t>
      </w:r>
      <w:r>
        <w:rPr>
          <w:rFonts w:ascii="Times New Roman" w:hAnsi="Times New Roman"/>
          <w:noProof/>
          <w:sz w:val="24"/>
        </w:rPr>
        <w:t>ace des mécanismes de gestion des risques (dans le cas, par exemple, de la maladie de la vache folle ou de la peste porcine, de la pollution de l’eau et des substances chimiques). Autre exemple: l’action conjointe menée pour lutter contre les maladies d’am</w:t>
      </w:r>
      <w:r>
        <w:rPr>
          <w:rFonts w:ascii="Times New Roman" w:hAnsi="Times New Roman"/>
          <w:noProof/>
          <w:sz w:val="24"/>
        </w:rPr>
        <w:t>pleur planétaire (telles qu’Ébola), potentiellement dévastatrices pour les populations des pays tiers comme pour les Européens, ou encore la réponse apportée aux catastrophes naturelles ou causées par l'homme.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Nous devons décider du rôle que le budget de l</w:t>
      </w:r>
      <w:r>
        <w:rPr>
          <w:rFonts w:ascii="Times New Roman" w:hAnsi="Times New Roman"/>
          <w:noProof/>
          <w:sz w:val="24"/>
        </w:rPr>
        <w:t>’UE pourrait jouer dans le soutien à l’action engagée par l’Union pour construire un espace de liberté, de sécurité et de justice et aussi, notamment, dans la mise en œuvre de la stratégie globale</w:t>
      </w:r>
      <w:r>
        <w:rPr>
          <w:rStyle w:val="FootnoteReference"/>
          <w:rFonts w:ascii="Times New Roman" w:hAnsi="Times New Roman"/>
          <w:noProof/>
          <w:sz w:val="24"/>
        </w:rPr>
        <w:footnoteReference w:id="5"/>
      </w:r>
      <w:r>
        <w:rPr>
          <w:rFonts w:ascii="Times New Roman" w:hAnsi="Times New Roman"/>
          <w:noProof/>
          <w:sz w:val="24"/>
        </w:rPr>
        <w:t xml:space="preserve"> et dans l’élaboration d’une politique de défense commune q</w:t>
      </w:r>
      <w:r>
        <w:rPr>
          <w:rFonts w:ascii="Times New Roman" w:hAnsi="Times New Roman"/>
          <w:noProof/>
          <w:sz w:val="24"/>
        </w:rPr>
        <w:t>ui nous permette de faire face aux menaces existantes ou futures, dans le monde réel comme dans le monde virtuel.</w:t>
      </w:r>
    </w:p>
    <w:p w:rsidR="005965AE" w:rsidRDefault="005A1DF6">
      <w:pPr>
        <w:pStyle w:val="Heading2"/>
        <w:rPr>
          <w:noProof/>
        </w:rPr>
      </w:pPr>
      <w:r>
        <w:rPr>
          <w:noProof/>
        </w:rPr>
        <w:t>3.2</w:t>
      </w:r>
      <w:r>
        <w:rPr>
          <w:noProof/>
        </w:rPr>
        <w:tab/>
        <w:t xml:space="preserve">Puissance économique, durabilité et solidarité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budget de l’UE doit continuer à rendre l’économie européenne plus forte et plus résilie</w:t>
      </w:r>
      <w:r>
        <w:rPr>
          <w:rFonts w:ascii="Times New Roman" w:hAnsi="Times New Roman"/>
          <w:noProof/>
          <w:sz w:val="24"/>
        </w:rPr>
        <w:t>nte, en promouvant la compétitivité à long terme, la durabilité et la solidarité.</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Le développement durable est depuis longtemps au cœur du projet européen. Les sociétés européennes font face aujourd’hui encore à de nombreux défis liés à la durabilité, qui </w:t>
      </w:r>
      <w:r>
        <w:rPr>
          <w:rFonts w:ascii="Times New Roman" w:hAnsi="Times New Roman"/>
          <w:noProof/>
          <w:sz w:val="24"/>
        </w:rPr>
        <w:t xml:space="preserve">vont du chômage des jeunes au vieillissement de la population en passant par le changement climatique, la pollution, l’énergie durable et les migrations. Le programme pour le développement durable à l'horizon 2030 et les objectifs de développement durable </w:t>
      </w:r>
      <w:r>
        <w:rPr>
          <w:rFonts w:ascii="Times New Roman" w:hAnsi="Times New Roman"/>
          <w:noProof/>
          <w:sz w:val="24"/>
        </w:rPr>
        <w:t xml:space="preserve">(ODD) des Nations unies (voir le graphique ci-après) constituent un ancrage de la politique intérieure et extérieure de l’UE. </w:t>
      </w: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Les objectifs de développement durable au cœur de la politique de développement durable de l’UE</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6222670" cy="2127589"/>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19321" cy="2126444"/>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Nations unies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Les </w:t>
      </w:r>
      <w:r>
        <w:rPr>
          <w:rFonts w:ascii="Times New Roman" w:hAnsi="Times New Roman"/>
          <w:noProof/>
          <w:sz w:val="24"/>
        </w:rPr>
        <w:t>dimensions économique, sociale et environnementale qui sont au cœur des ODD ont été en grande partie prises en compte dans le budget et les programmes de dépenses de l’Union. Elles ont été intégrées dans la stratégie Europe 2020, qui s’articule autour de l</w:t>
      </w:r>
      <w:r>
        <w:rPr>
          <w:rFonts w:ascii="Times New Roman" w:hAnsi="Times New Roman"/>
          <w:noProof/>
          <w:sz w:val="24"/>
        </w:rPr>
        <w:t>’éducation et de l’innovation (croissance «intelligente»), des faibles émissions de carbone, de la résilience face au changement climatique et de la protection environnementale («durable») et de la création d’emplois et de la réduction de la pauvreté («inc</w:t>
      </w:r>
      <w:r>
        <w:rPr>
          <w:rFonts w:ascii="Times New Roman" w:hAnsi="Times New Roman"/>
          <w:noProof/>
          <w:sz w:val="24"/>
        </w:rPr>
        <w:t>lusive»). L’engagement a par ailleurs été pris au niveau politique de consacrer au moins 20 % du budget européen 2014-2020 à la lutte contre le changement climatique et 0,7 % du revenu national brut de l’UE à l’aide publique au développement, dans le cadre</w:t>
      </w:r>
      <w:r>
        <w:rPr>
          <w:rFonts w:ascii="Times New Roman" w:hAnsi="Times New Roman"/>
          <w:noProof/>
          <w:sz w:val="24"/>
        </w:rPr>
        <w:t xml:space="preserve"> du programme 2030.</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Favoriser la compétitivité et éviter l’aggravation de la fracture sociale sont deux défis de taille pour l’Union en général et pour la zone euro en particulier. L’objectif doit consister à réduire les disparités économiques et sociales </w:t>
      </w:r>
      <w:r>
        <w:rPr>
          <w:rFonts w:ascii="Times New Roman" w:hAnsi="Times New Roman"/>
          <w:noProof/>
          <w:sz w:val="24"/>
        </w:rPr>
        <w:t>entre les États membres mais aussi en leur sein, et à donner à chaque individu les moyens de participer pleinement à la société. Les dépenses sociales de l’UE (marché du travail, réduction de la pauvreté, inclusion sociale, éducation) ne représentent à l’h</w:t>
      </w:r>
      <w:r>
        <w:rPr>
          <w:rFonts w:ascii="Times New Roman" w:hAnsi="Times New Roman"/>
          <w:noProof/>
          <w:sz w:val="24"/>
        </w:rPr>
        <w:t xml:space="preserve">eure actuelle que 0,3 % du total des dépenses sociales publiques consenties sur son territoire. Même si cette proportion est appelée à évoluer à l'avenir, il ne fait aucun doute que l’aide sociale restera essentiellement entre les mains des États membres. </w:t>
      </w:r>
      <w:r>
        <w:rPr>
          <w:rFonts w:ascii="Times New Roman" w:hAnsi="Times New Roman"/>
          <w:noProof/>
          <w:sz w:val="24"/>
        </w:rPr>
        <w:t>Le document de réflexion sur la dimension sociale de l’Europe a recensé des domaines où l’Union pourrait apporter une contribution financière plus importante, contribution qui dépendra de la voie qui sera choisie pour sa future politique sociale.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fruit</w:t>
      </w:r>
      <w:r>
        <w:rPr>
          <w:rFonts w:ascii="Times New Roman" w:hAnsi="Times New Roman"/>
          <w:noProof/>
          <w:sz w:val="24"/>
        </w:rPr>
        <w:t>s de la mondialisation sont inégalement répartis entre les populations et les territoires, notamment entre les grandes métropoles et les zones industrielles et rurales en déclin. Le document de réflexion sur la maîtrise de la mondialisation indique qu’il e</w:t>
      </w:r>
      <w:r>
        <w:rPr>
          <w:rFonts w:ascii="Times New Roman" w:hAnsi="Times New Roman"/>
          <w:noProof/>
          <w:sz w:val="24"/>
        </w:rPr>
        <w:t>st nécessaire d’accompagner la transformation économique provoquée par la mondialisation et l’évolution technologique, de sorte que chaque citoyen et chaque région puisse apporter sa pierre au marché intérieur et puisse en tirer profit, et que l’économie d</w:t>
      </w:r>
      <w:r>
        <w:rPr>
          <w:rFonts w:ascii="Times New Roman" w:hAnsi="Times New Roman"/>
          <w:noProof/>
          <w:sz w:val="24"/>
        </w:rPr>
        <w:t>evienne plus concurrentielle et plus résiliente.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Dans quelle mesure le budget actuel de l’UE permet-il de répondre à ces défis?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Tout budget public se doit de remplir trois fonctions de base: l’investissement dans les biens publics, la redistribution et la </w:t>
      </w:r>
      <w:r>
        <w:rPr>
          <w:rFonts w:ascii="Times New Roman" w:hAnsi="Times New Roman"/>
          <w:noProof/>
          <w:sz w:val="24"/>
        </w:rPr>
        <w:t>stabilisation macroéconomique. Le budget de l’UE remplit toutes ces fonctions, mais à des degrés divers. Par exemple, il finance les biens publics par l’intermédiaire de programmes gérés directement au niveau européen (tels que le programme Horizon 2020 po</w:t>
      </w:r>
      <w:r>
        <w:rPr>
          <w:rFonts w:ascii="Times New Roman" w:hAnsi="Times New Roman"/>
          <w:noProof/>
          <w:sz w:val="24"/>
        </w:rPr>
        <w:t>ur la recherche, ou d’autres instruments comme le mécanisme pour l’interconnexion en Europe pour les investissements d’infrastructure), et conjointement avec les États membres et les régions, à travers les investissements cofinancés dans le cadre de la pol</w:t>
      </w:r>
      <w:r>
        <w:rPr>
          <w:rFonts w:ascii="Times New Roman" w:hAnsi="Times New Roman"/>
          <w:noProof/>
          <w:sz w:val="24"/>
        </w:rPr>
        <w:t>itique de cohésion.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budget de l’UE assure la redistribution (couplée au financement et à la fourniture de biens publics) par l’intermédiaire de la politique de cohésion, qui promeut la convergence économique ainsi que la cohésion sociale et territoriale</w:t>
      </w:r>
      <w:r>
        <w:rPr>
          <w:rFonts w:ascii="Times New Roman" w:hAnsi="Times New Roman"/>
          <w:noProof/>
          <w:sz w:val="24"/>
        </w:rPr>
        <w:t xml:space="preserve">, et par le soutien au développement rural et aux revenus des agriculteurs dans le cadre de la politique agricole commune (PAC).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Quant à la fonction de stabilisation, le budget de l’Union ne la remplit qu’indirectement. Il produit des effets stabilisateur</w:t>
      </w:r>
      <w:r>
        <w:rPr>
          <w:rFonts w:ascii="Times New Roman" w:hAnsi="Times New Roman"/>
          <w:noProof/>
          <w:sz w:val="24"/>
        </w:rPr>
        <w:t>s pour un certain nombre d’États membres, notamment parce qu’il est lui-même stable pendant sept ans et assure de ce fait un niveau constant d’investissement, indépendant du cycle économique. Cependant, les États membres contribuent au budget en fonction d</w:t>
      </w:r>
      <w:r>
        <w:rPr>
          <w:rFonts w:ascii="Times New Roman" w:hAnsi="Times New Roman"/>
          <w:noProof/>
          <w:sz w:val="24"/>
        </w:rPr>
        <w:t xml:space="preserve">e leurs résultats économiques, si bien que les contributions diminuent en cas de récession. Cela étant, le budget de l’UE n’a pas été conçu pour absorber les chocs macroéconomiques.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question importante a été posée dans le document de réflexion sur l’a</w:t>
      </w:r>
      <w:r>
        <w:rPr>
          <w:rFonts w:ascii="Times New Roman" w:hAnsi="Times New Roman"/>
          <w:noProof/>
          <w:sz w:val="24"/>
        </w:rPr>
        <w:t>pprofondissement de l’Union économique et monétaire: faut-il envisager la création d’une fonction de stabilisation et de moyens permettant de faire avancer la convergence, et la Commission devrait-elle examiner de plus près cette question?</w:t>
      </w:r>
    </w:p>
    <w:p w:rsidR="005965AE" w:rsidRDefault="005A1DF6">
      <w:pPr>
        <w:spacing w:line="240" w:lineRule="auto"/>
        <w:jc w:val="both"/>
        <w:rPr>
          <w:noProof/>
        </w:rPr>
      </w:pPr>
      <w:r>
        <w:rPr>
          <w:rFonts w:ascii="Times New Roman" w:hAnsi="Times New Roman"/>
          <w:noProof/>
          <w:sz w:val="24"/>
        </w:rPr>
        <w:t xml:space="preserve">Enfin, l’impact </w:t>
      </w:r>
      <w:r>
        <w:rPr>
          <w:rFonts w:ascii="Times New Roman" w:hAnsi="Times New Roman"/>
          <w:noProof/>
          <w:sz w:val="24"/>
        </w:rPr>
        <w:t>des investissements dépend de l’environnement concerné. C’est pourquoi le débat sur le lien entre les réformes structurelles et le budget de l’UE a pris une si grande importance dernièrement. Ce lien existe déjà pour la politique de cohésion, mais une réfl</w:t>
      </w:r>
      <w:r>
        <w:rPr>
          <w:rFonts w:ascii="Times New Roman" w:hAnsi="Times New Roman"/>
          <w:noProof/>
          <w:sz w:val="24"/>
        </w:rPr>
        <w:t xml:space="preserve">exion mériterait d’être engagée pour déterminer s'il est suffisant et si les incitations pourraient être améliorées. </w:t>
      </w:r>
    </w:p>
    <w:p w:rsidR="005965AE" w:rsidRDefault="005A1DF6">
      <w:pPr>
        <w:pStyle w:val="Heading3"/>
        <w:rPr>
          <w:noProof/>
        </w:rPr>
      </w:pPr>
      <w:r>
        <w:rPr>
          <w:noProof/>
        </w:rPr>
        <w:t>3.2.1</w:t>
      </w:r>
      <w:r>
        <w:rPr>
          <w:noProof/>
        </w:rPr>
        <w:tab/>
        <w:t>Investissements dans les biens publics gérés directement au niveau européen</w:t>
      </w:r>
    </w:p>
    <w:p w:rsidR="005965AE" w:rsidRDefault="005A1DF6">
      <w:pPr>
        <w:spacing w:after="240" w:line="240" w:lineRule="auto"/>
        <w:jc w:val="both"/>
        <w:rPr>
          <w:rFonts w:ascii="Times New Roman" w:hAnsi="Times New Roman"/>
          <w:noProof/>
          <w:sz w:val="24"/>
        </w:rPr>
      </w:pPr>
      <w:r>
        <w:rPr>
          <w:rFonts w:ascii="Times New Roman" w:hAnsi="Times New Roman"/>
          <w:noProof/>
          <w:sz w:val="24"/>
        </w:rPr>
        <w:t>Dans le cadre financier pluriannuel 2014-2020, la part d</w:t>
      </w:r>
      <w:r>
        <w:rPr>
          <w:rFonts w:ascii="Times New Roman" w:hAnsi="Times New Roman"/>
          <w:noProof/>
          <w:sz w:val="24"/>
        </w:rPr>
        <w:t xml:space="preserve">u budget de l’UE consacrée aux priorités essentielles en matière de croissance durable, au moyen de programmes ou de projets directement ou indirectement gérés au niveau européen, s’élève à 13 % environ.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Le plus important de ces programmes est le </w:t>
      </w:r>
      <w:r>
        <w:rPr>
          <w:rFonts w:ascii="Times New Roman" w:hAnsi="Times New Roman"/>
          <w:b/>
          <w:noProof/>
          <w:sz w:val="24"/>
        </w:rPr>
        <w:t>Fonds eu</w:t>
      </w:r>
      <w:r>
        <w:rPr>
          <w:rFonts w:ascii="Times New Roman" w:hAnsi="Times New Roman"/>
          <w:b/>
          <w:noProof/>
          <w:sz w:val="24"/>
        </w:rPr>
        <w:t>ropéen pour les investissements stratégiques</w:t>
      </w:r>
      <w:r>
        <w:rPr>
          <w:rFonts w:ascii="Times New Roman" w:hAnsi="Times New Roman"/>
          <w:noProof/>
          <w:sz w:val="24"/>
        </w:rPr>
        <w:t>, qui a été mis en place par le président Juncker en novembre 2014, à la suite de la crise financière et économique de 2008-2009 et de l’effondrement de l’investissement qui s’en est suivi. Il est en bonne voie p</w:t>
      </w:r>
      <w:r>
        <w:rPr>
          <w:rFonts w:ascii="Times New Roman" w:hAnsi="Times New Roman"/>
          <w:noProof/>
          <w:sz w:val="24"/>
        </w:rPr>
        <w:t>our atteindre l’objectif de 315 milliards d’EUR d’investissements initialement fixé. La proposition d’extension devrait lui permettre de mobiliser au moins 500 milliards d’EUR d'investissements au total.</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b/>
          <w:noProof/>
          <w:sz w:val="24"/>
        </w:rPr>
        <w:t>Horizon 2020</w:t>
      </w:r>
      <w:r>
        <w:rPr>
          <w:rFonts w:ascii="Times New Roman" w:hAnsi="Times New Roman"/>
          <w:noProof/>
          <w:sz w:val="24"/>
        </w:rPr>
        <w:t>, le principal instrument de financement</w:t>
      </w:r>
      <w:r>
        <w:rPr>
          <w:rFonts w:ascii="Times New Roman" w:hAnsi="Times New Roman"/>
          <w:noProof/>
          <w:sz w:val="24"/>
        </w:rPr>
        <w:t xml:space="preserve"> de la recherche de haut niveau et de l’innovation dans l’ensemble de l’Union européenne (74,8 milliards d’EUR), attire des participants issus de 131 pays et a financé 13 000 projets de qualité depuis 2014.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Le </w:t>
      </w:r>
      <w:r>
        <w:rPr>
          <w:rFonts w:ascii="Times New Roman" w:hAnsi="Times New Roman"/>
          <w:b/>
          <w:noProof/>
          <w:sz w:val="24"/>
        </w:rPr>
        <w:t>mécanisme pour l’interconnexion en Europe</w:t>
      </w:r>
      <w:r>
        <w:rPr>
          <w:rFonts w:ascii="Times New Roman" w:hAnsi="Times New Roman"/>
          <w:noProof/>
          <w:sz w:val="24"/>
        </w:rPr>
        <w:t xml:space="preserve"> (30</w:t>
      </w:r>
      <w:r>
        <w:rPr>
          <w:rFonts w:ascii="Times New Roman" w:hAnsi="Times New Roman"/>
          <w:noProof/>
          <w:sz w:val="24"/>
        </w:rPr>
        <w:t>,4 milliards d’EUR) est un autre instrument d'investissement de l’UE, axé sur les grands projets d’infrastructure de transports, d’énergie et de technologies de communication en Europe. Il a notamment financé, en Pologne, un projet qui visait à améliorer l</w:t>
      </w:r>
      <w:r>
        <w:rPr>
          <w:rFonts w:ascii="Times New Roman" w:hAnsi="Times New Roman"/>
          <w:noProof/>
          <w:sz w:val="24"/>
        </w:rPr>
        <w:t>a sécurité de la ligne ferroviaire centrale et à permettre aux trains d’y circuler jusqu’à 200 km/h. Il a ainsi permis d’améliorer plus généralement en Europe le transport de marchandises et de voyageurs dans le corridor central Baltique-Adriatique.</w:t>
      </w:r>
    </w:p>
    <w:p w:rsidR="005965AE" w:rsidRDefault="005A1DF6">
      <w:pPr>
        <w:spacing w:after="240" w:line="240" w:lineRule="auto"/>
        <w:jc w:val="both"/>
        <w:rPr>
          <w:noProof/>
        </w:rPr>
      </w:pPr>
      <w:r>
        <w:rPr>
          <w:rFonts w:ascii="Times New Roman" w:hAnsi="Times New Roman"/>
          <w:b/>
          <w:noProof/>
          <w:sz w:val="24"/>
        </w:rPr>
        <w:t>Erasmu</w:t>
      </w:r>
      <w:r>
        <w:rPr>
          <w:rFonts w:ascii="Times New Roman" w:hAnsi="Times New Roman"/>
          <w:b/>
          <w:noProof/>
          <w:sz w:val="24"/>
        </w:rPr>
        <w:t>s +</w:t>
      </w:r>
      <w:r>
        <w:rPr>
          <w:rFonts w:ascii="Times New Roman" w:hAnsi="Times New Roman"/>
          <w:noProof/>
          <w:sz w:val="24"/>
        </w:rPr>
        <w:t xml:space="preserve"> (14,8 milliards d’EUR) est le programme européen pour l’éducation, la formation, la jeunesse et le sport. En 2016, plus de deux millions de personnes y avaient déjà participé.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Le programme </w:t>
      </w:r>
      <w:r>
        <w:rPr>
          <w:rFonts w:ascii="Times New Roman" w:hAnsi="Times New Roman"/>
          <w:b/>
          <w:noProof/>
          <w:sz w:val="24"/>
        </w:rPr>
        <w:t>COSME</w:t>
      </w:r>
      <w:r>
        <w:rPr>
          <w:rStyle w:val="FootnoteReference"/>
          <w:rFonts w:ascii="Times New Roman" w:hAnsi="Times New Roman"/>
          <w:noProof/>
          <w:sz w:val="24"/>
        </w:rPr>
        <w:footnoteReference w:id="6"/>
      </w:r>
      <w:r>
        <w:rPr>
          <w:rFonts w:ascii="Times New Roman" w:hAnsi="Times New Roman"/>
          <w:noProof/>
          <w:sz w:val="24"/>
        </w:rPr>
        <w:t xml:space="preserve"> (2,3 milliards d’EUR) vise à faciliter l'accès des PME </w:t>
      </w:r>
      <w:r>
        <w:rPr>
          <w:rFonts w:ascii="Times New Roman" w:hAnsi="Times New Roman"/>
          <w:noProof/>
          <w:sz w:val="24"/>
        </w:rPr>
        <w:t>au financement (emprunt et fonds propres) et au marché. Il a ainsi fourni plus de 5,5 milliards d’EUR de prêts à plus de 140 000 entreprises. Il tient compte des spécificités du marché européen du capital-risque en investissant dans les PME qui sont en pha</w:t>
      </w:r>
      <w:r>
        <w:rPr>
          <w:rFonts w:ascii="Times New Roman" w:hAnsi="Times New Roman"/>
          <w:noProof/>
          <w:sz w:val="24"/>
        </w:rPr>
        <w:t xml:space="preserve">se de croissance ou d’expansion. Ses investissements en fonds propres ont représenté près d’un demi-milliard d’EUR en 2016.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L’UE finance également un certain nombre de </w:t>
      </w:r>
      <w:r>
        <w:rPr>
          <w:rFonts w:ascii="Times New Roman" w:hAnsi="Times New Roman"/>
          <w:b/>
          <w:noProof/>
          <w:sz w:val="24"/>
        </w:rPr>
        <w:t>projets et d’infrastructures de grande envergure</w:t>
      </w:r>
      <w:r>
        <w:rPr>
          <w:rFonts w:ascii="Times New Roman" w:hAnsi="Times New Roman"/>
          <w:noProof/>
          <w:sz w:val="24"/>
        </w:rPr>
        <w:t xml:space="preserve"> qui, en raison de leur taille, ne peuv</w:t>
      </w:r>
      <w:r>
        <w:rPr>
          <w:rFonts w:ascii="Times New Roman" w:hAnsi="Times New Roman"/>
          <w:noProof/>
          <w:sz w:val="24"/>
        </w:rPr>
        <w:t xml:space="preserve">ent pas être réalisés sans investissement public. C’est le cas notamment du système mondial de navigation par satellite de l’UE, </w:t>
      </w:r>
      <w:r>
        <w:rPr>
          <w:rFonts w:ascii="Times New Roman" w:hAnsi="Times New Roman"/>
          <w:b/>
          <w:noProof/>
          <w:sz w:val="24"/>
        </w:rPr>
        <w:t>Galileo</w:t>
      </w:r>
      <w:r>
        <w:rPr>
          <w:rFonts w:ascii="Times New Roman" w:hAnsi="Times New Roman"/>
          <w:noProof/>
          <w:sz w:val="24"/>
        </w:rPr>
        <w:t>, qui assure ses services grâce à 15 satellites européens aujourd’hui en orbite et pleinement opérationnels, et du systè</w:t>
      </w:r>
      <w:r>
        <w:rPr>
          <w:rFonts w:ascii="Times New Roman" w:hAnsi="Times New Roman"/>
          <w:noProof/>
          <w:sz w:val="24"/>
        </w:rPr>
        <w:t xml:space="preserve">me d’observation de la Terre, Copernicus, qui est voué à devenir l’un des premiers fournisseurs mondiaux de mégadonnées.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Beaucoup de ces programmes sont devenus des «marques» grâce auxquelles l’Union est visible et présente dans la vie quotidienne de ses </w:t>
      </w:r>
      <w:r>
        <w:rPr>
          <w:rFonts w:ascii="Times New Roman" w:hAnsi="Times New Roman"/>
          <w:noProof/>
          <w:sz w:val="24"/>
        </w:rPr>
        <w:t>citoyens. Il est néanmoins possible de renforcer encore leurs performances et d'accroître leur impact, notamment en évitant les chevauchements, en combinant les instruments et en privilégiant la complémentarité et la simplification. Ces programmes devraien</w:t>
      </w:r>
      <w:r>
        <w:rPr>
          <w:rFonts w:ascii="Times New Roman" w:hAnsi="Times New Roman"/>
          <w:noProof/>
          <w:sz w:val="24"/>
        </w:rPr>
        <w:t>t-ils recevoir une enveloppe budgétaire plus importante? Comment s’assurer de leur complémentarité? Comment éviter les chevauchements entre les programmes qui interviennent dans les mêmes domaines, qu’il s’agisse des grandes infrastructures ou du soutien a</w:t>
      </w:r>
      <w:r>
        <w:rPr>
          <w:rFonts w:ascii="Times New Roman" w:hAnsi="Times New Roman"/>
          <w:noProof/>
          <w:sz w:val="24"/>
        </w:rPr>
        <w:t>ux PME? Les pistes envisagées pour améliorer l’utilisation des instruments financiers dans ce domaine, simplifier les règles pertinentes et renforcer la flexibilité sont exposées à la section 4.2.</w:t>
      </w:r>
    </w:p>
    <w:p w:rsidR="005965AE" w:rsidRDefault="005A1DF6">
      <w:pPr>
        <w:pStyle w:val="Heading3"/>
        <w:rPr>
          <w:noProof/>
        </w:rPr>
      </w:pPr>
      <w:r>
        <w:rPr>
          <w:noProof/>
        </w:rPr>
        <w:t>3.2.2</w:t>
      </w:r>
      <w:r>
        <w:rPr>
          <w:noProof/>
        </w:rPr>
        <w:tab/>
        <w:t>Cohésion économique, sociale et territoriale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Les béné</w:t>
      </w:r>
      <w:r>
        <w:rPr>
          <w:rFonts w:ascii="Times New Roman" w:hAnsi="Times New Roman"/>
          <w:noProof/>
          <w:sz w:val="24"/>
        </w:rPr>
        <w:t>fices de la mondialisation sont certes largement répandus, mais les coûts sont souvent localisés. Des données récentes semblent indiquer que, du fait de leur spécialisation économique, des coûts de main-d’œuvre ou du niveau d’éducation de leur population a</w:t>
      </w:r>
      <w:r>
        <w:rPr>
          <w:rFonts w:ascii="Times New Roman" w:hAnsi="Times New Roman"/>
          <w:noProof/>
          <w:sz w:val="24"/>
        </w:rPr>
        <w:t>ctive, de nombreuses régions d’Europe ont beaucoup plus de risques que d’autres de subir un choc brutal. D’autre part, le taux de chômage, des jeunes en particulier, reste trop élevé, la participation au marché du travail est faible dans de nombreuses régi</w:t>
      </w:r>
      <w:r>
        <w:rPr>
          <w:rFonts w:ascii="Times New Roman" w:hAnsi="Times New Roman"/>
          <w:noProof/>
          <w:sz w:val="24"/>
        </w:rPr>
        <w:t>ons d’Europe et le nombre de personnes menacées de pauvreté atteint un niveau inacceptable.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Ces disparités économiques et sociales peuvent être source de tensions sociopolitiques et appellent, de la part de l’Union, une réponse qui ne doit laisser personne</w:t>
      </w:r>
      <w:r>
        <w:rPr>
          <w:rFonts w:ascii="Times New Roman" w:hAnsi="Times New Roman"/>
          <w:noProof/>
          <w:sz w:val="24"/>
        </w:rPr>
        <w:t xml:space="preserve"> ni aucune région de côté.</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La promotion d’une convergence et d'une résilience économiques durables est l’objectif premier de la </w:t>
      </w:r>
      <w:r>
        <w:rPr>
          <w:rFonts w:ascii="Times New Roman" w:hAnsi="Times New Roman"/>
          <w:b/>
          <w:noProof/>
          <w:sz w:val="24"/>
        </w:rPr>
        <w:t>politique de cohésion de l’UE</w:t>
      </w:r>
      <w:r>
        <w:rPr>
          <w:rFonts w:ascii="Times New Roman" w:hAnsi="Times New Roman"/>
          <w:noProof/>
          <w:sz w:val="24"/>
        </w:rPr>
        <w:t xml:space="preserve">, qui, cofinancements nationaux compris, permettra de mobiliser plus de 480 milliards d'EUR sur la </w:t>
      </w:r>
      <w:r>
        <w:rPr>
          <w:rFonts w:ascii="Times New Roman" w:hAnsi="Times New Roman"/>
          <w:noProof/>
          <w:sz w:val="24"/>
        </w:rPr>
        <w:t>période 2014-2020.</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La génération actuelle de programmes a été réformée en profondeur. L'accent y est davantage mis sur les priorités essentielles de l’Union, telles que l’emploi, l'inclusion sociale, les compétences, la recherche et l’innovation, ainsi que l’efficacité énerg</w:t>
      </w:r>
      <w:r>
        <w:rPr>
          <w:rFonts w:ascii="Times New Roman" w:hAnsi="Times New Roman"/>
          <w:noProof/>
          <w:sz w:val="24"/>
        </w:rPr>
        <w:t xml:space="preserve">étique et l’efficacité des ressources. Les objectifs sont définis en amont. Le cadre économique, juridique et institutionnel général des investissements a été amélioré. De la même manière, un lien étroit a été établi entre l’investissement cofinancé et le </w:t>
      </w:r>
      <w:r>
        <w:rPr>
          <w:rFonts w:ascii="Times New Roman" w:hAnsi="Times New Roman"/>
          <w:noProof/>
          <w:sz w:val="24"/>
        </w:rPr>
        <w:t xml:space="preserve">contexte plus large constitué du programme de gouvernance économique et des réformes structurelles. </w:t>
      </w:r>
    </w:p>
    <w:p w:rsidR="005965AE" w:rsidRDefault="005A1DF6">
      <w:pPr>
        <w:spacing w:after="240" w:line="240" w:lineRule="auto"/>
        <w:jc w:val="both"/>
        <w:rPr>
          <w:rFonts w:ascii="Times New Roman" w:hAnsi="Times New Roman" w:cs="Times New Roman"/>
          <w:noProof/>
          <w:sz w:val="24"/>
          <w:szCs w:val="24"/>
          <w:u w:val="single"/>
        </w:rPr>
      </w:pPr>
      <w:r w:rsidRPr="005A1DF6">
        <w:rPr>
          <w:rFonts w:ascii="Times New Roman" w:eastAsia="Calibri" w:hAnsi="Times New Roman" w:cs="Times New Roman"/>
          <w:noProof/>
          <w:sz w:val="24"/>
          <w:szCs w:val="24"/>
          <w:u w:val="single"/>
        </w:rPr>
        <w:t>L’Europe est-elle bien armée face à la mondialisation?</w:t>
      </w:r>
      <w:r>
        <w:rPr>
          <w:rFonts w:ascii="Times New Roman" w:hAnsi="Times New Roman"/>
          <w:noProof/>
          <w:sz w:val="24"/>
          <w:u w:val="single"/>
        </w:rPr>
        <w:t xml:space="preserve"> </w:t>
      </w:r>
    </w:p>
    <w:p w:rsidR="005965AE" w:rsidRDefault="005A1DF6">
      <w:pPr>
        <w:spacing w:after="240" w:line="240" w:lineRule="auto"/>
        <w:jc w:val="both"/>
        <w:rPr>
          <w:rFonts w:ascii="Times New Roman" w:hAnsi="Times New Roman" w:cs="Times New Roman"/>
          <w:noProof/>
          <w:sz w:val="24"/>
          <w:szCs w:val="24"/>
        </w:rPr>
      </w:pPr>
      <w:r>
        <w:rPr>
          <w:noProof/>
          <w:lang w:val="en-GB" w:eastAsia="en-GB"/>
        </w:rPr>
        <w:drawing>
          <wp:inline distT="0" distB="0" distL="0" distR="0">
            <wp:extent cx="6354687" cy="3372592"/>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61392" cy="3376151"/>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hAnsi="Times New Roman" w:cs="Times New Roman"/>
          <w:noProof/>
          <w:sz w:val="24"/>
          <w:szCs w:val="24"/>
          <w:u w:val="single"/>
        </w:rPr>
      </w:pPr>
      <w:r w:rsidRPr="005A1DF6">
        <w:rPr>
          <w:rFonts w:ascii="Times New Roman" w:eastAsia="Calibri" w:hAnsi="Times New Roman" w:cs="Times New Roman"/>
          <w:noProof/>
          <w:sz w:val="24"/>
          <w:szCs w:val="24"/>
          <w:u w:val="single"/>
        </w:rPr>
        <w:t>Que finance la politique de cohésion?</w:t>
      </w:r>
    </w:p>
    <w:p w:rsidR="005965AE" w:rsidRDefault="005A1DF6">
      <w:pPr>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(En Mrd EUR)</w:t>
      </w:r>
    </w:p>
    <w:p w:rsidR="005965AE" w:rsidRDefault="005A1DF6">
      <w:pPr>
        <w:spacing w:after="240" w:line="240" w:lineRule="auto"/>
        <w:jc w:val="both"/>
        <w:rPr>
          <w:rFonts w:ascii="Times New Roman" w:hAnsi="Times New Roman" w:cs="Times New Roman"/>
          <w:noProof/>
          <w:sz w:val="24"/>
          <w:szCs w:val="24"/>
        </w:rPr>
      </w:pPr>
      <w:r>
        <w:rPr>
          <w:noProof/>
          <w:lang w:val="en-GB" w:eastAsia="en-GB"/>
        </w:rPr>
        <w:drawing>
          <wp:inline distT="0" distB="0" distL="0" distR="0">
            <wp:extent cx="3645724" cy="296804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47251" cy="2969291"/>
                    </a:xfrm>
                    <a:prstGeom prst="rect">
                      <a:avLst/>
                    </a:prstGeom>
                  </pic:spPr>
                </pic:pic>
              </a:graphicData>
            </a:graphic>
          </wp:inline>
        </w:drawing>
      </w:r>
    </w:p>
    <w:p w:rsidR="005965AE" w:rsidRDefault="005965AE">
      <w:pPr>
        <w:spacing w:after="240" w:line="240" w:lineRule="auto"/>
        <w:jc w:val="both"/>
        <w:rPr>
          <w:rFonts w:ascii="Times New Roman" w:hAnsi="Times New Roman" w:cs="Times New Roman"/>
          <w:noProof/>
          <w:sz w:val="24"/>
          <w:szCs w:val="24"/>
        </w:rPr>
      </w:pP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i/>
          <w:noProof/>
          <w:sz w:val="20"/>
          <w:szCs w:val="20"/>
        </w:rPr>
      </w:pPr>
      <w:r>
        <w:rPr>
          <w:rFonts w:ascii="Times New Roman" w:hAnsi="Times New Roman"/>
          <w:i/>
          <w:noProof/>
          <w:sz w:val="20"/>
        </w:rPr>
        <w:t xml:space="preserve">Encadré 2 – </w:t>
      </w:r>
      <w:r>
        <w:rPr>
          <w:rFonts w:ascii="Times New Roman" w:hAnsi="Times New Roman"/>
          <w:i/>
          <w:noProof/>
          <w:sz w:val="20"/>
        </w:rPr>
        <w:t>Exemples de résultats obtenus dans le cadre de la politique de cohésion (2007-2013)</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Dépenses à visée sociale:  9,4 millions de personnes ont trouvé un emploi et 8,7 millions ont obtenu une qualification.</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Tous les États membres et toutes les régions ont mis</w:t>
      </w:r>
      <w:r>
        <w:rPr>
          <w:rFonts w:ascii="Times New Roman" w:hAnsi="Times New Roman"/>
          <w:noProof/>
          <w:sz w:val="20"/>
        </w:rPr>
        <w:t xml:space="preserve"> en place des stratégies de spécialisation intelligente qui leur permettent de mieux cibler leurs efforts de recherche et d’innovation. L’aide fournie a bénéficié à quelque 95 000 projets de recherche et d'innovation et permis la création de 42 000 postes </w:t>
      </w:r>
      <w:r>
        <w:rPr>
          <w:rFonts w:ascii="Times New Roman" w:hAnsi="Times New Roman"/>
          <w:noProof/>
          <w:sz w:val="20"/>
        </w:rPr>
        <w:t>de chercheurs.</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Environ 400 000 PME ont bénéficié d’une aide au titre de la politique de cohésion et plus d’un million d’emplois devraient en résulter.</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Une grande partie des dépenses de l’UE en faveur de la lutte contre le changement climatique et la protec</w:t>
      </w:r>
      <w:r>
        <w:rPr>
          <w:rFonts w:ascii="Times New Roman" w:hAnsi="Times New Roman"/>
          <w:noProof/>
          <w:sz w:val="20"/>
        </w:rPr>
        <w:t>tion de l’environnement a pour cadre la politique de cohésion. Par exemple, environ 6 millions de personnes bénéficient désormais d’une amélioration de leur approvisionnement en eau et 7 millions d’une amélioration du traitement des eaux usées;</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noProof/>
          <w:sz w:val="20"/>
        </w:rPr>
        <w:t>Les États m</w:t>
      </w:r>
      <w:r>
        <w:rPr>
          <w:rFonts w:ascii="Times New Roman" w:hAnsi="Times New Roman"/>
          <w:noProof/>
          <w:sz w:val="20"/>
        </w:rPr>
        <w:t>embres ont construit ou rénové, au total, 2 600 km de lignes ferroviaires et 2 400 km de routes appartenant au réseau transeuropéen, outre les réseaux secondaires reliant les zones éloignées au reste de l’Europe.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Si la politique de cohésion affiche un </w:t>
      </w:r>
      <w:r>
        <w:rPr>
          <w:rFonts w:ascii="Times New Roman" w:hAnsi="Times New Roman"/>
          <w:noProof/>
          <w:sz w:val="24"/>
        </w:rPr>
        <w:t>bilan globalement positif, un certain nombre de domaines mériteraient d’être réformés.</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Premièrement, au cours des dernières années, la politique de cohésion a effectivement compensé la baisse des investissements nationaux et régionaux provoquée par la cris</w:t>
      </w:r>
      <w:r>
        <w:rPr>
          <w:rFonts w:ascii="Times New Roman" w:hAnsi="Times New Roman"/>
          <w:noProof/>
          <w:sz w:val="24"/>
        </w:rPr>
        <w:t xml:space="preserve">e, contribuant ainsi à empêcher des perturbations majeures, mais les taux de cofinancement plus élevés du budget de l’UE qui en ont découlé ont réduit l’effort d’investissement global.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Deuxièmement, s'il est vrai que la politique de cohésion a réagi à la crise en accroissant son niveau de cofinancement et en modifiant ses programmes pour mieux tenir compte de l’évolution des besoins socioéconomiques, il reste néanmoins nécessaire de revo</w:t>
      </w:r>
      <w:r>
        <w:rPr>
          <w:rFonts w:ascii="Times New Roman" w:hAnsi="Times New Roman"/>
          <w:noProof/>
          <w:sz w:val="24"/>
        </w:rPr>
        <w:t xml:space="preserve">ir la manière dont cette politique peut mieux parer et mieux réagir aux événements, crises et évolutions sociales imprévus.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Troisièmement, il pourrait être nécessaire de renforcer le lien avec la gouvernance économique et le Semestre européen pour faire e</w:t>
      </w:r>
      <w:r>
        <w:rPr>
          <w:rFonts w:ascii="Times New Roman" w:hAnsi="Times New Roman"/>
          <w:noProof/>
          <w:sz w:val="24"/>
        </w:rPr>
        <w:t xml:space="preserve">n sorte que le système soit plus simple et transparent et qu'il encourage la mise en œuvre de réformes concrètes propres à favoriser la convergence.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Enfin, la politique de cohésion est devenue de plus en plus complexe à gérer, ce qui entrave sa mise en œu</w:t>
      </w:r>
      <w:r>
        <w:rPr>
          <w:rFonts w:ascii="Times New Roman" w:hAnsi="Times New Roman"/>
          <w:noProof/>
          <w:sz w:val="24"/>
        </w:rPr>
        <w:t>vre sur le terrain et crée des retards. En raison des niveaux de contrôle et de la complexité administrative, les bénéficiaires ont du mal à accéder aux fonds et à exécuter rapidement leurs projets. Par conséquent, il sera nécessaire d’adopter une approche</w:t>
      </w:r>
      <w:r>
        <w:rPr>
          <w:rFonts w:ascii="Times New Roman" w:hAnsi="Times New Roman"/>
          <w:noProof/>
          <w:sz w:val="24"/>
        </w:rPr>
        <w:t xml:space="preserve"> plus radicale en vue de simplifier la mise en œuvre et d’assouplir la programmation.</w:t>
      </w:r>
    </w:p>
    <w:p w:rsidR="005965AE" w:rsidRDefault="005A1DF6">
      <w:pPr>
        <w:pStyle w:val="Heading3"/>
        <w:rPr>
          <w:noProof/>
        </w:rPr>
      </w:pPr>
      <w:r>
        <w:rPr>
          <w:noProof/>
        </w:rPr>
        <w:t>3.2.3</w:t>
      </w:r>
      <w:r>
        <w:rPr>
          <w:noProof/>
        </w:rPr>
        <w:tab/>
        <w:t xml:space="preserve">Agriculture durable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Les agriculteurs assurent à plus de 500 millions d’Européens un approvisionnement alimentaire stable et de qualité, produit de façon durable et</w:t>
      </w:r>
      <w:r>
        <w:rPr>
          <w:rFonts w:ascii="Times New Roman" w:hAnsi="Times New Roman"/>
          <w:noProof/>
          <w:sz w:val="24"/>
        </w:rPr>
        <w:t xml:space="preserve"> à des prix abordables, tout en respectant les exigences en matière de santé et de bien-être des animaux, de protection de l’environnement et de sécurité alimentaire.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L’objectif principal de la politique agricole commune est d’assurer la durabilité économ</w:t>
      </w:r>
      <w:r>
        <w:rPr>
          <w:rFonts w:ascii="Times New Roman" w:hAnsi="Times New Roman"/>
          <w:noProof/>
          <w:sz w:val="24"/>
        </w:rPr>
        <w:t>ique, sociale et environnementale des communautés agricoles et rurales. Dans le cadre actuel 2014-2020, la PAC consacrera quelque 400 milliards d’EUR au financement de mesures de marché, aux paiements directs aux agriculteurs et aux programmes de développe</w:t>
      </w:r>
      <w:r>
        <w:rPr>
          <w:rFonts w:ascii="Times New Roman" w:hAnsi="Times New Roman"/>
          <w:noProof/>
          <w:sz w:val="24"/>
        </w:rPr>
        <w:t xml:space="preserve">ment rural, ainsi qu’à la promotion du développement d’une agriculture durable et d’économies rurales saines. Les paiements directs représentent environ 70 % de ce montant. Cette aide au revenu comble en partie l’écart qui sépare les revenus agricoles des </w:t>
      </w:r>
      <w:r>
        <w:rPr>
          <w:rFonts w:ascii="Times New Roman" w:hAnsi="Times New Roman"/>
          <w:noProof/>
          <w:sz w:val="24"/>
        </w:rPr>
        <w:t>revenus comparables pour d’autres secteurs d’activité. La toute dernière réforme de la PAC a profondément modifié le système des paiements directs, afin de répondre de manière ciblée aux besoins particuliers des jeunes agriculteurs et des petites exploitat</w:t>
      </w:r>
      <w:r>
        <w:rPr>
          <w:rFonts w:ascii="Times New Roman" w:hAnsi="Times New Roman"/>
          <w:noProof/>
          <w:sz w:val="24"/>
        </w:rPr>
        <w:t>ions, et des secteurs ou régions en difficulté, et aux considérations environnementales.</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La politique agricole commune permet aux citoyens européens d’avoir accès à une alimentation sûre, abordable et de grande qualité. Grâce aux réformes successives de ce</w:t>
      </w:r>
      <w:r>
        <w:rPr>
          <w:rFonts w:ascii="Times New Roman" w:hAnsi="Times New Roman"/>
          <w:noProof/>
          <w:sz w:val="24"/>
        </w:rPr>
        <w:t>tte politique, le secteur agricole européen est devenu compétitif sur le plan international et peut pratiquer des prix proches de ceux du marché mondial et afficher des résultats à l’exportation solides et en constante progression. Le développement du sect</w:t>
      </w:r>
      <w:r>
        <w:rPr>
          <w:rFonts w:ascii="Times New Roman" w:hAnsi="Times New Roman"/>
          <w:noProof/>
          <w:sz w:val="24"/>
        </w:rPr>
        <w:t xml:space="preserve">eur agricole est néanmoins marqué par de très fortes disparités. Dans certaines zones rurales, il n’existe pas d’autres sources d’emploi et de revenu crédibles en dehors de ce secteur. Cela étant, des agriculteurs ont maintenant accès à d’autres formes de </w:t>
      </w:r>
      <w:r>
        <w:rPr>
          <w:rFonts w:ascii="Times New Roman" w:hAnsi="Times New Roman"/>
          <w:noProof/>
          <w:sz w:val="24"/>
        </w:rPr>
        <w:t xml:space="preserve">revenus non agricoles, qu’ils tirent, par exemple, du tourisme, des activités de loisir, de l’énergie éolienne, du biogaz ou de l’énergie solaire.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L’agriculture occupe près de la moitié du territoire de l’UE, ce qui donne aux agriculteurs un rôle décisif </w:t>
      </w:r>
      <w:r>
        <w:rPr>
          <w:rFonts w:ascii="Times New Roman" w:hAnsi="Times New Roman"/>
          <w:noProof/>
          <w:sz w:val="24"/>
        </w:rPr>
        <w:t>dans la préservation des ressources naturelles (eau, air, sols, biodiversité), la mise en œuvre de l’action pour le climat et la sauvegarde de précieux paysages. La PAC fixe les règles et incitations qui mettent les secteurs agricole et sylvicole en mesure</w:t>
      </w:r>
      <w:r>
        <w:rPr>
          <w:rFonts w:ascii="Times New Roman" w:hAnsi="Times New Roman"/>
          <w:noProof/>
          <w:sz w:val="24"/>
        </w:rPr>
        <w:t xml:space="preserve"> de contribuer à la résolution des problèmes environnementaux et climatiques urgents de la planète et de fournir les biens publics que la population attend. Parmi ces outils essentiels de la PAC figurent les mesures agroenvironnementales et climatiques, qu</w:t>
      </w:r>
      <w:r>
        <w:rPr>
          <w:rFonts w:ascii="Times New Roman" w:hAnsi="Times New Roman"/>
          <w:noProof/>
          <w:sz w:val="24"/>
        </w:rPr>
        <w:t>i incitent les agriculteurs non seulement à adopter certaines politiques et pratiques de gestion, et le cas échéant à les adapter, mais aussi à engager des actions de valorisation et de préservation des masses d’eau, des sols, de la biodiversité et des pay</w:t>
      </w:r>
      <w:r>
        <w:rPr>
          <w:rFonts w:ascii="Times New Roman" w:hAnsi="Times New Roman"/>
          <w:noProof/>
          <w:sz w:val="24"/>
        </w:rPr>
        <w:t>sages, ainsi que des actions d’atténuation du changement climatique et d'adaptation à celui-ci. Toutefois, les appels à orienter davantage la politique agricole commune vers la fourniture de biens publics liés à la protection de l’environnement et à l’acti</w:t>
      </w:r>
      <w:r>
        <w:rPr>
          <w:rFonts w:ascii="Times New Roman" w:hAnsi="Times New Roman"/>
          <w:noProof/>
          <w:sz w:val="24"/>
        </w:rPr>
        <w:t xml:space="preserve">on pour le climat sont de plus en plus nombreux. Cette évolution nécessiterait l’adoption de mesures plus ciblées qui tiennent compte des particularismes régionaux. </w:t>
      </w:r>
    </w:p>
    <w:p w:rsidR="005965AE" w:rsidRDefault="005A1DF6">
      <w:pPr>
        <w:spacing w:after="240" w:line="240" w:lineRule="auto"/>
        <w:jc w:val="both"/>
        <w:rPr>
          <w:rFonts w:ascii="Times New Roman" w:hAnsi="Times New Roman" w:cs="Times New Roman"/>
          <w:noProof/>
          <w:sz w:val="24"/>
          <w:szCs w:val="24"/>
          <w:u w:val="single"/>
        </w:rPr>
      </w:pPr>
      <w:r w:rsidRPr="005A1DF6">
        <w:rPr>
          <w:rFonts w:ascii="Times New Roman" w:eastAsia="Calibri" w:hAnsi="Times New Roman" w:cs="Times New Roman"/>
          <w:noProof/>
          <w:sz w:val="24"/>
          <w:szCs w:val="24"/>
          <w:u w:val="single"/>
        </w:rPr>
        <w:t>La balance commerciale agricole, preuve de la compétitivité du secteur</w:t>
      </w:r>
    </w:p>
    <w:p w:rsidR="005965AE" w:rsidRDefault="005A1DF6">
      <w:pPr>
        <w:spacing w:after="240" w:line="240" w:lineRule="auto"/>
        <w:jc w:val="both"/>
        <w:rPr>
          <w:rFonts w:ascii="Times New Roman" w:hAnsi="Times New Roman" w:cs="Times New Roman"/>
          <w:noProof/>
          <w:sz w:val="24"/>
          <w:szCs w:val="24"/>
          <w:u w:val="single"/>
        </w:rPr>
      </w:pPr>
      <w:r>
        <w:rPr>
          <w:rFonts w:ascii="Times New Roman" w:hAnsi="Times New Roman"/>
          <w:noProof/>
          <w:sz w:val="24"/>
          <w:u w:val="single"/>
        </w:rPr>
        <w:t>(En Mio EUR)</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3542425" cy="2244436"/>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65437" cy="2259016"/>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w:t>
      </w:r>
      <w:r>
        <w:rPr>
          <w:rFonts w:ascii="Times New Roman" w:hAnsi="Times New Roman"/>
          <w:noProof/>
          <w:sz w:val="20"/>
          <w:u w:val="single"/>
        </w:rPr>
        <w:t>ce: Commission européenne</w:t>
      </w:r>
    </w:p>
    <w:p w:rsidR="005965AE" w:rsidRDefault="005A1DF6">
      <w:pPr>
        <w:spacing w:before="240"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Il n’existe pas de consensus sur le niveau de l’aide au revenu nécessaire lorsqu’est prise en compte la compétitivité au sein du secteur. Dans certains cas, ces paiements ne contribuent pas au développement structurel du secteur, </w:t>
      </w:r>
      <w:r>
        <w:rPr>
          <w:rFonts w:ascii="Times New Roman" w:hAnsi="Times New Roman"/>
          <w:noProof/>
          <w:sz w:val="24"/>
        </w:rPr>
        <w:t>mais tendent à faire grimper le prix des terres, ce qui risque d’empêcher l’entrée de jeunes agriculteurs sur le marché.</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paiements directs reposent encore en grande partie sur les droits historiques et visent principalement les grandes exploitations et</w:t>
      </w:r>
      <w:r>
        <w:rPr>
          <w:rFonts w:ascii="Times New Roman" w:hAnsi="Times New Roman"/>
          <w:noProof/>
          <w:sz w:val="24"/>
        </w:rPr>
        <w:t xml:space="preserve"> les propriétaires fonciers des États membres les plus riches. En moyenne, 20 % des bénéficiaires concentrent environ 80 % des paiements. Ce tableau général masque toutefois d’énormes différences entre États membres. Par exemple, si la proportion de petite</w:t>
      </w:r>
      <w:r>
        <w:rPr>
          <w:rFonts w:ascii="Times New Roman" w:hAnsi="Times New Roman"/>
          <w:noProof/>
          <w:sz w:val="24"/>
        </w:rPr>
        <w:t xml:space="preserve">s exploitations agricoles atteint 92 % en Roumanie et 97 % à Malte, elle est inférieure à 9 % en Allemagne. </w:t>
      </w:r>
    </w:p>
    <w:p w:rsidR="005965AE" w:rsidRDefault="005A1DF6">
      <w:pPr>
        <w:spacing w:after="240" w:line="240" w:lineRule="auto"/>
        <w:jc w:val="both"/>
        <w:rPr>
          <w:rFonts w:ascii="Times New Roman" w:eastAsia="Calibri" w:hAnsi="Times New Roman" w:cs="Times New Roman"/>
          <w:noProof/>
          <w:sz w:val="24"/>
          <w:szCs w:val="24"/>
          <w:u w:val="single"/>
        </w:rPr>
      </w:pPr>
      <w:r w:rsidRPr="005A1DF6">
        <w:rPr>
          <w:rFonts w:ascii="Times New Roman" w:eastAsia="Calibri" w:hAnsi="Times New Roman" w:cs="Times New Roman"/>
          <w:noProof/>
          <w:sz w:val="24"/>
          <w:szCs w:val="24"/>
          <w:u w:val="single"/>
        </w:rPr>
        <w:t>Qui bénéficie de la politique agricole commune?</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2802576" cy="1889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4552" cy="1890672"/>
                    </a:xfrm>
                    <a:prstGeom prst="rect">
                      <a:avLst/>
                    </a:prstGeom>
                  </pic:spPr>
                </pic:pic>
              </a:graphicData>
            </a:graphic>
          </wp:inline>
        </w:drawing>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plupart des paiements effectués au titre de la PAC sont financés intégralement par le budget de l’UE, ce qui crée un lien direct entre les bénéficiaires et l’Union. Cette politique profite aux agriculteurs et citoyens des zones les plus reculées de l’Eu</w:t>
      </w:r>
      <w:r>
        <w:rPr>
          <w:rFonts w:ascii="Times New Roman" w:hAnsi="Times New Roman"/>
          <w:noProof/>
          <w:sz w:val="24"/>
        </w:rPr>
        <w:t xml:space="preserve">rope et a donc d’importantes retombées en termes de développement économique et social, et même de résilience dans ces régions. Hormis les mesures de développement rural financées au titre du deuxième pilier de la PAC, c’est le seul domaine d’action de la </w:t>
      </w:r>
      <w:r>
        <w:rPr>
          <w:rFonts w:ascii="Times New Roman" w:hAnsi="Times New Roman"/>
          <w:noProof/>
          <w:sz w:val="24"/>
        </w:rPr>
        <w:t xml:space="preserve">politique qui soit géré conjointement avec les États membres sans aucun cofinancement national.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Au cours des dernières années, le budget de l’UE a dû fournir, à plusieurs reprises, une aide d’urgence ponctuelle pour faire face à des situations particulièr</w:t>
      </w:r>
      <w:r>
        <w:rPr>
          <w:rFonts w:ascii="Times New Roman" w:hAnsi="Times New Roman"/>
          <w:noProof/>
          <w:sz w:val="24"/>
        </w:rPr>
        <w:t>es, telles que la chute des prix des produits laitiers ou l’embargo russe sur certains produits agricoles. Il faudra dès lors rechercher, en ce qui concerne les instruments de la future politique agricole commune, un juste équilibre entre mesures politique</w:t>
      </w:r>
      <w:r>
        <w:rPr>
          <w:rFonts w:ascii="Times New Roman" w:hAnsi="Times New Roman"/>
          <w:noProof/>
          <w:sz w:val="24"/>
        </w:rPr>
        <w:t xml:space="preserve">s et enveloppes financières, subventions et instruments financiers, outils de gestion des risques et autres mécanismes de marché afin de faire face aux risques et aux aléas du secteur agricole. </w:t>
      </w:r>
    </w:p>
    <w:p w:rsidR="005965AE" w:rsidRDefault="005A1DF6">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120"/>
        <w:jc w:val="both"/>
        <w:rPr>
          <w:rFonts w:ascii="Times New Roman" w:hAnsi="Times New Roman" w:cs="Times New Roman"/>
          <w:i/>
          <w:noProof/>
          <w:sz w:val="20"/>
          <w:szCs w:val="20"/>
        </w:rPr>
      </w:pPr>
      <w:r>
        <w:rPr>
          <w:rFonts w:ascii="Times New Roman" w:hAnsi="Times New Roman"/>
          <w:i/>
          <w:noProof/>
          <w:sz w:val="20"/>
        </w:rPr>
        <w:t>Encadré 3 – Exemples de résultats obtenus dans le cadre de la</w:t>
      </w:r>
      <w:r>
        <w:rPr>
          <w:rFonts w:ascii="Times New Roman" w:hAnsi="Times New Roman"/>
          <w:i/>
          <w:noProof/>
          <w:sz w:val="20"/>
        </w:rPr>
        <w:t xml:space="preserve"> politique agricole commune</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 xml:space="preserve">70 % des terres agricoles de l’UE font l’objet de mesures de verdissement, financées à hauteur de 60 milliards d’EUR. </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Environ 47 millions d’hectares (soit, plus ou moins, 25 % de la surface agricole européenne) étaient couverts</w:t>
      </w:r>
      <w:r>
        <w:rPr>
          <w:rFonts w:ascii="Times New Roman" w:hAnsi="Times New Roman"/>
          <w:noProof/>
          <w:sz w:val="20"/>
        </w:rPr>
        <w:t xml:space="preserve"> par des contrats de gestion garantissant l’adoption de pratiques agricoles respectueuses de l’environnement (dans le domaine plus particulièrement de l’eau, des sols et de la biodiversité).</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Plus de 200 000 entreprises rurales ont vu le jour et ont pu se d</w:t>
      </w:r>
      <w:r>
        <w:rPr>
          <w:rFonts w:ascii="Times New Roman" w:hAnsi="Times New Roman"/>
          <w:noProof/>
          <w:sz w:val="20"/>
        </w:rPr>
        <w:t xml:space="preserve">évelopper (145 000 jeunes agriculteurs ont reçu une aide à la création d’entreprise et 62 000 microentreprises ont été créées). </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Plus de 25 000 projets d’infrastructures environnementales, concernant par exemple la création de réseaux d’assainissement et l</w:t>
      </w:r>
      <w:r>
        <w:rPr>
          <w:rFonts w:ascii="Times New Roman" w:hAnsi="Times New Roman"/>
          <w:noProof/>
          <w:sz w:val="20"/>
        </w:rPr>
        <w:t>’amélioration de la gestion de l’eau dans des zones éloignées et rurales, ont bénéficié d’un financement.</w:t>
      </w:r>
    </w:p>
    <w:p w:rsidR="005965AE" w:rsidRDefault="005A1DF6">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rPr>
        <w:t>2 400 groupes d’action locale ont reçu une aide pour élaborer et mettre en œuvre des stratégies de développement en faveur de leur région.</w:t>
      </w:r>
    </w:p>
    <w:p w:rsidR="005965AE" w:rsidRDefault="005A1DF6">
      <w:pPr>
        <w:pStyle w:val="Heading3"/>
        <w:rPr>
          <w:noProof/>
        </w:rPr>
      </w:pPr>
      <w:r>
        <w:rPr>
          <w:noProof/>
        </w:rPr>
        <w:t>3.3</w:t>
      </w:r>
      <w:r>
        <w:rPr>
          <w:noProof/>
        </w:rPr>
        <w:tab/>
        <w:t>Gestion</w:t>
      </w:r>
      <w:r>
        <w:rPr>
          <w:noProof/>
        </w:rPr>
        <w:t xml:space="preserve"> de la migration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Face à la multiplication des drames humains à ses frontières extérieures, l’Union européenne doit, de concert avec ses États membres, prendre des mesures immédiates. La gestion de la migration doit également être améliorée sur tous les pl</w:t>
      </w:r>
      <w:r>
        <w:rPr>
          <w:rFonts w:ascii="Times New Roman" w:hAnsi="Times New Roman"/>
          <w:noProof/>
          <w:sz w:val="24"/>
        </w:rPr>
        <w:t>ans. L’Union européenne devrait dès lors chercher à fournir à ses États membres les outils qui leur permettront d’y parvenir à moyen et à long terme.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gestion de la migration est une responsabilité commune, non seulement des États membres de l’UE, mais a</w:t>
      </w:r>
      <w:r>
        <w:rPr>
          <w:rFonts w:ascii="Times New Roman" w:hAnsi="Times New Roman"/>
          <w:noProof/>
          <w:sz w:val="24"/>
        </w:rPr>
        <w:t>ussi des pays tiers de transit et d'origine des migrants. En combinant les politiques intérieures et extérieures, l’Union et ses États membres appliquent une approche globale fondée sur la confiance mutuelle et la solidarité entre ces derniers et les insti</w:t>
      </w:r>
      <w:r>
        <w:rPr>
          <w:rFonts w:ascii="Times New Roman" w:hAnsi="Times New Roman"/>
          <w:noProof/>
          <w:sz w:val="24"/>
        </w:rPr>
        <w:t>tutions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S’agissant de la gestion des flux migratoires, le budget actuel de l’Union aide déjà les États membres à créer des cadres d’accueil et de protection adéquats, à remédier aux causes profondes de la migration et à préserver l’espace Schengen. Plus de 17 mill</w:t>
      </w:r>
      <w:r>
        <w:rPr>
          <w:rFonts w:ascii="Times New Roman" w:hAnsi="Times New Roman"/>
          <w:noProof/>
          <w:sz w:val="24"/>
        </w:rPr>
        <w:t xml:space="preserve">iards d’EUR – 3,7 % du budget total de l’UE – ont été alloués à ces problématiques sur la période 2015-2017.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Par exemple, le budget de l’UE a été utilisé pour créer, en Grèce et en Italie, des centres d'accueil et d’enregistrement («hotspots»), qui peuven</w:t>
      </w:r>
      <w:r>
        <w:rPr>
          <w:rFonts w:ascii="Times New Roman" w:hAnsi="Times New Roman"/>
          <w:noProof/>
          <w:sz w:val="24"/>
        </w:rPr>
        <w:t>t accueillir plus de 9 000 personnes au total. En 2016, un abri a été fourni à plus de 35 000 personnes en Grèce, des tentes dans un premier temps puis des conteneurs adaptés aux conditions hivernales et 417 «espaces sûrs» pour les mineurs non accompagnés.</w:t>
      </w:r>
      <w:r>
        <w:rPr>
          <w:rFonts w:ascii="Times New Roman" w:hAnsi="Times New Roman"/>
          <w:noProof/>
          <w:sz w:val="24"/>
        </w:rPr>
        <w:t xml:space="preserve"> Cette même année, la nouvelle Agence européenne de garde-frontières et de garde-côtes a contribué au sauvetage de 174 500 personnes en Méditerranée.</w:t>
      </w:r>
    </w:p>
    <w:p w:rsidR="005965AE" w:rsidRDefault="005A1DF6">
      <w:pPr>
        <w:pStyle w:val="Heading2"/>
        <w:rPr>
          <w:noProof/>
        </w:rPr>
      </w:pPr>
      <w:r>
        <w:rPr>
          <w:noProof/>
        </w:rPr>
        <w:t>3.4</w:t>
      </w:r>
      <w:r>
        <w:rPr>
          <w:noProof/>
        </w:rPr>
        <w:tab/>
        <w:t>Défis extérieurs, sécurité, aide humanitaire et développement</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Au cours des dernières années, l’Europe </w:t>
      </w:r>
      <w:r>
        <w:rPr>
          <w:rFonts w:ascii="Times New Roman" w:hAnsi="Times New Roman"/>
          <w:noProof/>
          <w:sz w:val="24"/>
        </w:rPr>
        <w:t>a été confrontée à de nouveaux défis extérieurs liés à l’instabilité et à la fragilité de son voisinage immédiat et plus lointain. Les citoyens de l’UE sont préoccupés par la migration, le terrorisme et les menaces pesant sur la sécurité extérieure en géné</w:t>
      </w:r>
      <w:r>
        <w:rPr>
          <w:rFonts w:ascii="Times New Roman" w:hAnsi="Times New Roman"/>
          <w:noProof/>
          <w:sz w:val="24"/>
        </w:rPr>
        <w:t>ral et veulent que ces questions, dont celle de la défense, soient traitées au niveau européen. Ils attendent de l’Europe qu’elle joue un rôle de premier plan sur la scène internationale, dans la gestion des effets de la mondialisation, dans la défense d’u</w:t>
      </w:r>
      <w:r>
        <w:rPr>
          <w:rFonts w:ascii="Times New Roman" w:hAnsi="Times New Roman"/>
          <w:noProof/>
          <w:sz w:val="24"/>
        </w:rPr>
        <w:t>n ordre mondial fondé sur des règles, de la bonne gouvernance ainsi que de la démocratie, de l’État de droit et des droits de l’homme, dans le développement économique durable et dans la stabilisation et la sécurisation, de son voisinage immédiat en partic</w:t>
      </w:r>
      <w:r>
        <w:rPr>
          <w:rFonts w:ascii="Times New Roman" w:hAnsi="Times New Roman"/>
          <w:noProof/>
          <w:sz w:val="24"/>
        </w:rPr>
        <w:t>ulier. Près de neuf Européens sur dix pensent qu’il est important d’aider les pays en développement. 82 % considèrent que l’entraide est une solution avantageuse pour tous, qui est clairement dans l’intérêt de l’Europe. Les Européens voient aussi clairemen</w:t>
      </w:r>
      <w:r>
        <w:rPr>
          <w:rFonts w:ascii="Times New Roman" w:hAnsi="Times New Roman"/>
          <w:noProof/>
          <w:sz w:val="24"/>
        </w:rPr>
        <w:t xml:space="preserve">t la valeur ajoutée d’une action au niveau européen dans le domaine des affaires extérieures.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À l’heure actuelle, l’action extérieure de l’UE bénéficie d’une enveloppe de 96,5 milliards d’EUR, dont 30 5 milliards d’EUR au titre du 11</w:t>
      </w:r>
      <w:r>
        <w:rPr>
          <w:rFonts w:ascii="Times New Roman" w:hAnsi="Times New Roman"/>
          <w:noProof/>
          <w:sz w:val="24"/>
          <w:vertAlign w:val="superscript"/>
        </w:rPr>
        <w:t>e</w:t>
      </w:r>
      <w:r>
        <w:rPr>
          <w:rFonts w:ascii="Times New Roman" w:hAnsi="Times New Roman"/>
          <w:noProof/>
          <w:sz w:val="24"/>
        </w:rPr>
        <w:t> Fonds européen de dé</w:t>
      </w:r>
      <w:r>
        <w:rPr>
          <w:rFonts w:ascii="Times New Roman" w:hAnsi="Times New Roman"/>
          <w:noProof/>
          <w:sz w:val="24"/>
        </w:rPr>
        <w:t>veloppement pour les partenaires d’Afrique, des Caraïbes et du Pacifique de l’UE. L'action extérieure représente donc environ 6 % du cadre financier pluriannuel actuel, les enveloppes financières les plus importantes étant l’instrument de coopération au dé</w:t>
      </w:r>
      <w:r>
        <w:rPr>
          <w:rFonts w:ascii="Times New Roman" w:hAnsi="Times New Roman"/>
          <w:noProof/>
          <w:sz w:val="24"/>
        </w:rPr>
        <w:t>veloppement (19,7 milliards d’EUR), l’instrument européen de voisinage (15,4 milliards d’EUR) et l’instrument d’aide de préadhésion (11,7 milliards d’EUR). Une enveloppe de 8 milliards d’EUR a été programmée pour l’aide humanitaire. Ce budget a été constam</w:t>
      </w:r>
      <w:r>
        <w:rPr>
          <w:rFonts w:ascii="Times New Roman" w:hAnsi="Times New Roman"/>
          <w:noProof/>
          <w:sz w:val="24"/>
        </w:rPr>
        <w:t>ment mobilisé et renforcé au cours des dernières années (épuisant toutes les marges disponibles) pour parer à la multiplication des situations d’urgence (humanitaire ou autres) aux abords de l’Europe, à l’accroissement du nombre des personnes déplacées, au</w:t>
      </w:r>
      <w:r>
        <w:rPr>
          <w:rFonts w:ascii="Times New Roman" w:hAnsi="Times New Roman"/>
          <w:noProof/>
          <w:sz w:val="24"/>
        </w:rPr>
        <w:t>x besoins humanitaires d'un niveau sans précédent et à la complexité des crises, qui devraient se poursuivre.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L’action extérieure de l’UE se déploie dans des pays partenaires, situés hors du territoire de celle-ci, mais elle protège également les intérêts </w:t>
      </w:r>
      <w:r>
        <w:rPr>
          <w:rFonts w:ascii="Times New Roman" w:hAnsi="Times New Roman"/>
          <w:noProof/>
          <w:sz w:val="24"/>
        </w:rPr>
        <w:t>et la sécurité des Européens. En tant que premier donateur d’aide humanitaire et d’aide au développement, l’UE et ses États membres jouent, à travers notamment leur engagement collectif à consacrer 0,7 % de leur RNB à l’aide publique au développement, un r</w:t>
      </w:r>
      <w:r>
        <w:rPr>
          <w:rFonts w:ascii="Times New Roman" w:hAnsi="Times New Roman"/>
          <w:noProof/>
          <w:sz w:val="24"/>
        </w:rPr>
        <w:t>ôle clé dans le soutien aux autres pays du monde. Par son action extérieure, l’UE promeut la stabilité autour de ses frontières et au-delà, favorise l’éradication de la pauvreté dans les pays en développement et encourage la coopération dans des domaines d</w:t>
      </w:r>
      <w:r>
        <w:rPr>
          <w:rFonts w:ascii="Times New Roman" w:hAnsi="Times New Roman"/>
          <w:noProof/>
          <w:sz w:val="24"/>
        </w:rPr>
        <w:t>’intérêt pour elle. Elle s’attaque également aux causes profondes de la migration irrégulière et de l’extrémisme violent. Le financement de l’UE constitue généralement le noyau dur auquel les financements des États membres en faveur du développement s’agrè</w:t>
      </w:r>
      <w:r>
        <w:rPr>
          <w:rFonts w:ascii="Times New Roman" w:hAnsi="Times New Roman"/>
          <w:noProof/>
          <w:sz w:val="24"/>
        </w:rPr>
        <w:t>gent pour accroître, dans le cadre d'une programmation et d’une mise en œuvre conjointes, la masse critique et l’impact de l’UE dans les pays partenaires.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Compte tenu des nouveaux défis de l’action extérieure de l’UE qui sont définis dans la stratégie glob</w:t>
      </w:r>
      <w:r>
        <w:rPr>
          <w:rFonts w:ascii="Times New Roman" w:hAnsi="Times New Roman"/>
          <w:noProof/>
          <w:sz w:val="24"/>
        </w:rPr>
        <w:t>ale de l’Union concernant les questions de politique étrangère et de sécurité, il est nécessaire d’examiner si les finances de l’Union lui permettent de répondre à ces nouvelles priorités, et si les différents instruments dont elle dispose dans ce domaine,</w:t>
      </w:r>
      <w:r>
        <w:rPr>
          <w:rFonts w:ascii="Times New Roman" w:hAnsi="Times New Roman"/>
          <w:noProof/>
          <w:sz w:val="24"/>
        </w:rPr>
        <w:t xml:space="preserve"> notamment les délégations de l’UE, sont efficaces. Cela vaut en particulier pour la défense, mais aussi pour les investissements extérieurs de l’UE, concernant lesquels il pourrait être nécessaire de créer les moyens de lever un grand volume de capitaux p</w:t>
      </w:r>
      <w:r>
        <w:rPr>
          <w:rFonts w:ascii="Times New Roman" w:hAnsi="Times New Roman"/>
          <w:noProof/>
          <w:sz w:val="24"/>
        </w:rPr>
        <w:t>rivés et de maximiser l’impact de ces investissements notamment sur la paix, la stabilité et le renforcement des relations économiques. L’expérience de ces dernières années montre également qu'il est nécessaire de renforcer la coordination entre les politi</w:t>
      </w:r>
      <w:r>
        <w:rPr>
          <w:rFonts w:ascii="Times New Roman" w:hAnsi="Times New Roman"/>
          <w:noProof/>
          <w:sz w:val="24"/>
        </w:rPr>
        <w:t xml:space="preserve">ques internes et externes, s’agissant notamment de la mise en œuvre des objectifs de développement durable (ODD) du programme des Nations unies à l’horizon 2030, de l’accord de Paris sur le climat ainsi que du cadre de partenariat avec les pays tiers dans </w:t>
      </w:r>
      <w:r>
        <w:rPr>
          <w:rFonts w:ascii="Times New Roman" w:hAnsi="Times New Roman"/>
          <w:noProof/>
          <w:sz w:val="24"/>
        </w:rPr>
        <w:t xml:space="preserve">le domaine de la migration. </w:t>
      </w:r>
    </w:p>
    <w:p w:rsidR="005965AE" w:rsidRDefault="005965AE">
      <w:pPr>
        <w:spacing w:after="240" w:line="240" w:lineRule="auto"/>
        <w:jc w:val="both"/>
        <w:rPr>
          <w:rFonts w:ascii="Times New Roman" w:eastAsia="Calibri" w:hAnsi="Times New Roman" w:cs="Times New Roman"/>
          <w:noProof/>
          <w:sz w:val="24"/>
          <w:szCs w:val="24"/>
        </w:rPr>
      </w:pPr>
    </w:p>
    <w:p w:rsidR="005A1DF6" w:rsidRDefault="005A1DF6">
      <w:pPr>
        <w:rPr>
          <w:rFonts w:asciiTheme="majorHAnsi" w:eastAsiaTheme="majorEastAsia" w:hAnsiTheme="majorHAnsi" w:cstheme="majorBidi"/>
          <w:b/>
          <w:bCs/>
          <w:noProof/>
          <w:color w:val="365F91" w:themeColor="accent1" w:themeShade="BF"/>
          <w:sz w:val="28"/>
          <w:szCs w:val="28"/>
          <w:lang w:eastAsia="en-GB"/>
        </w:rPr>
      </w:pPr>
      <w:r>
        <w:rPr>
          <w:noProof/>
        </w:rPr>
        <w:br w:type="page"/>
      </w:r>
    </w:p>
    <w:p w:rsidR="005965AE" w:rsidRDefault="005A1DF6">
      <w:pPr>
        <w:pStyle w:val="Heading1"/>
        <w:spacing w:before="120" w:after="240"/>
        <w:ind w:left="709" w:hanging="709"/>
        <w:rPr>
          <w:noProof/>
        </w:rPr>
      </w:pPr>
      <w:r>
        <w:rPr>
          <w:noProof/>
        </w:rPr>
        <w:t>4.</w:t>
      </w:r>
      <w:r>
        <w:rPr>
          <w:noProof/>
        </w:rPr>
        <w:tab/>
        <w:t>OPTIONS POUR L’AVENIR DES FINANCES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conception du futur budget de l’UE doit reposer sur une vision claire des priorités de l’Europe et sur la détermination à investir dans les domaines qui lui assureront puissance</w:t>
      </w:r>
      <w:r>
        <w:rPr>
          <w:rFonts w:ascii="Times New Roman" w:hAnsi="Times New Roman"/>
          <w:noProof/>
          <w:sz w:val="24"/>
        </w:rPr>
        <w:t xml:space="preserve"> économique, durabilité, solidarité et sécurité pour l’avenir.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déficit de financement de l’UE lié au retrait du Royaume-Uni et à la nécessité de financer de nouvelles priorités doit être clairement reconnu. Si ces nouvelles priorités ont pu être couver</w:t>
      </w:r>
      <w:r>
        <w:rPr>
          <w:rFonts w:ascii="Times New Roman" w:hAnsi="Times New Roman"/>
          <w:noProof/>
          <w:sz w:val="24"/>
        </w:rPr>
        <w:t xml:space="preserve">tes par le cadre financier actuel, c’est essentiellement en exploitant jusqu’à la limite les marges de manœuvre existantes.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À l’avenir, la gestion des migrations, la sécurité intérieure et extérieure, le contrôle aux frontières extérieures, la lutte contre le terrorisme et la défense devront être budgétisés dans une perspective à plus long terme, parallèlement à la poursuite de</w:t>
      </w:r>
      <w:r>
        <w:rPr>
          <w:rFonts w:ascii="Times New Roman" w:hAnsi="Times New Roman"/>
          <w:noProof/>
          <w:sz w:val="24"/>
        </w:rPr>
        <w:t>s investissements destinés à soutenir la stabilité et le développement durable dans les pays partenaires. La taille, la structure et le contenu du futur budget de l’UE devront correspondre à l’ambition politique que l’Union européenne se sera fixée pour l’</w:t>
      </w:r>
      <w:r>
        <w:rPr>
          <w:rFonts w:ascii="Times New Roman" w:hAnsi="Times New Roman"/>
          <w:noProof/>
          <w:sz w:val="24"/>
        </w:rPr>
        <w:t xml:space="preserve">avenir. Est-ce que L’UE continuera sur la même voie, en fera moins, fonctionnera à plusieurs vitesses, essaiera de se réformer radicalement ou fera beaucoup plus de choses en commun? </w:t>
      </w:r>
    </w:p>
    <w:p w:rsidR="005965AE" w:rsidRDefault="005A1DF6">
      <w:pPr>
        <w:spacing w:after="240" w:line="240" w:lineRule="auto"/>
        <w:jc w:val="both"/>
        <w:rPr>
          <w:rFonts w:ascii="Times New Roman" w:hAnsi="Times New Roman"/>
          <w:noProof/>
          <w:sz w:val="24"/>
        </w:rPr>
      </w:pPr>
      <w:r>
        <w:rPr>
          <w:rFonts w:ascii="Times New Roman" w:hAnsi="Times New Roman"/>
          <w:noProof/>
          <w:sz w:val="24"/>
        </w:rPr>
        <w:t>Des choix difficiles devront être faits. L’Europe peut-elle atteindre le</w:t>
      </w:r>
      <w:r>
        <w:rPr>
          <w:rFonts w:ascii="Times New Roman" w:hAnsi="Times New Roman"/>
          <w:noProof/>
          <w:sz w:val="24"/>
        </w:rPr>
        <w:t>s objectifs de ses politiques actuelles, et faire face à de nouvelles priorités, avec un budget en baisse? Si tel n’est pas le cas, dans quels domaines devrait-elle procéder à des réductions et revoir ses ambitions à la baisse? Ou bien faut-il combler l’éc</w:t>
      </w:r>
      <w:r>
        <w:rPr>
          <w:rFonts w:ascii="Times New Roman" w:hAnsi="Times New Roman"/>
          <w:noProof/>
          <w:sz w:val="24"/>
        </w:rPr>
        <w:t>art en relevant les contributions des 27 États membres, en faisant appel à d’autres sources de revenus ou en associant les deux, afin que les membres de l’UE-27 puissent faire davantage ensemble? Quel que soit le résultat, le niveau d’ambition politique do</w:t>
      </w:r>
      <w:r>
        <w:rPr>
          <w:rFonts w:ascii="Times New Roman" w:hAnsi="Times New Roman"/>
          <w:noProof/>
          <w:sz w:val="24"/>
        </w:rPr>
        <w:t xml:space="preserve">it être aligné sur les moyens d’action. </w:t>
      </w:r>
    </w:p>
    <w:p w:rsidR="005965AE" w:rsidRDefault="005965AE">
      <w:pPr>
        <w:rPr>
          <w:noProof/>
        </w:rPr>
      </w:pPr>
    </w:p>
    <w:p w:rsidR="005965AE" w:rsidRDefault="005A1DF6">
      <w:pPr>
        <w:spacing w:after="240" w:line="240" w:lineRule="auto"/>
        <w:jc w:val="both"/>
        <w:rPr>
          <w:rFonts w:ascii="EC Square Sans Pro Light" w:eastAsia="Arial" w:hAnsi="EC Square Sans Pro Light" w:cs="Arial"/>
          <w:b/>
          <w:noProof/>
          <w:color w:val="4F81BD" w:themeColor="accent1"/>
          <w:u w:val="single"/>
          <w:shd w:val="clear" w:color="auto" w:fill="FFFFFF"/>
        </w:rPr>
      </w:pPr>
      <w:r>
        <w:rPr>
          <w:rFonts w:ascii="EC Square Sans Pro Light" w:hAnsi="EC Square Sans Pro Light"/>
          <w:b/>
          <w:noProof/>
          <w:color w:val="4F81BD" w:themeColor="accent1"/>
          <w:u w:val="single"/>
          <w:shd w:val="clear" w:color="auto" w:fill="FFFFFF"/>
        </w:rPr>
        <w:t>Un budget de l’UE à la hauteur des défis intérieurs et mondiaux</w:t>
      </w:r>
    </w:p>
    <w:p w:rsidR="005965AE" w:rsidRDefault="005A1DF6">
      <w:pPr>
        <w:spacing w:after="240" w:line="240" w:lineRule="auto"/>
        <w:jc w:val="both"/>
        <w:rPr>
          <w:rFonts w:ascii="Times New Roman" w:eastAsia="Calibri" w:hAnsi="Times New Roman" w:cs="Times New Roman"/>
          <w:noProof/>
          <w:sz w:val="24"/>
          <w:szCs w:val="24"/>
        </w:rPr>
      </w:pPr>
      <w:r>
        <w:rPr>
          <w:noProof/>
          <w:lang w:val="en-GB" w:eastAsia="en-GB"/>
        </w:rPr>
        <w:drawing>
          <wp:inline distT="0" distB="0" distL="0" distR="0">
            <wp:extent cx="6222670" cy="3092811"/>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31950" cy="3097424"/>
                    </a:xfrm>
                    <a:prstGeom prst="rect">
                      <a:avLst/>
                    </a:prstGeom>
                  </pic:spPr>
                </pic:pic>
              </a:graphicData>
            </a:graphic>
          </wp:inline>
        </w:drawing>
      </w:r>
    </w:p>
    <w:p w:rsidR="005965AE" w:rsidRDefault="005965AE">
      <w:pPr>
        <w:spacing w:after="240" w:line="240" w:lineRule="auto"/>
        <w:jc w:val="both"/>
        <w:rPr>
          <w:rFonts w:ascii="Times New Roman" w:eastAsia="Calibri" w:hAnsi="Times New Roman" w:cs="Times New Roman"/>
          <w:noProof/>
          <w:sz w:val="24"/>
          <w:szCs w:val="24"/>
        </w:rPr>
      </w:pP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A1DF6">
      <w:pPr>
        <w:pStyle w:val="Heading2"/>
        <w:rPr>
          <w:noProof/>
        </w:rPr>
      </w:pPr>
      <w:r>
        <w:rPr>
          <w:noProof/>
        </w:rPr>
        <w:t>4.1</w:t>
      </w:r>
      <w:r>
        <w:rPr>
          <w:noProof/>
        </w:rPr>
        <w:tab/>
        <w:t>Sur quels aspects le futur budget de l’UE devrait-il mettre l'accent?</w:t>
      </w:r>
    </w:p>
    <w:p w:rsidR="005965AE" w:rsidRDefault="005A1DF6">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 xml:space="preserve">4.1.1 </w:t>
      </w:r>
      <w:r>
        <w:rPr>
          <w:noProof/>
        </w:rPr>
        <w:tab/>
      </w:r>
      <w:r>
        <w:rPr>
          <w:rFonts w:asciiTheme="majorHAnsi" w:eastAsiaTheme="majorEastAsia" w:hAnsiTheme="majorHAnsi" w:cstheme="majorBidi"/>
          <w:b/>
          <w:noProof/>
          <w:color w:val="4F81BD" w:themeColor="accent1"/>
        </w:rPr>
        <w:t xml:space="preserve">Réagir aux tendances actuelles et </w:t>
      </w:r>
      <w:r>
        <w:rPr>
          <w:rFonts w:asciiTheme="majorHAnsi" w:eastAsiaTheme="majorEastAsia" w:hAnsiTheme="majorHAnsi" w:cstheme="majorBidi"/>
          <w:b/>
          <w:noProof/>
          <w:color w:val="4F81BD" w:themeColor="accent1"/>
        </w:rPr>
        <w:t>aux nouveaux défis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budget de l’UE devrait rester en phase avec les tendances actuellement à l’œuvre, qui modèleront l’UE dans les années à venir. Il est aussi plusieurs défis nouveaux face auxquels le budget de l’UE devra faire davantage qu’à l’heure ac</w:t>
      </w:r>
      <w:r>
        <w:rPr>
          <w:rFonts w:ascii="Times New Roman" w:hAnsi="Times New Roman"/>
          <w:noProof/>
          <w:sz w:val="24"/>
        </w:rPr>
        <w:t xml:space="preserve">tuelle. Ces défis sont notamment la gestion des migrations irrégulières et des réfugiés, notamment en termes d’intégration, le contrôle des frontières extérieures, la sécurité, la cybersécurité, la lutte contre le terrorisme et la défense commune.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Premièr</w:t>
      </w:r>
      <w:r>
        <w:rPr>
          <w:rFonts w:ascii="Times New Roman" w:hAnsi="Times New Roman"/>
          <w:noProof/>
          <w:sz w:val="24"/>
        </w:rPr>
        <w:t>ement, la réduction des disparités économiques et sociales entre États membres et en leur sein est un impératif pour une Union qui veut se doter d’une économie sociale de marché hautement compétitive, ayant pour objectif le plein emploi et le progrés socia</w:t>
      </w:r>
      <w:r>
        <w:rPr>
          <w:rFonts w:ascii="Times New Roman" w:hAnsi="Times New Roman"/>
          <w:noProof/>
          <w:sz w:val="24"/>
        </w:rPr>
        <w:t>l. Elle est d’une importance vitale pour la zone euro, où les divergences remettent en cause le développement durable de l’Union économique et monétaire à moyen terme. Les documents de réflexion sur la dimension sociale de l’Europe et sur la maîtrise de la</w:t>
      </w:r>
      <w:r>
        <w:rPr>
          <w:rFonts w:ascii="Times New Roman" w:hAnsi="Times New Roman"/>
          <w:noProof/>
          <w:sz w:val="24"/>
        </w:rPr>
        <w:t xml:space="preserve"> mondialisation proposent plusieurs pistes de réflexion. La priorité absolue serait d’investir dans les personnes, au niveau tant de l’éducation et de la formation que de la santé, de l’égalité et de l’inclusion sociale. Une garantie pour l’enfance soutenu</w:t>
      </w:r>
      <w:r>
        <w:rPr>
          <w:rFonts w:ascii="Times New Roman" w:hAnsi="Times New Roman"/>
          <w:noProof/>
          <w:sz w:val="24"/>
        </w:rPr>
        <w:t>e par des fonds de l’UE pourrait aussi être mise en place sur le modèle de la garantie pour la jeunesse. Il est important que les dépenses sociales bénéficient à ceux qui en ont le plus besoin, surtout dans les régions caractérisées par de fortes inégalité</w:t>
      </w:r>
      <w:r>
        <w:rPr>
          <w:rFonts w:ascii="Times New Roman" w:hAnsi="Times New Roman"/>
          <w:noProof/>
          <w:sz w:val="24"/>
        </w:rPr>
        <w:t>s sociales. Il pourrait être nécessaire de repenser dans cette perspective les critères actuellement appliqués pour ce type de ciblage.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Deuxièmement, s’il est vrai que les ressources financières pour la défense de l’Europe continueront de provenir pour l’e</w:t>
      </w:r>
      <w:r>
        <w:rPr>
          <w:rFonts w:ascii="Times New Roman" w:hAnsi="Times New Roman"/>
          <w:noProof/>
          <w:sz w:val="24"/>
        </w:rPr>
        <w:t xml:space="preserve">ssentiel des budgets nationaux, il existe un consensus sur la nécessité d’aller de l’avant ensemble, par exemple en ce qui concerne la recherche-développement, la compétitivité de l’industrie européenne et les marchés publics, où le budget de l’UE devrait </w:t>
      </w:r>
      <w:r>
        <w:rPr>
          <w:rFonts w:ascii="Times New Roman" w:hAnsi="Times New Roman"/>
          <w:noProof/>
          <w:sz w:val="24"/>
        </w:rPr>
        <w:t>financer un Fonds européen de la défense afin d’optimiser l’utilisation des ressources. Ce Fonds devrait aussi pouvoir renforcer l'assistance actuelle aux pays partenaires en matière de renforcement des capacités, ainsi que sa composante militaire/de défen</w:t>
      </w:r>
      <w:r>
        <w:rPr>
          <w:rFonts w:ascii="Times New Roman" w:hAnsi="Times New Roman"/>
          <w:noProof/>
          <w:sz w:val="24"/>
        </w:rPr>
        <w:t xml:space="preserve">se, où une plus grande solidarité serait nécessaire pour financer les activités opérationnelles, y compris les missions militaires relevant de la politique de sécurité et de défense commune.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Au total, cette nouvelle ambition en matière de défense demander</w:t>
      </w:r>
      <w:r>
        <w:rPr>
          <w:rFonts w:ascii="Times New Roman" w:hAnsi="Times New Roman"/>
          <w:noProof/>
          <w:sz w:val="24"/>
        </w:rPr>
        <w:t xml:space="preserve">a un effort soutenu après 2020, mobilisant différentes sources. Compte tenu de la contribution annuelle de 1,5 milliard d’euros apportée par le budget de l’UE au Fonds européen de la défense, ainsi que des contributions des États membres au financement de </w:t>
      </w:r>
      <w:r>
        <w:rPr>
          <w:rFonts w:ascii="Times New Roman" w:hAnsi="Times New Roman"/>
          <w:noProof/>
          <w:sz w:val="24"/>
        </w:rPr>
        <w:t xml:space="preserve">projets de développement conjoints, le Fonds pourrait générer un investissement total dans la recherche en matière de défense et le développement des capacités de 5,5 milliards d’euros par an après 2020.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Troisièmement, la Commission, dans son document de </w:t>
      </w:r>
      <w:r>
        <w:rPr>
          <w:rFonts w:ascii="Times New Roman" w:hAnsi="Times New Roman"/>
          <w:noProof/>
          <w:sz w:val="24"/>
        </w:rPr>
        <w:t>réflexion sur l’approfondissement de l’Union économique et monétaire, a avancé l’idée de créer des incitations au soutien des réformes structurelles. Ces incitations, qui pourraient prendre la forme d’avantages financiers, reconnaîtraient le coût économiqu</w:t>
      </w:r>
      <w:r>
        <w:rPr>
          <w:rFonts w:ascii="Times New Roman" w:hAnsi="Times New Roman"/>
          <w:noProof/>
          <w:sz w:val="24"/>
        </w:rPr>
        <w:t>e, financier ou politique à court terme de ces réformes et contribueraient à leur bonne mise en œuvre. Il pourrait s'agir soit d'incitations renforcées dans le cadre de la politique de cohésion, soit d’incitations s’inscrivant dans le cadre d’un nouveau fo</w:t>
      </w:r>
      <w:r>
        <w:rPr>
          <w:rFonts w:ascii="Times New Roman" w:hAnsi="Times New Roman"/>
          <w:noProof/>
          <w:sz w:val="24"/>
        </w:rPr>
        <w:t>nds indépendant, ouvert à tous les États membres. Elles devraient soutenir les politiques européennes et les mesures prises conformément aux recommandations spécifiques adressées aux pays au titre du Semestre européen. Le soutien technique apporté à ces ef</w:t>
      </w:r>
      <w:r>
        <w:rPr>
          <w:rFonts w:ascii="Times New Roman" w:hAnsi="Times New Roman"/>
          <w:noProof/>
          <w:sz w:val="24"/>
        </w:rPr>
        <w:t xml:space="preserve">forts pourrait aussi être financé par le budget de l’UE. La Commission examinera ces options soigneusement avant d’envisager des initiatives concrètes.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promotion des valeurs fondamentales de l’UE doit être au cœur de l’élaboration et de la mise en œuvr</w:t>
      </w:r>
      <w:r>
        <w:rPr>
          <w:rFonts w:ascii="Times New Roman" w:hAnsi="Times New Roman"/>
          <w:noProof/>
          <w:sz w:val="24"/>
        </w:rPr>
        <w:t>e des politiques de l’UE</w:t>
      </w:r>
      <w:r>
        <w:rPr>
          <w:rStyle w:val="FootnoteReference"/>
          <w:rFonts w:ascii="Times New Roman" w:hAnsi="Times New Roman"/>
          <w:noProof/>
          <w:sz w:val="24"/>
        </w:rPr>
        <w:footnoteReference w:id="7"/>
      </w:r>
      <w:r>
        <w:rPr>
          <w:rFonts w:ascii="Times New Roman" w:hAnsi="Times New Roman"/>
          <w:noProof/>
          <w:sz w:val="24"/>
        </w:rPr>
        <w:t>. De nouvelles propositions formulées dans le contexte du débat public visent à établir un lien entre le décaissement des fonds du budget de l’UE et le respect de l’état de droit dans les États membres. Si le respect de l’état de d</w:t>
      </w:r>
      <w:r>
        <w:rPr>
          <w:rFonts w:ascii="Times New Roman" w:hAnsi="Times New Roman"/>
          <w:noProof/>
          <w:sz w:val="24"/>
        </w:rPr>
        <w:t>roit est important pour les citoyens européens, il l’est aussi pour les initiatives, les innovations et les investissements des entreprises, qui auront les plus grandes chances de succès là où le cadre juridique et institutionnel respecte pleinement les va</w:t>
      </w:r>
      <w:r>
        <w:rPr>
          <w:rFonts w:ascii="Times New Roman" w:hAnsi="Times New Roman"/>
          <w:noProof/>
          <w:sz w:val="24"/>
        </w:rPr>
        <w:t xml:space="preserve">leurs communes de l’Union. Il existe donc un lien manifeste entre l’État de droit et la bonne mise en œuvre des investissements publics et privés soutenus par le budget de l’UE.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Quatrièmement, une question importante est de savoir si le prochain budget de</w:t>
      </w:r>
      <w:r>
        <w:rPr>
          <w:rFonts w:ascii="Times New Roman" w:hAnsi="Times New Roman"/>
          <w:noProof/>
          <w:sz w:val="24"/>
        </w:rPr>
        <w:t xml:space="preserve"> l’UE doit comporter, sous une forme ou une autre, une fonction de stabilisation. Le document de réflexion sur l’approfondissement de l’Union économique et monétaire suggère la création d’un mécanisme de stabilisation macroéconomique dès le prochain cadre </w:t>
      </w:r>
      <w:r>
        <w:rPr>
          <w:rFonts w:ascii="Times New Roman" w:hAnsi="Times New Roman"/>
          <w:noProof/>
          <w:sz w:val="24"/>
        </w:rPr>
        <w:t>financier pluriannuel. Son objectif serait de protéger contre les chocs de grande ampleur qui n’ont pas le même impact selon les pays (chocs «asymétriques»). Il pourrait prendre la forme d’un régime de protection des investissements, d’un système de réassu</w:t>
      </w:r>
      <w:r>
        <w:rPr>
          <w:rFonts w:ascii="Times New Roman" w:hAnsi="Times New Roman"/>
          <w:noProof/>
          <w:sz w:val="24"/>
        </w:rPr>
        <w:t>rance pour les régimes nationaux d’assurance chômage ou d’un «fonds pour les mauvais jours». L’accès à un tel mécanisme serait soumis à des conditions claires.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Ces options pourraient être financées par les instruments existants ou par un nouvel instrument.</w:t>
      </w:r>
      <w:r>
        <w:rPr>
          <w:rFonts w:ascii="Times New Roman" w:hAnsi="Times New Roman"/>
          <w:noProof/>
          <w:sz w:val="24"/>
        </w:rPr>
        <w:t xml:space="preserve"> Le débat porte sur la question de savoir si un tel mécanisme de stabilisation devrait être lié à une nouvelle capacité budgétaire exclusivement circonscrite à la zone euro, ou s’il pourrait être pris en charge par le budget de l’UE, étant donné que la zon</w:t>
      </w:r>
      <w:r>
        <w:rPr>
          <w:rFonts w:ascii="Times New Roman" w:hAnsi="Times New Roman"/>
          <w:noProof/>
          <w:sz w:val="24"/>
        </w:rPr>
        <w:t>e euro représente déjà 85 % du PIB de l’UE. Le document de réflexion sur l’approfondissement de l’UEM indique, comme une option possible, que le mécanisme de stabilisation «devrait être élaboré dans le cadre de l’UE et pourrait être ouvert à tous les États</w:t>
      </w:r>
      <w:r>
        <w:rPr>
          <w:rFonts w:ascii="Times New Roman" w:hAnsi="Times New Roman"/>
          <w:noProof/>
          <w:sz w:val="24"/>
        </w:rPr>
        <w:t xml:space="preserve"> membres».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mise en place d’une capacité de stabilisation budgétaire de la zone euro constituerait un apport qualitatif nouveau pour les finances de l’Union. Pour le long terme, le document de réflexion a aussi ouvert le débat sur un véritable budget pou</w:t>
      </w:r>
      <w:r>
        <w:rPr>
          <w:rFonts w:ascii="Times New Roman" w:hAnsi="Times New Roman"/>
          <w:noProof/>
          <w:sz w:val="24"/>
        </w:rPr>
        <w:t xml:space="preserve">r la zone euro, assorti d’objectifs beaucoup plus larges, doté de ressources nettement plus importantes et alimenté par son propre flux de recettes.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Cinquièmement, il est nécessaire d'évoluer vers de nouveaux modèles de croissance durable alliant considér</w:t>
      </w:r>
      <w:r>
        <w:rPr>
          <w:rFonts w:ascii="Times New Roman" w:hAnsi="Times New Roman"/>
          <w:noProof/>
          <w:sz w:val="24"/>
        </w:rPr>
        <w:t>ations économiques, sociales et environnementales dans le cadre d’une approche globale et intégrée. Le succès de cette transition suppose des investissements considérables, principalement dans des infrastructures énergétiques à faible intensité carbonique,</w:t>
      </w:r>
      <w:r>
        <w:rPr>
          <w:rFonts w:ascii="Times New Roman" w:hAnsi="Times New Roman"/>
          <w:noProof/>
          <w:sz w:val="24"/>
        </w:rPr>
        <w:t xml:space="preserve"> tant pour la production ou le transport que pour la distribution. Par exemple, la part des sources d’énergie renouvelables dans la production d’électricité devra pratiquement doubler d’ici 2030 si l’on veut que l’UE respecte ses objectifs en matière d’éne</w:t>
      </w:r>
      <w:r>
        <w:rPr>
          <w:rFonts w:ascii="Times New Roman" w:hAnsi="Times New Roman"/>
          <w:noProof/>
          <w:sz w:val="24"/>
        </w:rPr>
        <w:t xml:space="preserve">rgie et de climat. Le budget de l’UE peut jouer un rôle de catalyseur en stimulant les investissements privés ou publics supplémentaires nécessaires.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Sixièmement, tous les instruments existants devront être passés en revue. Bien que le présent document po</w:t>
      </w:r>
      <w:r>
        <w:rPr>
          <w:rFonts w:ascii="Times New Roman" w:hAnsi="Times New Roman"/>
          <w:noProof/>
          <w:sz w:val="24"/>
        </w:rPr>
        <w:t>rte plus particulièrement sur la réforme des deux grandes politiques de dépenses que sont l’agriculture et la politique de cohésion, aucun programme ou instrument soutenu par le budget de l’UE ne devrait être exempté de l'application du critère de la valeu</w:t>
      </w:r>
      <w:r>
        <w:rPr>
          <w:rFonts w:ascii="Times New Roman" w:hAnsi="Times New Roman"/>
          <w:noProof/>
          <w:sz w:val="24"/>
        </w:rPr>
        <w:t>r ajoutée de l’Union. Nous devons examiner si tous les instruments existants sont indispensables, ou s’il est possible de fusionner ou de clôturer des programmes. Plus important encore, il convient de veiller à la cohérence politique des différents instrum</w:t>
      </w:r>
      <w:r>
        <w:rPr>
          <w:rFonts w:ascii="Times New Roman" w:hAnsi="Times New Roman"/>
          <w:noProof/>
          <w:sz w:val="24"/>
        </w:rPr>
        <w:t xml:space="preserve">ents de l’UE, afin que tous servent les objectifs de l’UE et facilitent les réformes dans les États membres. Par exemple, en matière de financement des PME, les mêmes bénéficiaires peuvent prétendre aux aides dispensées par plusieurs instruments, relevant </w:t>
      </w:r>
      <w:r>
        <w:rPr>
          <w:rFonts w:ascii="Times New Roman" w:hAnsi="Times New Roman"/>
          <w:noProof/>
          <w:sz w:val="24"/>
        </w:rPr>
        <w:t>de différents programmes (COSME, Horizon 2020 et EFSI) ou mis en œuvre par les États membres dans le cadre de la politique de cohésion. Ces chevauchements au niveau de l’offre ont créé chez les intermédiaires financiers une certaine confusion quant au régi</w:t>
      </w:r>
      <w:r>
        <w:rPr>
          <w:rFonts w:ascii="Times New Roman" w:hAnsi="Times New Roman"/>
          <w:noProof/>
          <w:sz w:val="24"/>
        </w:rPr>
        <w:t>me à appliquer. Les règles et les conditions qui s'appliquent à un même domaine d'action devraient être harmonisées.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L’on constate également une concurrence et des effets d’éviction entre les programmes de l’Union, par exemple dans le cas des infrastructur</w:t>
      </w:r>
      <w:r>
        <w:rPr>
          <w:rFonts w:ascii="Times New Roman" w:hAnsi="Times New Roman"/>
          <w:noProof/>
          <w:sz w:val="24"/>
        </w:rPr>
        <w:t>es où, même si les prêts et garanties fournis par l’EFSI sont censés compléter l’instrument d’emprunt du MIE, il ressort de la mise en œuvre de ces instruments que l’introduction de l’EFSI a ralenti le déploiement du MIE et des fonds de la politique de coh</w:t>
      </w:r>
      <w:r>
        <w:rPr>
          <w:rFonts w:ascii="Times New Roman" w:hAnsi="Times New Roman"/>
          <w:noProof/>
          <w:sz w:val="24"/>
        </w:rPr>
        <w:t>ésion.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Septièmement, en matière de politiques extérieures, il pourrait être nécessaire, pour améliorer les résultats, de réduire le nombre d’instruments tout en accroissant leur flexibilité. Cela pourrait aussi faciliter les réallocations internes entre pr</w:t>
      </w:r>
      <w:r>
        <w:rPr>
          <w:rFonts w:ascii="Times New Roman" w:hAnsi="Times New Roman"/>
          <w:noProof/>
          <w:sz w:val="24"/>
        </w:rPr>
        <w:t xml:space="preserve">iorités régionales ou thématiques, s’il faut réagir à une crise à court terme.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L’intégration du Fonds européen de développement (FED) dans le budget de l’Union et le CFP a souvent été débattue, en tant qu’éventuel moyen de renforcer l’unité du budget et l</w:t>
      </w:r>
      <w:r>
        <w:rPr>
          <w:rFonts w:ascii="Times New Roman" w:hAnsi="Times New Roman"/>
          <w:noProof/>
          <w:sz w:val="24"/>
        </w:rPr>
        <w:t>a responsabilité budgétaire. Une telle solution peut aussi présenter des inconvénients, car certaines activités existantes, comme la facilité de paix pour l’Afrique, pourraient ne pas être compatibles avec les règles budgétaires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fait que des Ét</w:t>
      </w:r>
      <w:r>
        <w:rPr>
          <w:rFonts w:ascii="Times New Roman" w:hAnsi="Times New Roman"/>
          <w:noProof/>
          <w:sz w:val="24"/>
        </w:rPr>
        <w:t>ats membres transfèrent des dépenses du budget national vers le budget de l’UE ne devrait pas être vu comme un accroissement net du niveau des dépenses, mais comme une manière de transférer des dépenses nationales existantes vers le budget de l’UE, où elle</w:t>
      </w:r>
      <w:r>
        <w:rPr>
          <w:rFonts w:ascii="Times New Roman" w:hAnsi="Times New Roman"/>
          <w:noProof/>
          <w:sz w:val="24"/>
        </w:rPr>
        <w:t>s devraient en principe générer une plus haute valeur ajoutée. Cela signifie que si, par exemple, le FED devait être intégré au budget de l’UE et au CFP, le volume total du CFP devrait augmenter d’un montant égal au volume du fonds.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Enfin, la bonne mise en</w:t>
      </w:r>
      <w:r>
        <w:rPr>
          <w:rFonts w:ascii="Times New Roman" w:hAnsi="Times New Roman"/>
          <w:noProof/>
          <w:sz w:val="24"/>
        </w:rPr>
        <w:t xml:space="preserve"> œuvre des politiques de l’UE suppose une fonction publique européenne solide et performante. Depuis 2013, les institutions de l’UE tiennent leur engagement de réduction de leurs effectifs, et cela en dépit de l'ajout de nouvelles responsabilités, par exem</w:t>
      </w:r>
      <w:r>
        <w:rPr>
          <w:rFonts w:ascii="Times New Roman" w:hAnsi="Times New Roman"/>
          <w:noProof/>
          <w:sz w:val="24"/>
        </w:rPr>
        <w:t>ple dans la gestion de la crise des réfugiés ou des menaces en matière de sécurité, ou dans les délégations de l’UE à l’étranger. Le futur budget de l’UE devrait donc comporter les dispositions nécessaires à l’existence d’une fonction publique européenne f</w:t>
      </w:r>
      <w:r>
        <w:rPr>
          <w:rFonts w:ascii="Times New Roman" w:hAnsi="Times New Roman"/>
          <w:noProof/>
          <w:sz w:val="24"/>
        </w:rPr>
        <w:t xml:space="preserve">orte, qui attire des jeunes de talent venus de toute l’Union et soit capable d’obtenir des avancées sur les priorités retenues à l’issue de cette réflexion. Les décisions relatives aux politiques et instruments à venir devraient prendre en compte l’impact </w:t>
      </w:r>
      <w:r>
        <w:rPr>
          <w:rFonts w:ascii="Times New Roman" w:hAnsi="Times New Roman"/>
          <w:noProof/>
          <w:sz w:val="24"/>
        </w:rPr>
        <w:t xml:space="preserve">sur les ressources humaines.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nouvelle réduction des effectifs pourrait mettre en péril le bon fonctionnement des institutions de l’UE. Les réformes précédentes ont réduit les salaires, allongé le temps de travail et reculé l’âge de la retraite. De toute évidence, intégrer les inst</w:t>
      </w:r>
      <w:r>
        <w:rPr>
          <w:rFonts w:ascii="Times New Roman" w:hAnsi="Times New Roman"/>
          <w:noProof/>
          <w:sz w:val="24"/>
        </w:rPr>
        <w:t>itutions de l’UE présente de moins en moins d’intérêt aux yeux des jeunes ressortissants d’États membres au revenu par habitant relativement élevé. Les conditions de travail ne sont peut-être qu’un facteur parmi d'autres dans de telles décisions, mais la t</w:t>
      </w:r>
      <w:r>
        <w:rPr>
          <w:rFonts w:ascii="Times New Roman" w:hAnsi="Times New Roman"/>
          <w:noProof/>
          <w:sz w:val="24"/>
        </w:rPr>
        <w:t xml:space="preserve">endance est claire. </w:t>
      </w:r>
    </w:p>
    <w:p w:rsidR="005965AE" w:rsidRDefault="005A1DF6">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4.1.2</w:t>
      </w:r>
      <w:r>
        <w:rPr>
          <w:noProof/>
        </w:rPr>
        <w:tab/>
      </w:r>
      <w:r>
        <w:rPr>
          <w:rFonts w:asciiTheme="majorHAnsi" w:eastAsiaTheme="majorEastAsia" w:hAnsiTheme="majorHAnsi" w:cstheme="majorBidi"/>
          <w:b/>
          <w:noProof/>
          <w:color w:val="4F81BD" w:themeColor="accent1"/>
        </w:rPr>
        <w:t>Réformer la politique agricole commune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La politique agricole commune est une importante source de valeur ajoutée pour les Européens et remplit les objectifs que lui a fixés le traité. Première politique commune de l’UE, elle a be</w:t>
      </w:r>
      <w:r>
        <w:rPr>
          <w:rFonts w:ascii="Times New Roman" w:hAnsi="Times New Roman"/>
          <w:noProof/>
          <w:sz w:val="24"/>
        </w:rPr>
        <w:t>aucoup évolué au fil du temps, à la faveur de plusieurs réformes. Le débat en cours envisage différentes options de réforme pour la rendre plus efficiente et plus équitable, tout en lui permettant de continuer à remplir les mêmes objectifs, consistant à as</w:t>
      </w:r>
      <w:r>
        <w:rPr>
          <w:rFonts w:ascii="Times New Roman" w:hAnsi="Times New Roman"/>
          <w:noProof/>
          <w:sz w:val="24"/>
        </w:rPr>
        <w:t xml:space="preserve">surer une alimentation sûre et saine, la compétitivité du secteur, un niveau de vie équitable pour la population agricole et la protection de nos ressources naturelles, de nos paysages et de notre environnement, ainsi qu'à poursuivre l'action en faveur du </w:t>
      </w:r>
      <w:r>
        <w:rPr>
          <w:rFonts w:ascii="Times New Roman" w:hAnsi="Times New Roman"/>
          <w:noProof/>
          <w:sz w:val="24"/>
        </w:rPr>
        <w:t>climat. L’impact de cette politique va au-delà de la stabilisation du revenu des agriculteurs. Néanmoins, de nombreuses zones rurales s’estiment laissées pour compte. Les appels se multiplient pour que la politique agricole commune mette davantage l’accent</w:t>
      </w:r>
      <w:r>
        <w:rPr>
          <w:rFonts w:ascii="Times New Roman" w:hAnsi="Times New Roman"/>
          <w:noProof/>
          <w:sz w:val="24"/>
        </w:rPr>
        <w:t xml:space="preserve"> sur la fourniture de biens publics, tels que l'approvisionnement en denrées alimentaires sûres et saines, la gestion des nutriments, la réaction au changement climatique, la protection de l’environnement et la contribution à l’économie circulaire.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tra</w:t>
      </w:r>
      <w:r>
        <w:rPr>
          <w:rFonts w:ascii="Times New Roman" w:hAnsi="Times New Roman"/>
          <w:noProof/>
          <w:sz w:val="24"/>
        </w:rPr>
        <w:t>vaux de modernisation et de simplification de la PAC se poursuivent. Parmi les options débattues, il est proposé de mieux cibler les paiements directs afin d’assurer un revenu à tous les agriculteurs de l’UE, surtout dans les zones périphériques et dans le</w:t>
      </w:r>
      <w:r>
        <w:rPr>
          <w:rFonts w:ascii="Times New Roman" w:hAnsi="Times New Roman"/>
          <w:noProof/>
          <w:sz w:val="24"/>
        </w:rPr>
        <w:t>s exploitations les plus pauvres. Ce type de solution pourrait comporter une réduction des paiements directs aux grandes exploitations.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solution à creuser serait l’introduction d’une part de cofinancement national pour les paiements directs, afin de ma</w:t>
      </w:r>
      <w:r>
        <w:rPr>
          <w:rFonts w:ascii="Times New Roman" w:hAnsi="Times New Roman"/>
          <w:noProof/>
          <w:sz w:val="24"/>
        </w:rPr>
        <w:t>intenir le niveau global de soutien actuel. Des outils de gestion des risques pourraient être envisagés pour faire face aux crises. Toute modification devrait préserver l’un des atouts essentiels de cette politique: la préservation d’un marché intérieur pe</w:t>
      </w:r>
      <w:r>
        <w:rPr>
          <w:rFonts w:ascii="Times New Roman" w:hAnsi="Times New Roman"/>
          <w:noProof/>
          <w:sz w:val="24"/>
        </w:rPr>
        <w:t>rformant, assurant des conditions de concurrence équitables à tous les producteurs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Des communautés rurales viables sont nécessaires pour garantir le développement durable de la grande majorité du territoire de l’UE. Dans ce contexte, des marges de</w:t>
      </w:r>
      <w:r>
        <w:rPr>
          <w:rFonts w:ascii="Times New Roman" w:hAnsi="Times New Roman"/>
          <w:noProof/>
          <w:sz w:val="24"/>
        </w:rPr>
        <w:t xml:space="preserve"> manœuvre existent pour améliorer et renforcer les synergies avec d’autres fonds. Une solution consisterait à rationaliser l’action menée par les différents fonds structurels en zone rurale et à éliminer les chevauchements.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Il est possible d’améliorer enc</w:t>
      </w:r>
      <w:r>
        <w:rPr>
          <w:rFonts w:ascii="Times New Roman" w:hAnsi="Times New Roman"/>
          <w:noProof/>
          <w:sz w:val="24"/>
        </w:rPr>
        <w:t xml:space="preserve">ore les résultats de cette politique en incitant davantage les agriculteurs à fournir des biens et des services publics en relation avec l’environnement et le climat. Les agriculteurs devraient être encouragés à investir dans des technologies nouvelles et </w:t>
      </w:r>
      <w:r>
        <w:rPr>
          <w:rFonts w:ascii="Times New Roman" w:hAnsi="Times New Roman"/>
          <w:noProof/>
          <w:sz w:val="24"/>
        </w:rPr>
        <w:t xml:space="preserve">dans la protection de l’environnement, dans le cadre de la politique de développement rural, par des mesures incitatives s'appuyant sur des contrats. La charge administrative actuelle s’en trouverait allégée pour tous les agriculteurs. </w:t>
      </w:r>
    </w:p>
    <w:p w:rsidR="005965AE" w:rsidRDefault="005A1DF6">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noProof/>
          <w:color w:val="4F81BD" w:themeColor="accent1"/>
        </w:rPr>
        <w:t>4.1.3</w:t>
      </w:r>
      <w:r>
        <w:rPr>
          <w:noProof/>
        </w:rPr>
        <w:tab/>
      </w:r>
      <w:r>
        <w:rPr>
          <w:rFonts w:asciiTheme="majorHAnsi" w:eastAsiaTheme="majorEastAsia" w:hAnsiTheme="majorHAnsi" w:cstheme="majorBidi"/>
          <w:b/>
          <w:noProof/>
          <w:color w:val="4F81BD" w:themeColor="accent1"/>
        </w:rPr>
        <w:t xml:space="preserve">Réformer la </w:t>
      </w:r>
      <w:r>
        <w:rPr>
          <w:rFonts w:asciiTheme="majorHAnsi" w:eastAsiaTheme="majorEastAsia" w:hAnsiTheme="majorHAnsi" w:cstheme="majorBidi"/>
          <w:b/>
          <w:noProof/>
          <w:color w:val="4F81BD" w:themeColor="accent1"/>
        </w:rPr>
        <w:t>politique de cohésion</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Plusieurs options différentes seraient susceptibles d'accroître l'efficacité de la politique de cohésion et de maximiser l’impact de ses investissements.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Premièrement, il serait possible de lui conférer plus de souplesse pour lui per</w:t>
      </w:r>
      <w:r>
        <w:rPr>
          <w:rFonts w:ascii="Times New Roman" w:hAnsi="Times New Roman"/>
          <w:noProof/>
          <w:sz w:val="24"/>
        </w:rPr>
        <w:t>mettre de relever de nouveaux défis, par exemple en laissant une partie de ses capacités sans affectation. De la même manière, un Fonds européen d'ajustement à la mondialisation plus souple, capable de soutenir un plus large éventail de mesures économiques</w:t>
      </w:r>
      <w:r>
        <w:rPr>
          <w:rFonts w:ascii="Times New Roman" w:hAnsi="Times New Roman"/>
          <w:noProof/>
          <w:sz w:val="24"/>
        </w:rPr>
        <w:t xml:space="preserve"> et sociales, gagnerait en efficience s’il était rattaché plus étroitement à la politique de cohésion. Il contribuerait aussi à la flexibilité globale du budget de l’UE.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Deuxièmement, il convient d’accélérer la mise en œuvre de la politique de cohésion et</w:t>
      </w:r>
      <w:r>
        <w:rPr>
          <w:rFonts w:ascii="Times New Roman" w:hAnsi="Times New Roman"/>
          <w:noProof/>
          <w:sz w:val="24"/>
        </w:rPr>
        <w:t xml:space="preserve"> de faciliter la transition entre les périodes de programmation. Un certain nombre de mesures pourraient être envisagées, telles que l’adoption de règles de dégagement plus strictes, l'accélération des procédures de clôture des programmes et la définition </w:t>
      </w:r>
      <w:r>
        <w:rPr>
          <w:rFonts w:ascii="Times New Roman" w:hAnsi="Times New Roman"/>
          <w:noProof/>
          <w:sz w:val="24"/>
        </w:rPr>
        <w:t xml:space="preserve">de procédures plus rapides et plus souples pour la désignation des autorités de gestion et la programmation.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Troisièmement, les problèmes de capacité administrative et de qualité des institutions nuisent à la compétitivité, limitent l’efficacité des inves</w:t>
      </w:r>
      <w:r>
        <w:rPr>
          <w:rFonts w:ascii="Times New Roman" w:hAnsi="Times New Roman"/>
          <w:noProof/>
          <w:sz w:val="24"/>
        </w:rPr>
        <w:t>tissements et constituent de sérieuses entraves à la croissance. Le budget de l’UE devrait mettre davantage l'accent sur le renforcement des capacités administratives pour les principaux domaines d’investissement bénéficiant de financements de l’UE. De nou</w:t>
      </w:r>
      <w:r>
        <w:rPr>
          <w:rFonts w:ascii="Times New Roman" w:hAnsi="Times New Roman"/>
          <w:noProof/>
          <w:sz w:val="24"/>
        </w:rPr>
        <w:t xml:space="preserve">velles approches en matière de renforcement des capacités administratives pourraient être explorées, telles une meilleure coordination des instruments disponibles et une participation plus étroite de la Commission. L’initiative prise en faveur des régions </w:t>
      </w:r>
      <w:r>
        <w:rPr>
          <w:rFonts w:ascii="Times New Roman" w:hAnsi="Times New Roman"/>
          <w:noProof/>
          <w:sz w:val="24"/>
        </w:rPr>
        <w:t>en retard de développement dans le cadre de la politique de cohésion a constitué à cet égard un exercice pilote important, dont les aspects les plus porteurs pourraient être développés.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Quatrièmement, il conviendrait de relever les niveaux de cofinancement</w:t>
      </w:r>
      <w:r>
        <w:rPr>
          <w:rFonts w:ascii="Times New Roman" w:hAnsi="Times New Roman"/>
          <w:noProof/>
          <w:sz w:val="24"/>
        </w:rPr>
        <w:t xml:space="preserve"> national de la politique de cohésion, afin de mieux les calibrer en fonction des pays et des régions et de renforcer l’implication et la prise de responsabilités. Il convient par ailleurs de se demander si les fonds de la politique de cohésion devraient ê</w:t>
      </w:r>
      <w:r>
        <w:rPr>
          <w:rFonts w:ascii="Times New Roman" w:hAnsi="Times New Roman"/>
          <w:noProof/>
          <w:sz w:val="24"/>
        </w:rPr>
        <w:t>tre accessibles aux pays et régions les plus développés.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Cinquièmement, un fonds d’investissement unique, ou un corpus unique de règles pour les fonds existants renforcerait la cohérence des investissements et simplifierait la vie des bénéficiaires. La coh</w:t>
      </w:r>
      <w:r>
        <w:rPr>
          <w:rFonts w:ascii="Times New Roman" w:hAnsi="Times New Roman"/>
          <w:noProof/>
          <w:sz w:val="24"/>
        </w:rPr>
        <w:t>érence peut aussi être améliorée par un corpus de règles unique pour la politique de cohésion et les autres instruments de financement comportant des programmes ou des projets de même type. Ce serait un gage de plus grande complémentarité, par exemple entr</w:t>
      </w:r>
      <w:r>
        <w:rPr>
          <w:rFonts w:ascii="Times New Roman" w:hAnsi="Times New Roman"/>
          <w:noProof/>
          <w:sz w:val="24"/>
        </w:rPr>
        <w:t>e la politique de cohésion et Horizon 2020 ou le mécanisme pour l’interconnexion en Europe.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Sixièmement, le système actuel d’allocation des fonds pourrait être révisé. De nouveaux critères pourraient y être ajoutés, en lien par exemple avec les défis auxqu</w:t>
      </w:r>
      <w:r>
        <w:rPr>
          <w:rFonts w:ascii="Times New Roman" w:hAnsi="Times New Roman"/>
          <w:noProof/>
          <w:sz w:val="24"/>
        </w:rPr>
        <w:t xml:space="preserve">els est confrontée l’Europe, de la démographie au chômage et de l’inclusion sociale aux migrations, en passant par l’innovation et le changement climatique. </w:t>
      </w:r>
    </w:p>
    <w:p w:rsidR="005965AE" w:rsidRDefault="005A1DF6">
      <w:pPr>
        <w:pStyle w:val="Heading2"/>
        <w:rPr>
          <w:noProof/>
        </w:rPr>
      </w:pPr>
      <w:r>
        <w:rPr>
          <w:noProof/>
        </w:rPr>
        <w:t>4.2</w:t>
      </w:r>
      <w:r>
        <w:rPr>
          <w:noProof/>
        </w:rPr>
        <w:tab/>
        <w:t>Comment devrait fonctionner le futur budget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Une fois définies les missions conférées </w:t>
      </w:r>
      <w:r>
        <w:rPr>
          <w:rFonts w:ascii="Times New Roman" w:hAnsi="Times New Roman"/>
          <w:noProof/>
          <w:sz w:val="24"/>
        </w:rPr>
        <w:t>au budget, il y a lieu d’intégrer dans sa conception un certain nombre de facteurs.</w:t>
      </w:r>
    </w:p>
    <w:p w:rsidR="005965AE" w:rsidRDefault="005A1DF6">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i/>
          <w:noProof/>
        </w:rPr>
      </w:pPr>
      <w:r>
        <w:rPr>
          <w:i/>
          <w:noProof/>
        </w:rPr>
        <w:t xml:space="preserve">Encadré 4 – Principes de réforme </w:t>
      </w:r>
    </w:p>
    <w:p w:rsidR="005965AE" w:rsidRDefault="005965AE">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s>
        <w:spacing w:after="240" w:line="240" w:lineRule="auto"/>
        <w:jc w:val="both"/>
        <w:rPr>
          <w:rFonts w:ascii="Times New Roman" w:eastAsia="Times New Roman" w:hAnsi="Times New Roman" w:cs="Times New Roman"/>
          <w:noProof/>
          <w:sz w:val="24"/>
          <w:szCs w:val="20"/>
        </w:rPr>
      </w:pPr>
      <w:r>
        <w:rPr>
          <w:rFonts w:ascii="Times New Roman" w:hAnsi="Times New Roman"/>
          <w:noProof/>
          <w:sz w:val="24"/>
        </w:rPr>
        <w:t>La conception du futur budget de l’UE devrait obéir aux grands principes suivants:</w:t>
      </w:r>
    </w:p>
    <w:p w:rsidR="005965AE" w:rsidRDefault="005A1DF6">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0"/>
        </w:rPr>
      </w:pPr>
      <w:r>
        <w:rPr>
          <w:rFonts w:ascii="Times New Roman" w:hAnsi="Times New Roman"/>
          <w:b/>
          <w:noProof/>
          <w:sz w:val="24"/>
        </w:rPr>
        <w:t>Valeur ajoutée de l'UE:</w:t>
      </w:r>
      <w:r>
        <w:rPr>
          <w:rFonts w:ascii="Times New Roman" w:hAnsi="Times New Roman"/>
          <w:noProof/>
          <w:sz w:val="24"/>
        </w:rPr>
        <w:t xml:space="preserve"> les financements devraient se concentrer sur les domaines où la valeur ajoutée est la plus forte, en tenant compte des différentes dimensions évoquées dans la section 2, telles que la focalisation sur les résultats. </w:t>
      </w:r>
    </w:p>
    <w:p w:rsidR="005965AE" w:rsidRDefault="005A1DF6">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Obligation de rendre compte: </w:t>
      </w:r>
      <w:r>
        <w:rPr>
          <w:rFonts w:ascii="Times New Roman" w:hAnsi="Times New Roman"/>
          <w:noProof/>
          <w:sz w:val="24"/>
        </w:rPr>
        <w:t xml:space="preserve">le débat </w:t>
      </w:r>
      <w:r>
        <w:rPr>
          <w:rFonts w:ascii="Times New Roman" w:hAnsi="Times New Roman"/>
          <w:noProof/>
          <w:sz w:val="24"/>
        </w:rPr>
        <w:t>sur le futur budget de l’UE sera un processus démocratique et transparent. Le recours à des instruments supplémentaires hors budget devrait se limiter au minimum, car il perturbe la lecture du budget et constitue un risque pour le contrôle démocratique, la</w:t>
      </w:r>
      <w:r>
        <w:rPr>
          <w:rFonts w:ascii="Times New Roman" w:hAnsi="Times New Roman"/>
          <w:noProof/>
          <w:sz w:val="24"/>
        </w:rPr>
        <w:t xml:space="preserve"> transparence et la bonne gestion. </w:t>
      </w:r>
    </w:p>
    <w:p w:rsidR="005965AE" w:rsidRDefault="005A1DF6">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Plus de souplesse dans un cadre stable: </w:t>
      </w:r>
      <w:r>
        <w:rPr>
          <w:rFonts w:ascii="Times New Roman" w:hAnsi="Times New Roman"/>
          <w:noProof/>
          <w:sz w:val="24"/>
        </w:rPr>
        <w:t>la structure pluriannuelle du budget de l’UE est un atout. La sécurité et la prévisibilité sont en effet des préalables indispensables à l’investissement à long terme. Toutefois, l</w:t>
      </w:r>
      <w:r>
        <w:rPr>
          <w:rFonts w:ascii="Times New Roman" w:hAnsi="Times New Roman"/>
          <w:noProof/>
          <w:sz w:val="24"/>
        </w:rPr>
        <w:t xml:space="preserve">’expérience a montré l’importance d’une plus grande flexibilité pour faire face aux crises et aux événements imprévus. Cela devrait se traduire par une structure plus souple, dans le cadre de laquelle une part plus importante du budget devrait rester sans </w:t>
      </w:r>
      <w:r>
        <w:rPr>
          <w:rFonts w:ascii="Times New Roman" w:hAnsi="Times New Roman"/>
          <w:noProof/>
          <w:sz w:val="24"/>
        </w:rPr>
        <w:t>affectation.</w:t>
      </w:r>
    </w:p>
    <w:p w:rsidR="005965AE" w:rsidRDefault="005A1DF6">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Des règles simplifiées:</w:t>
      </w:r>
      <w:r>
        <w:rPr>
          <w:rFonts w:ascii="Times New Roman" w:hAnsi="Times New Roman"/>
          <w:noProof/>
          <w:sz w:val="24"/>
        </w:rPr>
        <w:t xml:space="preserve"> les citoyens ne devraient pas être dissuadés de solliciter des financements de l’UE par une bureaucratie excessive. Il convient donc de poursuivre les efforts de réduction des formalités administratives et de simplifica</w:t>
      </w:r>
      <w:r>
        <w:rPr>
          <w:rFonts w:ascii="Times New Roman" w:hAnsi="Times New Roman"/>
          <w:noProof/>
          <w:sz w:val="24"/>
        </w:rPr>
        <w:t xml:space="preserve">tion des règles de mise en œuvre. Le fait de tendre vers un </w:t>
      </w:r>
      <w:r>
        <w:rPr>
          <w:rFonts w:ascii="Times New Roman" w:hAnsi="Times New Roman"/>
          <w:b/>
          <w:noProof/>
          <w:sz w:val="24"/>
        </w:rPr>
        <w:t>corpus unique de règles</w:t>
      </w:r>
      <w:r>
        <w:rPr>
          <w:rFonts w:ascii="Times New Roman" w:hAnsi="Times New Roman"/>
          <w:noProof/>
          <w:sz w:val="24"/>
        </w:rPr>
        <w:t xml:space="preserve"> contribuerait à ce processus.</w:t>
      </w:r>
    </w:p>
    <w:p w:rsidR="005965AE" w:rsidRDefault="005A1DF6">
      <w:pPr>
        <w:pStyle w:val="Heading3"/>
        <w:rPr>
          <w:noProof/>
        </w:rPr>
      </w:pPr>
      <w:r>
        <w:rPr>
          <w:noProof/>
        </w:rPr>
        <w:t>4.2.1</w:t>
      </w:r>
      <w:r>
        <w:rPr>
          <w:noProof/>
        </w:rPr>
        <w:tab/>
        <w:t>Stabilité et flexibilité</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Il est nécessaire de trouver un juste équilibre entre stabilité et flexibilité des financements.</w:t>
      </w:r>
    </w:p>
    <w:p w:rsidR="005965AE" w:rsidRDefault="005A1DF6">
      <w:pPr>
        <w:spacing w:after="240" w:line="240" w:lineRule="auto"/>
        <w:jc w:val="both"/>
        <w:rPr>
          <w:rFonts w:ascii="Times New Roman" w:eastAsia="Times New Roman" w:hAnsi="Times New Roman" w:cs="Times New Roman"/>
          <w:noProof/>
          <w:sz w:val="24"/>
          <w:szCs w:val="24"/>
        </w:rPr>
      </w:pPr>
      <w:r>
        <w:rPr>
          <w:rFonts w:ascii="Times New Roman" w:hAnsi="Times New Roman"/>
          <w:noProof/>
          <w:sz w:val="24"/>
        </w:rPr>
        <w:t>L’un des facte</w:t>
      </w:r>
      <w:r>
        <w:rPr>
          <w:rFonts w:ascii="Times New Roman" w:hAnsi="Times New Roman"/>
          <w:noProof/>
          <w:sz w:val="24"/>
        </w:rPr>
        <w:t xml:space="preserve">urs influant sur cet équilibre est </w:t>
      </w:r>
      <w:r>
        <w:rPr>
          <w:rFonts w:ascii="Times New Roman" w:hAnsi="Times New Roman"/>
          <w:b/>
          <w:noProof/>
          <w:sz w:val="24"/>
        </w:rPr>
        <w:t>la durée</w:t>
      </w:r>
      <w:r>
        <w:rPr>
          <w:rFonts w:ascii="Times New Roman" w:hAnsi="Times New Roman"/>
          <w:noProof/>
          <w:sz w:val="24"/>
        </w:rPr>
        <w:t xml:space="preserve"> du cadre financier. Les CFP précédents se sont presque toujours étendus sur plus de sept ans, une durée de cinq ans constituant aujourd’hui le minimum prescrit par le traité. La plupart des États membres, des régions et des parties prenantes sont donc hab</w:t>
      </w:r>
      <w:r>
        <w:rPr>
          <w:rFonts w:ascii="Times New Roman" w:hAnsi="Times New Roman"/>
          <w:noProof/>
          <w:sz w:val="24"/>
        </w:rPr>
        <w:t>itués à fonctionner à l’intérieur de ce cycle. Ramener à cinq ans la durée actuelle de sept ans rendrait les financements moins prévisibles. Cette mesure pourrait poser un problème, en particulier, pour les investissements qui nécessitent plus de temps. El</w:t>
      </w:r>
      <w:r>
        <w:rPr>
          <w:rFonts w:ascii="Times New Roman" w:hAnsi="Times New Roman"/>
          <w:noProof/>
          <w:sz w:val="24"/>
        </w:rPr>
        <w:t>le aurait aussi pour conséquence que l'élaboration de chaque CFP devrait commencer dès le début du précédent, ce qui réduirait encore la possibilité d’en tirer des enseignements pour l’avenir. Les institutions pourraient être en permanence en mode de négoc</w:t>
      </w:r>
      <w:r>
        <w:rPr>
          <w:rFonts w:ascii="Times New Roman" w:hAnsi="Times New Roman"/>
          <w:noProof/>
          <w:sz w:val="24"/>
        </w:rPr>
        <w:t xml:space="preserve">iation.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Pour ce qui est des aspects positifs, en revanche, une durée plus courte permettrait aussi plus de flexibilité et faciliterait l’adaptation à des évolutions imprévues. En outre, une durée de cinq ans correspondrait aux mandats du Parlement europée</w:t>
      </w:r>
      <w:r>
        <w:rPr>
          <w:rFonts w:ascii="Times New Roman" w:hAnsi="Times New Roman"/>
          <w:noProof/>
          <w:sz w:val="24"/>
        </w:rPr>
        <w:t>n et de la Commission, ce qui renforcerait le débat démocratique sur les priorités de dépenses de l’UE et placerait plus clairement le budget de l’UE au centre des politiques européennes.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autre possibilité serait la mise en place d’un CFP de 5 + 5 ans,</w:t>
      </w:r>
      <w:r>
        <w:rPr>
          <w:rFonts w:ascii="Times New Roman" w:hAnsi="Times New Roman"/>
          <w:noProof/>
          <w:sz w:val="24"/>
        </w:rPr>
        <w:t xml:space="preserve"> avec révision obligatoire à mi-parcours pour adapter le cadre à de nouvelles priorités. Toutefois, cette option imposerait d'abord de fixer les plafonds et les bases juridiques du CFP pour l’intégralité des dix années. Par rapport au système actuel de nég</w:t>
      </w:r>
      <w:r>
        <w:rPr>
          <w:rFonts w:ascii="Times New Roman" w:hAnsi="Times New Roman"/>
          <w:noProof/>
          <w:sz w:val="24"/>
        </w:rPr>
        <w:t xml:space="preserve">ociation des nouveaux CFP, cela pourrait fortement décourager l'adoption à mi-parcours de modifications plus importantes.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Il existe d’autres moyens d’assurer la flexibilité voulue. L’expérience de ces dernières années a montré les limites de la structure </w:t>
      </w:r>
      <w:r>
        <w:rPr>
          <w:rFonts w:ascii="Times New Roman" w:hAnsi="Times New Roman"/>
          <w:noProof/>
          <w:sz w:val="24"/>
        </w:rPr>
        <w:t>actuelle en termes d'adaptation à des besoins imprévus. L’une des raisons en est que les dépenses sont strictement cantonnées à certaines catégories et qu’il n’est donc pas facile de redéployer des fonds entre différentes rubriques du budget. Une autre rai</w:t>
      </w:r>
      <w:r>
        <w:rPr>
          <w:rFonts w:ascii="Times New Roman" w:hAnsi="Times New Roman"/>
          <w:noProof/>
          <w:sz w:val="24"/>
        </w:rPr>
        <w:t>son est le grand nombre de programmes et de lignes budgétaires différents qui ont vu le jour au fil du temps, ce qui s’est traduit par un nombre important d’instruments différents et de fréquents chevauchements entre ceux-ci.</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manque de souplesse des fin</w:t>
      </w:r>
      <w:r>
        <w:rPr>
          <w:rFonts w:ascii="Times New Roman" w:hAnsi="Times New Roman"/>
          <w:noProof/>
          <w:sz w:val="24"/>
        </w:rPr>
        <w:t>ances de l’UE est également dû au fait qu’environ 80 % du CFP sont spécifiquement préalloués à certains domaines d'action, à certains États membres ou à certaines enveloppes de dépenses pour des pays tiers. Les mécanismes actuels de transfert rapide de cré</w:t>
      </w:r>
      <w:r>
        <w:rPr>
          <w:rFonts w:ascii="Times New Roman" w:hAnsi="Times New Roman"/>
          <w:noProof/>
          <w:sz w:val="24"/>
        </w:rPr>
        <w:t>dits à de nouvelles priorités, ou d'un exercice à l'autre, ont permis certaines adaptations. Mais les marges de manœuvre existantes ne permettraient pas de relever les défis connus et de faire face à des aléas futurs d’ampleur comparable dans un environnem</w:t>
      </w:r>
      <w:r>
        <w:rPr>
          <w:rFonts w:ascii="Times New Roman" w:hAnsi="Times New Roman"/>
          <w:noProof/>
          <w:sz w:val="24"/>
        </w:rPr>
        <w:t>ent instable. Une solution pourrait consister à mettre de côté, dans chaque programme de dépenses, une part, souvent appelée «réserve non programmée», qui resterait disponible pour faire face aux imprévus.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En outre, une «réserve de crise» financée par les </w:t>
      </w:r>
      <w:r>
        <w:rPr>
          <w:rFonts w:ascii="Times New Roman" w:hAnsi="Times New Roman"/>
          <w:noProof/>
          <w:sz w:val="24"/>
        </w:rPr>
        <w:t>crédits non utilisés d’exercices précédents pourrait constituer une force de frappe supplémentaire dans des circonstances exceptionnelles, et un Fonds d’ajustement à la mondialisation plus performant pourrait également accroître la flexibilité. L’Union pou</w:t>
      </w:r>
      <w:r>
        <w:rPr>
          <w:rFonts w:ascii="Times New Roman" w:hAnsi="Times New Roman"/>
          <w:noProof/>
          <w:sz w:val="24"/>
        </w:rPr>
        <w:t xml:space="preserve">rrait ainsi soutenir davantage l'adaptation structurelle de zones frappées par les effets de la mondialisation et du changement technologique. </w:t>
      </w:r>
    </w:p>
    <w:p w:rsidR="005965AE" w:rsidRDefault="005A1DF6">
      <w:pPr>
        <w:pStyle w:val="Heading3"/>
        <w:rPr>
          <w:noProof/>
        </w:rPr>
      </w:pPr>
      <w:r>
        <w:rPr>
          <w:noProof/>
        </w:rPr>
        <w:t>4.2.2</w:t>
      </w:r>
      <w:r>
        <w:rPr>
          <w:noProof/>
        </w:rPr>
        <w:tab/>
        <w:t>Instruments financiers et architecture financière générale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part importante de la flexibilité d</w:t>
      </w:r>
      <w:r>
        <w:rPr>
          <w:rFonts w:ascii="Times New Roman" w:hAnsi="Times New Roman"/>
          <w:noProof/>
          <w:sz w:val="24"/>
        </w:rPr>
        <w:t>ont peuvent se prévaloir les finances de l’UE est liée aux institutions et instruments qui complètent le budget, tels que la Banque européenne d’investissement, le Fonds européen de développement, les fonds fiduciaires de l’Union européenne et d’autres méc</w:t>
      </w:r>
      <w:r>
        <w:rPr>
          <w:rFonts w:ascii="Times New Roman" w:hAnsi="Times New Roman"/>
          <w:noProof/>
          <w:sz w:val="24"/>
        </w:rPr>
        <w:t>anismes.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instruments financiers tels que les apports de fonds propres, les prêts et les garanties peuvent jouer un rôle important en permettant à l’UE de «faire plus avec moins» grâce à l’effet de levier de son budget, notamment en période de contraintes budgét</w:t>
      </w:r>
      <w:r>
        <w:rPr>
          <w:rFonts w:ascii="Times New Roman" w:hAnsi="Times New Roman"/>
          <w:noProof/>
          <w:sz w:val="24"/>
        </w:rPr>
        <w:t xml:space="preserve">aires. Le Fonds européen pour les investissements stratégiques créé récemment en est un bon exemple.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 succès de ces instruments repose sur une stratégie claire et sur un ensemble de critères permettant de déterminer les outils les plus adaptés aux besoi</w:t>
      </w:r>
      <w:r>
        <w:rPr>
          <w:rFonts w:ascii="Times New Roman" w:hAnsi="Times New Roman"/>
          <w:noProof/>
          <w:sz w:val="24"/>
        </w:rPr>
        <w:t>ns du marché, aux bénéficiaires et aux objectifs visés. Les instruments financiers ne sont adaptés qu’aux projets générateurs de recettes. Les aides et subventions resteront donc nécessaires pour les projets qui ne génèrent pas de recettes, par exemple dan</w:t>
      </w:r>
      <w:r>
        <w:rPr>
          <w:rFonts w:ascii="Times New Roman" w:hAnsi="Times New Roman"/>
          <w:noProof/>
          <w:sz w:val="24"/>
        </w:rPr>
        <w:t xml:space="preserve">s le domaine de la recherche fondamentale, pour certains types de programmes d’infrastructure ou pour les investissements dans les personnes, tels que les bourses Erasmus ou Marie Curie.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 xml:space="preserve">Le nombre d’instruments financiers existant au niveau de l’UE et de </w:t>
      </w:r>
      <w:r>
        <w:rPr>
          <w:rFonts w:ascii="Times New Roman" w:hAnsi="Times New Roman"/>
          <w:noProof/>
          <w:sz w:val="24"/>
        </w:rPr>
        <w:t xml:space="preserve">règles les régissant est un obstacle à leur utilisation optimale. Pour y remédier, une solution pourrait consister à les intégrer à un fonds unique qui accorderait des prêts, des garanties et des instruments de partage des risques (associés le cas échéant </w:t>
      </w:r>
      <w:r>
        <w:rPr>
          <w:rFonts w:ascii="Times New Roman" w:hAnsi="Times New Roman"/>
          <w:noProof/>
          <w:sz w:val="24"/>
        </w:rPr>
        <w:t>à des subventions de l’UE) en fonction des projets et de la possibilité pour différentes politiques (recherche, innovation, environnement, soutien aux PME, infrastructures, notamment pour l’efficacité énergétique, etc.) de répondre à différents objectifs.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L’Europe peut faire plus pour assurer aux entreprises des conditions propices à leur croissance. Le financement des entreprises de taille intermédiaire et des PME au-delà de la phase de démarrage reste difficile, et beaucoup d’entrepreneurs quittent l’Euro</w:t>
      </w:r>
      <w:r>
        <w:rPr>
          <w:rFonts w:ascii="Times New Roman" w:hAnsi="Times New Roman"/>
          <w:noProof/>
          <w:sz w:val="24"/>
        </w:rPr>
        <w:t>pe à la recherche d’investissements en capital adaptés à leurs besoins. À cette fin, la Commission a lancé en 2016 un Fonds paneuropéen de fonds de capital-risque de 1,6 milliard d’euros, qui deviendra opérationnel en 2017. Cette approche pourrait être dév</w:t>
      </w:r>
      <w:r>
        <w:rPr>
          <w:rFonts w:ascii="Times New Roman" w:hAnsi="Times New Roman"/>
          <w:noProof/>
          <w:sz w:val="24"/>
        </w:rPr>
        <w:t>eloppée en vue de fournir un financement stable aux projets ou aux entreprises en pleine phase de développement.</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Il devrait exister une complémentarité entre ces nouveaux instruments financiers opérant au niveau de l’UE et les prêts, garanties et instrumen</w:t>
      </w:r>
      <w:r>
        <w:rPr>
          <w:rFonts w:ascii="Times New Roman" w:hAnsi="Times New Roman"/>
          <w:noProof/>
          <w:sz w:val="24"/>
        </w:rPr>
        <w:t>ts de capitaux propres gérés par les États membres dans le cadre de la politique de cohésion. Cette complémentarité devrait être garantie par une coordination en amont et une délimitation plus claire des interventions.</w:t>
      </w:r>
    </w:p>
    <w:p w:rsidR="005965AE" w:rsidRDefault="005A1DF6">
      <w:pPr>
        <w:pStyle w:val="Heading3"/>
        <w:rPr>
          <w:noProof/>
        </w:rPr>
      </w:pPr>
      <w:r>
        <w:rPr>
          <w:noProof/>
        </w:rPr>
        <w:t>4.2.3</w:t>
      </w:r>
      <w:r>
        <w:rPr>
          <w:noProof/>
        </w:rPr>
        <w:tab/>
        <w:t>Simplifier, focaliser sur la pe</w:t>
      </w:r>
      <w:r>
        <w:rPr>
          <w:noProof/>
        </w:rPr>
        <w:t>rformance et gérer efficacement le budget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Des règles bien conçues sont essentielles pour que les fonds de l’UE soient dépensés à bon escient et que l’argent du contribuable soit préservé. L’excès de formalités peut compromettre l’obtention de résul</w:t>
      </w:r>
      <w:r>
        <w:rPr>
          <w:rFonts w:ascii="Times New Roman" w:hAnsi="Times New Roman"/>
          <w:noProof/>
          <w:sz w:val="24"/>
        </w:rPr>
        <w:t>tats et décourager les citoyens et les entreprises de tirer tout le parti possible du budget de l’UE.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Des mesures importantes ont déjà été prises pour simplifier ce budget, mais il est possible d'aller encore plus loin en réduisant la complexité des règles</w:t>
      </w:r>
      <w:r>
        <w:rPr>
          <w:rFonts w:ascii="Times New Roman" w:hAnsi="Times New Roman"/>
          <w:noProof/>
          <w:sz w:val="24"/>
        </w:rPr>
        <w:t xml:space="preserve">. Cette simplification serait souhaitable dans de nombreux domaines de dépenses, surtout dans ceux où la difficulté de se conformer aux exigences en matière de rapports et de suivi est cause d’importants retards dans l’exécution des projets. La complexité </w:t>
      </w:r>
      <w:r>
        <w:rPr>
          <w:rFonts w:ascii="Times New Roman" w:hAnsi="Times New Roman"/>
          <w:noProof/>
          <w:sz w:val="24"/>
        </w:rPr>
        <w:t>des règles entraîne un surcroît d’erreurs et de coûts pour les bénéficiaires finaux et augmente le risque qu’elles ne soient pas respectées. Il est manifestement nécessaire de fusionner les programmes qui visent des objectifs similaires, par exemple en mat</w:t>
      </w:r>
      <w:r>
        <w:rPr>
          <w:rFonts w:ascii="Times New Roman" w:hAnsi="Times New Roman"/>
          <w:noProof/>
          <w:sz w:val="24"/>
        </w:rPr>
        <w:t>ière d’efficacité énergétique ou de citoyenneté. De même, dans le domaine des politiques extérieures, il pourrait être opportun de réduire le nombre d’instruments et, dans le même temps, d’accroître leur flexibilité, en supprimant toute barrière artificiel</w:t>
      </w:r>
      <w:r>
        <w:rPr>
          <w:rFonts w:ascii="Times New Roman" w:hAnsi="Times New Roman"/>
          <w:noProof/>
          <w:sz w:val="24"/>
        </w:rPr>
        <w:t>le entre priorités régionales ou thématiques.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Une solution pourrait consister à élaborer un «corpus réglementaire unique» régissant tous les processus et instruments, ou à appliquer les mêmes règles et conditions aux mêmes types de projets. Ce pourrait êtr</w:t>
      </w:r>
      <w:r>
        <w:rPr>
          <w:rFonts w:ascii="Times New Roman" w:hAnsi="Times New Roman"/>
          <w:noProof/>
          <w:sz w:val="24"/>
        </w:rPr>
        <w:t>e l’occasion de simplifier et de réduire radicalement les formalités administratives, ce qui améliorerait la visibilité et renforcerait la cohérence entre les différents investissements de l’UE. La charge administrative des bénéficiaires s’en trouverait al</w:t>
      </w:r>
      <w:r>
        <w:rPr>
          <w:rFonts w:ascii="Times New Roman" w:hAnsi="Times New Roman"/>
          <w:noProof/>
          <w:sz w:val="24"/>
        </w:rPr>
        <w:t>légée, puisqu’ils n'auraient plus à se conformer à des règles différentes pour un même type d’investissement selon la source de financement. Ce qui importe effectivement aux yeux des récipiendaires est la simplicité des règles, non la source de financement</w:t>
      </w:r>
      <w:r>
        <w:rPr>
          <w:rFonts w:ascii="Times New Roman" w:hAnsi="Times New Roman"/>
          <w:noProof/>
          <w:sz w:val="24"/>
        </w:rPr>
        <w:t xml:space="preserv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rPr>
        <w:t>Dans le même ordre d’idées, l’exécution du budget devrait être axée sur l’optimisation des performances, en termes de croissance économique et de valeur ajoutée, pour chaque euro dépensé. Bien que des progrès considérables aient été accomplis sur ce fro</w:t>
      </w:r>
      <w:r>
        <w:rPr>
          <w:rFonts w:ascii="Times New Roman" w:hAnsi="Times New Roman"/>
          <w:noProof/>
          <w:sz w:val="24"/>
        </w:rPr>
        <w:t>nt, le cadre actuel de prise en compte des performances, qui est constitué d’une multitude de textes législatifs différents, est complexe, ce qui rend plus difficiles l’évaluation et la communication des progrès accomplis et des résultats.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En outre, il est</w:t>
      </w:r>
      <w:r>
        <w:rPr>
          <w:rFonts w:ascii="Times New Roman" w:hAnsi="Times New Roman"/>
          <w:noProof/>
          <w:sz w:val="24"/>
        </w:rPr>
        <w:t xml:space="preserve"> nécessaire de rétablir la confiance entre les différentes institutions, en évoluant vers des contrôles proportionnés, qui dépendent des volumes, mais aussi de la fiabilité des institutions et de l’efficacité des systèmes de gestion et de contrôle. Un mouv</w:t>
      </w:r>
      <w:r>
        <w:rPr>
          <w:rFonts w:ascii="Times New Roman" w:hAnsi="Times New Roman"/>
          <w:noProof/>
          <w:sz w:val="24"/>
        </w:rPr>
        <w:t xml:space="preserve">ement clair dans cette direction permettrait aussi aux États membres (et à la Commission) de rationaliser les systèmes de gestion et les mécanismes institutionnels correspondants; la multiplication de systèmes institutionnels propres à chaque fonds est un </w:t>
      </w:r>
      <w:r>
        <w:rPr>
          <w:rFonts w:ascii="Times New Roman" w:hAnsi="Times New Roman"/>
          <w:noProof/>
          <w:sz w:val="24"/>
        </w:rPr>
        <w:t>luxe sans doute inabordable. Dans les États membres, en particulier, il serait possible d’obtenir d’importants gains d’efficience institutionnelle et de réduire le coût administratif de la gestion des programmes. Le recours à toutes les compétences du Parq</w:t>
      </w:r>
      <w:r>
        <w:rPr>
          <w:rFonts w:ascii="Times New Roman" w:hAnsi="Times New Roman"/>
          <w:noProof/>
          <w:sz w:val="24"/>
        </w:rPr>
        <w:t>uet européen peut contribuer à la simplification et à des gains d’efficience dans la protection du budget de l’UE.</w:t>
      </w:r>
    </w:p>
    <w:p w:rsidR="005965AE" w:rsidRDefault="005A1DF6">
      <w:pPr>
        <w:pStyle w:val="Heading2"/>
        <w:keepNext/>
        <w:rPr>
          <w:noProof/>
        </w:rPr>
      </w:pPr>
      <w:r>
        <w:rPr>
          <w:noProof/>
        </w:rPr>
        <w:t>4.3</w:t>
      </w:r>
      <w:r>
        <w:rPr>
          <w:noProof/>
        </w:rPr>
        <w:tab/>
        <w:t>Des recettes pour financer les politiques de l’Union</w:t>
      </w:r>
    </w:p>
    <w:p w:rsidR="005965AE" w:rsidRDefault="005A1DF6">
      <w:pPr>
        <w:keepNext/>
        <w:spacing w:after="240" w:line="240" w:lineRule="auto"/>
        <w:jc w:val="both"/>
        <w:rPr>
          <w:rFonts w:ascii="Times New Roman" w:eastAsia="Calibri" w:hAnsi="Times New Roman"/>
          <w:bCs/>
          <w:noProof/>
          <w:sz w:val="24"/>
          <w:szCs w:val="24"/>
        </w:rPr>
      </w:pPr>
      <w:r>
        <w:rPr>
          <w:rFonts w:ascii="Times New Roman" w:hAnsi="Times New Roman"/>
          <w:noProof/>
          <w:sz w:val="24"/>
        </w:rPr>
        <w:t>Il existe un lien étroit entre les décisions d’utilisation du budget de l’UE et le c</w:t>
      </w:r>
      <w:r>
        <w:rPr>
          <w:rFonts w:ascii="Times New Roman" w:hAnsi="Times New Roman"/>
          <w:noProof/>
          <w:sz w:val="24"/>
        </w:rPr>
        <w:t xml:space="preserve">hoix de son mode de financement. </w:t>
      </w:r>
    </w:p>
    <w:p w:rsidR="005965AE" w:rsidRDefault="005A1DF6">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La réflexion entamée sur la réforme des dépenses budgétaires de l’UE devrait donc s’accompagner d’une analyse critique de son mode de financement, le système des ressources propres, et sur la manière dont ce système pourra</w:t>
      </w:r>
      <w:r>
        <w:rPr>
          <w:rFonts w:ascii="Times New Roman" w:hAnsi="Times New Roman"/>
          <w:noProof/>
          <w:sz w:val="24"/>
        </w:rPr>
        <w:t xml:space="preserve">it être réformé afin d’être plus performant et de mieux soutenir les politiques. L’approche qui préside actuellement à ce financement est excessivement complexe, opaque et encombrée de mécanismes de correction complexes. Il conviendrait de mettre en place </w:t>
      </w:r>
      <w:r>
        <w:rPr>
          <w:rFonts w:ascii="Times New Roman" w:hAnsi="Times New Roman"/>
          <w:noProof/>
          <w:sz w:val="24"/>
        </w:rPr>
        <w:t>pour l’avenir un système simple, équitable et transparent.</w:t>
      </w:r>
    </w:p>
    <w:p w:rsidR="005965AE" w:rsidRDefault="005A1DF6">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Le débat déjà ancien sur les recettes du budget de l’UE est centré sur un rattachement plus visible des ressources propres aux principales politiques de l’UE, en particulier au marché unique et à l</w:t>
      </w:r>
      <w:r>
        <w:rPr>
          <w:rFonts w:ascii="Times New Roman" w:hAnsi="Times New Roman"/>
          <w:noProof/>
          <w:sz w:val="24"/>
        </w:rPr>
        <w:t>a croissance durable, et sur une simplification du système. Dans un monde idéal, les ressources propres de l’UE découleraient d’une politique clé de l’UE ayant une valeur ajoutée européenne visible, seraient considérées comme équitables et financeraient un</w:t>
      </w:r>
      <w:r>
        <w:rPr>
          <w:rFonts w:ascii="Times New Roman" w:hAnsi="Times New Roman"/>
          <w:noProof/>
          <w:sz w:val="24"/>
        </w:rPr>
        <w:t xml:space="preserve">e part importante et stable du budget de l’UE. La ressource propre traditionnelle que sont les droits de douane en constitue un bon exemple. </w:t>
      </w:r>
    </w:p>
    <w:p w:rsidR="005965AE" w:rsidRDefault="005A1DF6">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Il existe de nombreuses sources possibles de financement du budget de l’UE (le graphique 15 présente les sources l</w:t>
      </w:r>
      <w:r>
        <w:rPr>
          <w:rFonts w:ascii="Times New Roman" w:hAnsi="Times New Roman"/>
          <w:noProof/>
          <w:sz w:val="24"/>
        </w:rPr>
        <w:t>es plus souvent citées), mais aucune ne pourrait à elle seule remplir tous les critères jugés nécessaires pour une ressource propre: Certaines peuvent procurer des revenus stables et importants et conduire à une véritable restructuration du côté des recett</w:t>
      </w:r>
      <w:r>
        <w:rPr>
          <w:rFonts w:ascii="Times New Roman" w:hAnsi="Times New Roman"/>
          <w:noProof/>
          <w:sz w:val="24"/>
        </w:rPr>
        <w:t>es. D'autres, tout en assurant des recettes plus modestes, pourraient être plus pertinentes ou acceptables sur un plan politique, en particulier si elles accompagnent des objectifs politiques prioritaires tels que la décarbonation de l’économie européenne,</w:t>
      </w:r>
      <w:r>
        <w:rPr>
          <w:rFonts w:ascii="Times New Roman" w:hAnsi="Times New Roman"/>
          <w:noProof/>
          <w:sz w:val="24"/>
        </w:rPr>
        <w:t xml:space="preserve"> l’approfondissement du marché unique et de l’Union économique et monétaire ou le financement de nouvelles priorités. </w:t>
      </w:r>
    </w:p>
    <w:p w:rsidR="005965AE" w:rsidRDefault="005A1DF6">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En définitive, le meilleur choix dépendra des principaux objectifs de la future réforme et de la question de savoir si un volume ciblé du</w:t>
      </w:r>
      <w:r>
        <w:rPr>
          <w:rFonts w:ascii="Times New Roman" w:hAnsi="Times New Roman"/>
          <w:noProof/>
          <w:sz w:val="24"/>
        </w:rPr>
        <w:t xml:space="preserve"> budget de l’UE doit être financé par de nouvelles ressources propres. </w:t>
      </w:r>
    </w:p>
    <w:p w:rsidR="005965AE" w:rsidRDefault="005965AE">
      <w:pPr>
        <w:spacing w:after="240" w:line="240" w:lineRule="auto"/>
        <w:jc w:val="both"/>
        <w:rPr>
          <w:rFonts w:ascii="Times New Roman" w:eastAsia="Calibri" w:hAnsi="Times New Roman" w:cs="Times New Roman"/>
          <w:noProof/>
          <w:sz w:val="24"/>
          <w:szCs w:val="28"/>
        </w:rPr>
      </w:pPr>
    </w:p>
    <w:p w:rsidR="005965AE" w:rsidRDefault="005A1DF6">
      <w:pPr>
        <w:spacing w:after="240" w:line="240" w:lineRule="auto"/>
        <w:jc w:val="both"/>
        <w:rPr>
          <w:rFonts w:eastAsia="Calibri"/>
          <w:noProof/>
          <w:szCs w:val="28"/>
          <w:u w:val="single"/>
        </w:rPr>
      </w:pPr>
      <w:r>
        <w:rPr>
          <w:b/>
          <w:noProof/>
          <w:u w:val="single"/>
        </w:rPr>
        <w:t>Les sources de revenus – un éventail d'options</w:t>
      </w:r>
    </w:p>
    <w:p w:rsidR="005965AE" w:rsidRDefault="005A1DF6">
      <w:pPr>
        <w:spacing w:after="240" w:line="240" w:lineRule="auto"/>
        <w:jc w:val="both"/>
        <w:rPr>
          <w:rFonts w:asciiTheme="majorHAnsi" w:eastAsia="EC Square Sans Pro" w:hAnsiTheme="majorHAnsi" w:cs="Times New Roman"/>
          <w:b/>
          <w:bCs/>
          <w:noProof/>
          <w:color w:val="365F91" w:themeColor="accent1" w:themeShade="BF"/>
          <w:sz w:val="24"/>
          <w:szCs w:val="28"/>
        </w:rPr>
      </w:pPr>
      <w:r>
        <w:rPr>
          <w:noProof/>
          <w:lang w:val="en-GB" w:eastAsia="en-GB"/>
        </w:rPr>
        <w:drawing>
          <wp:inline distT="0" distB="0" distL="0" distR="0">
            <wp:extent cx="4972050"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72050" cy="1428750"/>
                    </a:xfrm>
                    <a:prstGeom prst="rect">
                      <a:avLst/>
                    </a:prstGeom>
                  </pic:spPr>
                </pic:pic>
              </a:graphicData>
            </a:graphic>
          </wp:inline>
        </w:drawing>
      </w:r>
    </w:p>
    <w:p w:rsidR="005965AE" w:rsidRDefault="005A1DF6">
      <w:pPr>
        <w:spacing w:after="240" w:line="240" w:lineRule="auto"/>
        <w:jc w:val="both"/>
        <w:rPr>
          <w:rFonts w:ascii="Times New Roman" w:eastAsia="Calibri" w:hAnsi="Times New Roman" w:cs="Times New Roman"/>
          <w:noProof/>
          <w:sz w:val="24"/>
          <w:szCs w:val="28"/>
        </w:rPr>
      </w:pPr>
      <w:r>
        <w:rPr>
          <w:rFonts w:ascii="Times New Roman" w:hAnsi="Times New Roman"/>
          <w:noProof/>
          <w:sz w:val="24"/>
        </w:rPr>
        <w:t xml:space="preserve">Contrairement à ce que l’on affirme souvent, de nouvelles ressources propres n’entraîneraient pas nécessairement d’augmentation du </w:t>
      </w:r>
      <w:r>
        <w:rPr>
          <w:rFonts w:ascii="Times New Roman" w:hAnsi="Times New Roman"/>
          <w:noProof/>
          <w:sz w:val="24"/>
        </w:rPr>
        <w:t xml:space="preserve">volume du budget de l’UE. Les décisions relatives au niveau des dépenses sont prises dans le contexte du cadre financier pluriannuel, et la décision d’augmenter ou non les niveaux de dépenses actuels devra être prise en fonction du résultat des réflexions </w:t>
      </w:r>
      <w:r>
        <w:rPr>
          <w:rFonts w:ascii="Times New Roman" w:hAnsi="Times New Roman"/>
          <w:noProof/>
          <w:sz w:val="24"/>
        </w:rPr>
        <w:t>en cours. À niveau de dépenses inchangé, de nouvelles ressources propres réduiraient automatiquement la part de la ressource propre fondée sur le RNB, qui joue le rôle de ressource résiduelle et permet de combler d'éventuels déficits dans la couverture des</w:t>
      </w:r>
      <w:r>
        <w:rPr>
          <w:rFonts w:ascii="Times New Roman" w:hAnsi="Times New Roman"/>
          <w:noProof/>
          <w:sz w:val="24"/>
        </w:rPr>
        <w:t xml:space="preserve"> dépenses de l’UE, en fonction de l’évolution des autres ressources propres. Le rapport récemment publié par le groupe à haut niveau sur les ressources propres, mis en place par le Parlement européen, le Conseil et la Commission et présidé par Mario Monti</w:t>
      </w:r>
      <w:r>
        <w:rPr>
          <w:rStyle w:val="FootnoteReference"/>
          <w:rFonts w:ascii="Times New Roman" w:hAnsi="Times New Roman"/>
          <w:noProof/>
          <w:sz w:val="24"/>
        </w:rPr>
        <w:footnoteReference w:id="8"/>
      </w:r>
      <w:r>
        <w:rPr>
          <w:rFonts w:ascii="Times New Roman" w:hAnsi="Times New Roman"/>
          <w:noProof/>
          <w:sz w:val="24"/>
        </w:rPr>
        <w:t>, a fourni une analyse exhaustive de ces questions et évalué un certain nombre de sources possibles de recettes à l'aune des critères les plus pertinents (équité, efficience, stabilité, transparence, focalisation sur la valeur ajoutée européenne, responsab</w:t>
      </w:r>
      <w:r>
        <w:rPr>
          <w:rFonts w:ascii="Times New Roman" w:hAnsi="Times New Roman"/>
          <w:noProof/>
          <w:sz w:val="24"/>
        </w:rPr>
        <w:t>ilité démocratique). Des avancées en matière de coordination fiscale, notamment en ce qui concerne la fiscalité des entreprises et la taxation des transactions financières, faciliteraient la mise en place de certaines formes de ressources propres. En fonct</w:t>
      </w:r>
      <w:r>
        <w:rPr>
          <w:rFonts w:ascii="Times New Roman" w:hAnsi="Times New Roman"/>
          <w:noProof/>
          <w:sz w:val="24"/>
        </w:rPr>
        <w:t>ion du débat en cours, plusieurs pistes pourraient être envisagées pour réformer le système actuel.</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Calibri" w:hAnsi="Times New Roman" w:cs="Times New Roman"/>
          <w:i/>
          <w:noProof/>
          <w:sz w:val="24"/>
          <w:szCs w:val="28"/>
        </w:rPr>
      </w:pPr>
      <w:r>
        <w:rPr>
          <w:rFonts w:ascii="Times New Roman" w:hAnsi="Times New Roman"/>
          <w:i/>
          <w:noProof/>
          <w:sz w:val="24"/>
        </w:rPr>
        <w:t>Encadré 5 – Options pour un système de «ressources propres»</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L’actuelle ressource propre TVA pourrait être réformée et simplifiée. Une solution extrême consisterait à purement et simplement la supprimer. </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Avec le départ du Royaume-Uni, le rabais qui a été accordé comme une concession à ce pays deviendra caduc. I</w:t>
      </w:r>
      <w:r>
        <w:rPr>
          <w:rFonts w:ascii="Times New Roman" w:hAnsi="Times New Roman"/>
          <w:noProof/>
          <w:sz w:val="24"/>
        </w:rPr>
        <w:t>l en ira de même des rabais accordés sur la part du Royaume-Uni. Les autres rabais expireront à la fin de 2020. La suppression des rabais ouvrirait la voie à une simplification substantielle du système des recettes. Idéalement, une réforme en profondeur de</w:t>
      </w:r>
      <w:r>
        <w:rPr>
          <w:rFonts w:ascii="Times New Roman" w:hAnsi="Times New Roman"/>
          <w:noProof/>
          <w:sz w:val="24"/>
        </w:rPr>
        <w:t>s politiques de l’UE, axée sur la plus forte valeur ajoutée, devrait rendre tout rabais inutile.</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Toute nouvelle ressource propre devrait être conçue de manière non seulement à financer une partie du budget de l’UE, mais aussi à accompagner ses principale</w:t>
      </w:r>
      <w:r>
        <w:rPr>
          <w:rFonts w:ascii="Times New Roman" w:hAnsi="Times New Roman"/>
          <w:noProof/>
          <w:sz w:val="24"/>
        </w:rPr>
        <w:t>s politiques. Des taxes énergétiques ou environnementales communes pourraient par exemple être mises en place pour garantir des conditions de concurrence équitables entre les entreprises et contribuer à la lutte internationale contre le changement climatiq</w:t>
      </w:r>
      <w:r>
        <w:rPr>
          <w:rFonts w:ascii="Times New Roman" w:hAnsi="Times New Roman"/>
          <w:noProof/>
          <w:sz w:val="24"/>
        </w:rPr>
        <w:t xml:space="preserve">ue. </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De même, un pourcentage de l’assiette commune de l’impôt sur les sociétés ou de la taxe sur les transactions financières pourrait être consacré au renforcement du marché unique, à la prise en compte des avantages du marché intérieur pour les grandes</w:t>
      </w:r>
      <w:r>
        <w:rPr>
          <w:rFonts w:ascii="Times New Roman" w:hAnsi="Times New Roman"/>
          <w:noProof/>
          <w:sz w:val="24"/>
        </w:rPr>
        <w:t xml:space="preserve"> entreprises et au renforcement de la lutte contre la fraude et l’évasion fiscales. </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 xml:space="preserve">– Avec l’approfondissement à venir de l’Union économique et monétaire, les recettes de seigneuriage (c’est-à-dire de l'émission de monnaie) pourraient à long terme servir </w:t>
      </w:r>
      <w:r>
        <w:rPr>
          <w:rFonts w:ascii="Times New Roman" w:hAnsi="Times New Roman"/>
          <w:noProof/>
          <w:sz w:val="24"/>
        </w:rPr>
        <w:t>de base pour une ressource propre de l’UE.</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Les sommes résultant directement des politiques et compétences de l’UE pourraient être considérées comme des recettes pour son budget; ce pourrait par exemple être le cas, à long terme, du produit des enchères d</w:t>
      </w:r>
      <w:r>
        <w:rPr>
          <w:rFonts w:ascii="Times New Roman" w:hAnsi="Times New Roman" w:cs="Times New Roman"/>
          <w:noProof/>
          <w:sz w:val="24"/>
          <w:szCs w:val="24"/>
        </w:rPr>
        <w:t>u système d’échange de quotas d’émission, des primes sur les émissions de véhicules et, à plus long terme, des frais acquittés par les personnes franchissant une frontière de l’UE dans le cadre du futur système européen d’autorisation et d’information conc</w:t>
      </w:r>
      <w:r>
        <w:rPr>
          <w:rFonts w:ascii="Times New Roman" w:hAnsi="Times New Roman" w:cs="Times New Roman"/>
          <w:noProof/>
          <w:sz w:val="24"/>
          <w:szCs w:val="24"/>
        </w:rPr>
        <w:t xml:space="preserve">ernant les voyages, ou tous frais similaires. </w:t>
      </w:r>
    </w:p>
    <w:p w:rsidR="005965AE" w:rsidRDefault="005A1DF6">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La mise en place de nouvelles ressources devrait tenir compte de leur transparence, de leur simplicité, de leur stabilité, de leur compatibilité avec les objectifs politiques de l’Union, de leur impact sur l</w:t>
      </w:r>
      <w:r>
        <w:rPr>
          <w:rFonts w:ascii="Times New Roman" w:hAnsi="Times New Roman"/>
          <w:noProof/>
          <w:sz w:val="24"/>
        </w:rPr>
        <w:t xml:space="preserve">a compétitivité et la croissance durable et de leur répartition équitable entre États membres. </w:t>
      </w:r>
    </w:p>
    <w:p w:rsidR="005965AE" w:rsidRDefault="005A1DF6">
      <w:pPr>
        <w:spacing w:after="240" w:line="240" w:lineRule="auto"/>
        <w:jc w:val="both"/>
        <w:rPr>
          <w:rFonts w:ascii="Times New Roman" w:hAnsi="Times New Roman" w:cs="Times New Roman"/>
          <w:noProof/>
          <w:sz w:val="20"/>
          <w:szCs w:val="24"/>
          <w:u w:val="single"/>
        </w:rPr>
      </w:pPr>
      <w:r>
        <w:rPr>
          <w:rFonts w:ascii="Times New Roman" w:hAnsi="Times New Roman"/>
          <w:noProof/>
          <w:sz w:val="20"/>
          <w:u w:val="single"/>
        </w:rPr>
        <w:t>Source: Commission européenne</w:t>
      </w:r>
    </w:p>
    <w:p w:rsidR="005965AE" w:rsidRDefault="005965AE">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p>
    <w:p w:rsidR="005965AE" w:rsidRDefault="005A1DF6">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rPr>
      </w:pPr>
      <w:r>
        <w:rPr>
          <w:rFonts w:asciiTheme="majorHAnsi" w:hAnsiTheme="majorHAnsi"/>
          <w:b/>
          <w:noProof/>
          <w:color w:val="365F91" w:themeColor="accent1" w:themeShade="BF"/>
          <w:sz w:val="24"/>
        </w:rPr>
        <w:t>4.4</w:t>
      </w:r>
      <w:r>
        <w:rPr>
          <w:noProof/>
        </w:rPr>
        <w:tab/>
      </w:r>
      <w:r>
        <w:rPr>
          <w:rFonts w:asciiTheme="majorHAnsi" w:hAnsiTheme="majorHAnsi"/>
          <w:b/>
          <w:noProof/>
          <w:color w:val="365F91" w:themeColor="accent1" w:themeShade="BF"/>
          <w:sz w:val="24"/>
        </w:rPr>
        <w:t>La voie à suivre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Les options qui ont été présentées dans cette section pour les futures finances de l’UE sont variées et de nature différente. Elles concernent les domaines auxquels devraient être consacrées les dépenses budgétaires de l’UE, les modalités de financement du</w:t>
      </w:r>
      <w:r>
        <w:rPr>
          <w:rFonts w:ascii="Times New Roman" w:hAnsi="Times New Roman"/>
          <w:noProof/>
          <w:sz w:val="24"/>
        </w:rPr>
        <w:t xml:space="preserve"> budget, les réformes qu’il conviendrait de mener dans certaines politiques clés, et la manière dont le budget lui-même devrait être structuré et organisé.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Tous ces aspects imbriqués doivent être envisagés conjointement lors de l’examen des scénarios poss</w:t>
      </w:r>
      <w:r>
        <w:rPr>
          <w:rFonts w:ascii="Times New Roman" w:hAnsi="Times New Roman"/>
          <w:noProof/>
          <w:sz w:val="24"/>
        </w:rPr>
        <w:t>ibles pour le futur budget de l’UE, qui sont abordés dans la section suivante</w:t>
      </w:r>
      <w:r>
        <w:rPr>
          <w:rFonts w:ascii="Times New Roman" w:eastAsia="Calibri" w:hAnsi="Times New Roman" w:cs="Times New Roman"/>
          <w:noProof/>
          <w:sz w:val="24"/>
          <w:szCs w:val="24"/>
        </w:rPr>
        <w:t xml:space="preserve">. </w:t>
      </w:r>
    </w:p>
    <w:p w:rsidR="005965AE" w:rsidRDefault="005A1DF6">
      <w:pPr>
        <w:rPr>
          <w:rFonts w:ascii="Times New Roman" w:eastAsia="Calibri" w:hAnsi="Times New Roman"/>
          <w:noProof/>
          <w:sz w:val="24"/>
        </w:rPr>
      </w:pPr>
      <w:r>
        <w:rPr>
          <w:rFonts w:ascii="Times New Roman" w:eastAsia="Calibri" w:hAnsi="Times New Roman"/>
          <w:noProof/>
          <w:sz w:val="24"/>
        </w:rPr>
        <w:br w:type="page"/>
      </w:r>
    </w:p>
    <w:p w:rsidR="005965AE" w:rsidRDefault="005965AE">
      <w:pPr>
        <w:rPr>
          <w:rFonts w:ascii="Times New Roman" w:eastAsia="Calibri" w:hAnsi="Times New Roman" w:cstheme="majorBidi"/>
          <w:b/>
          <w:bCs/>
          <w:noProof/>
          <w:color w:val="365F91" w:themeColor="accent1" w:themeShade="BF"/>
          <w:sz w:val="24"/>
          <w:szCs w:val="28"/>
          <w:lang w:eastAsia="en-GB"/>
        </w:rPr>
      </w:pPr>
    </w:p>
    <w:p w:rsidR="005965AE" w:rsidRDefault="005A1DF6">
      <w:pPr>
        <w:pStyle w:val="Heading1"/>
        <w:spacing w:before="120" w:after="240"/>
        <w:ind w:left="709" w:hanging="709"/>
        <w:rPr>
          <w:noProof/>
        </w:rPr>
      </w:pPr>
      <w:r>
        <w:rPr>
          <w:noProof/>
        </w:rPr>
        <w:t xml:space="preserve">5. </w:t>
      </w:r>
      <w:r>
        <w:rPr>
          <w:noProof/>
        </w:rPr>
        <w:tab/>
        <w:t>SCÉNARIOS POSSIBLES POUR L’UE-27</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Le livre blanc présente cinq scénarios indicatifs, dont les implications pour les finances de l’UE diffèrent en termes de volume du budget, de structure et de degré de changement/modernisation. Des combinaisons de scénarios sont possibles et différents élé</w:t>
      </w:r>
      <w:r>
        <w:rPr>
          <w:rFonts w:ascii="Times New Roman" w:hAnsi="Times New Roman"/>
          <w:noProof/>
          <w:sz w:val="24"/>
          <w:szCs w:val="24"/>
        </w:rPr>
        <w:t xml:space="preserve">ments de conception sont compatibles; en effet, les options et scénarios ne sont ni complètement distincts, ni mutuellement exclusifs.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Certains aspects horizontaux sont valables pour tous les scénarios: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Il s’agit premièrement de faire en sorte que les res</w:t>
      </w:r>
      <w:r>
        <w:rPr>
          <w:rFonts w:ascii="Times New Roman" w:hAnsi="Times New Roman"/>
          <w:noProof/>
          <w:sz w:val="24"/>
          <w:szCs w:val="24"/>
        </w:rPr>
        <w:t>sources de l’UE soient dépensées avec une efficacité optimale: les dépenses devraient cibler des programmes dont la valeur ajoutée européenne est démontrée et qui sont conçus pour produire des résultats moyennant un coût minimal. La performance devrait êtr</w:t>
      </w:r>
      <w:r>
        <w:rPr>
          <w:rFonts w:ascii="Times New Roman" w:hAnsi="Times New Roman"/>
          <w:noProof/>
          <w:sz w:val="24"/>
          <w:szCs w:val="24"/>
        </w:rPr>
        <w:t xml:space="preserve">e un critère essentiel pour la prochaine génération de programmes.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Deuxièmement, pour répondre au vœu unanime des États membres et des bénéficiaires de fonds de l’UE, la simplification est l’autre facteur de modernisation du budget de l’UE que l’on retrou</w:t>
      </w:r>
      <w:r>
        <w:rPr>
          <w:rFonts w:ascii="Times New Roman" w:hAnsi="Times New Roman"/>
          <w:noProof/>
          <w:sz w:val="24"/>
          <w:szCs w:val="24"/>
        </w:rPr>
        <w:t>ve dans chaque scénario. Il convient d’assurer la cohérence globale et la complémentarité entre les différents programmes et instruments et d’éviter les chevauchements dès la phase de conception. Pour simplifier la mise en œuvre, les mêmes règles devraient</w:t>
      </w:r>
      <w:r>
        <w:rPr>
          <w:rFonts w:ascii="Times New Roman" w:hAnsi="Times New Roman"/>
          <w:noProof/>
          <w:sz w:val="24"/>
          <w:szCs w:val="24"/>
        </w:rPr>
        <w:t xml:space="preserve"> dans la mesure du possible s’appliquer à toutes les interventions d’un type donné, afin de tendre vers un corpus réglementaire unique.</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Les processus en cours visant à moderniser les politiques et les programmes existants se poursuivraient, par exemple en </w:t>
      </w:r>
      <w:r>
        <w:rPr>
          <w:rFonts w:ascii="Times New Roman" w:hAnsi="Times New Roman"/>
          <w:noProof/>
          <w:sz w:val="24"/>
          <w:szCs w:val="24"/>
        </w:rPr>
        <w:t>ce qui concerne la politique agricole commune, la politique de cohésion, le programme de recherche et d’autres. Les programmes moins performants pourraient être abandonnés ou intégrés ailleurs.</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Troisièmement, tous les scénarios doivent intégrer la soupless</w:t>
      </w:r>
      <w:r>
        <w:rPr>
          <w:rFonts w:ascii="Times New Roman" w:hAnsi="Times New Roman"/>
          <w:noProof/>
          <w:sz w:val="24"/>
          <w:szCs w:val="24"/>
        </w:rPr>
        <w:t>e indispensable pour permettre de réagir à des évolutions importantes inattendues ou à des besoins imprévus. Certains instruments spéciaux du budget de l’UE se sont révélés déterminants pour faire face aux défis de la migration et de la sécurité dans le ca</w:t>
      </w:r>
      <w:r>
        <w:rPr>
          <w:rFonts w:ascii="Times New Roman" w:hAnsi="Times New Roman"/>
          <w:noProof/>
          <w:sz w:val="24"/>
          <w:szCs w:val="24"/>
        </w:rPr>
        <w:t xml:space="preserve">dre du CFP actuel. Il sera peut-être nécessaire de les rationaliser et de les renforcer afin de doter les programmes de dépenses d’une souplesse intrinsèque accrue.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Enfin, les rabais sur les contributions des États membres devraient être supprimés dans to</w:t>
      </w:r>
      <w:r>
        <w:rPr>
          <w:rFonts w:ascii="Times New Roman" w:hAnsi="Times New Roman"/>
          <w:noProof/>
          <w:sz w:val="24"/>
          <w:szCs w:val="24"/>
        </w:rPr>
        <w:t>us les scénarios. De même, l’établissement de rapports sur les soldes nets serait abandonné, ou la méthode à suivre serait nettement améliorée afin de mieux tenir compte de la réalité, et le traitement national des contributions au budget de l’UE serait ha</w:t>
      </w:r>
      <w:r>
        <w:rPr>
          <w:rFonts w:ascii="Times New Roman" w:hAnsi="Times New Roman"/>
          <w:noProof/>
          <w:sz w:val="24"/>
          <w:szCs w:val="24"/>
        </w:rPr>
        <w:t xml:space="preserve">rmonisé. </w:t>
      </w:r>
    </w:p>
    <w:p w:rsidR="005965AE" w:rsidRDefault="005A1DF6">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Dans cette logique, il existe cinq options de base pour l’avenir des finances de l’UE: </w:t>
      </w:r>
    </w:p>
    <w:p w:rsidR="005965AE" w:rsidRDefault="005A1DF6">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szCs w:val="24"/>
        </w:rPr>
        <w:t>S’inscrire dans la continuité</w:t>
      </w:r>
      <w:r>
        <w:rPr>
          <w:rFonts w:ascii="Times New Roman" w:hAnsi="Times New Roman"/>
          <w:noProof/>
          <w:sz w:val="24"/>
          <w:szCs w:val="24"/>
        </w:rPr>
        <w:t>: L’UE-27 continue à mettre en œuvre son programme de réformes positives.</w:t>
      </w:r>
    </w:p>
    <w:p w:rsidR="005965AE" w:rsidRDefault="005A1DF6">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szCs w:val="24"/>
        </w:rPr>
        <w:t>Faire moins ensemble</w:t>
      </w:r>
      <w:r>
        <w:rPr>
          <w:rFonts w:ascii="Times New Roman" w:hAnsi="Times New Roman"/>
          <w:noProof/>
          <w:sz w:val="24"/>
          <w:szCs w:val="24"/>
        </w:rPr>
        <w:t>: l’UE-27 réduit le nombre d’action</w:t>
      </w:r>
      <w:r>
        <w:rPr>
          <w:rFonts w:ascii="Times New Roman" w:hAnsi="Times New Roman"/>
          <w:noProof/>
          <w:sz w:val="24"/>
          <w:szCs w:val="24"/>
        </w:rPr>
        <w:t>s communes dans tous les domaines d’action.</w:t>
      </w:r>
    </w:p>
    <w:p w:rsidR="005965AE" w:rsidRDefault="005A1DF6">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hAnsi="Times New Roman"/>
          <w:b/>
          <w:noProof/>
          <w:sz w:val="24"/>
          <w:szCs w:val="24"/>
        </w:rPr>
        <w:t xml:space="preserve">Certains font plus: </w:t>
      </w:r>
      <w:r>
        <w:rPr>
          <w:rFonts w:ascii="Times New Roman" w:hAnsi="Times New Roman"/>
          <w:noProof/>
          <w:sz w:val="24"/>
          <w:szCs w:val="24"/>
        </w:rPr>
        <w:t>l’UE-27 permet à des groupes d’États membres d’aller de l’avant dans des domaines spécifiques.</w:t>
      </w:r>
    </w:p>
    <w:p w:rsidR="005965AE" w:rsidRDefault="005A1DF6">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hAnsi="Times New Roman"/>
          <w:b/>
          <w:noProof/>
          <w:sz w:val="24"/>
          <w:szCs w:val="24"/>
        </w:rPr>
        <w:t xml:space="preserve">Réforme radicale: </w:t>
      </w:r>
      <w:r>
        <w:rPr>
          <w:rFonts w:ascii="Times New Roman" w:hAnsi="Times New Roman"/>
          <w:noProof/>
          <w:sz w:val="24"/>
          <w:szCs w:val="24"/>
        </w:rPr>
        <w:t>l’UE-27 agit davantage dans certains domaines mais réduit son action dans les a</w:t>
      </w:r>
      <w:r>
        <w:rPr>
          <w:rFonts w:ascii="Times New Roman" w:hAnsi="Times New Roman"/>
          <w:noProof/>
          <w:sz w:val="24"/>
          <w:szCs w:val="24"/>
        </w:rPr>
        <w:t>utres domaines.</w:t>
      </w:r>
    </w:p>
    <w:p w:rsidR="005965AE" w:rsidRPr="005A1DF6" w:rsidRDefault="005A1DF6" w:rsidP="005A1DF6">
      <w:pPr>
        <w:numPr>
          <w:ilvl w:val="0"/>
          <w:numId w:val="6"/>
        </w:numPr>
        <w:spacing w:after="0" w:line="240" w:lineRule="auto"/>
        <w:contextualSpacing/>
        <w:jc w:val="both"/>
        <w:rPr>
          <w:rFonts w:ascii="Times New Roman" w:eastAsia="Calibri" w:hAnsi="Times New Roman" w:cs="Times New Roman"/>
          <w:noProof/>
          <w:sz w:val="24"/>
          <w:szCs w:val="24"/>
        </w:rPr>
      </w:pPr>
      <w:r w:rsidRPr="005A1DF6">
        <w:rPr>
          <w:rFonts w:ascii="Times New Roman" w:hAnsi="Times New Roman"/>
          <w:b/>
          <w:noProof/>
          <w:sz w:val="24"/>
          <w:szCs w:val="24"/>
        </w:rPr>
        <w:t xml:space="preserve">Faire beaucoup plus ensemble: </w:t>
      </w:r>
      <w:r w:rsidRPr="005A1DF6">
        <w:rPr>
          <w:rFonts w:ascii="Times New Roman" w:hAnsi="Times New Roman"/>
          <w:noProof/>
          <w:sz w:val="24"/>
          <w:szCs w:val="24"/>
        </w:rPr>
        <w:t>L’UE-27 décide de faire plus ensemble dans tous les domaines d’action.</w:t>
      </w:r>
    </w:p>
    <w:p w:rsidR="005965AE" w:rsidRDefault="005965AE">
      <w:pPr>
        <w:spacing w:after="0"/>
        <w:rPr>
          <w:rFonts w:ascii="Times New Roman" w:hAnsi="Times New Roman" w:cs="Times New Roman"/>
          <w:b/>
          <w:noProof/>
          <w:sz w:val="24"/>
          <w:szCs w:val="24"/>
        </w:rPr>
        <w:sectPr w:rsidR="005965AE">
          <w:headerReference w:type="even" r:id="rId31"/>
          <w:headerReference w:type="default" r:id="rId32"/>
          <w:footerReference w:type="even" r:id="rId33"/>
          <w:footerReference w:type="default" r:id="rId34"/>
          <w:headerReference w:type="first" r:id="rId35"/>
          <w:footerReference w:type="first" r:id="rId36"/>
          <w:pgSz w:w="11906" w:h="16838"/>
          <w:pgMar w:top="1134" w:right="1106" w:bottom="960" w:left="1417" w:header="709" w:footer="709" w:gutter="0"/>
          <w:pgNumType w:start="2"/>
          <w:cols w:space="720"/>
        </w:sectPr>
      </w:pPr>
    </w:p>
    <w:p w:rsidR="005965AE" w:rsidRDefault="005A1DF6">
      <w:pPr>
        <w:rPr>
          <w:rFonts w:ascii="Times New Roman" w:hAnsi="Times New Roman" w:cs="Times New Roman"/>
          <w:b/>
          <w:noProof/>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453217</wp:posOffset>
                </wp:positionH>
                <wp:positionV relativeFrom="paragraph">
                  <wp:posOffset>121285</wp:posOffset>
                </wp:positionV>
                <wp:extent cx="2893695" cy="1151890"/>
                <wp:effectExtent l="0" t="0" r="0" b="0"/>
                <wp:wrapNone/>
                <wp:docPr id="3" name="TextBox 2"/>
                <wp:cNvGraphicFramePr/>
                <a:graphic xmlns:a="http://schemas.openxmlformats.org/drawingml/2006/main">
                  <a:graphicData uri="http://schemas.microsoft.com/office/word/2010/wordprocessingShape">
                    <wps:wsp>
                      <wps:cNvSpPr txBox="1"/>
                      <wps:spPr>
                        <a:xfrm>
                          <a:off x="0" y="0"/>
                          <a:ext cx="2893695" cy="1151890"/>
                        </a:xfrm>
                        <a:prstGeom prst="rect">
                          <a:avLst/>
                        </a:prstGeom>
                        <a:noFill/>
                      </wps:spPr>
                      <wps:txbx>
                        <w:txbxContent>
                          <w:p w:rsidR="005965AE" w:rsidRDefault="005A1DF6">
                            <w:pPr>
                              <w:pStyle w:val="NormalWeb"/>
                              <w:spacing w:after="0"/>
                              <w:jc w:val="center"/>
                              <w:textAlignment w:val="baseline"/>
                            </w:pPr>
                            <w:r>
                              <w:rPr>
                                <w:rFonts w:ascii="Arial" w:hAnsi="Arial"/>
                                <w:b/>
                                <w:bCs/>
                                <w:color w:val="1F497D" w:themeColor="text2"/>
                                <w:sz w:val="96"/>
                                <w:szCs w:val="96"/>
                              </w:rPr>
                              <w:t>1</w:t>
                            </w:r>
                            <w:r>
                              <w:rPr>
                                <w:rFonts w:ascii="Arial" w:hAnsi="Arial"/>
                                <w:b/>
                                <w:bCs/>
                                <w:color w:val="1F497D" w:themeColor="text2"/>
                              </w:rPr>
                              <w:t>S’inscrire dans la continuité</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5.7pt;margin-top:9.55pt;width:227.85pt;height:9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" filled="f" stroked="f">
                <v:textbox>
                  <w:txbxContent>
                    <w:p>
                      <w:pPr>
                        <w:pStyle w:val="NormalWeb"/>
                        <w:spacing w:after="0"/>
                        <w:jc w:val="center"/>
                        <w:textAlignment w:val="baseline"/>
                      </w:pPr>
                      <w:r>
                        <w:rPr>
                          <w:rFonts w:ascii="Arial" w:hAnsi="Arial"/>
                          <w:b/>
                          <w:bCs/>
                          <w:color w:val="1F497D" w:themeColor="text2"/>
                          <w:sz w:val="96"/>
                          <w:szCs w:val="96"/>
                        </w:rPr>
                        <w:t>1</w:t>
                      </w:r>
                      <w:r>
                        <w:rPr>
                          <w:rFonts w:ascii="Arial" w:hAnsi="Arial"/>
                          <w:b/>
                          <w:bCs/>
                          <w:color w:val="1F497D" w:themeColor="text2"/>
                        </w:rPr>
                        <w:t>S’inscrire dans la continuité</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864096</wp:posOffset>
                </wp:positionH>
                <wp:positionV relativeFrom="paragraph">
                  <wp:posOffset>0</wp:posOffset>
                </wp:positionV>
                <wp:extent cx="7920880" cy="825851"/>
                <wp:effectExtent l="0" t="0" r="4445" b="0"/>
                <wp:wrapNone/>
                <wp:docPr id="21" name="Rectangle 11"/>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1" o:spid="_x0000_s1026" style="position:absolute;margin-left:68.05pt;margin-top:0;width:623.7pt;height:6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864096</wp:posOffset>
                </wp:positionH>
                <wp:positionV relativeFrom="paragraph">
                  <wp:posOffset>0</wp:posOffset>
                </wp:positionV>
                <wp:extent cx="5616575" cy="427355"/>
                <wp:effectExtent l="0" t="0" r="0" b="0"/>
                <wp:wrapNone/>
                <wp:docPr id="22" name="TextBox 4"/>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5965AE" w:rsidRDefault="005A1DF6">
                            <w:pPr>
                              <w:pStyle w:val="NormalWeb"/>
                              <w:spacing w:after="0"/>
                              <w:textAlignment w:val="baseline"/>
                            </w:pPr>
                            <w:r>
                              <w:rPr>
                                <w:rFonts w:ascii="Arial" w:hAnsi="Arial"/>
                                <w:b/>
                                <w:bCs/>
                                <w:color w:val="000000" w:themeColor="text1"/>
                                <w:sz w:val="40"/>
                                <w:szCs w:val="40"/>
                              </w:rPr>
                              <w:t>Scénario</w:t>
                            </w:r>
                          </w:p>
                        </w:txbxContent>
                      </wps:txbx>
                      <wps:bodyPr wrap="square" rtlCol="0">
                        <a:spAutoFit/>
                      </wps:bodyPr>
                    </wps:wsp>
                  </a:graphicData>
                </a:graphic>
              </wp:anchor>
            </w:drawing>
          </mc:Choice>
          <mc:Fallback>
            <w:pict>
              <v:shape id="TextBox 4" o:spid="_x0000_s1027" type="#_x0000_t202" style="position:absolute;margin-left:68.05pt;margin-top:0;width:442.25pt;height:3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" filled="f" stroked="f">
                <v:textbox style="mso-fit-shape-to-text:t">
                  <w:txbxContent>
                    <w:p>
                      <w:pPr>
                        <w:pStyle w:val="NormalWeb"/>
                        <w:spacing w:after="0"/>
                        <w:textAlignment w:val="baseline"/>
                      </w:pPr>
                      <w:r>
                        <w:rPr>
                          <w:rFonts w:ascii="Arial" w:hAnsi="Arial"/>
                          <w:b/>
                          <w:bCs/>
                          <w:color w:val="000000" w:themeColor="text1"/>
                          <w:sz w:val="40"/>
                          <w:szCs w:val="40"/>
                        </w:rPr>
                        <w:t>Scénario</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625604</wp:posOffset>
                </wp:positionH>
                <wp:positionV relativeFrom="paragraph">
                  <wp:posOffset>864096</wp:posOffset>
                </wp:positionV>
                <wp:extent cx="8411210" cy="4009390"/>
                <wp:effectExtent l="0" t="0" r="0" b="0"/>
                <wp:wrapNone/>
                <wp:docPr id="23" name="Rectangle 6"/>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5965AE" w:rsidRDefault="005A1DF6">
                            <w:pPr>
                              <w:pStyle w:val="NormalWeb"/>
                              <w:spacing w:after="0"/>
                              <w:textAlignment w:val="baseline"/>
                            </w:pPr>
                            <w:r>
                              <w:rPr>
                                <w:rFonts w:ascii="Arial" w:hAnsi="Arial"/>
                                <w:b/>
                                <w:bCs/>
                                <w:sz w:val="28"/>
                                <w:szCs w:val="28"/>
                              </w:rPr>
                              <w:t>Tendance générale et volume</w:t>
                            </w:r>
                          </w:p>
                          <w:p w:rsidR="005965AE" w:rsidRDefault="005A1DF6">
                            <w:pPr>
                              <w:pStyle w:val="ListParagraph"/>
                              <w:numPr>
                                <w:ilvl w:val="0"/>
                                <w:numId w:val="9"/>
                              </w:numPr>
                              <w:spacing w:after="0" w:line="240" w:lineRule="auto"/>
                              <w:textAlignment w:val="baseline"/>
                              <w:rPr>
                                <w:rFonts w:eastAsia="Times New Roman"/>
                              </w:rPr>
                            </w:pPr>
                            <w:r>
                              <w:rPr>
                                <w:rFonts w:ascii="Arial" w:hAnsi="Arial"/>
                                <w:b/>
                                <w:bCs/>
                              </w:rPr>
                              <w:t>Globalement stables</w:t>
                            </w:r>
                          </w:p>
                          <w:p w:rsidR="005965AE" w:rsidRDefault="005A1DF6">
                            <w:pPr>
                              <w:pStyle w:val="ListParagraph"/>
                              <w:numPr>
                                <w:ilvl w:val="0"/>
                                <w:numId w:val="9"/>
                              </w:numPr>
                              <w:spacing w:after="0" w:line="240" w:lineRule="auto"/>
                              <w:textAlignment w:val="baseline"/>
                              <w:rPr>
                                <w:rFonts w:eastAsia="Times New Roman"/>
                              </w:rPr>
                            </w:pPr>
                            <w:r>
                              <w:rPr>
                                <w:rFonts w:ascii="Arial" w:hAnsi="Arial"/>
                                <w:b/>
                                <w:bCs/>
                              </w:rPr>
                              <w:t>Correspond au programme de réforme actuel de l’UE-27</w:t>
                            </w:r>
                          </w:p>
                          <w:p w:rsidR="005965AE" w:rsidRDefault="005A1DF6">
                            <w:pPr>
                              <w:pStyle w:val="ListParagraph"/>
                              <w:numPr>
                                <w:ilvl w:val="0"/>
                                <w:numId w:val="9"/>
                              </w:numPr>
                              <w:spacing w:after="0" w:line="240" w:lineRule="auto"/>
                              <w:textAlignment w:val="baseline"/>
                              <w:rPr>
                                <w:rFonts w:eastAsia="Times New Roman"/>
                              </w:rPr>
                            </w:pPr>
                            <w:r>
                              <w:rPr>
                                <w:rFonts w:ascii="Arial" w:hAnsi="Arial"/>
                                <w:b/>
                                <w:bCs/>
                              </w:rPr>
                              <w:t>Baisse des parts relatives des politiques agricole et de cohésion pour financer de nouvelles priorités</w:t>
                            </w:r>
                          </w:p>
                          <w:p w:rsidR="005965AE" w:rsidRDefault="005A1DF6">
                            <w:pPr>
                              <w:pStyle w:val="ListParagraph"/>
                              <w:numPr>
                                <w:ilvl w:val="0"/>
                                <w:numId w:val="9"/>
                              </w:numPr>
                              <w:spacing w:after="0" w:line="240" w:lineRule="auto"/>
                              <w:textAlignment w:val="baseline"/>
                              <w:rPr>
                                <w:rFonts w:eastAsia="Times New Roman"/>
                              </w:rPr>
                            </w:pPr>
                            <w:r>
                              <w:rPr>
                                <w:rFonts w:ascii="Arial" w:hAnsi="Arial"/>
                                <w:b/>
                                <w:bCs/>
                              </w:rPr>
                              <w:t>Recours accru aux instruments financiers et aux garanties</w:t>
                            </w:r>
                          </w:p>
                          <w:p w:rsidR="005965AE" w:rsidRDefault="005A1DF6">
                            <w:pPr>
                              <w:pStyle w:val="NormalWeb"/>
                              <w:spacing w:after="0"/>
                              <w:textAlignment w:val="baseline"/>
                              <w:rPr>
                                <w:rFonts w:eastAsiaTheme="minorEastAsia"/>
                              </w:rPr>
                            </w:pPr>
                            <w:r>
                              <w:rPr>
                                <w:rFonts w:ascii="Arial" w:hAnsi="Arial"/>
                                <w:b/>
                                <w:bCs/>
                                <w:sz w:val="28"/>
                                <w:szCs w:val="28"/>
                              </w:rPr>
                              <w:t>Dépenses</w:t>
                            </w:r>
                          </w:p>
                          <w:p w:rsidR="005965AE" w:rsidRDefault="005A1DF6">
                            <w:pPr>
                              <w:pStyle w:val="ListParagraph"/>
                              <w:numPr>
                                <w:ilvl w:val="0"/>
                                <w:numId w:val="10"/>
                              </w:numPr>
                              <w:spacing w:after="0" w:line="240" w:lineRule="auto"/>
                              <w:textAlignment w:val="baseline"/>
                              <w:rPr>
                                <w:rFonts w:eastAsia="Times New Roman"/>
                              </w:rPr>
                            </w:pPr>
                            <w:r>
                              <w:rPr>
                                <w:rFonts w:ascii="Arial" w:hAnsi="Arial"/>
                                <w:b/>
                                <w:bCs/>
                              </w:rPr>
                              <w:t>Politique agr</w:t>
                            </w:r>
                            <w:r>
                              <w:rPr>
                                <w:rFonts w:ascii="Arial" w:hAnsi="Arial"/>
                                <w:b/>
                                <w:bCs/>
                              </w:rPr>
                              <w:t xml:space="preserve">icole commune </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Soutien mieux ciblé en faveur des agriculteurs soumis à des contraintes particulières (par exemple petites exploitations, zones de montagne, régions à faible densité de population) et en faveur des outils de gestion des risques pour l’ensemb</w:t>
                            </w:r>
                            <w:r>
                              <w:rPr>
                                <w:rFonts w:ascii="Arial" w:hAnsi="Arial"/>
                              </w:rPr>
                              <w:t>le des exploitations</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Investissements dans le développement rural (notamment mesures agro-environnementales)</w:t>
                            </w:r>
                          </w:p>
                          <w:p w:rsidR="005965AE" w:rsidRDefault="005A1DF6">
                            <w:pPr>
                              <w:pStyle w:val="ListParagraph"/>
                              <w:numPr>
                                <w:ilvl w:val="0"/>
                                <w:numId w:val="10"/>
                              </w:numPr>
                              <w:spacing w:after="0" w:line="240" w:lineRule="auto"/>
                              <w:textAlignment w:val="baseline"/>
                              <w:rPr>
                                <w:rFonts w:eastAsia="Times New Roman"/>
                              </w:rPr>
                            </w:pPr>
                            <w:r>
                              <w:rPr>
                                <w:rFonts w:ascii="Arial" w:hAnsi="Arial"/>
                                <w:b/>
                                <w:bCs/>
                              </w:rPr>
                              <w:t>Cohésion économique, sociale et territoriale</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Abaissement du niveau d’investissement pour toutes les régions</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 xml:space="preserve">Augmentation des niveaux de </w:t>
                            </w:r>
                            <w:r>
                              <w:rPr>
                                <w:rFonts w:ascii="Arial" w:hAnsi="Arial"/>
                              </w:rPr>
                              <w:t>cofinancement national et du recours aux instruments financiers</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Priorité accrue à l’inclusion sociale, à l’emploi, aux compétences, à l’innovation, au changement climatique, à l’énergie et à la transition écologique</w:t>
                            </w:r>
                          </w:p>
                          <w:p w:rsidR="005965AE" w:rsidRDefault="005A1DF6">
                            <w:pPr>
                              <w:pStyle w:val="ListParagraph"/>
                              <w:numPr>
                                <w:ilvl w:val="0"/>
                                <w:numId w:val="10"/>
                              </w:numPr>
                              <w:spacing w:after="0" w:line="240" w:lineRule="auto"/>
                              <w:textAlignment w:val="baseline"/>
                              <w:rPr>
                                <w:rFonts w:eastAsia="Times New Roman"/>
                              </w:rPr>
                            </w:pPr>
                            <w:r>
                              <w:rPr>
                                <w:rFonts w:ascii="Arial" w:hAnsi="Arial"/>
                                <w:b/>
                                <w:bCs/>
                              </w:rPr>
                              <w:t>Nouvelles priorités</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Sécurité intérieure/</w:t>
                            </w:r>
                            <w:r>
                              <w:rPr>
                                <w:rFonts w:ascii="Arial" w:hAnsi="Arial"/>
                              </w:rPr>
                              <w:t xml:space="preserve">extérieure, migration et contrôle aux frontières; défense (recherche et développement, capacités) </w:t>
                            </w:r>
                          </w:p>
                          <w:p w:rsidR="005965AE" w:rsidRDefault="005A1DF6">
                            <w:pPr>
                              <w:pStyle w:val="ListParagraph"/>
                              <w:numPr>
                                <w:ilvl w:val="0"/>
                                <w:numId w:val="10"/>
                              </w:numPr>
                              <w:spacing w:after="0" w:line="240" w:lineRule="auto"/>
                              <w:textAlignment w:val="baseline"/>
                              <w:rPr>
                                <w:rFonts w:eastAsia="Times New Roman"/>
                              </w:rPr>
                            </w:pPr>
                            <w:r>
                              <w:rPr>
                                <w:rFonts w:ascii="Arial" w:hAnsi="Arial"/>
                                <w:b/>
                                <w:bCs/>
                              </w:rPr>
                              <w:t>Réformes structurelles liées au Semestre européen</w:t>
                            </w:r>
                          </w:p>
                          <w:p w:rsidR="005965AE" w:rsidRDefault="005A1DF6">
                            <w:pPr>
                              <w:pStyle w:val="ListParagraph"/>
                              <w:numPr>
                                <w:ilvl w:val="1"/>
                                <w:numId w:val="10"/>
                              </w:numPr>
                              <w:spacing w:after="0" w:line="240" w:lineRule="auto"/>
                              <w:textAlignment w:val="baseline"/>
                              <w:rPr>
                                <w:rFonts w:eastAsia="Times New Roman"/>
                              </w:rPr>
                            </w:pPr>
                            <w:r>
                              <w:rPr>
                                <w:rFonts w:ascii="Arial" w:hAnsi="Arial"/>
                              </w:rPr>
                              <w:t>Incitations positives grâce à la politique de cohésion ou par le biais d’un fonds spécifique</w:t>
                            </w:r>
                          </w:p>
                          <w:p w:rsidR="005965AE" w:rsidRDefault="005A1DF6">
                            <w:pPr>
                              <w:pStyle w:val="NormalWeb"/>
                              <w:spacing w:after="0"/>
                              <w:textAlignment w:val="baseline"/>
                              <w:rPr>
                                <w:rFonts w:eastAsiaTheme="minorEastAsia"/>
                              </w:rPr>
                            </w:pPr>
                            <w:r>
                              <w:rPr>
                                <w:rFonts w:ascii="Arial" w:hAnsi="Arial"/>
                                <w:b/>
                                <w:bCs/>
                                <w:sz w:val="28"/>
                                <w:szCs w:val="28"/>
                              </w:rPr>
                              <w:t>Recettes</w:t>
                            </w:r>
                          </w:p>
                          <w:p w:rsidR="005965AE" w:rsidRDefault="005A1DF6">
                            <w:pPr>
                              <w:pStyle w:val="ListParagraph"/>
                              <w:numPr>
                                <w:ilvl w:val="0"/>
                                <w:numId w:val="11"/>
                              </w:numPr>
                              <w:spacing w:after="0" w:line="240" w:lineRule="auto"/>
                              <w:textAlignment w:val="baseline"/>
                              <w:rPr>
                                <w:rFonts w:eastAsia="Times New Roman"/>
                              </w:rPr>
                            </w:pPr>
                            <w:r>
                              <w:rPr>
                                <w:rFonts w:ascii="Arial" w:hAnsi="Arial"/>
                                <w:b/>
                                <w:bCs/>
                              </w:rPr>
                              <w:t>Systè</w:t>
                            </w:r>
                            <w:r>
                              <w:rPr>
                                <w:rFonts w:ascii="Arial" w:hAnsi="Arial"/>
                                <w:b/>
                                <w:bCs/>
                              </w:rPr>
                              <w:t xml:space="preserve">me actuel sans rabais </w:t>
                            </w:r>
                          </w:p>
                          <w:p w:rsidR="005965AE" w:rsidRDefault="005A1DF6">
                            <w:pPr>
                              <w:pStyle w:val="ListParagraph"/>
                              <w:numPr>
                                <w:ilvl w:val="0"/>
                                <w:numId w:val="11"/>
                              </w:numPr>
                              <w:spacing w:after="0" w:line="240" w:lineRule="auto"/>
                              <w:textAlignment w:val="baseline"/>
                              <w:rPr>
                                <w:rFonts w:eastAsia="Times New Roman"/>
                              </w:rPr>
                            </w:pPr>
                            <w:r>
                              <w:rPr>
                                <w:rFonts w:ascii="Arial" w:hAnsi="Arial"/>
                                <w:b/>
                                <w:bCs/>
                              </w:rPr>
                              <w:t xml:space="preserve">Financement du budget de l’UE par d’autres sources de recettes ou redevances </w:t>
                            </w:r>
                          </w:p>
                        </w:txbxContent>
                      </wps:txbx>
                      <wps:bodyPr wrap="square">
                        <a:spAutoFit/>
                      </wps:bodyPr>
                    </wps:wsp>
                  </a:graphicData>
                </a:graphic>
              </wp:anchor>
            </w:drawing>
          </mc:Choice>
          <mc:Fallback>
            <w:pict>
              <v:rect id="Rectangle 6" o:spid="_x0000_s1028" style="position:absolute;margin-left:49.25pt;margin-top:68.05pt;width:662.3pt;height:31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" filled="f" stroked="f">
                <v:textbox style="mso-fit-shape-to-text:t">
                  <w:txbxContent>
                    <w:p>
                      <w:pPr>
                        <w:pStyle w:val="NormalWeb"/>
                        <w:spacing w:after="0"/>
                        <w:textAlignment w:val="baseline"/>
                      </w:pPr>
                      <w:r>
                        <w:rPr>
                          <w:rFonts w:ascii="Arial" w:hAnsi="Arial"/>
                          <w:b/>
                          <w:bCs/>
                          <w:sz w:val="28"/>
                          <w:szCs w:val="28"/>
                        </w:rPr>
                        <w:t>Tendance générale et volume</w:t>
                      </w:r>
                    </w:p>
                    <w:p>
                      <w:pPr>
                        <w:pStyle w:val="ListParagraph"/>
                        <w:numPr>
                          <w:ilvl w:val="0"/>
                          <w:numId w:val="9"/>
                        </w:numPr>
                        <w:spacing w:after="0" w:line="240" w:lineRule="auto"/>
                        <w:textAlignment w:val="baseline"/>
                        <w:rPr>
                          <w:rFonts w:eastAsia="Times New Roman"/>
                        </w:rPr>
                      </w:pPr>
                      <w:r>
                        <w:rPr>
                          <w:rFonts w:ascii="Arial" w:hAnsi="Arial"/>
                          <w:b/>
                          <w:bCs/>
                        </w:rPr>
                        <w:t>Globalement stables</w:t>
                      </w:r>
                    </w:p>
                    <w:p>
                      <w:pPr>
                        <w:pStyle w:val="ListParagraph"/>
                        <w:numPr>
                          <w:ilvl w:val="0"/>
                          <w:numId w:val="9"/>
                        </w:numPr>
                        <w:spacing w:after="0" w:line="240" w:lineRule="auto"/>
                        <w:textAlignment w:val="baseline"/>
                        <w:rPr>
                          <w:rFonts w:eastAsia="Times New Roman"/>
                        </w:rPr>
                      </w:pPr>
                      <w:r>
                        <w:rPr>
                          <w:rFonts w:ascii="Arial" w:hAnsi="Arial"/>
                          <w:b/>
                          <w:bCs/>
                        </w:rPr>
                        <w:t>Correspond au programme de réforme actuel de l’UE-27</w:t>
                      </w:r>
                    </w:p>
                    <w:p>
                      <w:pPr>
                        <w:pStyle w:val="ListParagraph"/>
                        <w:numPr>
                          <w:ilvl w:val="0"/>
                          <w:numId w:val="9"/>
                        </w:numPr>
                        <w:spacing w:after="0" w:line="240" w:lineRule="auto"/>
                        <w:textAlignment w:val="baseline"/>
                        <w:rPr>
                          <w:rFonts w:eastAsia="Times New Roman"/>
                        </w:rPr>
                      </w:pPr>
                      <w:r>
                        <w:rPr>
                          <w:rFonts w:ascii="Arial" w:hAnsi="Arial"/>
                          <w:b/>
                          <w:bCs/>
                        </w:rPr>
                        <w:t>Baisse des parts relatives des politiques agricole et de cohésion pour financer de nouvelles priorités</w:t>
                      </w:r>
                    </w:p>
                    <w:p>
                      <w:pPr>
                        <w:pStyle w:val="ListParagraph"/>
                        <w:numPr>
                          <w:ilvl w:val="0"/>
                          <w:numId w:val="9"/>
                        </w:numPr>
                        <w:spacing w:after="0" w:line="240" w:lineRule="auto"/>
                        <w:textAlignment w:val="baseline"/>
                        <w:rPr>
                          <w:rFonts w:eastAsia="Times New Roman"/>
                        </w:rPr>
                      </w:pPr>
                      <w:r>
                        <w:rPr>
                          <w:rFonts w:ascii="Arial" w:hAnsi="Arial"/>
                          <w:b/>
                          <w:bCs/>
                        </w:rPr>
                        <w:t>Recours accru aux instruments financiers et aux garanties</w:t>
                      </w:r>
                    </w:p>
                    <w:p>
                      <w:pPr>
                        <w:pStyle w:val="NormalWeb"/>
                        <w:spacing w:after="0"/>
                        <w:textAlignment w:val="baseline"/>
                        <w:rPr>
                          <w:rFonts w:eastAsiaTheme="minorEastAsia"/>
                        </w:rPr>
                      </w:pPr>
                      <w:r>
                        <w:rPr>
                          <w:rFonts w:ascii="Arial" w:hAnsi="Arial"/>
                          <w:b/>
                          <w:bCs/>
                          <w:sz w:val="28"/>
                          <w:szCs w:val="28"/>
                        </w:rPr>
                        <w:t>Dépenses</w:t>
                      </w:r>
                    </w:p>
                    <w:p>
                      <w:pPr>
                        <w:pStyle w:val="ListParagraph"/>
                        <w:numPr>
                          <w:ilvl w:val="0"/>
                          <w:numId w:val="10"/>
                        </w:numPr>
                        <w:spacing w:after="0" w:line="240" w:lineRule="auto"/>
                        <w:textAlignment w:val="baseline"/>
                        <w:rPr>
                          <w:rFonts w:eastAsia="Times New Roman"/>
                        </w:rPr>
                      </w:pPr>
                      <w:r>
                        <w:rPr>
                          <w:rFonts w:ascii="Arial" w:hAnsi="Arial"/>
                          <w:b/>
                          <w:bCs/>
                        </w:rPr>
                        <w:t xml:space="preserve">Politique agricole commune </w:t>
                      </w:r>
                    </w:p>
                    <w:p>
                      <w:pPr>
                        <w:pStyle w:val="ListParagraph"/>
                        <w:numPr>
                          <w:ilvl w:val="1"/>
                          <w:numId w:val="10"/>
                        </w:numPr>
                        <w:spacing w:after="0" w:line="240" w:lineRule="auto"/>
                        <w:textAlignment w:val="baseline"/>
                        <w:rPr>
                          <w:rFonts w:eastAsia="Times New Roman"/>
                        </w:rPr>
                      </w:pPr>
                      <w:r>
                        <w:rPr>
                          <w:rFonts w:ascii="Arial" w:hAnsi="Arial"/>
                        </w:rPr>
                        <w:t>Soutien mieux ciblé en faveur des agriculteurs soumis à des contraintes particulières (par exemple petites exploitations, zones de montagne, régions à faible densité de population) et en faveur des outils de gestion des risques pour l’ensemble des exploitations</w:t>
                      </w:r>
                    </w:p>
                    <w:p>
                      <w:pPr>
                        <w:pStyle w:val="ListParagraph"/>
                        <w:numPr>
                          <w:ilvl w:val="1"/>
                          <w:numId w:val="10"/>
                        </w:numPr>
                        <w:spacing w:after="0" w:line="240" w:lineRule="auto"/>
                        <w:textAlignment w:val="baseline"/>
                        <w:rPr>
                          <w:rFonts w:eastAsia="Times New Roman"/>
                        </w:rPr>
                      </w:pPr>
                      <w:r>
                        <w:rPr>
                          <w:rFonts w:ascii="Arial" w:hAnsi="Arial"/>
                        </w:rPr>
                        <w:t>Investissements dans le développement rural (notamment mesures agro-environnementales)</w:t>
                      </w:r>
                    </w:p>
                    <w:p>
                      <w:pPr>
                        <w:pStyle w:val="ListParagraph"/>
                        <w:numPr>
                          <w:ilvl w:val="0"/>
                          <w:numId w:val="10"/>
                        </w:numPr>
                        <w:spacing w:after="0" w:line="240" w:lineRule="auto"/>
                        <w:textAlignment w:val="baseline"/>
                        <w:rPr>
                          <w:rFonts w:eastAsia="Times New Roman"/>
                        </w:rPr>
                      </w:pPr>
                      <w:r>
                        <w:rPr>
                          <w:rFonts w:ascii="Arial" w:hAnsi="Arial"/>
                          <w:b/>
                          <w:bCs/>
                        </w:rPr>
                        <w:t>Cohésion économique, sociale et territoriale</w:t>
                      </w:r>
                    </w:p>
                    <w:p>
                      <w:pPr>
                        <w:pStyle w:val="ListParagraph"/>
                        <w:numPr>
                          <w:ilvl w:val="1"/>
                          <w:numId w:val="10"/>
                        </w:numPr>
                        <w:spacing w:after="0" w:line="240" w:lineRule="auto"/>
                        <w:textAlignment w:val="baseline"/>
                        <w:rPr>
                          <w:rFonts w:eastAsia="Times New Roman"/>
                        </w:rPr>
                      </w:pPr>
                      <w:r>
                        <w:rPr>
                          <w:rFonts w:ascii="Arial" w:hAnsi="Arial"/>
                        </w:rPr>
                        <w:t>Abaissement du niveau d’investissement pour toutes les régions</w:t>
                      </w:r>
                    </w:p>
                    <w:p>
                      <w:pPr>
                        <w:pStyle w:val="ListParagraph"/>
                        <w:numPr>
                          <w:ilvl w:val="1"/>
                          <w:numId w:val="10"/>
                        </w:numPr>
                        <w:spacing w:after="0" w:line="240" w:lineRule="auto"/>
                        <w:textAlignment w:val="baseline"/>
                        <w:rPr>
                          <w:rFonts w:eastAsia="Times New Roman"/>
                        </w:rPr>
                      </w:pPr>
                      <w:r>
                        <w:rPr>
                          <w:rFonts w:ascii="Arial" w:hAnsi="Arial"/>
                        </w:rPr>
                        <w:t>Augmentation des niveaux de cofinancement national et du recours aux instruments financiers</w:t>
                      </w:r>
                    </w:p>
                    <w:p>
                      <w:pPr>
                        <w:pStyle w:val="ListParagraph"/>
                        <w:numPr>
                          <w:ilvl w:val="1"/>
                          <w:numId w:val="10"/>
                        </w:numPr>
                        <w:spacing w:after="0" w:line="240" w:lineRule="auto"/>
                        <w:textAlignment w:val="baseline"/>
                        <w:rPr>
                          <w:rFonts w:eastAsia="Times New Roman"/>
                        </w:rPr>
                      </w:pPr>
                      <w:r>
                        <w:rPr>
                          <w:rFonts w:ascii="Arial" w:hAnsi="Arial"/>
                        </w:rPr>
                        <w:t>Priorité accrue à l’inclusion sociale, à l’emploi, aux compétences, à l’innovation, au changement climatique, à l’énergie et à la transition écologique</w:t>
                      </w:r>
                    </w:p>
                    <w:p>
                      <w:pPr>
                        <w:pStyle w:val="ListParagraph"/>
                        <w:numPr>
                          <w:ilvl w:val="0"/>
                          <w:numId w:val="10"/>
                        </w:numPr>
                        <w:spacing w:after="0" w:line="240" w:lineRule="auto"/>
                        <w:textAlignment w:val="baseline"/>
                        <w:rPr>
                          <w:rFonts w:eastAsia="Times New Roman"/>
                        </w:rPr>
                      </w:pPr>
                      <w:r>
                        <w:rPr>
                          <w:rFonts w:ascii="Arial" w:hAnsi="Arial"/>
                          <w:b/>
                          <w:bCs/>
                        </w:rPr>
                        <w:t>Nouvelles priorités</w:t>
                      </w:r>
                    </w:p>
                    <w:p>
                      <w:pPr>
                        <w:pStyle w:val="ListParagraph"/>
                        <w:numPr>
                          <w:ilvl w:val="1"/>
                          <w:numId w:val="10"/>
                        </w:numPr>
                        <w:spacing w:after="0" w:line="240" w:lineRule="auto"/>
                        <w:textAlignment w:val="baseline"/>
                        <w:rPr>
                          <w:rFonts w:eastAsia="Times New Roman"/>
                        </w:rPr>
                      </w:pPr>
                      <w:r>
                        <w:rPr>
                          <w:rFonts w:ascii="Arial" w:hAnsi="Arial"/>
                        </w:rPr>
                        <w:t xml:space="preserve">Sécurité intérieure/extérieure, migration et contrôle aux frontières; défense (recherche et développement, capacités) </w:t>
                      </w:r>
                    </w:p>
                    <w:p>
                      <w:pPr>
                        <w:pStyle w:val="ListParagraph"/>
                        <w:numPr>
                          <w:ilvl w:val="0"/>
                          <w:numId w:val="10"/>
                        </w:numPr>
                        <w:spacing w:after="0" w:line="240" w:lineRule="auto"/>
                        <w:textAlignment w:val="baseline"/>
                        <w:rPr>
                          <w:rFonts w:eastAsia="Times New Roman"/>
                        </w:rPr>
                      </w:pPr>
                      <w:r>
                        <w:rPr>
                          <w:rFonts w:ascii="Arial" w:hAnsi="Arial"/>
                          <w:b/>
                          <w:bCs/>
                        </w:rPr>
                        <w:t>Réformes structurelles liées au Semestre européen</w:t>
                      </w:r>
                    </w:p>
                    <w:p>
                      <w:pPr>
                        <w:pStyle w:val="ListParagraph"/>
                        <w:numPr>
                          <w:ilvl w:val="1"/>
                          <w:numId w:val="10"/>
                        </w:numPr>
                        <w:spacing w:after="0" w:line="240" w:lineRule="auto"/>
                        <w:textAlignment w:val="baseline"/>
                        <w:rPr>
                          <w:rFonts w:eastAsia="Times New Roman"/>
                        </w:rPr>
                      </w:pPr>
                      <w:r>
                        <w:rPr>
                          <w:rFonts w:ascii="Arial" w:hAnsi="Arial"/>
                        </w:rPr>
                        <w:t>Incitations positives grâce à la politique de cohésion ou par le biais d’un fonds spécifique</w:t>
                      </w:r>
                    </w:p>
                    <w:p>
                      <w:pPr>
                        <w:pStyle w:val="NormalWeb"/>
                        <w:spacing w:after="0"/>
                        <w:textAlignment w:val="baseline"/>
                        <w:rPr>
                          <w:rFonts w:eastAsiaTheme="minorEastAsia"/>
                        </w:rPr>
                      </w:pPr>
                      <w:r>
                        <w:rPr>
                          <w:rFonts w:ascii="Arial" w:hAnsi="Arial"/>
                          <w:b/>
                          <w:bCs/>
                          <w:sz w:val="28"/>
                          <w:szCs w:val="28"/>
                        </w:rPr>
                        <w:t>Recettes</w:t>
                      </w:r>
                    </w:p>
                    <w:p>
                      <w:pPr>
                        <w:pStyle w:val="ListParagraph"/>
                        <w:numPr>
                          <w:ilvl w:val="0"/>
                          <w:numId w:val="11"/>
                        </w:numPr>
                        <w:spacing w:after="0" w:line="240" w:lineRule="auto"/>
                        <w:textAlignment w:val="baseline"/>
                        <w:rPr>
                          <w:rFonts w:eastAsia="Times New Roman"/>
                        </w:rPr>
                      </w:pPr>
                      <w:r>
                        <w:rPr>
                          <w:rFonts w:ascii="Arial" w:hAnsi="Arial"/>
                          <w:b/>
                          <w:bCs/>
                        </w:rPr>
                        <w:t xml:space="preserve">Système actuel sans rabais </w:t>
                      </w:r>
                    </w:p>
                    <w:p>
                      <w:pPr>
                        <w:pStyle w:val="ListParagraph"/>
                        <w:numPr>
                          <w:ilvl w:val="0"/>
                          <w:numId w:val="11"/>
                        </w:numPr>
                        <w:spacing w:after="0" w:line="240" w:lineRule="auto"/>
                        <w:textAlignment w:val="baseline"/>
                        <w:rPr>
                          <w:rFonts w:eastAsia="Times New Roman"/>
                        </w:rPr>
                      </w:pPr>
                      <w:r>
                        <w:rPr>
                          <w:rFonts w:ascii="Arial" w:hAnsi="Arial"/>
                          <w:b/>
                          <w:bCs/>
                        </w:rPr>
                        <w:t xml:space="preserve">Financement du budget de l’UE par d’autres sources de recettes ou redevances </w:t>
                      </w:r>
                    </w:p>
                  </w:txbxContent>
                </v:textbox>
              </v:rect>
            </w:pict>
          </mc:Fallback>
        </mc:AlternateContent>
      </w:r>
      <w:r>
        <w:rPr>
          <w:rFonts w:ascii="Times New Roman" w:hAnsi="Times New Roman" w:cs="Times New Roman"/>
          <w:b/>
          <w:noProof/>
          <w:sz w:val="24"/>
          <w:szCs w:val="24"/>
          <w:lang w:val="en-GB" w:eastAsia="en-GB"/>
        </w:rPr>
        <w:drawing>
          <wp:anchor distT="0" distB="0" distL="114300" distR="114300" simplePos="0" relativeHeight="251663360" behindDoc="0" locked="0" layoutInCell="1" allowOverlap="1">
            <wp:simplePos x="0" y="0"/>
            <wp:positionH relativeFrom="column">
              <wp:posOffset>7632848</wp:posOffset>
            </wp:positionH>
            <wp:positionV relativeFrom="paragraph">
              <wp:posOffset>97886</wp:posOffset>
            </wp:positionV>
            <wp:extent cx="864096" cy="605723"/>
            <wp:effectExtent l="0" t="0" r="0" b="4445"/>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4096" cy="605723"/>
                    </a:xfrm>
                    <a:prstGeom prst="rect">
                      <a:avLst/>
                    </a:prstGeom>
                  </pic:spPr>
                </pic:pic>
              </a:graphicData>
            </a:graphic>
          </wp:anchor>
        </w:drawing>
      </w:r>
      <w:r>
        <w:rPr>
          <w:rFonts w:ascii="Times New Roman" w:hAnsi="Times New Roman"/>
          <w:b/>
          <w:noProof/>
          <w:sz w:val="24"/>
          <w:szCs w:val="24"/>
        </w:rPr>
        <w:t xml:space="preserve"> </w:t>
      </w:r>
      <w:r>
        <w:rPr>
          <w:rFonts w:ascii="Times New Roman" w:hAnsi="Times New Roman"/>
          <w:b/>
          <w:noProof/>
          <w:sz w:val="24"/>
          <w:szCs w:val="24"/>
        </w:rPr>
        <w:br w:type="page"/>
      </w:r>
    </w:p>
    <w:p w:rsidR="005965AE" w:rsidRDefault="005A1DF6">
      <w:pPr>
        <w:rPr>
          <w:rFonts w:ascii="Times New Roman" w:hAnsi="Times New Roman" w:cs="Times New Roman"/>
          <w:b/>
          <w:noProof/>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265564</wp:posOffset>
                </wp:positionH>
                <wp:positionV relativeFrom="paragraph">
                  <wp:posOffset>864096</wp:posOffset>
                </wp:positionV>
                <wp:extent cx="8411210" cy="3046095"/>
                <wp:effectExtent l="0" t="0" r="0" b="0"/>
                <wp:wrapNone/>
                <wp:docPr id="25" name="Rectangle 6"/>
                <wp:cNvGraphicFramePr/>
                <a:graphic xmlns:a="http://schemas.openxmlformats.org/drawingml/2006/main">
                  <a:graphicData uri="http://schemas.microsoft.com/office/word/2010/wordprocessingShape">
                    <wps:wsp>
                      <wps:cNvSpPr/>
                      <wps:spPr>
                        <a:xfrm>
                          <a:off x="0" y="0"/>
                          <a:ext cx="8411210" cy="3046095"/>
                        </a:xfrm>
                        <a:prstGeom prst="rect">
                          <a:avLst/>
                        </a:prstGeom>
                      </wps:spPr>
                      <wps:txbx>
                        <w:txbxContent>
                          <w:p w:rsidR="005965AE" w:rsidRDefault="005A1DF6">
                            <w:pPr>
                              <w:pStyle w:val="NormalWeb"/>
                              <w:spacing w:after="0"/>
                              <w:textAlignment w:val="baseline"/>
                            </w:pPr>
                            <w:r>
                              <w:rPr>
                                <w:rFonts w:ascii="Arial" w:hAnsi="Arial"/>
                                <w:b/>
                                <w:bCs/>
                                <w:sz w:val="28"/>
                                <w:szCs w:val="28"/>
                              </w:rPr>
                              <w:t>Tendance générale et volume</w:t>
                            </w:r>
                          </w:p>
                          <w:p w:rsidR="005965AE" w:rsidRDefault="005A1DF6">
                            <w:pPr>
                              <w:pStyle w:val="ListParagraph"/>
                              <w:numPr>
                                <w:ilvl w:val="0"/>
                                <w:numId w:val="12"/>
                              </w:numPr>
                              <w:spacing w:after="0" w:line="240" w:lineRule="auto"/>
                              <w:textAlignment w:val="baseline"/>
                              <w:rPr>
                                <w:rFonts w:eastAsia="Times New Roman"/>
                              </w:rPr>
                            </w:pPr>
                            <w:r>
                              <w:rPr>
                                <w:rFonts w:ascii="Arial" w:hAnsi="Arial"/>
                                <w:b/>
                                <w:bCs/>
                              </w:rPr>
                              <w:t>Réduction considérable</w:t>
                            </w:r>
                          </w:p>
                          <w:p w:rsidR="005965AE" w:rsidRDefault="005A1DF6">
                            <w:pPr>
                              <w:pStyle w:val="ListParagraph"/>
                              <w:numPr>
                                <w:ilvl w:val="0"/>
                                <w:numId w:val="12"/>
                              </w:numPr>
                              <w:spacing w:after="0" w:line="240" w:lineRule="auto"/>
                              <w:textAlignment w:val="baseline"/>
                              <w:rPr>
                                <w:rFonts w:eastAsia="Times New Roman"/>
                              </w:rPr>
                            </w:pPr>
                            <w:r>
                              <w:rPr>
                                <w:rFonts w:ascii="Arial" w:hAnsi="Arial"/>
                                <w:b/>
                                <w:bCs/>
                              </w:rPr>
                              <w:t>Accent sur le fonctionnement du marché intérieur</w:t>
                            </w:r>
                          </w:p>
                          <w:p w:rsidR="005965AE" w:rsidRDefault="005A1DF6">
                            <w:pPr>
                              <w:pStyle w:val="ListParagraph"/>
                              <w:numPr>
                                <w:ilvl w:val="0"/>
                                <w:numId w:val="12"/>
                              </w:numPr>
                              <w:spacing w:after="0" w:line="240" w:lineRule="auto"/>
                              <w:textAlignment w:val="baseline"/>
                              <w:rPr>
                                <w:rFonts w:eastAsia="Times New Roman"/>
                              </w:rPr>
                            </w:pPr>
                            <w:r>
                              <w:rPr>
                                <w:rFonts w:ascii="Arial" w:hAnsi="Arial"/>
                                <w:b/>
                                <w:bCs/>
                              </w:rPr>
                              <w:t xml:space="preserve">Réduction sensible des montants alloués aux </w:t>
                            </w:r>
                            <w:r>
                              <w:rPr>
                                <w:rFonts w:ascii="Arial" w:hAnsi="Arial"/>
                                <w:b/>
                                <w:bCs/>
                              </w:rPr>
                              <w:t>politiques agricole et de cohésion</w:t>
                            </w:r>
                          </w:p>
                          <w:p w:rsidR="005965AE" w:rsidRDefault="005A1DF6">
                            <w:pPr>
                              <w:pStyle w:val="ListParagraph"/>
                              <w:numPr>
                                <w:ilvl w:val="0"/>
                                <w:numId w:val="12"/>
                              </w:numPr>
                              <w:spacing w:after="0" w:line="240" w:lineRule="auto"/>
                              <w:textAlignment w:val="baseline"/>
                              <w:rPr>
                                <w:rFonts w:eastAsia="Times New Roman"/>
                              </w:rPr>
                            </w:pPr>
                            <w:r>
                              <w:rPr>
                                <w:rFonts w:ascii="Arial" w:hAnsi="Arial"/>
                                <w:b/>
                                <w:bCs/>
                              </w:rPr>
                              <w:t>Utilisation beaucoup plus massive des instruments financiers et des garanties</w:t>
                            </w:r>
                          </w:p>
                          <w:p w:rsidR="005965AE" w:rsidRDefault="005A1DF6">
                            <w:pPr>
                              <w:pStyle w:val="NormalWeb"/>
                              <w:spacing w:after="0"/>
                              <w:textAlignment w:val="baseline"/>
                              <w:rPr>
                                <w:rFonts w:eastAsiaTheme="minorEastAsia"/>
                              </w:rPr>
                            </w:pPr>
                            <w:r>
                              <w:rPr>
                                <w:rFonts w:ascii="Arial" w:hAnsi="Arial"/>
                                <w:b/>
                                <w:bCs/>
                                <w:sz w:val="28"/>
                                <w:szCs w:val="28"/>
                              </w:rPr>
                              <w:t>Dépenses</w:t>
                            </w:r>
                          </w:p>
                          <w:p w:rsidR="005965AE" w:rsidRDefault="005A1DF6">
                            <w:pPr>
                              <w:pStyle w:val="ListParagraph"/>
                              <w:numPr>
                                <w:ilvl w:val="0"/>
                                <w:numId w:val="13"/>
                              </w:numPr>
                              <w:spacing w:after="0" w:line="240" w:lineRule="auto"/>
                              <w:textAlignment w:val="baseline"/>
                              <w:rPr>
                                <w:rFonts w:eastAsia="Times New Roman"/>
                              </w:rPr>
                            </w:pPr>
                            <w:r>
                              <w:rPr>
                                <w:rFonts w:ascii="Arial" w:hAnsi="Arial"/>
                                <w:b/>
                                <w:bCs/>
                              </w:rPr>
                              <w:t xml:space="preserve">Politique agricole commune </w:t>
                            </w:r>
                          </w:p>
                          <w:p w:rsidR="005965AE" w:rsidRDefault="005A1DF6">
                            <w:pPr>
                              <w:pStyle w:val="ListParagraph"/>
                              <w:numPr>
                                <w:ilvl w:val="1"/>
                                <w:numId w:val="13"/>
                              </w:numPr>
                              <w:spacing w:after="0" w:line="240" w:lineRule="auto"/>
                              <w:textAlignment w:val="baseline"/>
                              <w:rPr>
                                <w:rFonts w:eastAsia="Times New Roman"/>
                              </w:rPr>
                            </w:pPr>
                            <w:r>
                              <w:rPr>
                                <w:rFonts w:ascii="Arial" w:hAnsi="Arial"/>
                              </w:rPr>
                              <w:t>Soutien uniquement aux agriculteurs soumis à des contraintes particulières (par exemple petites exploitati</w:t>
                            </w:r>
                            <w:r>
                              <w:rPr>
                                <w:rFonts w:ascii="Arial" w:hAnsi="Arial"/>
                              </w:rPr>
                              <w:t>ons, zones de montagne et régions à faible densité de population)</w:t>
                            </w:r>
                          </w:p>
                          <w:p w:rsidR="005965AE" w:rsidRDefault="005A1DF6">
                            <w:pPr>
                              <w:pStyle w:val="ListParagraph"/>
                              <w:numPr>
                                <w:ilvl w:val="1"/>
                                <w:numId w:val="13"/>
                              </w:numPr>
                              <w:spacing w:after="0" w:line="240" w:lineRule="auto"/>
                              <w:textAlignment w:val="baseline"/>
                              <w:rPr>
                                <w:rFonts w:eastAsia="Times New Roman"/>
                              </w:rPr>
                            </w:pPr>
                            <w:r>
                              <w:rPr>
                                <w:rFonts w:ascii="Arial" w:hAnsi="Arial"/>
                              </w:rPr>
                              <w:t>Outils de gestion des risques pour l’ensemble des exploitations</w:t>
                            </w:r>
                          </w:p>
                          <w:p w:rsidR="005965AE" w:rsidRDefault="005A1DF6">
                            <w:pPr>
                              <w:pStyle w:val="ListParagraph"/>
                              <w:numPr>
                                <w:ilvl w:val="0"/>
                                <w:numId w:val="13"/>
                              </w:numPr>
                              <w:spacing w:after="0" w:line="240" w:lineRule="auto"/>
                              <w:textAlignment w:val="baseline"/>
                              <w:rPr>
                                <w:rFonts w:eastAsia="Times New Roman"/>
                              </w:rPr>
                            </w:pPr>
                            <w:r>
                              <w:rPr>
                                <w:rFonts w:ascii="Arial" w:hAnsi="Arial"/>
                                <w:b/>
                                <w:bCs/>
                              </w:rPr>
                              <w:t>Cohésion économique, sociale et territoriale</w:t>
                            </w:r>
                          </w:p>
                          <w:p w:rsidR="005965AE" w:rsidRDefault="005A1DF6">
                            <w:pPr>
                              <w:pStyle w:val="ListParagraph"/>
                              <w:numPr>
                                <w:ilvl w:val="1"/>
                                <w:numId w:val="13"/>
                              </w:numPr>
                              <w:spacing w:after="0" w:line="240" w:lineRule="auto"/>
                              <w:textAlignment w:val="baseline"/>
                              <w:rPr>
                                <w:rFonts w:eastAsia="Times New Roman"/>
                              </w:rPr>
                            </w:pPr>
                            <w:r>
                              <w:rPr>
                                <w:rFonts w:ascii="Arial" w:hAnsi="Arial"/>
                              </w:rPr>
                              <w:t xml:space="preserve">Soutien réservé aux pays relevant du Fonds de cohésion et à la coopération transfrontalière </w:t>
                            </w:r>
                          </w:p>
                          <w:p w:rsidR="005965AE" w:rsidRDefault="005A1DF6">
                            <w:pPr>
                              <w:pStyle w:val="ListParagraph"/>
                              <w:numPr>
                                <w:ilvl w:val="1"/>
                                <w:numId w:val="13"/>
                              </w:numPr>
                              <w:spacing w:after="0" w:line="240" w:lineRule="auto"/>
                              <w:textAlignment w:val="baseline"/>
                              <w:rPr>
                                <w:rFonts w:eastAsia="Times New Roman"/>
                              </w:rPr>
                            </w:pPr>
                            <w:r>
                              <w:rPr>
                                <w:rFonts w:ascii="Arial" w:hAnsi="Arial"/>
                              </w:rPr>
                              <w:t>Attention exclusive à l’inclusion sociale, à l’emploi, aux compétences, à l’innovation, au changement climatique, à l’énergie et à la transition écologique</w:t>
                            </w:r>
                          </w:p>
                          <w:p w:rsidR="005965AE" w:rsidRDefault="005A1DF6">
                            <w:pPr>
                              <w:pStyle w:val="ListParagraph"/>
                              <w:numPr>
                                <w:ilvl w:val="0"/>
                                <w:numId w:val="13"/>
                              </w:numPr>
                              <w:spacing w:after="0" w:line="240" w:lineRule="auto"/>
                              <w:textAlignment w:val="baseline"/>
                              <w:rPr>
                                <w:rFonts w:eastAsia="Times New Roman"/>
                              </w:rPr>
                            </w:pPr>
                            <w:r>
                              <w:rPr>
                                <w:rFonts w:ascii="Arial" w:hAnsi="Arial"/>
                                <w:b/>
                                <w:bCs/>
                              </w:rPr>
                              <w:t>Maintie</w:t>
                            </w:r>
                            <w:r>
                              <w:rPr>
                                <w:rFonts w:ascii="Arial" w:hAnsi="Arial"/>
                                <w:b/>
                                <w:bCs/>
                              </w:rPr>
                              <w:t>n des programmes du marché unique</w:t>
                            </w:r>
                            <w:r>
                              <w:rPr>
                                <w:rFonts w:ascii="Arial" w:hAnsi="Arial"/>
                              </w:rPr>
                              <w:t xml:space="preserve"> (réseaux transeuropéens, douanes, protection des consommateurs, agences)</w:t>
                            </w:r>
                          </w:p>
                          <w:p w:rsidR="005965AE" w:rsidRDefault="005A1DF6">
                            <w:pPr>
                              <w:pStyle w:val="ListParagraph"/>
                              <w:numPr>
                                <w:ilvl w:val="0"/>
                                <w:numId w:val="13"/>
                              </w:numPr>
                              <w:spacing w:after="0" w:line="240" w:lineRule="auto"/>
                              <w:textAlignment w:val="baseline"/>
                              <w:rPr>
                                <w:rFonts w:eastAsia="Times New Roman"/>
                              </w:rPr>
                            </w:pPr>
                            <w:r>
                              <w:rPr>
                                <w:rFonts w:ascii="Arial" w:hAnsi="Arial"/>
                                <w:b/>
                                <w:bCs/>
                              </w:rPr>
                              <w:t>Aucun financement de nouvelles priorités</w:t>
                            </w:r>
                            <w:r>
                              <w:rPr>
                                <w:rFonts w:ascii="Arial" w:hAnsi="Arial"/>
                              </w:rPr>
                              <w:t xml:space="preserve"> (sécurité, contrôle aux frontières, migration, défense)</w:t>
                            </w:r>
                          </w:p>
                          <w:p w:rsidR="005965AE" w:rsidRDefault="005A1DF6">
                            <w:pPr>
                              <w:pStyle w:val="ListParagraph"/>
                              <w:numPr>
                                <w:ilvl w:val="0"/>
                                <w:numId w:val="13"/>
                              </w:numPr>
                              <w:spacing w:after="0" w:line="240" w:lineRule="auto"/>
                              <w:textAlignment w:val="baseline"/>
                              <w:rPr>
                                <w:rFonts w:eastAsia="Times New Roman"/>
                              </w:rPr>
                            </w:pPr>
                            <w:r>
                              <w:rPr>
                                <w:rFonts w:ascii="Arial" w:hAnsi="Arial"/>
                                <w:b/>
                                <w:bCs/>
                              </w:rPr>
                              <w:t>Abandon d’autres programmes</w:t>
                            </w:r>
                            <w:r>
                              <w:rPr>
                                <w:rFonts w:ascii="Arial" w:hAnsi="Arial"/>
                              </w:rPr>
                              <w:t xml:space="preserve"> (Erasmus, recherche et i</w:t>
                            </w:r>
                            <w:r>
                              <w:rPr>
                                <w:rFonts w:ascii="Arial" w:hAnsi="Arial"/>
                              </w:rPr>
                              <w:t>nnovation, aide aux plus démunis, santé, culture, citoyenneté, etc.)</w:t>
                            </w:r>
                          </w:p>
                          <w:p w:rsidR="005965AE" w:rsidRDefault="005A1DF6">
                            <w:pPr>
                              <w:pStyle w:val="NormalWeb"/>
                              <w:spacing w:after="0"/>
                              <w:textAlignment w:val="baseline"/>
                              <w:rPr>
                                <w:rFonts w:eastAsiaTheme="minorEastAsia"/>
                              </w:rPr>
                            </w:pPr>
                            <w:r>
                              <w:rPr>
                                <w:rFonts w:ascii="Arial" w:hAnsi="Arial"/>
                                <w:b/>
                                <w:bCs/>
                                <w:sz w:val="28"/>
                                <w:szCs w:val="28"/>
                              </w:rPr>
                              <w:t>Recettes</w:t>
                            </w:r>
                          </w:p>
                          <w:p w:rsidR="005965AE" w:rsidRDefault="005A1DF6">
                            <w:pPr>
                              <w:pStyle w:val="ListParagraph"/>
                              <w:numPr>
                                <w:ilvl w:val="0"/>
                                <w:numId w:val="14"/>
                              </w:numPr>
                              <w:spacing w:after="0" w:line="240" w:lineRule="auto"/>
                              <w:textAlignment w:val="baseline"/>
                              <w:rPr>
                                <w:rFonts w:eastAsia="Times New Roman"/>
                              </w:rPr>
                            </w:pPr>
                            <w:r>
                              <w:rPr>
                                <w:rFonts w:ascii="Arial" w:hAnsi="Arial"/>
                                <w:b/>
                                <w:bCs/>
                              </w:rPr>
                              <w:t>Système actuel sans rabais</w:t>
                            </w:r>
                          </w:p>
                        </w:txbxContent>
                      </wps:txbx>
                      <wps:bodyPr wrap="square">
                        <a:spAutoFit/>
                      </wps:bodyPr>
                    </wps:wsp>
                  </a:graphicData>
                </a:graphic>
              </wp:anchor>
            </w:drawing>
          </mc:Choice>
          <mc:Fallback>
            <w:pict>
              <v:rect id="_x0000_s1029" style="position:absolute;margin-left:20.9pt;margin-top:68.05pt;width:662.3pt;height:23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" filled="f" stroked="f">
                <v:textbox style="mso-fit-shape-to-text:t">
                  <w:txbxContent>
                    <w:p>
                      <w:pPr>
                        <w:pStyle w:val="NormalWeb"/>
                        <w:spacing w:after="0"/>
                        <w:textAlignment w:val="baseline"/>
                      </w:pPr>
                      <w:r>
                        <w:rPr>
                          <w:rFonts w:ascii="Arial" w:hAnsi="Arial"/>
                          <w:b/>
                          <w:bCs/>
                          <w:sz w:val="28"/>
                          <w:szCs w:val="28"/>
                        </w:rPr>
                        <w:t>Tendance générale et volume</w:t>
                      </w:r>
                    </w:p>
                    <w:p>
                      <w:pPr>
                        <w:pStyle w:val="ListParagraph"/>
                        <w:numPr>
                          <w:ilvl w:val="0"/>
                          <w:numId w:val="12"/>
                        </w:numPr>
                        <w:spacing w:after="0" w:line="240" w:lineRule="auto"/>
                        <w:textAlignment w:val="baseline"/>
                        <w:rPr>
                          <w:rFonts w:eastAsia="Times New Roman"/>
                        </w:rPr>
                      </w:pPr>
                      <w:r>
                        <w:rPr>
                          <w:rFonts w:ascii="Arial" w:hAnsi="Arial"/>
                          <w:b/>
                          <w:bCs/>
                        </w:rPr>
                        <w:t>Réduction considérable</w:t>
                      </w:r>
                    </w:p>
                    <w:p>
                      <w:pPr>
                        <w:pStyle w:val="ListParagraph"/>
                        <w:numPr>
                          <w:ilvl w:val="0"/>
                          <w:numId w:val="12"/>
                        </w:numPr>
                        <w:spacing w:after="0" w:line="240" w:lineRule="auto"/>
                        <w:textAlignment w:val="baseline"/>
                        <w:rPr>
                          <w:rFonts w:eastAsia="Times New Roman"/>
                        </w:rPr>
                      </w:pPr>
                      <w:r>
                        <w:rPr>
                          <w:rFonts w:ascii="Arial" w:hAnsi="Arial"/>
                          <w:b/>
                          <w:bCs/>
                        </w:rPr>
                        <w:t>Accent sur le fonctionnement du marché intérieur</w:t>
                      </w:r>
                    </w:p>
                    <w:p>
                      <w:pPr>
                        <w:pStyle w:val="ListParagraph"/>
                        <w:numPr>
                          <w:ilvl w:val="0"/>
                          <w:numId w:val="12"/>
                        </w:numPr>
                        <w:spacing w:after="0" w:line="240" w:lineRule="auto"/>
                        <w:textAlignment w:val="baseline"/>
                        <w:rPr>
                          <w:rFonts w:eastAsia="Times New Roman"/>
                        </w:rPr>
                      </w:pPr>
                      <w:r>
                        <w:rPr>
                          <w:rFonts w:ascii="Arial" w:hAnsi="Arial"/>
                          <w:b/>
                          <w:bCs/>
                        </w:rPr>
                        <w:t>Réduction sensible des montants alloués aux politiques agricole et de cohésion</w:t>
                      </w:r>
                    </w:p>
                    <w:p>
                      <w:pPr>
                        <w:pStyle w:val="ListParagraph"/>
                        <w:numPr>
                          <w:ilvl w:val="0"/>
                          <w:numId w:val="12"/>
                        </w:numPr>
                        <w:spacing w:after="0" w:line="240" w:lineRule="auto"/>
                        <w:textAlignment w:val="baseline"/>
                        <w:rPr>
                          <w:rFonts w:eastAsia="Times New Roman"/>
                        </w:rPr>
                      </w:pPr>
                      <w:r>
                        <w:rPr>
                          <w:rFonts w:ascii="Arial" w:hAnsi="Arial"/>
                          <w:b/>
                          <w:bCs/>
                        </w:rPr>
                        <w:t>Utilisation beaucoup plus massive des instruments financiers et des garanties</w:t>
                      </w:r>
                    </w:p>
                    <w:p>
                      <w:pPr>
                        <w:pStyle w:val="NormalWeb"/>
                        <w:spacing w:after="0"/>
                        <w:textAlignment w:val="baseline"/>
                        <w:rPr>
                          <w:rFonts w:eastAsiaTheme="minorEastAsia"/>
                        </w:rPr>
                      </w:pPr>
                      <w:r>
                        <w:rPr>
                          <w:rFonts w:ascii="Arial" w:hAnsi="Arial"/>
                          <w:b/>
                          <w:bCs/>
                          <w:sz w:val="28"/>
                          <w:szCs w:val="28"/>
                        </w:rPr>
                        <w:t>Dépenses</w:t>
                      </w:r>
                    </w:p>
                    <w:p>
                      <w:pPr>
                        <w:pStyle w:val="ListParagraph"/>
                        <w:numPr>
                          <w:ilvl w:val="0"/>
                          <w:numId w:val="13"/>
                        </w:numPr>
                        <w:spacing w:after="0" w:line="240" w:lineRule="auto"/>
                        <w:textAlignment w:val="baseline"/>
                        <w:rPr>
                          <w:rFonts w:eastAsia="Times New Roman"/>
                        </w:rPr>
                      </w:pPr>
                      <w:r>
                        <w:rPr>
                          <w:rFonts w:ascii="Arial" w:hAnsi="Arial"/>
                          <w:b/>
                          <w:bCs/>
                        </w:rPr>
                        <w:t xml:space="preserve">Politique agricole commune </w:t>
                      </w:r>
                    </w:p>
                    <w:p>
                      <w:pPr>
                        <w:pStyle w:val="ListParagraph"/>
                        <w:numPr>
                          <w:ilvl w:val="1"/>
                          <w:numId w:val="13"/>
                        </w:numPr>
                        <w:spacing w:after="0" w:line="240" w:lineRule="auto"/>
                        <w:textAlignment w:val="baseline"/>
                        <w:rPr>
                          <w:rFonts w:eastAsia="Times New Roman"/>
                        </w:rPr>
                      </w:pPr>
                      <w:r>
                        <w:rPr>
                          <w:rFonts w:ascii="Arial" w:hAnsi="Arial"/>
                        </w:rPr>
                        <w:t>Soutien uniquement aux agriculteurs soumis à des contraintes particulières (par exemple petites exploitations, zones de montagne et régions à faible densité de population)</w:t>
                      </w:r>
                    </w:p>
                    <w:p>
                      <w:pPr>
                        <w:pStyle w:val="ListParagraph"/>
                        <w:numPr>
                          <w:ilvl w:val="1"/>
                          <w:numId w:val="13"/>
                        </w:numPr>
                        <w:spacing w:after="0" w:line="240" w:lineRule="auto"/>
                        <w:textAlignment w:val="baseline"/>
                        <w:rPr>
                          <w:rFonts w:eastAsia="Times New Roman"/>
                        </w:rPr>
                      </w:pPr>
                      <w:r>
                        <w:rPr>
                          <w:rFonts w:ascii="Arial" w:hAnsi="Arial"/>
                        </w:rPr>
                        <w:t>Outils de gestion des risques pour l’ensemble des exploitations</w:t>
                      </w:r>
                    </w:p>
                    <w:p>
                      <w:pPr>
                        <w:pStyle w:val="ListParagraph"/>
                        <w:numPr>
                          <w:ilvl w:val="0"/>
                          <w:numId w:val="13"/>
                        </w:numPr>
                        <w:spacing w:after="0" w:line="240" w:lineRule="auto"/>
                        <w:textAlignment w:val="baseline"/>
                        <w:rPr>
                          <w:rFonts w:eastAsia="Times New Roman"/>
                        </w:rPr>
                      </w:pPr>
                      <w:r>
                        <w:rPr>
                          <w:rFonts w:ascii="Arial" w:hAnsi="Arial"/>
                          <w:b/>
                          <w:bCs/>
                        </w:rPr>
                        <w:t>Cohésion économique, sociale et territoriale</w:t>
                      </w:r>
                    </w:p>
                    <w:p>
                      <w:pPr>
                        <w:pStyle w:val="ListParagraph"/>
                        <w:numPr>
                          <w:ilvl w:val="1"/>
                          <w:numId w:val="13"/>
                        </w:numPr>
                        <w:spacing w:after="0" w:line="240" w:lineRule="auto"/>
                        <w:textAlignment w:val="baseline"/>
                        <w:rPr>
                          <w:rFonts w:eastAsia="Times New Roman"/>
                        </w:rPr>
                      </w:pPr>
                      <w:r>
                        <w:rPr>
                          <w:rFonts w:ascii="Arial" w:hAnsi="Arial"/>
                        </w:rPr>
                        <w:t xml:space="preserve">Soutien réservé aux pays relevant du Fonds de cohésion et à la coopération transfrontalière </w:t>
                      </w:r>
                    </w:p>
                    <w:p>
                      <w:pPr>
                        <w:pStyle w:val="ListParagraph"/>
                        <w:numPr>
                          <w:ilvl w:val="1"/>
                          <w:numId w:val="13"/>
                        </w:numPr>
                        <w:spacing w:after="0" w:line="240" w:lineRule="auto"/>
                        <w:textAlignment w:val="baseline"/>
                        <w:rPr>
                          <w:rFonts w:eastAsia="Times New Roman"/>
                        </w:rPr>
                      </w:pPr>
                      <w:r>
                        <w:rPr>
                          <w:rFonts w:ascii="Arial" w:hAnsi="Arial"/>
                        </w:rPr>
                        <w:t>Attention exclusive à l’inclusion sociale, à l’emploi, aux compétences, à l’innovation, au changement climatique, à l’énergie et à la transition écologique</w:t>
                      </w:r>
                    </w:p>
                    <w:p>
                      <w:pPr>
                        <w:pStyle w:val="ListParagraph"/>
                        <w:numPr>
                          <w:ilvl w:val="0"/>
                          <w:numId w:val="13"/>
                        </w:numPr>
                        <w:spacing w:after="0" w:line="240" w:lineRule="auto"/>
                        <w:textAlignment w:val="baseline"/>
                        <w:rPr>
                          <w:rFonts w:eastAsia="Times New Roman"/>
                        </w:rPr>
                      </w:pPr>
                      <w:r>
                        <w:rPr>
                          <w:rFonts w:ascii="Arial" w:hAnsi="Arial"/>
                          <w:b/>
                          <w:bCs/>
                        </w:rPr>
                        <w:t>Maintien des programmes du marché unique</w:t>
                      </w:r>
                      <w:r>
                        <w:rPr>
                          <w:rFonts w:ascii="Arial" w:hAnsi="Arial"/>
                        </w:rPr>
                        <w:t xml:space="preserve"> (réseaux transeuropéens, douanes, protection des consommateurs, agences)</w:t>
                      </w:r>
                    </w:p>
                    <w:p>
                      <w:pPr>
                        <w:pStyle w:val="ListParagraph"/>
                        <w:numPr>
                          <w:ilvl w:val="0"/>
                          <w:numId w:val="13"/>
                        </w:numPr>
                        <w:spacing w:after="0" w:line="240" w:lineRule="auto"/>
                        <w:textAlignment w:val="baseline"/>
                        <w:rPr>
                          <w:rFonts w:eastAsia="Times New Roman"/>
                        </w:rPr>
                      </w:pPr>
                      <w:r>
                        <w:rPr>
                          <w:rFonts w:ascii="Arial" w:hAnsi="Arial"/>
                          <w:b/>
                          <w:bCs/>
                        </w:rPr>
                        <w:t>Aucun financement de nouvelles priorités</w:t>
                      </w:r>
                      <w:r>
                        <w:rPr>
                          <w:rFonts w:ascii="Arial" w:hAnsi="Arial"/>
                        </w:rPr>
                        <w:t xml:space="preserve"> (sécurité, contrôle aux frontières, migration, défense)</w:t>
                      </w:r>
                    </w:p>
                    <w:p>
                      <w:pPr>
                        <w:pStyle w:val="ListParagraph"/>
                        <w:numPr>
                          <w:ilvl w:val="0"/>
                          <w:numId w:val="13"/>
                        </w:numPr>
                        <w:spacing w:after="0" w:line="240" w:lineRule="auto"/>
                        <w:textAlignment w:val="baseline"/>
                        <w:rPr>
                          <w:rFonts w:eastAsia="Times New Roman"/>
                        </w:rPr>
                      </w:pPr>
                      <w:r>
                        <w:rPr>
                          <w:rFonts w:ascii="Arial" w:hAnsi="Arial"/>
                          <w:b/>
                          <w:bCs/>
                        </w:rPr>
                        <w:t>Abandon d’autres programmes</w:t>
                      </w:r>
                      <w:r>
                        <w:rPr>
                          <w:rFonts w:ascii="Arial" w:hAnsi="Arial"/>
                        </w:rPr>
                        <w:t xml:space="preserve"> (Erasmus, recherche et innovation, aide aux plus démunis, santé, culture, citoyenneté, etc.)</w:t>
                      </w:r>
                    </w:p>
                    <w:p>
                      <w:pPr>
                        <w:pStyle w:val="NormalWeb"/>
                        <w:spacing w:after="0"/>
                        <w:textAlignment w:val="baseline"/>
                        <w:rPr>
                          <w:rFonts w:eastAsiaTheme="minorEastAsia"/>
                        </w:rPr>
                      </w:pPr>
                      <w:r>
                        <w:rPr>
                          <w:rFonts w:ascii="Arial" w:hAnsi="Arial"/>
                          <w:b/>
                          <w:bCs/>
                          <w:sz w:val="28"/>
                          <w:szCs w:val="28"/>
                        </w:rPr>
                        <w:t>Recettes</w:t>
                      </w:r>
                    </w:p>
                    <w:p>
                      <w:pPr>
                        <w:pStyle w:val="ListParagraph"/>
                        <w:numPr>
                          <w:ilvl w:val="0"/>
                          <w:numId w:val="14"/>
                        </w:numPr>
                        <w:spacing w:after="0" w:line="240" w:lineRule="auto"/>
                        <w:textAlignment w:val="baseline"/>
                        <w:rPr>
                          <w:rFonts w:eastAsia="Times New Roman"/>
                        </w:rPr>
                      </w:pPr>
                      <w:r>
                        <w:rPr>
                          <w:rFonts w:ascii="Arial" w:hAnsi="Arial"/>
                          <w:b/>
                          <w:bCs/>
                        </w:rPr>
                        <w:t>Système actuel sans rabais</w:t>
                      </w:r>
                    </w:p>
                  </w:txbxContent>
                </v:textbox>
              </v: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504056</wp:posOffset>
                </wp:positionH>
                <wp:positionV relativeFrom="paragraph">
                  <wp:posOffset>0</wp:posOffset>
                </wp:positionV>
                <wp:extent cx="7920880" cy="825851"/>
                <wp:effectExtent l="0" t="0" r="4445" b="0"/>
                <wp:wrapNone/>
                <wp:docPr id="26" name="Rectangle 18"/>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8" o:spid="_x0000_s1026" style="position:absolute;margin-left:39.7pt;margin-top:0;width:623.7pt;height:65.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27" name="TextBox 19"/>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5965AE" w:rsidRDefault="005A1DF6">
                            <w:pPr>
                              <w:pStyle w:val="NormalWeb"/>
                              <w:spacing w:after="0"/>
                              <w:jc w:val="center"/>
                              <w:textAlignment w:val="baseline"/>
                            </w:pPr>
                            <w:r>
                              <w:rPr>
                                <w:rFonts w:ascii="Arial" w:hAnsi="Arial"/>
                                <w:b/>
                                <w:bCs/>
                                <w:color w:val="1F497D" w:themeColor="text2"/>
                                <w:sz w:val="96"/>
                                <w:szCs w:val="96"/>
                              </w:rPr>
                              <w:t>2</w:t>
                            </w:r>
                            <w:r>
                              <w:rPr>
                                <w:rFonts w:ascii="Arial" w:hAnsi="Arial"/>
                                <w:b/>
                                <w:bCs/>
                                <w:color w:val="1F497D" w:themeColor="text2"/>
                              </w:rPr>
                              <w:t>Faire moins ensemble</w:t>
                            </w:r>
                          </w:p>
                        </w:txbxContent>
                      </wps:txbx>
                      <wps:bodyPr wrap="square" rtlCol="0">
                        <a:noAutofit/>
                      </wps:bodyPr>
                    </wps:wsp>
                  </a:graphicData>
                </a:graphic>
              </wp:anchor>
            </w:drawing>
          </mc:Choice>
          <mc:Fallback>
            <w:pict>
              <v:shape id="TextBox 19" o:spid="_x0000_s1030" type="#_x0000_t202" style="position:absolute;margin-left:0;margin-top:11.35pt;width:227.85pt;height:9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muDJ+pkBAAAX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b/>
                          <w:bCs/>
                          <w:color w:val="1F497D" w:themeColor="text2"/>
                          <w:sz w:val="96"/>
                          <w:szCs w:val="96"/>
                        </w:rPr>
                        <w:t>2</w:t>
                      </w:r>
                      <w:r>
                        <w:rPr>
                          <w:rFonts w:ascii="Arial" w:hAnsi="Arial"/>
                          <w:b/>
                          <w:bCs/>
                          <w:color w:val="1F497D" w:themeColor="text2"/>
                        </w:rPr>
                        <w:t>Faire moins ensemble</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504056</wp:posOffset>
                </wp:positionH>
                <wp:positionV relativeFrom="paragraph">
                  <wp:posOffset>0</wp:posOffset>
                </wp:positionV>
                <wp:extent cx="5616575" cy="427355"/>
                <wp:effectExtent l="0" t="0" r="0" b="0"/>
                <wp:wrapNone/>
                <wp:docPr id="28" name="TextBox 20"/>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5965AE" w:rsidRDefault="005A1DF6">
                            <w:pPr>
                              <w:pStyle w:val="NormalWeb"/>
                              <w:spacing w:after="0"/>
                              <w:textAlignment w:val="baseline"/>
                            </w:pPr>
                            <w:r>
                              <w:rPr>
                                <w:rFonts w:ascii="Arial" w:hAnsi="Arial"/>
                                <w:b/>
                                <w:bCs/>
                                <w:color w:val="000000" w:themeColor="text1"/>
                                <w:sz w:val="40"/>
                                <w:szCs w:val="40"/>
                              </w:rPr>
                              <w:t>Scénario</w:t>
                            </w:r>
                          </w:p>
                        </w:txbxContent>
                      </wps:txbx>
                      <wps:bodyPr wrap="square" rtlCol="0">
                        <a:spAutoFit/>
                      </wps:bodyPr>
                    </wps:wsp>
                  </a:graphicData>
                </a:graphic>
              </wp:anchor>
            </w:drawing>
          </mc:Choice>
          <mc:Fallback>
            <w:pict>
              <v:shape id="TextBox 20" o:spid="_x0000_s1031" type="#_x0000_t202" style="position:absolute;margin-left:39.7pt;margin-top:0;width:442.25pt;height:3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" filled="f" stroked="f">
                <v:textbox style="mso-fit-shape-to-text:t">
                  <w:txbxContent>
                    <w:p>
                      <w:pPr>
                        <w:pStyle w:val="NormalWeb"/>
                        <w:spacing w:after="0"/>
                        <w:textAlignment w:val="baseline"/>
                      </w:pPr>
                      <w:r>
                        <w:rPr>
                          <w:rFonts w:ascii="Arial" w:hAnsi="Arial"/>
                          <w:b/>
                          <w:bCs/>
                          <w:color w:val="000000" w:themeColor="text1"/>
                          <w:sz w:val="40"/>
                          <w:szCs w:val="40"/>
                        </w:rPr>
                        <w:t>Scénario</w:t>
                      </w:r>
                    </w:p>
                  </w:txbxContent>
                </v:textbox>
              </v:shape>
            </w:pict>
          </mc:Fallback>
        </mc:AlternateContent>
      </w:r>
      <w:r>
        <w:rPr>
          <w:rFonts w:ascii="Times New Roman" w:hAnsi="Times New Roman" w:cs="Times New Roman"/>
          <w:b/>
          <w:noProof/>
          <w:sz w:val="24"/>
          <w:szCs w:val="24"/>
          <w:lang w:val="en-GB" w:eastAsia="en-GB"/>
        </w:rPr>
        <w:drawing>
          <wp:anchor distT="0" distB="0" distL="114300" distR="114300" simplePos="0" relativeHeight="251668480" behindDoc="0" locked="0" layoutInCell="1" allowOverlap="1">
            <wp:simplePos x="0" y="0"/>
            <wp:positionH relativeFrom="column">
              <wp:posOffset>7214541</wp:posOffset>
            </wp:positionH>
            <wp:positionV relativeFrom="paragraph">
              <wp:posOffset>72008</wp:posOffset>
            </wp:positionV>
            <wp:extent cx="922363" cy="646567"/>
            <wp:effectExtent l="0" t="0" r="0" b="127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2363" cy="646567"/>
                    </a:xfrm>
                    <a:prstGeom prst="rect">
                      <a:avLst/>
                    </a:prstGeom>
                  </pic:spPr>
                </pic:pic>
              </a:graphicData>
            </a:graphic>
          </wp:anchor>
        </w:drawing>
      </w:r>
      <w:r>
        <w:rPr>
          <w:rFonts w:ascii="Times New Roman" w:hAnsi="Times New Roman"/>
          <w:b/>
          <w:noProof/>
          <w:sz w:val="24"/>
          <w:szCs w:val="24"/>
        </w:rPr>
        <w:t xml:space="preserve"> </w:t>
      </w:r>
    </w:p>
    <w:p w:rsidR="005965AE" w:rsidRDefault="005A1DF6">
      <w:pPr>
        <w:rPr>
          <w:rFonts w:ascii="Times New Roman" w:hAnsi="Times New Roman" w:cs="Times New Roman"/>
          <w:b/>
          <w:noProof/>
          <w:sz w:val="24"/>
          <w:szCs w:val="24"/>
        </w:rPr>
      </w:pPr>
      <w:r>
        <w:rPr>
          <w:noProof/>
        </w:rPr>
        <w:br w:type="page"/>
      </w:r>
    </w:p>
    <w:p w:rsidR="005965AE" w:rsidRDefault="005A1DF6">
      <w:pPr>
        <w:rPr>
          <w:rFonts w:ascii="Times New Roman" w:hAnsi="Times New Roman" w:cs="Times New Roman"/>
          <w:b/>
          <w:noProof/>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9504"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35"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36"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5965AE" w:rsidRDefault="005A1DF6">
                            <w:pPr>
                              <w:pStyle w:val="NormalWeb"/>
                              <w:spacing w:after="0"/>
                              <w:jc w:val="center"/>
                              <w:textAlignment w:val="baseline"/>
                            </w:pPr>
                            <w:r>
                              <w:rPr>
                                <w:rFonts w:ascii="Arial" w:hAnsi="Arial"/>
                                <w:b/>
                                <w:bCs/>
                                <w:color w:val="1F497D" w:themeColor="text2"/>
                                <w:sz w:val="96"/>
                                <w:szCs w:val="96"/>
                              </w:rPr>
                              <w:t>3</w:t>
                            </w:r>
                            <w:r>
                              <w:rPr>
                                <w:rFonts w:ascii="Arial" w:hAnsi="Arial"/>
                                <w:b/>
                                <w:bCs/>
                                <w:color w:val="1F497D" w:themeColor="text2"/>
                              </w:rPr>
                              <w:t>Certains font plus</w:t>
                            </w:r>
                          </w:p>
                        </w:txbxContent>
                      </wps:txbx>
                      <wps:bodyPr wrap="square" rtlCol="0">
                        <a:noAutofit/>
                      </wps:bodyPr>
                    </wps:wsp>
                  </a:graphicData>
                </a:graphic>
              </wp:anchor>
            </w:drawing>
          </mc:Choice>
          <mc:Fallback>
            <w:pict>
              <v:shape id="TextBox 8" o:spid="_x0000_s1032" type="#_x0000_t202" style="position:absolute;margin-left:0;margin-top:11.35pt;width:227.85pt;height:90.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gvF+NJkBAAAW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b/>
                          <w:bCs/>
                          <w:color w:val="1F497D" w:themeColor="text2"/>
                          <w:sz w:val="96"/>
                          <w:szCs w:val="96"/>
                        </w:rPr>
                        <w:t>3</w:t>
                      </w:r>
                      <w:r>
                        <w:rPr>
                          <w:rFonts w:ascii="Arial" w:hAnsi="Arial"/>
                          <w:b/>
                          <w:bCs/>
                          <w:color w:val="1F497D" w:themeColor="text2"/>
                        </w:rPr>
                        <w:t>Certains font plus</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71552"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37"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5965AE" w:rsidRDefault="005A1DF6">
                            <w:pPr>
                              <w:pStyle w:val="NormalWeb"/>
                              <w:spacing w:after="0"/>
                              <w:textAlignment w:val="baseline"/>
                            </w:pPr>
                            <w:r>
                              <w:rPr>
                                <w:rFonts w:ascii="Arial" w:hAnsi="Arial"/>
                                <w:b/>
                                <w:bCs/>
                                <w:color w:val="000000" w:themeColor="text1"/>
                                <w:sz w:val="40"/>
                                <w:szCs w:val="40"/>
                              </w:rPr>
                              <w:t>Scénario</w:t>
                            </w:r>
                          </w:p>
                        </w:txbxContent>
                      </wps:txbx>
                      <wps:bodyPr wrap="square" rtlCol="0">
                        <a:spAutoFit/>
                      </wps:bodyPr>
                    </wps:wsp>
                  </a:graphicData>
                </a:graphic>
              </wp:anchor>
            </w:drawing>
          </mc:Choice>
          <mc:Fallback>
            <w:pict>
              <v:shape id="TextBox 9" o:spid="_x0000_s1033" type="#_x0000_t202" style="position:absolute;margin-left:52.1pt;margin-top:0;width:442.25pt;height:3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6vC39pkBAAAV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bCs/>
                          <w:color w:val="000000" w:themeColor="text1"/>
                          <w:sz w:val="40"/>
                          <w:szCs w:val="40"/>
                        </w:rPr>
                        <w:t>Scénario</w:t>
                      </w:r>
                    </w:p>
                  </w:txbxContent>
                </v:textbox>
              </v:shape>
            </w:pict>
          </mc:Fallback>
        </mc:AlternateContent>
      </w:r>
      <w:r>
        <w:rPr>
          <w:rFonts w:ascii="Times New Roman" w:hAnsi="Times New Roman" w:cs="Times New Roman"/>
          <w:b/>
          <w:noProof/>
          <w:sz w:val="24"/>
          <w:szCs w:val="24"/>
          <w:lang w:val="en-GB" w:eastAsia="en-GB"/>
        </w:rPr>
        <w:drawing>
          <wp:anchor distT="0" distB="0" distL="114300" distR="114300" simplePos="0" relativeHeight="251672576" behindDoc="0" locked="0" layoutInCell="1" allowOverlap="1">
            <wp:simplePos x="0" y="0"/>
            <wp:positionH relativeFrom="column">
              <wp:posOffset>7430286</wp:posOffset>
            </wp:positionH>
            <wp:positionV relativeFrom="paragraph">
              <wp:posOffset>84825</wp:posOffset>
            </wp:positionV>
            <wp:extent cx="936104" cy="656200"/>
            <wp:effectExtent l="0" t="0" r="0" b="0"/>
            <wp:wrapNone/>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6104" cy="656200"/>
                    </a:xfrm>
                    <a:prstGeom prst="rect">
                      <a:avLst/>
                    </a:prstGeom>
                  </pic:spPr>
                </pic:pic>
              </a:graphicData>
            </a:graphic>
          </wp:anchor>
        </w:drawing>
      </w:r>
      <w:r>
        <w:rPr>
          <w:rFonts w:ascii="Times New Roman" w:hAnsi="Times New Roman" w:cs="Times New Roman"/>
          <w:b/>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423042</wp:posOffset>
                </wp:positionH>
                <wp:positionV relativeFrom="paragraph">
                  <wp:posOffset>864096</wp:posOffset>
                </wp:positionV>
                <wp:extent cx="8411210" cy="3441700"/>
                <wp:effectExtent l="0" t="0" r="0" b="0"/>
                <wp:wrapNone/>
                <wp:docPr id="38" name="Rectangle 12"/>
                <wp:cNvGraphicFramePr/>
                <a:graphic xmlns:a="http://schemas.openxmlformats.org/drawingml/2006/main">
                  <a:graphicData uri="http://schemas.microsoft.com/office/word/2010/wordprocessingShape">
                    <wps:wsp>
                      <wps:cNvSpPr/>
                      <wps:spPr>
                        <a:xfrm>
                          <a:off x="0" y="0"/>
                          <a:ext cx="8411210" cy="3441700"/>
                        </a:xfrm>
                        <a:prstGeom prst="rect">
                          <a:avLst/>
                        </a:prstGeom>
                      </wps:spPr>
                      <wps:txbx>
                        <w:txbxContent>
                          <w:p w:rsidR="005965AE" w:rsidRDefault="005A1DF6">
                            <w:pPr>
                              <w:pStyle w:val="NormalWeb"/>
                              <w:spacing w:after="0"/>
                              <w:textAlignment w:val="baseline"/>
                            </w:pPr>
                            <w:r>
                              <w:rPr>
                                <w:rFonts w:ascii="Arial" w:hAnsi="Arial"/>
                                <w:b/>
                                <w:bCs/>
                                <w:sz w:val="28"/>
                                <w:szCs w:val="28"/>
                              </w:rPr>
                              <w:t>Tendance générale et volume</w:t>
                            </w:r>
                          </w:p>
                          <w:p w:rsidR="005965AE" w:rsidRDefault="005A1DF6">
                            <w:pPr>
                              <w:pStyle w:val="ListParagraph"/>
                              <w:numPr>
                                <w:ilvl w:val="0"/>
                                <w:numId w:val="15"/>
                              </w:numPr>
                              <w:spacing w:after="0" w:line="240" w:lineRule="auto"/>
                              <w:textAlignment w:val="baseline"/>
                              <w:rPr>
                                <w:rFonts w:eastAsia="Times New Roman"/>
                              </w:rPr>
                            </w:pPr>
                            <w:r>
                              <w:rPr>
                                <w:rFonts w:ascii="Arial" w:hAnsi="Arial"/>
                                <w:b/>
                                <w:bCs/>
                              </w:rPr>
                              <w:t xml:space="preserve">Globalement stables, une augmentation </w:t>
                            </w:r>
                            <w:r>
                              <w:rPr>
                                <w:rFonts w:ascii="Arial" w:hAnsi="Arial"/>
                                <w:b/>
                                <w:bCs/>
                              </w:rPr>
                              <w:t>étant possible pour couvrir les domaines d’action commune</w:t>
                            </w:r>
                          </w:p>
                          <w:p w:rsidR="005965AE" w:rsidRDefault="005A1DF6">
                            <w:pPr>
                              <w:pStyle w:val="ListParagraph"/>
                              <w:numPr>
                                <w:ilvl w:val="0"/>
                                <w:numId w:val="15"/>
                              </w:numPr>
                              <w:spacing w:after="0" w:line="240" w:lineRule="auto"/>
                              <w:textAlignment w:val="baseline"/>
                              <w:rPr>
                                <w:rFonts w:eastAsia="Times New Roman"/>
                              </w:rPr>
                            </w:pPr>
                            <w:r>
                              <w:rPr>
                                <w:rFonts w:ascii="Arial" w:hAnsi="Arial"/>
                                <w:b/>
                                <w:bCs/>
                              </w:rPr>
                              <w:t>Recours accru aux instruments financiers et aux garanties</w:t>
                            </w:r>
                          </w:p>
                          <w:p w:rsidR="005965AE" w:rsidRDefault="005A1DF6">
                            <w:pPr>
                              <w:pStyle w:val="NormalWeb"/>
                              <w:spacing w:after="0"/>
                              <w:textAlignment w:val="baseline"/>
                              <w:rPr>
                                <w:rFonts w:eastAsiaTheme="minorEastAsia"/>
                              </w:rPr>
                            </w:pPr>
                            <w:r>
                              <w:rPr>
                                <w:rFonts w:ascii="Arial" w:hAnsi="Arial"/>
                                <w:b/>
                                <w:bCs/>
                                <w:sz w:val="28"/>
                                <w:szCs w:val="28"/>
                              </w:rPr>
                              <w:t>Dépenses</w:t>
                            </w:r>
                          </w:p>
                          <w:p w:rsidR="005965AE" w:rsidRDefault="005A1DF6">
                            <w:pPr>
                              <w:pStyle w:val="ListParagraph"/>
                              <w:numPr>
                                <w:ilvl w:val="0"/>
                                <w:numId w:val="16"/>
                              </w:numPr>
                              <w:spacing w:after="0" w:line="240" w:lineRule="auto"/>
                              <w:textAlignment w:val="baseline"/>
                              <w:rPr>
                                <w:rFonts w:eastAsia="Times New Roman"/>
                              </w:rPr>
                            </w:pPr>
                            <w:r>
                              <w:rPr>
                                <w:rFonts w:ascii="Arial" w:hAnsi="Arial"/>
                                <w:b/>
                                <w:bCs/>
                              </w:rPr>
                              <w:t>Comme dans le scénario 1</w:t>
                            </w:r>
                          </w:p>
                          <w:p w:rsidR="005965AE" w:rsidRDefault="005A1DF6">
                            <w:pPr>
                              <w:pStyle w:val="NormalWeb"/>
                              <w:spacing w:after="0"/>
                              <w:textAlignment w:val="baseline"/>
                              <w:rPr>
                                <w:rFonts w:eastAsiaTheme="minorEastAsia"/>
                              </w:rPr>
                            </w:pPr>
                            <w:r>
                              <w:rPr>
                                <w:rFonts w:ascii="Arial" w:hAnsi="Arial"/>
                                <w:b/>
                                <w:bCs/>
                                <w:sz w:val="28"/>
                                <w:szCs w:val="28"/>
                              </w:rPr>
                              <w:t>Budgets supplémentaires et financements innovants</w:t>
                            </w:r>
                          </w:p>
                          <w:p w:rsidR="005965AE" w:rsidRDefault="005A1DF6">
                            <w:pPr>
                              <w:pStyle w:val="ListParagraph"/>
                              <w:numPr>
                                <w:ilvl w:val="0"/>
                                <w:numId w:val="17"/>
                              </w:numPr>
                              <w:spacing w:after="0" w:line="240" w:lineRule="auto"/>
                              <w:textAlignment w:val="baseline"/>
                              <w:rPr>
                                <w:rFonts w:eastAsia="Times New Roman"/>
                              </w:rPr>
                            </w:pPr>
                            <w:r>
                              <w:rPr>
                                <w:rFonts w:ascii="Arial" w:hAnsi="Arial"/>
                                <w:b/>
                                <w:bCs/>
                              </w:rPr>
                              <w:t xml:space="preserve">Inscription au budget de l’UE des dépenses occasionnées </w:t>
                            </w:r>
                            <w:r>
                              <w:rPr>
                                <w:rFonts w:ascii="Arial" w:hAnsi="Arial"/>
                                <w:b/>
                                <w:bCs/>
                              </w:rPr>
                              <w:t>par la coopération renforcée (comme pour le Parquet européen)</w:t>
                            </w:r>
                          </w:p>
                          <w:p w:rsidR="005965AE" w:rsidRDefault="005A1DF6">
                            <w:pPr>
                              <w:pStyle w:val="ListParagraph"/>
                              <w:numPr>
                                <w:ilvl w:val="0"/>
                                <w:numId w:val="17"/>
                              </w:numPr>
                              <w:spacing w:after="0" w:line="240" w:lineRule="auto"/>
                              <w:textAlignment w:val="baseline"/>
                              <w:rPr>
                                <w:rFonts w:eastAsia="Times New Roman"/>
                              </w:rPr>
                            </w:pPr>
                            <w:r>
                              <w:rPr>
                                <w:rFonts w:ascii="Arial" w:hAnsi="Arial"/>
                                <w:b/>
                                <w:bCs/>
                              </w:rPr>
                              <w:t>Mise en commun du financement excédant les moyens inscrits au budget de l’UE</w:t>
                            </w:r>
                          </w:p>
                          <w:p w:rsidR="005965AE" w:rsidRDefault="005A1DF6">
                            <w:pPr>
                              <w:pStyle w:val="ListParagraph"/>
                              <w:numPr>
                                <w:ilvl w:val="1"/>
                                <w:numId w:val="17"/>
                              </w:numPr>
                              <w:spacing w:after="0" w:line="240" w:lineRule="auto"/>
                              <w:textAlignment w:val="baseline"/>
                              <w:rPr>
                                <w:rFonts w:eastAsia="Times New Roman"/>
                              </w:rPr>
                            </w:pPr>
                            <w:r>
                              <w:rPr>
                                <w:rFonts w:ascii="Arial" w:hAnsi="Arial"/>
                              </w:rPr>
                              <w:t>Fonds fiduciaires</w:t>
                            </w:r>
                          </w:p>
                          <w:p w:rsidR="005965AE" w:rsidRDefault="005A1DF6">
                            <w:pPr>
                              <w:pStyle w:val="ListParagraph"/>
                              <w:numPr>
                                <w:ilvl w:val="1"/>
                                <w:numId w:val="17"/>
                              </w:numPr>
                              <w:spacing w:after="0" w:line="240" w:lineRule="auto"/>
                              <w:textAlignment w:val="baseline"/>
                              <w:rPr>
                                <w:rFonts w:eastAsia="Times New Roman"/>
                              </w:rPr>
                            </w:pPr>
                            <w:r>
                              <w:rPr>
                                <w:rFonts w:ascii="Arial" w:hAnsi="Arial"/>
                              </w:rPr>
                              <w:t xml:space="preserve">Recettes affectées </w:t>
                            </w:r>
                          </w:p>
                          <w:p w:rsidR="005965AE" w:rsidRDefault="005A1DF6">
                            <w:pPr>
                              <w:pStyle w:val="ListParagraph"/>
                              <w:numPr>
                                <w:ilvl w:val="1"/>
                                <w:numId w:val="17"/>
                              </w:numPr>
                              <w:spacing w:after="0" w:line="240" w:lineRule="auto"/>
                              <w:textAlignment w:val="baseline"/>
                              <w:rPr>
                                <w:rFonts w:eastAsia="Times New Roman"/>
                              </w:rPr>
                            </w:pPr>
                            <w:r>
                              <w:rPr>
                                <w:rFonts w:ascii="Arial" w:hAnsi="Arial"/>
                              </w:rPr>
                              <w:t>Financement passant par le budget de l’UE mais non soumis aux contraintes du ca</w:t>
                            </w:r>
                            <w:r>
                              <w:rPr>
                                <w:rFonts w:ascii="Arial" w:hAnsi="Arial"/>
                              </w:rPr>
                              <w:t>dre financier pluriannuel</w:t>
                            </w:r>
                          </w:p>
                          <w:p w:rsidR="005965AE" w:rsidRDefault="005A1DF6">
                            <w:pPr>
                              <w:pStyle w:val="ListParagraph"/>
                              <w:numPr>
                                <w:ilvl w:val="0"/>
                                <w:numId w:val="17"/>
                              </w:numPr>
                              <w:spacing w:after="0" w:line="240" w:lineRule="auto"/>
                              <w:textAlignment w:val="baseline"/>
                              <w:rPr>
                                <w:rFonts w:eastAsia="Times New Roman"/>
                              </w:rPr>
                            </w:pPr>
                            <w:r>
                              <w:rPr>
                                <w:rFonts w:ascii="Arial" w:hAnsi="Arial"/>
                                <w:b/>
                                <w:bCs/>
                              </w:rPr>
                              <w:t xml:space="preserve">Zone euro </w:t>
                            </w:r>
                          </w:p>
                          <w:p w:rsidR="005965AE" w:rsidRDefault="005A1DF6">
                            <w:pPr>
                              <w:pStyle w:val="ListParagraph"/>
                              <w:numPr>
                                <w:ilvl w:val="1"/>
                                <w:numId w:val="17"/>
                              </w:numPr>
                              <w:spacing w:after="0" w:line="240" w:lineRule="auto"/>
                              <w:textAlignment w:val="baseline"/>
                              <w:rPr>
                                <w:rFonts w:eastAsia="Times New Roman"/>
                              </w:rPr>
                            </w:pPr>
                            <w:r>
                              <w:rPr>
                                <w:rFonts w:ascii="Arial" w:hAnsi="Arial"/>
                              </w:rPr>
                              <w:t>Stabilisation macroéconomique de la zone euro (protection des investissements/ réassurance-chômage/ fonds pour les mauvais jours)</w:t>
                            </w:r>
                          </w:p>
                          <w:p w:rsidR="005965AE" w:rsidRDefault="005A1DF6">
                            <w:pPr>
                              <w:pStyle w:val="NormalWeb"/>
                              <w:spacing w:after="0"/>
                              <w:textAlignment w:val="baseline"/>
                              <w:rPr>
                                <w:rFonts w:eastAsiaTheme="minorEastAsia"/>
                              </w:rPr>
                            </w:pPr>
                            <w:r>
                              <w:rPr>
                                <w:rFonts w:ascii="Arial" w:hAnsi="Arial"/>
                                <w:b/>
                                <w:bCs/>
                                <w:sz w:val="28"/>
                                <w:szCs w:val="28"/>
                              </w:rPr>
                              <w:t>Recettes</w:t>
                            </w:r>
                          </w:p>
                          <w:p w:rsidR="005965AE" w:rsidRDefault="005A1DF6">
                            <w:pPr>
                              <w:pStyle w:val="ListParagraph"/>
                              <w:numPr>
                                <w:ilvl w:val="0"/>
                                <w:numId w:val="18"/>
                              </w:numPr>
                              <w:spacing w:after="0" w:line="240" w:lineRule="auto"/>
                              <w:textAlignment w:val="baseline"/>
                              <w:rPr>
                                <w:rFonts w:eastAsia="Times New Roman"/>
                              </w:rPr>
                            </w:pPr>
                            <w:r>
                              <w:rPr>
                                <w:rFonts w:ascii="Arial" w:hAnsi="Arial"/>
                                <w:b/>
                                <w:bCs/>
                              </w:rPr>
                              <w:t>Comme dans le scénario 1 + financement de nouvelles politiques uniquement par le</w:t>
                            </w:r>
                            <w:r>
                              <w:rPr>
                                <w:rFonts w:ascii="Arial" w:hAnsi="Arial"/>
                                <w:b/>
                                <w:bCs/>
                              </w:rPr>
                              <w:t>s États membres participants, soit selon le système actuel, soit</w:t>
                            </w:r>
                          </w:p>
                          <w:p w:rsidR="005965AE" w:rsidRDefault="005A1DF6">
                            <w:pPr>
                              <w:pStyle w:val="ListParagraph"/>
                              <w:numPr>
                                <w:ilvl w:val="0"/>
                                <w:numId w:val="18"/>
                              </w:numPr>
                              <w:spacing w:after="0" w:line="240" w:lineRule="auto"/>
                              <w:textAlignment w:val="baseline"/>
                              <w:rPr>
                                <w:rFonts w:eastAsia="Times New Roman"/>
                              </w:rPr>
                            </w:pPr>
                            <w:r>
                              <w:rPr>
                                <w:rFonts w:ascii="Arial" w:hAnsi="Arial"/>
                                <w:b/>
                                <w:bCs/>
                              </w:rPr>
                              <w:t>Une nouvelle ressource propre (par ex. taxe sur les transactions financières)</w:t>
                            </w:r>
                          </w:p>
                          <w:p w:rsidR="005965AE" w:rsidRDefault="005A1DF6">
                            <w:pPr>
                              <w:pStyle w:val="ListParagraph"/>
                              <w:numPr>
                                <w:ilvl w:val="1"/>
                                <w:numId w:val="18"/>
                              </w:numPr>
                              <w:spacing w:after="0" w:line="240" w:lineRule="auto"/>
                              <w:textAlignment w:val="baseline"/>
                              <w:rPr>
                                <w:rFonts w:eastAsia="Times New Roman"/>
                              </w:rPr>
                            </w:pPr>
                            <w:r>
                              <w:rPr>
                                <w:rFonts w:ascii="Arial" w:hAnsi="Arial"/>
                                <w:bCs/>
                              </w:rPr>
                              <w:t xml:space="preserve">Nouveau flux de recettes hors du système de financement actuel </w:t>
                            </w:r>
                          </w:p>
                          <w:p w:rsidR="005965AE" w:rsidRDefault="005A1DF6">
                            <w:pPr>
                              <w:pStyle w:val="ListParagraph"/>
                              <w:numPr>
                                <w:ilvl w:val="1"/>
                                <w:numId w:val="18"/>
                              </w:numPr>
                              <w:spacing w:after="0" w:line="240" w:lineRule="auto"/>
                              <w:textAlignment w:val="baseline"/>
                              <w:rPr>
                                <w:rFonts w:eastAsia="Times New Roman"/>
                              </w:rPr>
                            </w:pPr>
                            <w:r>
                              <w:rPr>
                                <w:rFonts w:ascii="Arial" w:hAnsi="Arial"/>
                                <w:bCs/>
                              </w:rPr>
                              <w:t>ou contributions financières ad hoc</w:t>
                            </w:r>
                          </w:p>
                        </w:txbxContent>
                      </wps:txbx>
                      <wps:bodyPr wrap="square">
                        <a:spAutoFit/>
                      </wps:bodyPr>
                    </wps:wsp>
                  </a:graphicData>
                </a:graphic>
              </wp:anchor>
            </w:drawing>
          </mc:Choice>
          <mc:Fallback>
            <w:pict>
              <v:rect id="Rectangle 12" o:spid="_x0000_s1034" style="position:absolute;margin-left:33.3pt;margin-top:68.05pt;width:662.3pt;height:27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" filled="f" stroked="f">
                <v:textbox style="mso-fit-shape-to-text:t">
                  <w:txbxContent>
                    <w:p>
                      <w:pPr>
                        <w:pStyle w:val="NormalWeb"/>
                        <w:spacing w:after="0"/>
                        <w:textAlignment w:val="baseline"/>
                      </w:pPr>
                      <w:r>
                        <w:rPr>
                          <w:rFonts w:ascii="Arial" w:hAnsi="Arial"/>
                          <w:b/>
                          <w:bCs/>
                          <w:sz w:val="28"/>
                          <w:szCs w:val="28"/>
                        </w:rPr>
                        <w:t>Tendance générale et volume</w:t>
                      </w:r>
                    </w:p>
                    <w:p>
                      <w:pPr>
                        <w:pStyle w:val="ListParagraph"/>
                        <w:numPr>
                          <w:ilvl w:val="0"/>
                          <w:numId w:val="15"/>
                        </w:numPr>
                        <w:spacing w:after="0" w:line="240" w:lineRule="auto"/>
                        <w:textAlignment w:val="baseline"/>
                        <w:rPr>
                          <w:rFonts w:eastAsia="Times New Roman"/>
                        </w:rPr>
                      </w:pPr>
                      <w:r>
                        <w:rPr>
                          <w:rFonts w:ascii="Arial" w:hAnsi="Arial"/>
                          <w:b/>
                          <w:bCs/>
                        </w:rPr>
                        <w:t>Globalement stables, une augmentation étant possible pour couvrir les domaines d’action commune</w:t>
                      </w:r>
                    </w:p>
                    <w:p>
                      <w:pPr>
                        <w:pStyle w:val="ListParagraph"/>
                        <w:numPr>
                          <w:ilvl w:val="0"/>
                          <w:numId w:val="15"/>
                        </w:numPr>
                        <w:spacing w:after="0" w:line="240" w:lineRule="auto"/>
                        <w:textAlignment w:val="baseline"/>
                        <w:rPr>
                          <w:rFonts w:eastAsia="Times New Roman"/>
                        </w:rPr>
                      </w:pPr>
                      <w:r>
                        <w:rPr>
                          <w:rFonts w:ascii="Arial" w:hAnsi="Arial"/>
                          <w:b/>
                          <w:bCs/>
                        </w:rPr>
                        <w:t>Recours accru aux instruments financiers et aux garanties</w:t>
                      </w:r>
                    </w:p>
                    <w:p>
                      <w:pPr>
                        <w:pStyle w:val="NormalWeb"/>
                        <w:spacing w:after="0"/>
                        <w:textAlignment w:val="baseline"/>
                        <w:rPr>
                          <w:rFonts w:eastAsiaTheme="minorEastAsia"/>
                        </w:rPr>
                      </w:pPr>
                      <w:r>
                        <w:rPr>
                          <w:rFonts w:ascii="Arial" w:hAnsi="Arial"/>
                          <w:b/>
                          <w:bCs/>
                          <w:sz w:val="28"/>
                          <w:szCs w:val="28"/>
                        </w:rPr>
                        <w:t>Dépenses</w:t>
                      </w:r>
                    </w:p>
                    <w:p>
                      <w:pPr>
                        <w:pStyle w:val="ListParagraph"/>
                        <w:numPr>
                          <w:ilvl w:val="0"/>
                          <w:numId w:val="16"/>
                        </w:numPr>
                        <w:spacing w:after="0" w:line="240" w:lineRule="auto"/>
                        <w:textAlignment w:val="baseline"/>
                        <w:rPr>
                          <w:rFonts w:eastAsia="Times New Roman"/>
                        </w:rPr>
                      </w:pPr>
                      <w:r>
                        <w:rPr>
                          <w:rFonts w:ascii="Arial" w:hAnsi="Arial"/>
                          <w:b/>
                          <w:bCs/>
                        </w:rPr>
                        <w:t>Comme dans le scénario 1</w:t>
                      </w:r>
                    </w:p>
                    <w:p>
                      <w:pPr>
                        <w:pStyle w:val="NormalWeb"/>
                        <w:spacing w:after="0"/>
                        <w:textAlignment w:val="baseline"/>
                        <w:rPr>
                          <w:rFonts w:eastAsiaTheme="minorEastAsia"/>
                        </w:rPr>
                      </w:pPr>
                      <w:r>
                        <w:rPr>
                          <w:rFonts w:ascii="Arial" w:hAnsi="Arial"/>
                          <w:b/>
                          <w:bCs/>
                          <w:sz w:val="28"/>
                          <w:szCs w:val="28"/>
                        </w:rPr>
                        <w:t>Budgets supplémentaires et financements innovants</w:t>
                      </w:r>
                    </w:p>
                    <w:p>
                      <w:pPr>
                        <w:pStyle w:val="ListParagraph"/>
                        <w:numPr>
                          <w:ilvl w:val="0"/>
                          <w:numId w:val="17"/>
                        </w:numPr>
                        <w:spacing w:after="0" w:line="240" w:lineRule="auto"/>
                        <w:textAlignment w:val="baseline"/>
                        <w:rPr>
                          <w:rFonts w:eastAsia="Times New Roman"/>
                        </w:rPr>
                      </w:pPr>
                      <w:r>
                        <w:rPr>
                          <w:rFonts w:ascii="Arial" w:hAnsi="Arial"/>
                          <w:b/>
                          <w:bCs/>
                        </w:rPr>
                        <w:t>Inscription au budget de l’UE des dépenses occasionnées par la coopération renforcée (comme pour le Parquet européen)</w:t>
                      </w:r>
                    </w:p>
                    <w:p>
                      <w:pPr>
                        <w:pStyle w:val="ListParagraph"/>
                        <w:numPr>
                          <w:ilvl w:val="0"/>
                          <w:numId w:val="17"/>
                        </w:numPr>
                        <w:spacing w:after="0" w:line="240" w:lineRule="auto"/>
                        <w:textAlignment w:val="baseline"/>
                        <w:rPr>
                          <w:rFonts w:eastAsia="Times New Roman"/>
                        </w:rPr>
                      </w:pPr>
                      <w:r>
                        <w:rPr>
                          <w:rFonts w:ascii="Arial" w:hAnsi="Arial"/>
                          <w:b/>
                          <w:bCs/>
                        </w:rPr>
                        <w:t>Mise en commun du financement excédant les moyens inscrits au budget de l’UE</w:t>
                      </w:r>
                    </w:p>
                    <w:p>
                      <w:pPr>
                        <w:pStyle w:val="ListParagraph"/>
                        <w:numPr>
                          <w:ilvl w:val="1"/>
                          <w:numId w:val="17"/>
                        </w:numPr>
                        <w:spacing w:after="0" w:line="240" w:lineRule="auto"/>
                        <w:textAlignment w:val="baseline"/>
                        <w:rPr>
                          <w:rFonts w:eastAsia="Times New Roman"/>
                        </w:rPr>
                      </w:pPr>
                      <w:r>
                        <w:rPr>
                          <w:rFonts w:ascii="Arial" w:hAnsi="Arial"/>
                        </w:rPr>
                        <w:t>Fonds fiduciaires</w:t>
                      </w:r>
                    </w:p>
                    <w:p>
                      <w:pPr>
                        <w:pStyle w:val="ListParagraph"/>
                        <w:numPr>
                          <w:ilvl w:val="1"/>
                          <w:numId w:val="17"/>
                        </w:numPr>
                        <w:spacing w:after="0" w:line="240" w:lineRule="auto"/>
                        <w:textAlignment w:val="baseline"/>
                        <w:rPr>
                          <w:rFonts w:eastAsia="Times New Roman"/>
                        </w:rPr>
                      </w:pPr>
                      <w:r>
                        <w:rPr>
                          <w:rFonts w:ascii="Arial" w:hAnsi="Arial"/>
                        </w:rPr>
                        <w:t xml:space="preserve">Recettes affectées </w:t>
                      </w:r>
                    </w:p>
                    <w:p>
                      <w:pPr>
                        <w:pStyle w:val="ListParagraph"/>
                        <w:numPr>
                          <w:ilvl w:val="1"/>
                          <w:numId w:val="17"/>
                        </w:numPr>
                        <w:spacing w:after="0" w:line="240" w:lineRule="auto"/>
                        <w:textAlignment w:val="baseline"/>
                        <w:rPr>
                          <w:rFonts w:eastAsia="Times New Roman"/>
                        </w:rPr>
                      </w:pPr>
                      <w:r>
                        <w:rPr>
                          <w:rFonts w:ascii="Arial" w:hAnsi="Arial"/>
                        </w:rPr>
                        <w:t>Financement passant par le budget de l’UE mais non soumis aux contraintes du cadre financier pluriannuel</w:t>
                      </w:r>
                    </w:p>
                    <w:p>
                      <w:pPr>
                        <w:pStyle w:val="ListParagraph"/>
                        <w:numPr>
                          <w:ilvl w:val="0"/>
                          <w:numId w:val="17"/>
                        </w:numPr>
                        <w:spacing w:after="0" w:line="240" w:lineRule="auto"/>
                        <w:textAlignment w:val="baseline"/>
                        <w:rPr>
                          <w:rFonts w:eastAsia="Times New Roman"/>
                        </w:rPr>
                      </w:pPr>
                      <w:r>
                        <w:rPr>
                          <w:rFonts w:ascii="Arial" w:hAnsi="Arial"/>
                          <w:b/>
                          <w:bCs/>
                        </w:rPr>
                        <w:t xml:space="preserve">Zone euro </w:t>
                      </w:r>
                    </w:p>
                    <w:p>
                      <w:pPr>
                        <w:pStyle w:val="ListParagraph"/>
                        <w:numPr>
                          <w:ilvl w:val="1"/>
                          <w:numId w:val="17"/>
                        </w:numPr>
                        <w:spacing w:after="0" w:line="240" w:lineRule="auto"/>
                        <w:textAlignment w:val="baseline"/>
                        <w:rPr>
                          <w:rFonts w:eastAsia="Times New Roman"/>
                        </w:rPr>
                      </w:pPr>
                      <w:r>
                        <w:rPr>
                          <w:rFonts w:ascii="Arial" w:hAnsi="Arial"/>
                        </w:rPr>
                        <w:t>Stabilisation macroéconomique de la zone euro (protection des investissements/ réassurance-chômage/ fonds pour les mauvais jours)</w:t>
                      </w:r>
                    </w:p>
                    <w:p>
                      <w:pPr>
                        <w:pStyle w:val="NormalWeb"/>
                        <w:spacing w:after="0"/>
                        <w:textAlignment w:val="baseline"/>
                        <w:rPr>
                          <w:rFonts w:eastAsiaTheme="minorEastAsia"/>
                        </w:rPr>
                      </w:pPr>
                      <w:r>
                        <w:rPr>
                          <w:rFonts w:ascii="Arial" w:hAnsi="Arial"/>
                          <w:b/>
                          <w:bCs/>
                          <w:sz w:val="28"/>
                          <w:szCs w:val="28"/>
                        </w:rPr>
                        <w:t>Recettes</w:t>
                      </w:r>
                    </w:p>
                    <w:p>
                      <w:pPr>
                        <w:pStyle w:val="ListParagraph"/>
                        <w:numPr>
                          <w:ilvl w:val="0"/>
                          <w:numId w:val="18"/>
                        </w:numPr>
                        <w:spacing w:after="0" w:line="240" w:lineRule="auto"/>
                        <w:textAlignment w:val="baseline"/>
                        <w:rPr>
                          <w:rFonts w:eastAsia="Times New Roman"/>
                        </w:rPr>
                      </w:pPr>
                      <w:r>
                        <w:rPr>
                          <w:rFonts w:ascii="Arial" w:hAnsi="Arial"/>
                          <w:b/>
                          <w:bCs/>
                        </w:rPr>
                        <w:t>Comme dans le scénario 1 + financement de nouvelles politiques uniquement par les États membres participants, soit selon le système actuel, soit</w:t>
                      </w:r>
                    </w:p>
                    <w:p>
                      <w:pPr>
                        <w:pStyle w:val="ListParagraph"/>
                        <w:numPr>
                          <w:ilvl w:val="0"/>
                          <w:numId w:val="18"/>
                        </w:numPr>
                        <w:spacing w:after="0" w:line="240" w:lineRule="auto"/>
                        <w:textAlignment w:val="baseline"/>
                        <w:rPr>
                          <w:rFonts w:eastAsia="Times New Roman"/>
                        </w:rPr>
                      </w:pPr>
                      <w:r>
                        <w:rPr>
                          <w:rFonts w:ascii="Arial" w:hAnsi="Arial"/>
                          <w:b/>
                          <w:bCs/>
                        </w:rPr>
                        <w:t>Une nouvelle ressource propre (par ex. taxe sur les transactions financières)</w:t>
                      </w:r>
                    </w:p>
                    <w:p>
                      <w:pPr>
                        <w:pStyle w:val="ListParagraph"/>
                        <w:numPr>
                          <w:ilvl w:val="1"/>
                          <w:numId w:val="18"/>
                        </w:numPr>
                        <w:spacing w:after="0" w:line="240" w:lineRule="auto"/>
                        <w:textAlignment w:val="baseline"/>
                        <w:rPr>
                          <w:rFonts w:eastAsia="Times New Roman"/>
                        </w:rPr>
                      </w:pPr>
                      <w:r>
                        <w:rPr>
                          <w:rFonts w:ascii="Arial" w:hAnsi="Arial"/>
                          <w:bCs/>
                        </w:rPr>
                        <w:t xml:space="preserve">Nouveau flux de recettes hors du système de financement actuel </w:t>
                      </w:r>
                    </w:p>
                    <w:p>
                      <w:pPr>
                        <w:pStyle w:val="ListParagraph"/>
                        <w:numPr>
                          <w:ilvl w:val="1"/>
                          <w:numId w:val="18"/>
                        </w:numPr>
                        <w:spacing w:after="0" w:line="240" w:lineRule="auto"/>
                        <w:textAlignment w:val="baseline"/>
                        <w:rPr>
                          <w:rFonts w:eastAsia="Times New Roman"/>
                        </w:rPr>
                      </w:pPr>
                      <w:r>
                        <w:rPr>
                          <w:rFonts w:ascii="Arial" w:hAnsi="Arial"/>
                          <w:bCs/>
                        </w:rPr>
                        <w:t>ou contributions financières ad hoc</w:t>
                      </w:r>
                    </w:p>
                  </w:txbxContent>
                </v:textbox>
              </v:rect>
            </w:pict>
          </mc:Fallback>
        </mc:AlternateContent>
      </w:r>
      <w:r>
        <w:rPr>
          <w:rFonts w:ascii="Times New Roman" w:hAnsi="Times New Roman"/>
          <w:b/>
          <w:noProof/>
          <w:sz w:val="24"/>
          <w:szCs w:val="24"/>
        </w:rPr>
        <w:t xml:space="preserve"> </w:t>
      </w:r>
      <w:r>
        <w:rPr>
          <w:rFonts w:ascii="Times New Roman" w:hAnsi="Times New Roman"/>
          <w:b/>
          <w:noProof/>
          <w:sz w:val="24"/>
          <w:szCs w:val="24"/>
        </w:rPr>
        <w:br w:type="page"/>
      </w:r>
    </w:p>
    <w:p w:rsidR="005965AE" w:rsidRDefault="005A1DF6">
      <w:pPr>
        <w:rPr>
          <w:rFonts w:ascii="Times New Roman" w:hAnsi="Times New Roman" w:cs="Times New Roman"/>
          <w:b/>
          <w:noProof/>
          <w:sz w:val="28"/>
          <w:szCs w:val="24"/>
        </w:rPr>
      </w:pPr>
      <w:r>
        <w:rPr>
          <w:rFonts w:ascii="Times New Roman" w:hAnsi="Times New Roman" w:cs="Times New Roman"/>
          <w:b/>
          <w:noProof/>
          <w:sz w:val="28"/>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878205</wp:posOffset>
                </wp:positionV>
                <wp:extent cx="9321800" cy="4812665"/>
                <wp:effectExtent l="0" t="0" r="0" b="0"/>
                <wp:wrapNone/>
                <wp:docPr id="40" name="Rectangle 6"/>
                <wp:cNvGraphicFramePr/>
                <a:graphic xmlns:a="http://schemas.openxmlformats.org/drawingml/2006/main">
                  <a:graphicData uri="http://schemas.microsoft.com/office/word/2010/wordprocessingShape">
                    <wps:wsp>
                      <wps:cNvSpPr/>
                      <wps:spPr>
                        <a:xfrm>
                          <a:off x="0" y="0"/>
                          <a:ext cx="9321800" cy="4812665"/>
                        </a:xfrm>
                        <a:prstGeom prst="rect">
                          <a:avLst/>
                        </a:prstGeom>
                      </wps:spPr>
                      <wps:txbx>
                        <w:txbxContent>
                          <w:p w:rsidR="005965AE" w:rsidRDefault="005A1DF6">
                            <w:pPr>
                              <w:pStyle w:val="NormalWeb"/>
                              <w:spacing w:after="0"/>
                              <w:textAlignment w:val="baseline"/>
                            </w:pPr>
                            <w:r>
                              <w:rPr>
                                <w:rFonts w:ascii="Arial" w:hAnsi="Arial"/>
                                <w:b/>
                                <w:bCs/>
                                <w:sz w:val="28"/>
                                <w:szCs w:val="28"/>
                              </w:rPr>
                              <w:t>Tendance générale et volume</w:t>
                            </w:r>
                          </w:p>
                          <w:p w:rsidR="005965AE" w:rsidRDefault="005A1DF6">
                            <w:pPr>
                              <w:pStyle w:val="ListParagraph"/>
                              <w:numPr>
                                <w:ilvl w:val="0"/>
                                <w:numId w:val="19"/>
                              </w:numPr>
                              <w:spacing w:after="0" w:line="240" w:lineRule="auto"/>
                              <w:textAlignment w:val="baseline"/>
                              <w:rPr>
                                <w:rFonts w:eastAsia="Times New Roman"/>
                              </w:rPr>
                            </w:pPr>
                            <w:r>
                              <w:rPr>
                                <w:rFonts w:ascii="Arial" w:hAnsi="Arial"/>
                                <w:b/>
                                <w:bCs/>
                              </w:rPr>
                              <w:t xml:space="preserve">Réduction </w:t>
                            </w:r>
                          </w:p>
                          <w:p w:rsidR="005965AE" w:rsidRDefault="005A1DF6">
                            <w:pPr>
                              <w:pStyle w:val="ListParagraph"/>
                              <w:numPr>
                                <w:ilvl w:val="0"/>
                                <w:numId w:val="19"/>
                              </w:numPr>
                              <w:spacing w:after="0" w:line="240" w:lineRule="auto"/>
                              <w:textAlignment w:val="baseline"/>
                              <w:rPr>
                                <w:rFonts w:eastAsia="Times New Roman"/>
                              </w:rPr>
                            </w:pPr>
                            <w:r>
                              <w:rPr>
                                <w:rFonts w:ascii="Arial" w:hAnsi="Arial"/>
                                <w:b/>
                                <w:bCs/>
                              </w:rPr>
                              <w:t>Réduction de la part allouée à la politique de cohésion et à la politique agricole commune</w:t>
                            </w:r>
                          </w:p>
                          <w:p w:rsidR="005965AE" w:rsidRDefault="005A1DF6">
                            <w:pPr>
                              <w:pStyle w:val="ListParagraph"/>
                              <w:numPr>
                                <w:ilvl w:val="0"/>
                                <w:numId w:val="19"/>
                              </w:numPr>
                              <w:spacing w:after="0" w:line="240" w:lineRule="auto"/>
                              <w:textAlignment w:val="baseline"/>
                              <w:rPr>
                                <w:rFonts w:eastAsia="Times New Roman"/>
                              </w:rPr>
                            </w:pPr>
                            <w:r>
                              <w:rPr>
                                <w:rFonts w:ascii="Arial" w:hAnsi="Arial"/>
                                <w:b/>
                                <w:bCs/>
                              </w:rPr>
                              <w:t>Accent sur des priorités à très haute valeur ajoutée européenne</w:t>
                            </w:r>
                          </w:p>
                          <w:p w:rsidR="005965AE" w:rsidRDefault="005A1DF6">
                            <w:pPr>
                              <w:pStyle w:val="ListParagraph"/>
                              <w:numPr>
                                <w:ilvl w:val="0"/>
                                <w:numId w:val="19"/>
                              </w:numPr>
                              <w:spacing w:after="0" w:line="240" w:lineRule="auto"/>
                              <w:textAlignment w:val="baseline"/>
                              <w:rPr>
                                <w:rFonts w:eastAsia="Times New Roman"/>
                              </w:rPr>
                            </w:pPr>
                            <w:r>
                              <w:rPr>
                                <w:rFonts w:ascii="Arial" w:hAnsi="Arial"/>
                                <w:b/>
                                <w:bCs/>
                              </w:rPr>
                              <w:t>Utilisation beaucoup plus massive des instruments financiers e</w:t>
                            </w:r>
                            <w:r>
                              <w:rPr>
                                <w:rFonts w:ascii="Arial" w:hAnsi="Arial"/>
                                <w:b/>
                                <w:bCs/>
                              </w:rPr>
                              <w:t>t des garanties</w:t>
                            </w:r>
                          </w:p>
                          <w:p w:rsidR="005965AE" w:rsidRDefault="005A1DF6">
                            <w:pPr>
                              <w:pStyle w:val="NormalWeb"/>
                              <w:spacing w:after="0"/>
                              <w:textAlignment w:val="baseline"/>
                              <w:rPr>
                                <w:rFonts w:eastAsiaTheme="minorEastAsia"/>
                              </w:rPr>
                            </w:pPr>
                            <w:r>
                              <w:rPr>
                                <w:rFonts w:ascii="Arial" w:hAnsi="Arial"/>
                                <w:b/>
                                <w:bCs/>
                                <w:sz w:val="28"/>
                                <w:szCs w:val="28"/>
                              </w:rPr>
                              <w:t>Dépenses</w:t>
                            </w:r>
                          </w:p>
                          <w:p w:rsidR="005965AE" w:rsidRDefault="005A1DF6">
                            <w:pPr>
                              <w:pStyle w:val="ListParagraph"/>
                              <w:numPr>
                                <w:ilvl w:val="0"/>
                                <w:numId w:val="20"/>
                              </w:numPr>
                              <w:spacing w:after="0" w:line="240" w:lineRule="auto"/>
                              <w:textAlignment w:val="baseline"/>
                              <w:rPr>
                                <w:rFonts w:eastAsia="Times New Roman"/>
                              </w:rPr>
                            </w:pPr>
                            <w:r>
                              <w:rPr>
                                <w:rFonts w:ascii="Arial" w:hAnsi="Arial"/>
                                <w:b/>
                                <w:bCs/>
                              </w:rPr>
                              <w:t>Politique agricole commune</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Réduction des paiements directs</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Attention particulière aux agriculteurs soumis à des contraintes particulières (par exemple petites exploitations, zones de montagne et régions à faible densité de populati</w:t>
                            </w:r>
                            <w:r>
                              <w:rPr>
                                <w:rFonts w:ascii="Arial" w:hAnsi="Arial"/>
                              </w:rPr>
                              <w:t>on)</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Actions agro-environnementales et climatiques, outils de gestion des risques pour l’ensemble des exploitations</w:t>
                            </w:r>
                          </w:p>
                          <w:p w:rsidR="005965AE" w:rsidRDefault="005A1DF6">
                            <w:pPr>
                              <w:pStyle w:val="ListParagraph"/>
                              <w:numPr>
                                <w:ilvl w:val="0"/>
                                <w:numId w:val="20"/>
                              </w:numPr>
                              <w:spacing w:after="0" w:line="240" w:lineRule="auto"/>
                              <w:textAlignment w:val="baseline"/>
                              <w:rPr>
                                <w:rFonts w:eastAsia="Times New Roman"/>
                              </w:rPr>
                            </w:pPr>
                            <w:r>
                              <w:rPr>
                                <w:rFonts w:ascii="Arial" w:hAnsi="Arial"/>
                                <w:b/>
                                <w:bCs/>
                              </w:rPr>
                              <w:t>Cohésion économique, sociale et territoriale</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Soutien uniquement aux régions les plus défavorisées et à la coopération transfrontalière</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Attent</w:t>
                            </w:r>
                            <w:r>
                              <w:rPr>
                                <w:rFonts w:ascii="Arial" w:hAnsi="Arial"/>
                              </w:rPr>
                              <w:t>ion exclusive à l’inclusion sociale, à l’emploi, aux compétences, à l’innovation, au changement climatique, à l’énergie et à la transition écologique</w:t>
                            </w:r>
                          </w:p>
                          <w:p w:rsidR="005965AE" w:rsidRDefault="005A1DF6">
                            <w:pPr>
                              <w:pStyle w:val="ListParagraph"/>
                              <w:numPr>
                                <w:ilvl w:val="0"/>
                                <w:numId w:val="20"/>
                              </w:numPr>
                              <w:spacing w:after="0" w:line="240" w:lineRule="auto"/>
                              <w:textAlignment w:val="baseline"/>
                              <w:rPr>
                                <w:rFonts w:eastAsia="Times New Roman"/>
                              </w:rPr>
                            </w:pPr>
                            <w:r>
                              <w:rPr>
                                <w:rFonts w:ascii="Arial" w:hAnsi="Arial"/>
                                <w:b/>
                                <w:bCs/>
                              </w:rPr>
                              <w:t>Nouvelles priorités</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Sécurité et défense (financement conjoint de capacités essentielles, passation conjoin</w:t>
                            </w:r>
                            <w:r>
                              <w:rPr>
                                <w:rFonts w:ascii="Arial" w:hAnsi="Arial"/>
                              </w:rPr>
                              <w:t>te de marchés)</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Agence de lutte contre le terrorisme et gestion des migrations avec contrôle aux frontières et garde-côtes avec matériel commun</w:t>
                            </w:r>
                          </w:p>
                          <w:p w:rsidR="005965AE" w:rsidRDefault="005A1DF6">
                            <w:pPr>
                              <w:pStyle w:val="ListParagraph"/>
                              <w:numPr>
                                <w:ilvl w:val="0"/>
                                <w:numId w:val="20"/>
                              </w:numPr>
                              <w:spacing w:after="0" w:line="240" w:lineRule="auto"/>
                              <w:textAlignment w:val="baseline"/>
                              <w:rPr>
                                <w:rFonts w:eastAsia="Times New Roman"/>
                              </w:rPr>
                            </w:pPr>
                            <w:r>
                              <w:rPr>
                                <w:rFonts w:ascii="Arial" w:hAnsi="Arial"/>
                                <w:b/>
                                <w:bCs/>
                              </w:rPr>
                              <w:t>Renforcement de priorités existantes</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 xml:space="preserve">Réseaux intelligents de transport et d’énergie, calcul à haute performance, </w:t>
                            </w:r>
                            <w:r>
                              <w:rPr>
                                <w:rFonts w:ascii="Arial" w:hAnsi="Arial"/>
                              </w:rPr>
                              <w:t>recherche et développement de rang mondial, e-transport</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Politiques extérieures</w:t>
                            </w:r>
                          </w:p>
                          <w:p w:rsidR="005965AE" w:rsidRDefault="005A1DF6">
                            <w:pPr>
                              <w:pStyle w:val="ListParagraph"/>
                              <w:numPr>
                                <w:ilvl w:val="0"/>
                                <w:numId w:val="20"/>
                              </w:numPr>
                              <w:spacing w:after="0" w:line="240" w:lineRule="auto"/>
                              <w:textAlignment w:val="baseline"/>
                              <w:rPr>
                                <w:rFonts w:eastAsia="Times New Roman"/>
                              </w:rPr>
                            </w:pPr>
                            <w:r>
                              <w:rPr>
                                <w:rFonts w:ascii="Arial" w:hAnsi="Arial"/>
                                <w:b/>
                                <w:bCs/>
                              </w:rPr>
                              <w:t>Réformes structurelles liées au Semestre européen</w:t>
                            </w:r>
                          </w:p>
                          <w:p w:rsidR="005965AE" w:rsidRDefault="005A1DF6">
                            <w:pPr>
                              <w:pStyle w:val="ListParagraph"/>
                              <w:numPr>
                                <w:ilvl w:val="1"/>
                                <w:numId w:val="20"/>
                              </w:numPr>
                              <w:spacing w:after="0" w:line="240" w:lineRule="auto"/>
                              <w:textAlignment w:val="baseline"/>
                              <w:rPr>
                                <w:rFonts w:eastAsia="Times New Roman"/>
                              </w:rPr>
                            </w:pPr>
                            <w:r>
                              <w:rPr>
                                <w:rFonts w:ascii="Arial" w:hAnsi="Arial"/>
                              </w:rPr>
                              <w:t>Incitations positives grâce à la politique de cohésion ou par le biais d’un fonds spécifique</w:t>
                            </w:r>
                          </w:p>
                          <w:p w:rsidR="005965AE" w:rsidRDefault="005A1DF6">
                            <w:pPr>
                              <w:pStyle w:val="NormalWeb"/>
                              <w:spacing w:after="0"/>
                              <w:textAlignment w:val="baseline"/>
                              <w:rPr>
                                <w:rFonts w:eastAsiaTheme="minorEastAsia"/>
                              </w:rPr>
                            </w:pPr>
                            <w:r>
                              <w:rPr>
                                <w:rFonts w:ascii="Arial" w:hAnsi="Arial"/>
                                <w:b/>
                                <w:bCs/>
                                <w:sz w:val="28"/>
                                <w:szCs w:val="28"/>
                              </w:rPr>
                              <w:t>Recettes</w:t>
                            </w:r>
                          </w:p>
                          <w:p w:rsidR="005965AE" w:rsidRDefault="005A1DF6">
                            <w:pPr>
                              <w:pStyle w:val="ListParagraph"/>
                              <w:numPr>
                                <w:ilvl w:val="0"/>
                                <w:numId w:val="21"/>
                              </w:numPr>
                              <w:spacing w:after="0" w:line="240" w:lineRule="auto"/>
                              <w:textAlignment w:val="baseline"/>
                              <w:rPr>
                                <w:rFonts w:eastAsia="Times New Roman"/>
                              </w:rPr>
                            </w:pPr>
                            <w:r>
                              <w:rPr>
                                <w:rFonts w:ascii="Arial" w:hAnsi="Arial"/>
                                <w:b/>
                                <w:bCs/>
                              </w:rPr>
                              <w:t>Simplification du système</w:t>
                            </w:r>
                            <w:r>
                              <w:rPr>
                                <w:rFonts w:ascii="Arial" w:hAnsi="Arial"/>
                                <w:b/>
                                <w:bCs/>
                              </w:rPr>
                              <w:t xml:space="preserve"> actuel: suppression de tous les rabais, réforme ou suppression de la ressource propre fondée sur la taxe sur la valeur ajoutée</w:t>
                            </w:r>
                          </w:p>
                          <w:p w:rsidR="005965AE" w:rsidRDefault="005A1DF6">
                            <w:pPr>
                              <w:pStyle w:val="ListParagraph"/>
                              <w:numPr>
                                <w:ilvl w:val="0"/>
                                <w:numId w:val="21"/>
                              </w:numPr>
                              <w:spacing w:after="0" w:line="240" w:lineRule="auto"/>
                              <w:textAlignment w:val="baseline"/>
                              <w:rPr>
                                <w:rFonts w:eastAsia="Times New Roman"/>
                              </w:rPr>
                            </w:pPr>
                            <w:r>
                              <w:rPr>
                                <w:rFonts w:ascii="Arial" w:hAnsi="Arial"/>
                                <w:b/>
                                <w:bCs/>
                              </w:rPr>
                              <w:t>Financement d’une partie du budget de l’UE et contribution à la réalisation d’objectifs stratégiques au moyen de nouvelles resso</w:t>
                            </w:r>
                            <w:r>
                              <w:rPr>
                                <w:rFonts w:ascii="Arial" w:hAnsi="Arial"/>
                                <w:b/>
                                <w:bCs/>
                              </w:rPr>
                              <w:t>urces propres (par ex. fiscalité écologique, taxe sur les transactions financières, assiette commune consolidée pour l’impôt sur les sociétés)</w:t>
                            </w:r>
                          </w:p>
                          <w:p w:rsidR="005965AE" w:rsidRDefault="005A1DF6">
                            <w:pPr>
                              <w:pStyle w:val="ListParagraph"/>
                              <w:numPr>
                                <w:ilvl w:val="0"/>
                                <w:numId w:val="21"/>
                              </w:numPr>
                              <w:spacing w:after="0" w:line="240" w:lineRule="auto"/>
                              <w:textAlignment w:val="baseline"/>
                              <w:rPr>
                                <w:rFonts w:eastAsia="Times New Roman"/>
                              </w:rPr>
                            </w:pPr>
                            <w:r>
                              <w:rPr>
                                <w:rFonts w:ascii="Arial" w:hAnsi="Arial"/>
                                <w:b/>
                                <w:bCs/>
                              </w:rPr>
                              <w:t xml:space="preserve">Financement du budget de l’UE par d’autres sources de recettes ou redevances </w:t>
                            </w:r>
                          </w:p>
                        </w:txbxContent>
                      </wps:txbx>
                      <wps:bodyPr wrap="square">
                        <a:spAutoFit/>
                      </wps:bodyPr>
                    </wps:wsp>
                  </a:graphicData>
                </a:graphic>
                <wp14:sizeRelH relativeFrom="margin">
                  <wp14:pctWidth>0</wp14:pctWidth>
                </wp14:sizeRelH>
              </wp:anchor>
            </w:drawing>
          </mc:Choice>
          <mc:Fallback>
            <w:pict>
              <v:rect id="_x0000_s1035" style="position:absolute;margin-left:0;margin-top:69.15pt;width:734pt;height:378.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" filled="f" stroked="f">
                <v:textbox style="mso-fit-shape-to-text:t">
                  <w:txbxContent>
                    <w:p>
                      <w:pPr>
                        <w:pStyle w:val="NormalWeb"/>
                        <w:spacing w:after="0"/>
                        <w:textAlignment w:val="baseline"/>
                      </w:pPr>
                      <w:r>
                        <w:rPr>
                          <w:rFonts w:ascii="Arial" w:hAnsi="Arial"/>
                          <w:b/>
                          <w:bCs/>
                          <w:sz w:val="28"/>
                          <w:szCs w:val="28"/>
                        </w:rPr>
                        <w:t>Tendance générale et volume</w:t>
                      </w:r>
                    </w:p>
                    <w:p>
                      <w:pPr>
                        <w:pStyle w:val="ListParagraph"/>
                        <w:numPr>
                          <w:ilvl w:val="0"/>
                          <w:numId w:val="19"/>
                        </w:numPr>
                        <w:spacing w:after="0" w:line="240" w:lineRule="auto"/>
                        <w:textAlignment w:val="baseline"/>
                        <w:rPr>
                          <w:rFonts w:eastAsia="Times New Roman"/>
                        </w:rPr>
                      </w:pPr>
                      <w:r>
                        <w:rPr>
                          <w:rFonts w:ascii="Arial" w:hAnsi="Arial"/>
                          <w:b/>
                          <w:bCs/>
                        </w:rPr>
                        <w:t xml:space="preserve">Réduction </w:t>
                      </w:r>
                    </w:p>
                    <w:p>
                      <w:pPr>
                        <w:pStyle w:val="ListParagraph"/>
                        <w:numPr>
                          <w:ilvl w:val="0"/>
                          <w:numId w:val="19"/>
                        </w:numPr>
                        <w:spacing w:after="0" w:line="240" w:lineRule="auto"/>
                        <w:textAlignment w:val="baseline"/>
                        <w:rPr>
                          <w:rFonts w:eastAsia="Times New Roman"/>
                        </w:rPr>
                      </w:pPr>
                      <w:r>
                        <w:rPr>
                          <w:rFonts w:ascii="Arial" w:hAnsi="Arial"/>
                          <w:b/>
                          <w:bCs/>
                        </w:rPr>
                        <w:t>Réduction de la part allouée à la politique de cohésion et à la politique agricole commune</w:t>
                      </w:r>
                    </w:p>
                    <w:p>
                      <w:pPr>
                        <w:pStyle w:val="ListParagraph"/>
                        <w:numPr>
                          <w:ilvl w:val="0"/>
                          <w:numId w:val="19"/>
                        </w:numPr>
                        <w:spacing w:after="0" w:line="240" w:lineRule="auto"/>
                        <w:textAlignment w:val="baseline"/>
                        <w:rPr>
                          <w:rFonts w:eastAsia="Times New Roman"/>
                        </w:rPr>
                      </w:pPr>
                      <w:r>
                        <w:rPr>
                          <w:rFonts w:ascii="Arial" w:hAnsi="Arial"/>
                          <w:b/>
                          <w:bCs/>
                        </w:rPr>
                        <w:t>Accent sur des priorités à très haute valeur ajoutée européenne</w:t>
                      </w:r>
                    </w:p>
                    <w:p>
                      <w:pPr>
                        <w:pStyle w:val="ListParagraph"/>
                        <w:numPr>
                          <w:ilvl w:val="0"/>
                          <w:numId w:val="19"/>
                        </w:numPr>
                        <w:spacing w:after="0" w:line="240" w:lineRule="auto"/>
                        <w:textAlignment w:val="baseline"/>
                        <w:rPr>
                          <w:rFonts w:eastAsia="Times New Roman"/>
                        </w:rPr>
                      </w:pPr>
                      <w:r>
                        <w:rPr>
                          <w:rFonts w:ascii="Arial" w:hAnsi="Arial"/>
                          <w:b/>
                          <w:bCs/>
                        </w:rPr>
                        <w:t>Utilisation beaucoup plus massive des instruments financiers et des garanties</w:t>
                      </w:r>
                    </w:p>
                    <w:p>
                      <w:pPr>
                        <w:pStyle w:val="NormalWeb"/>
                        <w:spacing w:after="0"/>
                        <w:textAlignment w:val="baseline"/>
                        <w:rPr>
                          <w:rFonts w:eastAsiaTheme="minorEastAsia"/>
                        </w:rPr>
                      </w:pPr>
                      <w:r>
                        <w:rPr>
                          <w:rFonts w:ascii="Arial" w:hAnsi="Arial"/>
                          <w:b/>
                          <w:bCs/>
                          <w:sz w:val="28"/>
                          <w:szCs w:val="28"/>
                        </w:rPr>
                        <w:t>Dépenses</w:t>
                      </w:r>
                    </w:p>
                    <w:p>
                      <w:pPr>
                        <w:pStyle w:val="ListParagraph"/>
                        <w:numPr>
                          <w:ilvl w:val="0"/>
                          <w:numId w:val="20"/>
                        </w:numPr>
                        <w:spacing w:after="0" w:line="240" w:lineRule="auto"/>
                        <w:textAlignment w:val="baseline"/>
                        <w:rPr>
                          <w:rFonts w:eastAsia="Times New Roman"/>
                        </w:rPr>
                      </w:pPr>
                      <w:r>
                        <w:rPr>
                          <w:rFonts w:ascii="Arial" w:hAnsi="Arial"/>
                          <w:b/>
                          <w:bCs/>
                        </w:rPr>
                        <w:t>Politique agricole commune</w:t>
                      </w:r>
                    </w:p>
                    <w:p>
                      <w:pPr>
                        <w:pStyle w:val="ListParagraph"/>
                        <w:numPr>
                          <w:ilvl w:val="1"/>
                          <w:numId w:val="20"/>
                        </w:numPr>
                        <w:spacing w:after="0" w:line="240" w:lineRule="auto"/>
                        <w:textAlignment w:val="baseline"/>
                        <w:rPr>
                          <w:rFonts w:eastAsia="Times New Roman"/>
                        </w:rPr>
                      </w:pPr>
                      <w:r>
                        <w:rPr>
                          <w:rFonts w:ascii="Arial" w:hAnsi="Arial"/>
                        </w:rPr>
                        <w:t>Réduction des paiements directs</w:t>
                      </w:r>
                    </w:p>
                    <w:p>
                      <w:pPr>
                        <w:pStyle w:val="ListParagraph"/>
                        <w:numPr>
                          <w:ilvl w:val="1"/>
                          <w:numId w:val="20"/>
                        </w:numPr>
                        <w:spacing w:after="0" w:line="240" w:lineRule="auto"/>
                        <w:textAlignment w:val="baseline"/>
                        <w:rPr>
                          <w:rFonts w:eastAsia="Times New Roman"/>
                        </w:rPr>
                      </w:pPr>
                      <w:r>
                        <w:rPr>
                          <w:rFonts w:ascii="Arial" w:hAnsi="Arial"/>
                        </w:rPr>
                        <w:t>Attention particulière aux agriculteurs soumis à des contraintes particulières (par exemple petites exploitations, zones de montagne et régions à faible densité de population)</w:t>
                      </w:r>
                    </w:p>
                    <w:p>
                      <w:pPr>
                        <w:pStyle w:val="ListParagraph"/>
                        <w:numPr>
                          <w:ilvl w:val="1"/>
                          <w:numId w:val="20"/>
                        </w:numPr>
                        <w:spacing w:after="0" w:line="240" w:lineRule="auto"/>
                        <w:textAlignment w:val="baseline"/>
                        <w:rPr>
                          <w:rFonts w:eastAsia="Times New Roman"/>
                        </w:rPr>
                      </w:pPr>
                      <w:r>
                        <w:rPr>
                          <w:rFonts w:ascii="Arial" w:hAnsi="Arial"/>
                        </w:rPr>
                        <w:t>Actions agro-environnementales et climatiques, outils de gestion des risques pour l’ensemble des exploitations</w:t>
                      </w:r>
                    </w:p>
                    <w:p>
                      <w:pPr>
                        <w:pStyle w:val="ListParagraph"/>
                        <w:numPr>
                          <w:ilvl w:val="0"/>
                          <w:numId w:val="20"/>
                        </w:numPr>
                        <w:spacing w:after="0" w:line="240" w:lineRule="auto"/>
                        <w:textAlignment w:val="baseline"/>
                        <w:rPr>
                          <w:rFonts w:eastAsia="Times New Roman"/>
                        </w:rPr>
                      </w:pPr>
                      <w:r>
                        <w:rPr>
                          <w:rFonts w:ascii="Arial" w:hAnsi="Arial"/>
                          <w:b/>
                          <w:bCs/>
                        </w:rPr>
                        <w:t>Cohésion économique, sociale et territoriale</w:t>
                      </w:r>
                    </w:p>
                    <w:p>
                      <w:pPr>
                        <w:pStyle w:val="ListParagraph"/>
                        <w:numPr>
                          <w:ilvl w:val="1"/>
                          <w:numId w:val="20"/>
                        </w:numPr>
                        <w:spacing w:after="0" w:line="240" w:lineRule="auto"/>
                        <w:textAlignment w:val="baseline"/>
                        <w:rPr>
                          <w:rFonts w:eastAsia="Times New Roman"/>
                        </w:rPr>
                      </w:pPr>
                      <w:r>
                        <w:rPr>
                          <w:rFonts w:ascii="Arial" w:hAnsi="Arial"/>
                        </w:rPr>
                        <w:t>Soutien uniquement aux régions les plus défavorisées et à la coopération transfrontalière</w:t>
                      </w:r>
                    </w:p>
                    <w:p>
                      <w:pPr>
                        <w:pStyle w:val="ListParagraph"/>
                        <w:numPr>
                          <w:ilvl w:val="1"/>
                          <w:numId w:val="20"/>
                        </w:numPr>
                        <w:spacing w:after="0" w:line="240" w:lineRule="auto"/>
                        <w:textAlignment w:val="baseline"/>
                        <w:rPr>
                          <w:rFonts w:eastAsia="Times New Roman"/>
                        </w:rPr>
                      </w:pPr>
                      <w:r>
                        <w:rPr>
                          <w:rFonts w:ascii="Arial" w:hAnsi="Arial"/>
                        </w:rPr>
                        <w:t>Attention exclusive à l’inclusion sociale, à l’emploi, aux compétences, à l’innovation, au changement climatique, à l’énergie et à la transition écologique</w:t>
                      </w:r>
                    </w:p>
                    <w:p>
                      <w:pPr>
                        <w:pStyle w:val="ListParagraph"/>
                        <w:numPr>
                          <w:ilvl w:val="0"/>
                          <w:numId w:val="20"/>
                        </w:numPr>
                        <w:spacing w:after="0" w:line="240" w:lineRule="auto"/>
                        <w:textAlignment w:val="baseline"/>
                        <w:rPr>
                          <w:rFonts w:eastAsia="Times New Roman"/>
                        </w:rPr>
                      </w:pPr>
                      <w:r>
                        <w:rPr>
                          <w:rFonts w:ascii="Arial" w:hAnsi="Arial"/>
                          <w:b/>
                          <w:bCs/>
                        </w:rPr>
                        <w:t>Nouvelles priorités</w:t>
                      </w:r>
                    </w:p>
                    <w:p>
                      <w:pPr>
                        <w:pStyle w:val="ListParagraph"/>
                        <w:numPr>
                          <w:ilvl w:val="1"/>
                          <w:numId w:val="20"/>
                        </w:numPr>
                        <w:spacing w:after="0" w:line="240" w:lineRule="auto"/>
                        <w:textAlignment w:val="baseline"/>
                        <w:rPr>
                          <w:rFonts w:eastAsia="Times New Roman"/>
                        </w:rPr>
                      </w:pPr>
                      <w:r>
                        <w:rPr>
                          <w:rFonts w:ascii="Arial" w:hAnsi="Arial"/>
                        </w:rPr>
                        <w:t>Sécurité et défense (financement conjoint de capacités essentielles, passation conjointe de marchés)</w:t>
                      </w:r>
                    </w:p>
                    <w:p>
                      <w:pPr>
                        <w:pStyle w:val="ListParagraph"/>
                        <w:numPr>
                          <w:ilvl w:val="1"/>
                          <w:numId w:val="20"/>
                        </w:numPr>
                        <w:spacing w:after="0" w:line="240" w:lineRule="auto"/>
                        <w:textAlignment w:val="baseline"/>
                        <w:rPr>
                          <w:rFonts w:eastAsia="Times New Roman"/>
                        </w:rPr>
                      </w:pPr>
                      <w:r>
                        <w:rPr>
                          <w:rFonts w:ascii="Arial" w:hAnsi="Arial"/>
                        </w:rPr>
                        <w:t>Agence de lutte contre le terrorisme et gestion des migrations avec contrôle aux frontières et garde-côtes avec matériel commun</w:t>
                      </w:r>
                    </w:p>
                    <w:p>
                      <w:pPr>
                        <w:pStyle w:val="ListParagraph"/>
                        <w:numPr>
                          <w:ilvl w:val="0"/>
                          <w:numId w:val="20"/>
                        </w:numPr>
                        <w:spacing w:after="0" w:line="240" w:lineRule="auto"/>
                        <w:textAlignment w:val="baseline"/>
                        <w:rPr>
                          <w:rFonts w:eastAsia="Times New Roman"/>
                        </w:rPr>
                      </w:pPr>
                      <w:r>
                        <w:rPr>
                          <w:rFonts w:ascii="Arial" w:hAnsi="Arial"/>
                          <w:b/>
                          <w:bCs/>
                        </w:rPr>
                        <w:t>Renforcement de priorités existantes</w:t>
                      </w:r>
                    </w:p>
                    <w:p>
                      <w:pPr>
                        <w:pStyle w:val="ListParagraph"/>
                        <w:numPr>
                          <w:ilvl w:val="1"/>
                          <w:numId w:val="20"/>
                        </w:numPr>
                        <w:spacing w:after="0" w:line="240" w:lineRule="auto"/>
                        <w:textAlignment w:val="baseline"/>
                        <w:rPr>
                          <w:rFonts w:eastAsia="Times New Roman"/>
                        </w:rPr>
                      </w:pPr>
                      <w:r>
                        <w:rPr>
                          <w:rFonts w:ascii="Arial" w:hAnsi="Arial"/>
                        </w:rPr>
                        <w:t>Réseaux intelligents de transport et d’énergie, calcul à haute performance, recherche et développement de rang mondial, e-transport</w:t>
                      </w:r>
                    </w:p>
                    <w:p>
                      <w:pPr>
                        <w:pStyle w:val="ListParagraph"/>
                        <w:numPr>
                          <w:ilvl w:val="1"/>
                          <w:numId w:val="20"/>
                        </w:numPr>
                        <w:spacing w:after="0" w:line="240" w:lineRule="auto"/>
                        <w:textAlignment w:val="baseline"/>
                        <w:rPr>
                          <w:rFonts w:eastAsia="Times New Roman"/>
                        </w:rPr>
                      </w:pPr>
                      <w:r>
                        <w:rPr>
                          <w:rFonts w:ascii="Arial" w:hAnsi="Arial"/>
                        </w:rPr>
                        <w:t>Politiques extérieures</w:t>
                      </w:r>
                    </w:p>
                    <w:p>
                      <w:pPr>
                        <w:pStyle w:val="ListParagraph"/>
                        <w:numPr>
                          <w:ilvl w:val="0"/>
                          <w:numId w:val="20"/>
                        </w:numPr>
                        <w:spacing w:after="0" w:line="240" w:lineRule="auto"/>
                        <w:textAlignment w:val="baseline"/>
                        <w:rPr>
                          <w:rFonts w:eastAsia="Times New Roman"/>
                        </w:rPr>
                      </w:pPr>
                      <w:r>
                        <w:rPr>
                          <w:rFonts w:ascii="Arial" w:hAnsi="Arial"/>
                          <w:b/>
                          <w:bCs/>
                        </w:rPr>
                        <w:t>Réformes structurelles liées au Semestre européen</w:t>
                      </w:r>
                    </w:p>
                    <w:p>
                      <w:pPr>
                        <w:pStyle w:val="ListParagraph"/>
                        <w:numPr>
                          <w:ilvl w:val="1"/>
                          <w:numId w:val="20"/>
                        </w:numPr>
                        <w:spacing w:after="0" w:line="240" w:lineRule="auto"/>
                        <w:textAlignment w:val="baseline"/>
                        <w:rPr>
                          <w:rFonts w:eastAsia="Times New Roman"/>
                        </w:rPr>
                      </w:pPr>
                      <w:r>
                        <w:rPr>
                          <w:rFonts w:ascii="Arial" w:hAnsi="Arial"/>
                        </w:rPr>
                        <w:t>Incitations positives grâce à la politique de cohésion ou par le biais d’un fonds spécifique</w:t>
                      </w:r>
                    </w:p>
                    <w:p>
                      <w:pPr>
                        <w:pStyle w:val="NormalWeb"/>
                        <w:spacing w:after="0"/>
                        <w:textAlignment w:val="baseline"/>
                        <w:rPr>
                          <w:rFonts w:eastAsiaTheme="minorEastAsia"/>
                        </w:rPr>
                      </w:pPr>
                      <w:r>
                        <w:rPr>
                          <w:rFonts w:ascii="Arial" w:hAnsi="Arial"/>
                          <w:b/>
                          <w:bCs/>
                          <w:sz w:val="28"/>
                          <w:szCs w:val="28"/>
                        </w:rPr>
                        <w:t>Recettes</w:t>
                      </w:r>
                    </w:p>
                    <w:p>
                      <w:pPr>
                        <w:pStyle w:val="ListParagraph"/>
                        <w:numPr>
                          <w:ilvl w:val="0"/>
                          <w:numId w:val="21"/>
                        </w:numPr>
                        <w:spacing w:after="0" w:line="240" w:lineRule="auto"/>
                        <w:textAlignment w:val="baseline"/>
                        <w:rPr>
                          <w:rFonts w:eastAsia="Times New Roman"/>
                        </w:rPr>
                      </w:pPr>
                      <w:r>
                        <w:rPr>
                          <w:rFonts w:ascii="Arial" w:hAnsi="Arial"/>
                          <w:b/>
                          <w:bCs/>
                        </w:rPr>
                        <w:t>Simplification du système actuel: suppression de tous les rabais, réforme ou suppression de la ressource propre fondée sur la taxe sur la valeur ajoutée</w:t>
                      </w:r>
                    </w:p>
                    <w:p>
                      <w:pPr>
                        <w:pStyle w:val="ListParagraph"/>
                        <w:numPr>
                          <w:ilvl w:val="0"/>
                          <w:numId w:val="21"/>
                        </w:numPr>
                        <w:spacing w:after="0" w:line="240" w:lineRule="auto"/>
                        <w:textAlignment w:val="baseline"/>
                        <w:rPr>
                          <w:rFonts w:eastAsia="Times New Roman"/>
                        </w:rPr>
                      </w:pPr>
                      <w:r>
                        <w:rPr>
                          <w:rFonts w:ascii="Arial" w:hAnsi="Arial"/>
                          <w:b/>
                          <w:bCs/>
                        </w:rPr>
                        <w:t>Financement d’une partie du budget de l’UE et contribution à la réalisation d’objectifs stratégiques au moyen de nouvelles ressources propres (par ex. fiscalité écologique, taxe sur les transactions financières, assiette commune consolidée pour l’impôt sur les sociétés)</w:t>
                      </w:r>
                    </w:p>
                    <w:p>
                      <w:pPr>
                        <w:pStyle w:val="ListParagraph"/>
                        <w:numPr>
                          <w:ilvl w:val="0"/>
                          <w:numId w:val="21"/>
                        </w:numPr>
                        <w:spacing w:after="0" w:line="240" w:lineRule="auto"/>
                        <w:textAlignment w:val="baseline"/>
                        <w:rPr>
                          <w:rFonts w:eastAsia="Times New Roman"/>
                        </w:rPr>
                      </w:pPr>
                      <w:r>
                        <w:rPr>
                          <w:rFonts w:ascii="Arial" w:hAnsi="Arial"/>
                          <w:b/>
                          <w:bCs/>
                        </w:rPr>
                        <w:t xml:space="preserve">Financement du budget de l’UE par d’autres sources de recettes ou redevances </w:t>
                      </w:r>
                    </w:p>
                  </w:txbxContent>
                </v:textbox>
              </v:rect>
            </w:pict>
          </mc:Fallback>
        </mc:AlternateContent>
      </w:r>
      <w:r>
        <w:rPr>
          <w:rFonts w:ascii="Times New Roman" w:hAnsi="Times New Roman" w:cs="Times New Roman"/>
          <w:b/>
          <w:noProof/>
          <w:sz w:val="28"/>
          <w:szCs w:val="24"/>
          <w:lang w:val="en-GB" w:eastAsia="en-GB"/>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143510</wp:posOffset>
                </wp:positionV>
                <wp:extent cx="2893695" cy="770890"/>
                <wp:effectExtent l="0" t="0" r="0" b="0"/>
                <wp:wrapNone/>
                <wp:docPr id="43" name="TextBox 8"/>
                <wp:cNvGraphicFramePr/>
                <a:graphic xmlns:a="http://schemas.openxmlformats.org/drawingml/2006/main">
                  <a:graphicData uri="http://schemas.microsoft.com/office/word/2010/wordprocessingShape">
                    <wps:wsp>
                      <wps:cNvSpPr txBox="1"/>
                      <wps:spPr>
                        <a:xfrm>
                          <a:off x="0" y="0"/>
                          <a:ext cx="2893695" cy="770890"/>
                        </a:xfrm>
                        <a:prstGeom prst="rect">
                          <a:avLst/>
                        </a:prstGeom>
                        <a:noFill/>
                      </wps:spPr>
                      <wps:txbx>
                        <w:txbxContent>
                          <w:p w:rsidR="005965AE" w:rsidRDefault="005A1DF6">
                            <w:pPr>
                              <w:pStyle w:val="NormalWeb"/>
                              <w:spacing w:after="0"/>
                              <w:jc w:val="center"/>
                              <w:textAlignment w:val="baseline"/>
                            </w:pPr>
                            <w:r>
                              <w:rPr>
                                <w:rFonts w:ascii="Arial" w:hAnsi="Arial"/>
                                <w:b/>
                                <w:bCs/>
                                <w:color w:val="1F497D" w:themeColor="text2"/>
                                <w:sz w:val="96"/>
                                <w:szCs w:val="96"/>
                              </w:rPr>
                              <w:t>4</w:t>
                            </w:r>
                            <w:r>
                              <w:rPr>
                                <w:rFonts w:ascii="Arial" w:hAnsi="Arial"/>
                                <w:b/>
                                <w:bCs/>
                                <w:color w:val="1F497D" w:themeColor="text2"/>
                              </w:rPr>
                              <w:t>Réforme radicale</w:t>
                            </w:r>
                          </w:p>
                        </w:txbxContent>
                      </wps:txbx>
                      <wps:bodyPr wrap="square" rtlCol="0">
                        <a:noAutofit/>
                      </wps:bodyPr>
                    </wps:wsp>
                  </a:graphicData>
                </a:graphic>
                <wp14:sizeRelV relativeFrom="margin">
                  <wp14:pctHeight>0</wp14:pctHeight>
                </wp14:sizeRelV>
              </wp:anchor>
            </w:drawing>
          </mc:Choice>
          <mc:Fallback>
            <w:pict>
              <v:shape id="_x0000_s1036" type="#_x0000_t202" style="position:absolute;margin-left:0;margin-top:11.3pt;width:227.85pt;height:60.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" filled="f" stroked="f">
                <v:textbox>
                  <w:txbxContent>
                    <w:p>
                      <w:pPr>
                        <w:pStyle w:val="NormalWeb"/>
                        <w:spacing w:after="0"/>
                        <w:jc w:val="center"/>
                        <w:textAlignment w:val="baseline"/>
                      </w:pPr>
                      <w:r>
                        <w:rPr>
                          <w:rFonts w:ascii="Arial" w:hAnsi="Arial"/>
                          <w:b/>
                          <w:bCs/>
                          <w:color w:val="1F497D" w:themeColor="text2"/>
                          <w:sz w:val="96"/>
                          <w:szCs w:val="96"/>
                        </w:rPr>
                        <w:t>4</w:t>
                      </w:r>
                      <w:r>
                        <w:rPr>
                          <w:rFonts w:ascii="Arial" w:hAnsi="Arial"/>
                          <w:b/>
                          <w:bCs/>
                          <w:color w:val="1F497D" w:themeColor="text2"/>
                        </w:rPr>
                        <w:t>Réforme radicale</w:t>
                      </w:r>
                    </w:p>
                  </w:txbxContent>
                </v:textbox>
              </v:shape>
            </w:pict>
          </mc:Fallback>
        </mc:AlternateContent>
      </w:r>
      <w:r>
        <w:rPr>
          <w:rFonts w:ascii="Times New Roman" w:hAnsi="Times New Roman" w:cs="Times New Roman"/>
          <w:b/>
          <w:noProof/>
          <w:sz w:val="28"/>
          <w:szCs w:val="24"/>
          <w:lang w:val="en-GB" w:eastAsia="en-GB"/>
        </w:rPr>
        <mc:AlternateContent>
          <mc:Choice Requires="wps">
            <w:drawing>
              <wp:anchor distT="0" distB="0" distL="114300" distR="114300" simplePos="0" relativeHeight="251675648"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41"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8"/>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44"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5965AE" w:rsidRDefault="005A1DF6">
                            <w:pPr>
                              <w:pStyle w:val="NormalWeb"/>
                              <w:spacing w:after="0"/>
                              <w:textAlignment w:val="baseline"/>
                            </w:pPr>
                            <w:r>
                              <w:rPr>
                                <w:rFonts w:ascii="Arial" w:hAnsi="Arial"/>
                                <w:b/>
                                <w:bCs/>
                                <w:color w:val="000000" w:themeColor="text1"/>
                                <w:sz w:val="40"/>
                                <w:szCs w:val="40"/>
                              </w:rPr>
                              <w:t>Scénario</w:t>
                            </w:r>
                          </w:p>
                        </w:txbxContent>
                      </wps:txbx>
                      <wps:bodyPr wrap="square" rtlCol="0">
                        <a:spAutoFit/>
                      </wps:bodyPr>
                    </wps:wsp>
                  </a:graphicData>
                </a:graphic>
              </wp:anchor>
            </w:drawing>
          </mc:Choice>
          <mc:Fallback>
            <w:pict>
              <v:shape id="_x0000_s1037" type="#_x0000_t202" style="position:absolute;margin-left:52.1pt;margin-top:0;width:442.25pt;height:3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1PmEFZkBAAAW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b/>
                          <w:bCs/>
                          <w:color w:val="000000" w:themeColor="text1"/>
                          <w:sz w:val="40"/>
                          <w:szCs w:val="40"/>
                        </w:rPr>
                        <w:t>Scénario</w:t>
                      </w:r>
                    </w:p>
                  </w:txbxContent>
                </v:textbox>
              </v:shape>
            </w:pict>
          </mc:Fallback>
        </mc:AlternateContent>
      </w:r>
      <w:r>
        <w:rPr>
          <w:rFonts w:ascii="Times New Roman" w:hAnsi="Times New Roman" w:cs="Times New Roman"/>
          <w:b/>
          <w:noProof/>
          <w:sz w:val="28"/>
          <w:szCs w:val="24"/>
          <w:lang w:val="en-GB" w:eastAsia="en-GB"/>
        </w:rPr>
        <w:drawing>
          <wp:anchor distT="0" distB="0" distL="114300" distR="114300" simplePos="0" relativeHeight="251678720" behindDoc="0" locked="0" layoutInCell="1" allowOverlap="1">
            <wp:simplePos x="0" y="0"/>
            <wp:positionH relativeFrom="column">
              <wp:posOffset>7504259</wp:posOffset>
            </wp:positionH>
            <wp:positionV relativeFrom="paragraph">
              <wp:posOffset>118780</wp:posOffset>
            </wp:positionV>
            <wp:extent cx="857787" cy="601300"/>
            <wp:effectExtent l="0" t="0" r="0" b="889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787" cy="601300"/>
                    </a:xfrm>
                    <a:prstGeom prst="rect">
                      <a:avLst/>
                    </a:prstGeom>
                  </pic:spPr>
                </pic:pic>
              </a:graphicData>
            </a:graphic>
          </wp:anchor>
        </w:drawing>
      </w:r>
      <w:r>
        <w:rPr>
          <w:rFonts w:ascii="Times New Roman" w:hAnsi="Times New Roman"/>
          <w:b/>
          <w:noProof/>
          <w:sz w:val="28"/>
          <w:szCs w:val="24"/>
        </w:rPr>
        <w:t xml:space="preserve"> </w:t>
      </w:r>
      <w:r>
        <w:rPr>
          <w:rFonts w:ascii="Times New Roman" w:hAnsi="Times New Roman"/>
          <w:b/>
          <w:noProof/>
          <w:sz w:val="28"/>
          <w:szCs w:val="24"/>
        </w:rPr>
        <w:br w:type="page"/>
      </w:r>
    </w:p>
    <w:p w:rsidR="005965AE" w:rsidRDefault="005965AE">
      <w:pPr>
        <w:rPr>
          <w:rFonts w:ascii="Times New Roman" w:hAnsi="Times New Roman" w:cs="Times New Roman"/>
          <w:b/>
          <w:noProof/>
          <w:sz w:val="24"/>
          <w:szCs w:val="24"/>
        </w:rPr>
      </w:pPr>
    </w:p>
    <w:p w:rsidR="005965AE" w:rsidRDefault="005A1DF6">
      <w:pPr>
        <w:rPr>
          <w:rFonts w:ascii="Times New Roman" w:hAnsi="Times New Roman" w:cs="Times New Roman"/>
          <w:b/>
          <w:noProof/>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517518</wp:posOffset>
                </wp:positionH>
                <wp:positionV relativeFrom="paragraph">
                  <wp:posOffset>0</wp:posOffset>
                </wp:positionV>
                <wp:extent cx="7920880" cy="825851"/>
                <wp:effectExtent l="0" t="0" r="4445" b="0"/>
                <wp:wrapNone/>
                <wp:docPr id="46"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40.75pt;margin-top:0;width:623.7pt;height:65.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47"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5965AE" w:rsidRDefault="005A1DF6">
                            <w:pPr>
                              <w:pStyle w:val="NormalWeb"/>
                              <w:spacing w:after="0"/>
                              <w:jc w:val="center"/>
                              <w:textAlignment w:val="baseline"/>
                            </w:pPr>
                            <w:r>
                              <w:rPr>
                                <w:rFonts w:ascii="Arial" w:hAnsi="Arial"/>
                                <w:b/>
                                <w:bCs/>
                                <w:color w:val="1F497D" w:themeColor="text2"/>
                                <w:sz w:val="96"/>
                                <w:szCs w:val="96"/>
                              </w:rPr>
                              <w:t>5</w:t>
                            </w:r>
                            <w:r>
                              <w:rPr>
                                <w:rFonts w:ascii="Arial" w:hAnsi="Arial"/>
                                <w:b/>
                                <w:bCs/>
                                <w:color w:val="1F497D" w:themeColor="text2"/>
                              </w:rPr>
                              <w:t>Faire beaucoup plus ensemble</w:t>
                            </w:r>
                          </w:p>
                        </w:txbxContent>
                      </wps:txbx>
                      <wps:bodyPr wrap="square" rtlCol="0">
                        <a:noAutofit/>
                      </wps:bodyPr>
                    </wps:wsp>
                  </a:graphicData>
                </a:graphic>
              </wp:anchor>
            </w:drawing>
          </mc:Choice>
          <mc:Fallback>
            <w:pict>
              <v:shape id="_x0000_s1038" type="#_x0000_t202" style="position:absolute;margin-left:0;margin-top:11.35pt;width:227.85pt;height:90.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" filled="f" stroked="f">
                <v:textbox>
                  <w:txbxContent>
                    <w:p>
                      <w:pPr>
                        <w:pStyle w:val="NormalWeb"/>
                        <w:spacing w:after="0"/>
                        <w:jc w:val="center"/>
                        <w:textAlignment w:val="baseline"/>
                      </w:pPr>
                      <w:r>
                        <w:rPr>
                          <w:rFonts w:ascii="Arial" w:hAnsi="Arial"/>
                          <w:b/>
                          <w:bCs/>
                          <w:color w:val="1F497D" w:themeColor="text2"/>
                          <w:sz w:val="96"/>
                          <w:szCs w:val="96"/>
                        </w:rPr>
                        <w:t>5</w:t>
                      </w:r>
                      <w:r>
                        <w:rPr>
                          <w:rFonts w:ascii="Arial" w:hAnsi="Arial"/>
                          <w:b/>
                          <w:bCs/>
                          <w:color w:val="1F497D" w:themeColor="text2"/>
                        </w:rPr>
                        <w:t>Faire beaucoup plus ensemble</w:t>
                      </w:r>
                    </w:p>
                  </w:txbxContent>
                </v:textbox>
              </v:shape>
            </w:pict>
          </mc:Fallback>
        </mc:AlternateContent>
      </w:r>
      <w:r>
        <w:rPr>
          <w:rFonts w:ascii="Times New Roman" w:hAnsi="Times New Roman" w:cs="Times New Roman"/>
          <w:b/>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517518</wp:posOffset>
                </wp:positionH>
                <wp:positionV relativeFrom="paragraph">
                  <wp:posOffset>0</wp:posOffset>
                </wp:positionV>
                <wp:extent cx="5616575" cy="427355"/>
                <wp:effectExtent l="0" t="0" r="0" b="0"/>
                <wp:wrapNone/>
                <wp:docPr id="48"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5965AE" w:rsidRDefault="005A1DF6">
                            <w:pPr>
                              <w:pStyle w:val="NormalWeb"/>
                              <w:spacing w:after="0"/>
                              <w:textAlignment w:val="baseline"/>
                            </w:pPr>
                            <w:r>
                              <w:rPr>
                                <w:rFonts w:ascii="Arial" w:hAnsi="Arial"/>
                                <w:b/>
                                <w:bCs/>
                                <w:color w:val="000000" w:themeColor="text1"/>
                                <w:sz w:val="40"/>
                                <w:szCs w:val="40"/>
                              </w:rPr>
                              <w:t>Scénario</w:t>
                            </w:r>
                          </w:p>
                        </w:txbxContent>
                      </wps:txbx>
                      <wps:bodyPr wrap="square" rtlCol="0">
                        <a:spAutoFit/>
                      </wps:bodyPr>
                    </wps:wsp>
                  </a:graphicData>
                </a:graphic>
              </wp:anchor>
            </w:drawing>
          </mc:Choice>
          <mc:Fallback>
            <w:pict>
              <v:shape id="_x0000_s1039" type="#_x0000_t202" style="position:absolute;margin-left:40.75pt;margin-top:0;width:442.25pt;height:33.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" filled="f" stroked="f">
                <v:textbox style="mso-fit-shape-to-text:t">
                  <w:txbxContent>
                    <w:p>
                      <w:pPr>
                        <w:pStyle w:val="NormalWeb"/>
                        <w:spacing w:after="0"/>
                        <w:textAlignment w:val="baseline"/>
                      </w:pPr>
                      <w:r>
                        <w:rPr>
                          <w:rFonts w:ascii="Arial" w:hAnsi="Arial"/>
                          <w:b/>
                          <w:bCs/>
                          <w:color w:val="000000" w:themeColor="text1"/>
                          <w:sz w:val="40"/>
                          <w:szCs w:val="40"/>
                        </w:rPr>
                        <w:t>Scénario</w:t>
                      </w:r>
                    </w:p>
                  </w:txbxContent>
                </v:textbox>
              </v:shape>
            </w:pict>
          </mc:Fallback>
        </mc:AlternateContent>
      </w:r>
      <w:r>
        <w:rPr>
          <w:rFonts w:ascii="Times New Roman" w:hAnsi="Times New Roman" w:cs="Times New Roman"/>
          <w:b/>
          <w:noProof/>
          <w:sz w:val="24"/>
          <w:szCs w:val="24"/>
          <w:lang w:val="en-GB" w:eastAsia="en-GB"/>
        </w:rPr>
        <w:drawing>
          <wp:anchor distT="0" distB="0" distL="114300" distR="114300" simplePos="0" relativeHeight="251682816" behindDoc="0" locked="0" layoutInCell="1" allowOverlap="1">
            <wp:simplePos x="0" y="0"/>
            <wp:positionH relativeFrom="column">
              <wp:posOffset>7274645</wp:posOffset>
            </wp:positionH>
            <wp:positionV relativeFrom="paragraph">
              <wp:posOffset>89902</wp:posOffset>
            </wp:positionV>
            <wp:extent cx="864095" cy="605722"/>
            <wp:effectExtent l="0" t="0" r="0" b="4445"/>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4095" cy="605722"/>
                    </a:xfrm>
                    <a:prstGeom prst="rect">
                      <a:avLst/>
                    </a:prstGeom>
                  </pic:spPr>
                </pic:pic>
              </a:graphicData>
            </a:graphic>
          </wp:anchor>
        </w:drawing>
      </w:r>
      <w:r>
        <w:rPr>
          <w:rFonts w:ascii="Times New Roman" w:hAnsi="Times New Roman" w:cs="Times New Roman"/>
          <w:b/>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279026</wp:posOffset>
                </wp:positionH>
                <wp:positionV relativeFrom="paragraph">
                  <wp:posOffset>864096</wp:posOffset>
                </wp:positionV>
                <wp:extent cx="8411210" cy="4009390"/>
                <wp:effectExtent l="0" t="0" r="0" b="0"/>
                <wp:wrapNone/>
                <wp:docPr id="49" name="Rectangle 17"/>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5965AE" w:rsidRDefault="005A1DF6">
                            <w:pPr>
                              <w:pStyle w:val="NormalWeb"/>
                              <w:spacing w:after="0"/>
                              <w:textAlignment w:val="baseline"/>
                            </w:pPr>
                            <w:r>
                              <w:rPr>
                                <w:rFonts w:ascii="Arial" w:hAnsi="Arial"/>
                                <w:b/>
                                <w:bCs/>
                                <w:sz w:val="28"/>
                                <w:szCs w:val="28"/>
                              </w:rPr>
                              <w:t>Tendance générale et volume</w:t>
                            </w:r>
                          </w:p>
                          <w:p w:rsidR="005965AE" w:rsidRDefault="005A1DF6">
                            <w:pPr>
                              <w:pStyle w:val="ListParagraph"/>
                              <w:numPr>
                                <w:ilvl w:val="0"/>
                                <w:numId w:val="22"/>
                              </w:numPr>
                              <w:spacing w:after="0" w:line="240" w:lineRule="auto"/>
                              <w:textAlignment w:val="baseline"/>
                              <w:rPr>
                                <w:rFonts w:eastAsia="Times New Roman"/>
                              </w:rPr>
                            </w:pPr>
                            <w:r>
                              <w:rPr>
                                <w:rFonts w:ascii="Arial" w:hAnsi="Arial"/>
                                <w:b/>
                                <w:bCs/>
                              </w:rPr>
                              <w:t>Forte augmentation</w:t>
                            </w:r>
                          </w:p>
                          <w:p w:rsidR="005965AE" w:rsidRDefault="005A1DF6">
                            <w:pPr>
                              <w:pStyle w:val="ListParagraph"/>
                              <w:numPr>
                                <w:ilvl w:val="0"/>
                                <w:numId w:val="22"/>
                              </w:numPr>
                              <w:spacing w:after="0" w:line="240" w:lineRule="auto"/>
                              <w:textAlignment w:val="baseline"/>
                              <w:rPr>
                                <w:rFonts w:eastAsia="Times New Roman"/>
                              </w:rPr>
                            </w:pPr>
                            <w:r>
                              <w:rPr>
                                <w:rFonts w:ascii="Arial" w:hAnsi="Arial"/>
                                <w:b/>
                                <w:bCs/>
                              </w:rPr>
                              <w:t>Financement supplémentaire substantiel de nouvelles priorités et de l’action extérieure</w:t>
                            </w:r>
                          </w:p>
                          <w:p w:rsidR="005965AE" w:rsidRDefault="005A1DF6">
                            <w:pPr>
                              <w:pStyle w:val="ListParagraph"/>
                              <w:numPr>
                                <w:ilvl w:val="0"/>
                                <w:numId w:val="22"/>
                              </w:numPr>
                              <w:spacing w:after="0" w:line="240" w:lineRule="auto"/>
                              <w:textAlignment w:val="baseline"/>
                              <w:rPr>
                                <w:rFonts w:eastAsia="Times New Roman"/>
                              </w:rPr>
                            </w:pPr>
                            <w:r>
                              <w:rPr>
                                <w:rFonts w:ascii="Arial" w:hAnsi="Arial"/>
                                <w:b/>
                                <w:bCs/>
                              </w:rPr>
                              <w:t>Recours accru aux instruments financiers et aux garanties</w:t>
                            </w:r>
                          </w:p>
                          <w:p w:rsidR="005965AE" w:rsidRDefault="005A1DF6">
                            <w:pPr>
                              <w:pStyle w:val="ListParagraph"/>
                              <w:numPr>
                                <w:ilvl w:val="0"/>
                                <w:numId w:val="22"/>
                              </w:numPr>
                              <w:spacing w:after="0" w:line="240" w:lineRule="auto"/>
                              <w:textAlignment w:val="baseline"/>
                              <w:rPr>
                                <w:rFonts w:eastAsia="Times New Roman"/>
                              </w:rPr>
                            </w:pPr>
                            <w:r>
                              <w:rPr>
                                <w:rFonts w:ascii="Arial" w:hAnsi="Arial"/>
                                <w:b/>
                                <w:bCs/>
                              </w:rPr>
                              <w:t>Augmentation du plafond des ressources propres</w:t>
                            </w:r>
                          </w:p>
                          <w:p w:rsidR="005965AE" w:rsidRDefault="005A1DF6">
                            <w:pPr>
                              <w:pStyle w:val="NormalWeb"/>
                              <w:spacing w:after="0"/>
                              <w:textAlignment w:val="baseline"/>
                              <w:rPr>
                                <w:rFonts w:eastAsiaTheme="minorEastAsia"/>
                              </w:rPr>
                            </w:pPr>
                            <w:r>
                              <w:rPr>
                                <w:rFonts w:ascii="Arial" w:hAnsi="Arial"/>
                                <w:b/>
                                <w:bCs/>
                                <w:sz w:val="28"/>
                                <w:szCs w:val="28"/>
                              </w:rPr>
                              <w:t>Dépenses</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Politique agricole commune – Montant plus élevé</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Cohésion économique, sociale et territoriale: comme dans le scénario 1, plus:</w:t>
                            </w:r>
                          </w:p>
                          <w:p w:rsidR="005965AE" w:rsidRDefault="005A1DF6">
                            <w:pPr>
                              <w:pStyle w:val="ListParagraph"/>
                              <w:numPr>
                                <w:ilvl w:val="1"/>
                                <w:numId w:val="23"/>
                              </w:numPr>
                              <w:spacing w:after="0" w:line="240" w:lineRule="auto"/>
                              <w:textAlignment w:val="baseline"/>
                              <w:rPr>
                                <w:rFonts w:eastAsia="Times New Roman"/>
                              </w:rPr>
                            </w:pPr>
                            <w:r>
                              <w:rPr>
                                <w:rFonts w:ascii="Arial" w:hAnsi="Arial"/>
                              </w:rPr>
                              <w:t>Renforcement de la dimension sociale (par ex. garantie pour l’enfance)</w:t>
                            </w:r>
                          </w:p>
                          <w:p w:rsidR="005965AE" w:rsidRDefault="005A1DF6">
                            <w:pPr>
                              <w:pStyle w:val="ListParagraph"/>
                              <w:numPr>
                                <w:ilvl w:val="1"/>
                                <w:numId w:val="23"/>
                              </w:numPr>
                              <w:spacing w:after="0" w:line="240" w:lineRule="auto"/>
                              <w:textAlignment w:val="baseline"/>
                              <w:rPr>
                                <w:rFonts w:eastAsia="Times New Roman"/>
                              </w:rPr>
                            </w:pPr>
                            <w:r>
                              <w:rPr>
                                <w:rFonts w:ascii="Arial" w:hAnsi="Arial"/>
                              </w:rPr>
                              <w:t>Renforcement de la coopération territoriale</w:t>
                            </w:r>
                          </w:p>
                          <w:p w:rsidR="005965AE" w:rsidRDefault="005A1DF6">
                            <w:pPr>
                              <w:pStyle w:val="ListParagraph"/>
                              <w:numPr>
                                <w:ilvl w:val="1"/>
                                <w:numId w:val="23"/>
                              </w:numPr>
                              <w:spacing w:after="0" w:line="240" w:lineRule="auto"/>
                              <w:textAlignment w:val="baseline"/>
                              <w:rPr>
                                <w:rFonts w:eastAsia="Times New Roman"/>
                              </w:rPr>
                            </w:pPr>
                            <w:r>
                              <w:rPr>
                                <w:rFonts w:ascii="Arial" w:hAnsi="Arial"/>
                              </w:rPr>
                              <w:t>Renforcement de la dimension urbaine</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Nouvelles priorités et priorités à forte valeur ajoutée: comme dans le scénario 4</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Réformes structurelles liées au Semestre européen</w:t>
                            </w:r>
                          </w:p>
                          <w:p w:rsidR="005965AE" w:rsidRDefault="005A1DF6">
                            <w:pPr>
                              <w:pStyle w:val="ListParagraph"/>
                              <w:numPr>
                                <w:ilvl w:val="1"/>
                                <w:numId w:val="23"/>
                              </w:numPr>
                              <w:spacing w:after="0" w:line="240" w:lineRule="auto"/>
                              <w:textAlignment w:val="baseline"/>
                              <w:rPr>
                                <w:rFonts w:eastAsia="Times New Roman"/>
                              </w:rPr>
                            </w:pPr>
                            <w:r>
                              <w:rPr>
                                <w:rFonts w:ascii="Arial" w:hAnsi="Arial"/>
                              </w:rPr>
                              <w:t xml:space="preserve">Incitations positives grâce à la politique </w:t>
                            </w:r>
                            <w:r>
                              <w:rPr>
                                <w:rFonts w:ascii="Arial" w:hAnsi="Arial"/>
                              </w:rPr>
                              <w:t>de cohésion ou par le biais d’un fonds spécifique</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 xml:space="preserve">Sécurité et défense communes, mise en commun du financement et de la passation de marchés, complément du budget de l’UE par un fonds extrabudgétaire </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Mécanisme de fonds de capital-risque</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Budget à part entiè</w:t>
                            </w:r>
                            <w:r>
                              <w:rPr>
                                <w:rFonts w:ascii="Arial" w:hAnsi="Arial"/>
                                <w:b/>
                                <w:bCs/>
                              </w:rPr>
                              <w:t>re pour la zone euro et Fonds monétaire européen</w:t>
                            </w:r>
                          </w:p>
                          <w:p w:rsidR="005965AE" w:rsidRDefault="005A1DF6">
                            <w:pPr>
                              <w:pStyle w:val="ListParagraph"/>
                              <w:numPr>
                                <w:ilvl w:val="0"/>
                                <w:numId w:val="23"/>
                              </w:numPr>
                              <w:spacing w:after="0" w:line="240" w:lineRule="auto"/>
                              <w:textAlignment w:val="baseline"/>
                              <w:rPr>
                                <w:rFonts w:eastAsia="Times New Roman"/>
                              </w:rPr>
                            </w:pPr>
                            <w:r>
                              <w:rPr>
                                <w:rFonts w:ascii="Arial" w:hAnsi="Arial"/>
                                <w:b/>
                                <w:bCs/>
                              </w:rPr>
                              <w:t>Renforcement de l’action extérieure: intégration du Fonds européen de développement dans le budget</w:t>
                            </w:r>
                          </w:p>
                          <w:p w:rsidR="005965AE" w:rsidRDefault="005A1DF6">
                            <w:pPr>
                              <w:pStyle w:val="NormalWeb"/>
                              <w:spacing w:after="0"/>
                              <w:textAlignment w:val="baseline"/>
                              <w:rPr>
                                <w:rFonts w:eastAsiaTheme="minorEastAsia"/>
                              </w:rPr>
                            </w:pPr>
                            <w:r>
                              <w:rPr>
                                <w:rFonts w:ascii="Arial" w:hAnsi="Arial"/>
                                <w:b/>
                                <w:bCs/>
                                <w:sz w:val="28"/>
                                <w:szCs w:val="28"/>
                              </w:rPr>
                              <w:t>Recettes</w:t>
                            </w:r>
                          </w:p>
                          <w:p w:rsidR="005965AE" w:rsidRDefault="005A1DF6">
                            <w:pPr>
                              <w:pStyle w:val="ListParagraph"/>
                              <w:numPr>
                                <w:ilvl w:val="0"/>
                                <w:numId w:val="24"/>
                              </w:numPr>
                              <w:spacing w:after="0" w:line="240" w:lineRule="auto"/>
                              <w:textAlignment w:val="baseline"/>
                              <w:rPr>
                                <w:rFonts w:eastAsia="Times New Roman"/>
                              </w:rPr>
                            </w:pPr>
                            <w:r>
                              <w:rPr>
                                <w:rFonts w:ascii="Arial" w:hAnsi="Arial"/>
                                <w:b/>
                                <w:bCs/>
                              </w:rPr>
                              <w:t>Réforme en profondeur plus poussée que dans le scénario 4</w:t>
                            </w:r>
                          </w:p>
                          <w:p w:rsidR="005965AE" w:rsidRDefault="005A1DF6">
                            <w:pPr>
                              <w:pStyle w:val="ListParagraph"/>
                              <w:numPr>
                                <w:ilvl w:val="0"/>
                                <w:numId w:val="24"/>
                              </w:numPr>
                              <w:spacing w:after="0" w:line="240" w:lineRule="auto"/>
                              <w:textAlignment w:val="baseline"/>
                              <w:rPr>
                                <w:rFonts w:eastAsia="Times New Roman"/>
                              </w:rPr>
                            </w:pPr>
                            <w:r>
                              <w:rPr>
                                <w:rFonts w:ascii="Arial" w:hAnsi="Arial"/>
                                <w:b/>
                                <w:bCs/>
                              </w:rPr>
                              <w:t>Financement d’une partie du budget de l’U</w:t>
                            </w:r>
                            <w:r>
                              <w:rPr>
                                <w:rFonts w:ascii="Arial" w:hAnsi="Arial"/>
                                <w:b/>
                                <w:bCs/>
                              </w:rPr>
                              <w:t xml:space="preserve">E et contribution à la réalisation d’objectifs stratégiques au moyen de nouvelles ressources propres (par ex. fiscalité écologique, taxe sur les transactions financières, assiette commune consolidée pour l’impôt sur les sociétés) </w:t>
                            </w:r>
                          </w:p>
                          <w:p w:rsidR="005965AE" w:rsidRDefault="005A1DF6">
                            <w:pPr>
                              <w:pStyle w:val="ListParagraph"/>
                              <w:numPr>
                                <w:ilvl w:val="0"/>
                                <w:numId w:val="24"/>
                              </w:numPr>
                              <w:spacing w:after="0" w:line="240" w:lineRule="auto"/>
                              <w:textAlignment w:val="baseline"/>
                              <w:rPr>
                                <w:rFonts w:eastAsia="Times New Roman"/>
                              </w:rPr>
                            </w:pPr>
                            <w:r>
                              <w:rPr>
                                <w:rFonts w:ascii="Arial" w:hAnsi="Arial"/>
                                <w:b/>
                                <w:bCs/>
                              </w:rPr>
                              <w:t xml:space="preserve">Financement du budget de </w:t>
                            </w:r>
                            <w:r>
                              <w:rPr>
                                <w:rFonts w:ascii="Arial" w:hAnsi="Arial"/>
                                <w:b/>
                                <w:bCs/>
                              </w:rPr>
                              <w:t xml:space="preserve">l’UE par d’autres sources de recettes ou redevances </w:t>
                            </w:r>
                          </w:p>
                        </w:txbxContent>
                      </wps:txbx>
                      <wps:bodyPr wrap="square">
                        <a:spAutoFit/>
                      </wps:bodyPr>
                    </wps:wsp>
                  </a:graphicData>
                </a:graphic>
              </wp:anchor>
            </w:drawing>
          </mc:Choice>
          <mc:Fallback>
            <w:pict>
              <v:rect id="Rectangle 17" o:spid="_x0000_s1040" style="position:absolute;margin-left:21.95pt;margin-top:68.05pt;width:662.3pt;height:31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" filled="f" stroked="f">
                <v:textbox style="mso-fit-shape-to-text:t">
                  <w:txbxContent>
                    <w:p>
                      <w:pPr>
                        <w:pStyle w:val="NormalWeb"/>
                        <w:spacing w:after="0"/>
                        <w:textAlignment w:val="baseline"/>
                      </w:pPr>
                      <w:r>
                        <w:rPr>
                          <w:rFonts w:ascii="Arial" w:hAnsi="Arial"/>
                          <w:b/>
                          <w:bCs/>
                          <w:sz w:val="28"/>
                          <w:szCs w:val="28"/>
                        </w:rPr>
                        <w:t>Tendance générale et volume</w:t>
                      </w:r>
                    </w:p>
                    <w:p>
                      <w:pPr>
                        <w:pStyle w:val="ListParagraph"/>
                        <w:numPr>
                          <w:ilvl w:val="0"/>
                          <w:numId w:val="22"/>
                        </w:numPr>
                        <w:spacing w:after="0" w:line="240" w:lineRule="auto"/>
                        <w:textAlignment w:val="baseline"/>
                        <w:rPr>
                          <w:rFonts w:eastAsia="Times New Roman"/>
                        </w:rPr>
                      </w:pPr>
                      <w:r>
                        <w:rPr>
                          <w:rFonts w:ascii="Arial" w:hAnsi="Arial"/>
                          <w:b/>
                          <w:bCs/>
                        </w:rPr>
                        <w:t>Forte augmentation</w:t>
                      </w:r>
                    </w:p>
                    <w:p>
                      <w:pPr>
                        <w:pStyle w:val="ListParagraph"/>
                        <w:numPr>
                          <w:ilvl w:val="0"/>
                          <w:numId w:val="22"/>
                        </w:numPr>
                        <w:spacing w:after="0" w:line="240" w:lineRule="auto"/>
                        <w:textAlignment w:val="baseline"/>
                        <w:rPr>
                          <w:rFonts w:eastAsia="Times New Roman"/>
                        </w:rPr>
                      </w:pPr>
                      <w:r>
                        <w:rPr>
                          <w:rFonts w:ascii="Arial" w:hAnsi="Arial"/>
                          <w:b/>
                          <w:bCs/>
                        </w:rPr>
                        <w:t>Financement supplémentaire substantiel de nouvelles priorités et de l’action extérieure</w:t>
                      </w:r>
                    </w:p>
                    <w:p>
                      <w:pPr>
                        <w:pStyle w:val="ListParagraph"/>
                        <w:numPr>
                          <w:ilvl w:val="0"/>
                          <w:numId w:val="22"/>
                        </w:numPr>
                        <w:spacing w:after="0" w:line="240" w:lineRule="auto"/>
                        <w:textAlignment w:val="baseline"/>
                        <w:rPr>
                          <w:rFonts w:eastAsia="Times New Roman"/>
                        </w:rPr>
                      </w:pPr>
                      <w:r>
                        <w:rPr>
                          <w:rFonts w:ascii="Arial" w:hAnsi="Arial"/>
                          <w:b/>
                          <w:bCs/>
                        </w:rPr>
                        <w:t>Recours accru aux instruments financiers et aux garanties</w:t>
                      </w:r>
                    </w:p>
                    <w:p>
                      <w:pPr>
                        <w:pStyle w:val="ListParagraph"/>
                        <w:numPr>
                          <w:ilvl w:val="0"/>
                          <w:numId w:val="22"/>
                        </w:numPr>
                        <w:spacing w:after="0" w:line="240" w:lineRule="auto"/>
                        <w:textAlignment w:val="baseline"/>
                        <w:rPr>
                          <w:rFonts w:eastAsia="Times New Roman"/>
                        </w:rPr>
                      </w:pPr>
                      <w:r>
                        <w:rPr>
                          <w:rFonts w:ascii="Arial" w:hAnsi="Arial"/>
                          <w:b/>
                          <w:bCs/>
                        </w:rPr>
                        <w:t>Augmentation du plafond des ressources propres</w:t>
                      </w:r>
                    </w:p>
                    <w:p>
                      <w:pPr>
                        <w:pStyle w:val="NormalWeb"/>
                        <w:spacing w:after="0"/>
                        <w:textAlignment w:val="baseline"/>
                        <w:rPr>
                          <w:rFonts w:eastAsiaTheme="minorEastAsia"/>
                        </w:rPr>
                      </w:pPr>
                      <w:r>
                        <w:rPr>
                          <w:rFonts w:ascii="Arial" w:hAnsi="Arial"/>
                          <w:b/>
                          <w:bCs/>
                          <w:sz w:val="28"/>
                          <w:szCs w:val="28"/>
                        </w:rPr>
                        <w:t>Dépenses</w:t>
                      </w:r>
                    </w:p>
                    <w:p>
                      <w:pPr>
                        <w:pStyle w:val="ListParagraph"/>
                        <w:numPr>
                          <w:ilvl w:val="0"/>
                          <w:numId w:val="23"/>
                        </w:numPr>
                        <w:spacing w:after="0" w:line="240" w:lineRule="auto"/>
                        <w:textAlignment w:val="baseline"/>
                        <w:rPr>
                          <w:rFonts w:eastAsia="Times New Roman"/>
                        </w:rPr>
                      </w:pPr>
                      <w:r>
                        <w:rPr>
                          <w:rFonts w:ascii="Arial" w:hAnsi="Arial"/>
                          <w:b/>
                          <w:bCs/>
                        </w:rPr>
                        <w:t>Politique agricole commune – Montant plus élevé</w:t>
                      </w:r>
                    </w:p>
                    <w:p>
                      <w:pPr>
                        <w:pStyle w:val="ListParagraph"/>
                        <w:numPr>
                          <w:ilvl w:val="0"/>
                          <w:numId w:val="23"/>
                        </w:numPr>
                        <w:spacing w:after="0" w:line="240" w:lineRule="auto"/>
                        <w:textAlignment w:val="baseline"/>
                        <w:rPr>
                          <w:rFonts w:eastAsia="Times New Roman"/>
                        </w:rPr>
                      </w:pPr>
                      <w:r>
                        <w:rPr>
                          <w:rFonts w:ascii="Arial" w:hAnsi="Arial"/>
                          <w:b/>
                          <w:bCs/>
                        </w:rPr>
                        <w:t>Cohésion économique, sociale et territoriale: comme dans le scénario 1, plus:</w:t>
                      </w:r>
                    </w:p>
                    <w:p>
                      <w:pPr>
                        <w:pStyle w:val="ListParagraph"/>
                        <w:numPr>
                          <w:ilvl w:val="1"/>
                          <w:numId w:val="23"/>
                        </w:numPr>
                        <w:spacing w:after="0" w:line="240" w:lineRule="auto"/>
                        <w:textAlignment w:val="baseline"/>
                        <w:rPr>
                          <w:rFonts w:eastAsia="Times New Roman"/>
                        </w:rPr>
                      </w:pPr>
                      <w:r>
                        <w:rPr>
                          <w:rFonts w:ascii="Arial" w:hAnsi="Arial"/>
                        </w:rPr>
                        <w:t>Renforcement de la dimension sociale (par ex. garantie pour l’enfance)</w:t>
                      </w:r>
                    </w:p>
                    <w:p>
                      <w:pPr>
                        <w:pStyle w:val="ListParagraph"/>
                        <w:numPr>
                          <w:ilvl w:val="1"/>
                          <w:numId w:val="23"/>
                        </w:numPr>
                        <w:spacing w:after="0" w:line="240" w:lineRule="auto"/>
                        <w:textAlignment w:val="baseline"/>
                        <w:rPr>
                          <w:rFonts w:eastAsia="Times New Roman"/>
                        </w:rPr>
                      </w:pPr>
                      <w:r>
                        <w:rPr>
                          <w:rFonts w:ascii="Arial" w:hAnsi="Arial"/>
                        </w:rPr>
                        <w:t>Renforcement de la coopération territoriale</w:t>
                      </w:r>
                    </w:p>
                    <w:p>
                      <w:pPr>
                        <w:pStyle w:val="ListParagraph"/>
                        <w:numPr>
                          <w:ilvl w:val="1"/>
                          <w:numId w:val="23"/>
                        </w:numPr>
                        <w:spacing w:after="0" w:line="240" w:lineRule="auto"/>
                        <w:textAlignment w:val="baseline"/>
                        <w:rPr>
                          <w:rFonts w:eastAsia="Times New Roman"/>
                        </w:rPr>
                      </w:pPr>
                      <w:r>
                        <w:rPr>
                          <w:rFonts w:ascii="Arial" w:hAnsi="Arial"/>
                        </w:rPr>
                        <w:t>Renforcement de la dimension urbaine</w:t>
                      </w:r>
                    </w:p>
                    <w:p>
                      <w:pPr>
                        <w:pStyle w:val="ListParagraph"/>
                        <w:numPr>
                          <w:ilvl w:val="0"/>
                          <w:numId w:val="23"/>
                        </w:numPr>
                        <w:spacing w:after="0" w:line="240" w:lineRule="auto"/>
                        <w:textAlignment w:val="baseline"/>
                        <w:rPr>
                          <w:rFonts w:eastAsia="Times New Roman"/>
                        </w:rPr>
                      </w:pPr>
                      <w:r>
                        <w:rPr>
                          <w:rFonts w:ascii="Arial" w:hAnsi="Arial"/>
                          <w:b/>
                          <w:bCs/>
                        </w:rPr>
                        <w:t>Nouvelles priorités et priorités à forte valeur ajoutée: comme dans le scénario 4</w:t>
                      </w:r>
                    </w:p>
                    <w:p>
                      <w:pPr>
                        <w:pStyle w:val="ListParagraph"/>
                        <w:numPr>
                          <w:ilvl w:val="0"/>
                          <w:numId w:val="23"/>
                        </w:numPr>
                        <w:spacing w:after="0" w:line="240" w:lineRule="auto"/>
                        <w:textAlignment w:val="baseline"/>
                        <w:rPr>
                          <w:rFonts w:eastAsia="Times New Roman"/>
                        </w:rPr>
                      </w:pPr>
                      <w:r>
                        <w:rPr>
                          <w:rFonts w:ascii="Arial" w:hAnsi="Arial"/>
                          <w:b/>
                          <w:bCs/>
                        </w:rPr>
                        <w:t>Réformes structurelles liées au Semestre européen</w:t>
                      </w:r>
                    </w:p>
                    <w:p>
                      <w:pPr>
                        <w:pStyle w:val="ListParagraph"/>
                        <w:numPr>
                          <w:ilvl w:val="1"/>
                          <w:numId w:val="23"/>
                        </w:numPr>
                        <w:spacing w:after="0" w:line="240" w:lineRule="auto"/>
                        <w:textAlignment w:val="baseline"/>
                        <w:rPr>
                          <w:rFonts w:eastAsia="Times New Roman"/>
                        </w:rPr>
                      </w:pPr>
                      <w:r>
                        <w:rPr>
                          <w:rFonts w:ascii="Arial" w:hAnsi="Arial"/>
                        </w:rPr>
                        <w:t>Incitations positives grâce à la politique de cohésion ou par le biais d’un fonds spécifique</w:t>
                      </w:r>
                    </w:p>
                    <w:p>
                      <w:pPr>
                        <w:pStyle w:val="ListParagraph"/>
                        <w:numPr>
                          <w:ilvl w:val="0"/>
                          <w:numId w:val="23"/>
                        </w:numPr>
                        <w:spacing w:after="0" w:line="240" w:lineRule="auto"/>
                        <w:textAlignment w:val="baseline"/>
                        <w:rPr>
                          <w:rFonts w:eastAsia="Times New Roman"/>
                        </w:rPr>
                      </w:pPr>
                      <w:r>
                        <w:rPr>
                          <w:rFonts w:ascii="Arial" w:hAnsi="Arial"/>
                          <w:b/>
                          <w:bCs/>
                        </w:rPr>
                        <w:t xml:space="preserve">Sécurité et défense communes, mise en commun du financement et de la passation de marchés, complément du budget de l’UE par un fonds extrabudgétaire </w:t>
                      </w:r>
                    </w:p>
                    <w:p>
                      <w:pPr>
                        <w:pStyle w:val="ListParagraph"/>
                        <w:numPr>
                          <w:ilvl w:val="0"/>
                          <w:numId w:val="23"/>
                        </w:numPr>
                        <w:spacing w:after="0" w:line="240" w:lineRule="auto"/>
                        <w:textAlignment w:val="baseline"/>
                        <w:rPr>
                          <w:rFonts w:eastAsia="Times New Roman"/>
                        </w:rPr>
                      </w:pPr>
                      <w:r>
                        <w:rPr>
                          <w:rFonts w:ascii="Arial" w:hAnsi="Arial"/>
                          <w:b/>
                          <w:bCs/>
                        </w:rPr>
                        <w:t>Mécanisme de fonds de capital-risque</w:t>
                      </w:r>
                    </w:p>
                    <w:p>
                      <w:pPr>
                        <w:pStyle w:val="ListParagraph"/>
                        <w:numPr>
                          <w:ilvl w:val="0"/>
                          <w:numId w:val="23"/>
                        </w:numPr>
                        <w:spacing w:after="0" w:line="240" w:lineRule="auto"/>
                        <w:textAlignment w:val="baseline"/>
                        <w:rPr>
                          <w:rFonts w:eastAsia="Times New Roman"/>
                        </w:rPr>
                      </w:pPr>
                      <w:r>
                        <w:rPr>
                          <w:rFonts w:ascii="Arial" w:hAnsi="Arial"/>
                          <w:b/>
                          <w:bCs/>
                        </w:rPr>
                        <w:t>Budget à part entière pour la zone euro et Fonds monétaire européen</w:t>
                      </w:r>
                    </w:p>
                    <w:p>
                      <w:pPr>
                        <w:pStyle w:val="ListParagraph"/>
                        <w:numPr>
                          <w:ilvl w:val="0"/>
                          <w:numId w:val="23"/>
                        </w:numPr>
                        <w:spacing w:after="0" w:line="240" w:lineRule="auto"/>
                        <w:textAlignment w:val="baseline"/>
                        <w:rPr>
                          <w:rFonts w:eastAsia="Times New Roman"/>
                        </w:rPr>
                      </w:pPr>
                      <w:r>
                        <w:rPr>
                          <w:rFonts w:ascii="Arial" w:hAnsi="Arial"/>
                          <w:b/>
                          <w:bCs/>
                        </w:rPr>
                        <w:t>Renforcement de l’action extérieure: intégration du Fonds européen de développement dans le budget</w:t>
                      </w:r>
                    </w:p>
                    <w:p>
                      <w:pPr>
                        <w:pStyle w:val="NormalWeb"/>
                        <w:spacing w:after="0"/>
                        <w:textAlignment w:val="baseline"/>
                        <w:rPr>
                          <w:rFonts w:eastAsiaTheme="minorEastAsia"/>
                        </w:rPr>
                      </w:pPr>
                      <w:r>
                        <w:rPr>
                          <w:rFonts w:ascii="Arial" w:hAnsi="Arial"/>
                          <w:b/>
                          <w:bCs/>
                          <w:sz w:val="28"/>
                          <w:szCs w:val="28"/>
                        </w:rPr>
                        <w:t>Recettes</w:t>
                      </w:r>
                    </w:p>
                    <w:p>
                      <w:pPr>
                        <w:pStyle w:val="ListParagraph"/>
                        <w:numPr>
                          <w:ilvl w:val="0"/>
                          <w:numId w:val="24"/>
                        </w:numPr>
                        <w:spacing w:after="0" w:line="240" w:lineRule="auto"/>
                        <w:textAlignment w:val="baseline"/>
                        <w:rPr>
                          <w:rFonts w:eastAsia="Times New Roman"/>
                        </w:rPr>
                      </w:pPr>
                      <w:r>
                        <w:rPr>
                          <w:rFonts w:ascii="Arial" w:hAnsi="Arial"/>
                          <w:b/>
                          <w:bCs/>
                        </w:rPr>
                        <w:t>Réforme en profondeur plus poussée que dans le scénario 4</w:t>
                      </w:r>
                    </w:p>
                    <w:p>
                      <w:pPr>
                        <w:pStyle w:val="ListParagraph"/>
                        <w:numPr>
                          <w:ilvl w:val="0"/>
                          <w:numId w:val="24"/>
                        </w:numPr>
                        <w:spacing w:after="0" w:line="240" w:lineRule="auto"/>
                        <w:textAlignment w:val="baseline"/>
                        <w:rPr>
                          <w:rFonts w:eastAsia="Times New Roman"/>
                        </w:rPr>
                      </w:pPr>
                      <w:r>
                        <w:rPr>
                          <w:rFonts w:ascii="Arial" w:hAnsi="Arial"/>
                          <w:b/>
                          <w:bCs/>
                        </w:rPr>
                        <w:t xml:space="preserve">Financement d’une partie du budget de l’UE et contribution à la réalisation d’objectifs stratégiques au moyen de nouvelles ressources propres (par ex. fiscalité écologique, taxe sur les transactions financières, assiette commune consolidée pour l’impôt sur les sociétés) </w:t>
                      </w:r>
                    </w:p>
                    <w:p>
                      <w:pPr>
                        <w:pStyle w:val="ListParagraph"/>
                        <w:numPr>
                          <w:ilvl w:val="0"/>
                          <w:numId w:val="24"/>
                        </w:numPr>
                        <w:spacing w:after="0" w:line="240" w:lineRule="auto"/>
                        <w:textAlignment w:val="baseline"/>
                        <w:rPr>
                          <w:rFonts w:eastAsia="Times New Roman"/>
                        </w:rPr>
                      </w:pPr>
                      <w:r>
                        <w:rPr>
                          <w:rFonts w:ascii="Arial" w:hAnsi="Arial"/>
                          <w:b/>
                          <w:bCs/>
                        </w:rPr>
                        <w:t xml:space="preserve">Financement du budget de l’UE par d’autres sources de recettes ou redevances </w:t>
                      </w:r>
                    </w:p>
                  </w:txbxContent>
                </v:textbox>
              </v:rect>
            </w:pict>
          </mc:Fallback>
        </mc:AlternateContent>
      </w:r>
      <w:r>
        <w:rPr>
          <w:rFonts w:ascii="Times New Roman" w:hAnsi="Times New Roman"/>
          <w:b/>
          <w:noProof/>
          <w:sz w:val="24"/>
          <w:szCs w:val="24"/>
        </w:rPr>
        <w:t xml:space="preserve"> </w:t>
      </w:r>
    </w:p>
    <w:p w:rsidR="005965AE" w:rsidRDefault="005965AE">
      <w:pPr>
        <w:rPr>
          <w:rFonts w:ascii="Times New Roman" w:hAnsi="Times New Roman" w:cs="Times New Roman"/>
          <w:b/>
          <w:noProof/>
          <w:sz w:val="24"/>
          <w:szCs w:val="24"/>
        </w:rPr>
        <w:sectPr w:rsidR="005965AE">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134" w:bottom="1106" w:left="960" w:header="709" w:footer="709" w:gutter="0"/>
          <w:cols w:space="720"/>
          <w:docGrid w:linePitch="299"/>
        </w:sectPr>
      </w:pPr>
    </w:p>
    <w:p w:rsidR="005965AE" w:rsidRDefault="005A1DF6">
      <w:pPr>
        <w:pStyle w:val="Heading1"/>
        <w:spacing w:before="120" w:after="240"/>
        <w:ind w:left="709" w:hanging="709"/>
        <w:rPr>
          <w:noProof/>
        </w:rPr>
      </w:pPr>
      <w:r>
        <w:rPr>
          <w:noProof/>
        </w:rPr>
        <w:t>6.</w:t>
      </w:r>
      <w:r>
        <w:rPr>
          <w:noProof/>
        </w:rPr>
        <w:tab/>
        <w:t>CONCLUSIONS: FINANCER L’AVENIR DE L’UE</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Le budget de l’UE, et d’ailleurs l’Union européenne dans son ensemble, vont évoluer après 2020. C’est une certitude; le statu quo n’est pas une solution pour notre Union. Le budget de l’UE devra gagner en simplicité, en souplesse, en rationalité et devra p</w:t>
      </w:r>
      <w:r>
        <w:rPr>
          <w:rFonts w:ascii="Times New Roman" w:hAnsi="Times New Roman"/>
          <w:noProof/>
          <w:sz w:val="24"/>
          <w:szCs w:val="24"/>
        </w:rPr>
        <w:t xml:space="preserve">ermettre une meilleure efficacité des dépenses.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La manière dont ce budget évoluera et sera utilisé dépendra de l’avenir auquel nous aspirons pour notre Union et du niveau d’ambition que nous nous fixons pour forger ensemble cet avenir.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Le présent documen</w:t>
      </w:r>
      <w:r>
        <w:rPr>
          <w:rFonts w:ascii="Times New Roman" w:hAnsi="Times New Roman"/>
          <w:noProof/>
          <w:sz w:val="24"/>
          <w:szCs w:val="24"/>
        </w:rPr>
        <w:t>t de réflexion expose une série d’options et scénarios relatifs à l’orientation future du budget et à son utilisation possible. Il vise à susciter un débat plus approfondi sur la direction que doit prendre l’Union et sur ce que nous voulons accomplir ensem</w:t>
      </w:r>
      <w:r>
        <w:rPr>
          <w:rFonts w:ascii="Times New Roman" w:hAnsi="Times New Roman"/>
          <w:noProof/>
          <w:sz w:val="24"/>
          <w:szCs w:val="24"/>
        </w:rPr>
        <w:t xml:space="preserve">ble.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 xml:space="preserve">Il clôture la série de cinq documents de réflexion élaborés dans le sillage du Livre blanc sur l’avenir de l’Europe. Ensemble, ces six documents exposent une série d’idées, de concepts et de possibilités pour l’avenir de l’UE-27. </w:t>
      </w:r>
    </w:p>
    <w:p w:rsidR="005965AE" w:rsidRDefault="005A1DF6">
      <w:pPr>
        <w:spacing w:after="240" w:line="240" w:lineRule="auto"/>
        <w:jc w:val="both"/>
        <w:rPr>
          <w:rFonts w:ascii="Times New Roman" w:hAnsi="Times New Roman" w:cs="Times New Roman"/>
          <w:noProof/>
          <w:sz w:val="24"/>
          <w:szCs w:val="24"/>
        </w:rPr>
      </w:pPr>
      <w:r>
        <w:rPr>
          <w:rFonts w:ascii="Times New Roman" w:hAnsi="Times New Roman"/>
          <w:noProof/>
          <w:sz w:val="24"/>
          <w:szCs w:val="24"/>
        </w:rPr>
        <w:t>L’ampleur et la pro</w:t>
      </w:r>
      <w:r>
        <w:rPr>
          <w:rFonts w:ascii="Times New Roman" w:hAnsi="Times New Roman"/>
          <w:noProof/>
          <w:sz w:val="24"/>
          <w:szCs w:val="24"/>
        </w:rPr>
        <w:t>fondeur des discussions que le livre blanc et les documents de réflexion ont stimulées jusqu’à présent montrent à quel point ces questions sont importantes. Le débat devrait se poursuivre au cours du second semestre de 2017 et être aussi large que possible</w:t>
      </w:r>
      <w:r>
        <w:rPr>
          <w:rFonts w:ascii="Times New Roman" w:hAnsi="Times New Roman"/>
          <w:noProof/>
          <w:sz w:val="24"/>
          <w:szCs w:val="24"/>
        </w:rPr>
        <w:t xml:space="preserve">, afin que l’Europe dans son ensemble réfléchisse sérieusement à son avenir. Le président Jean-Claude Juncker développera ces idées et donnera son point de vue personnel dans son discours sur l’état de l’Union en septembre prochain. </w:t>
      </w:r>
    </w:p>
    <w:p w:rsidR="005965AE" w:rsidRDefault="005A1DF6">
      <w:pPr>
        <w:pStyle w:val="Heading1"/>
        <w:spacing w:before="120" w:after="240"/>
        <w:rPr>
          <w:rFonts w:ascii="Times New Roman" w:eastAsiaTheme="minorHAnsi" w:hAnsi="Times New Roman" w:cstheme="minorBidi"/>
          <w:b w:val="0"/>
          <w:bCs w:val="0"/>
          <w:noProof/>
          <w:color w:val="auto"/>
          <w:sz w:val="24"/>
          <w:szCs w:val="24"/>
          <w:lang w:eastAsia="en-US"/>
        </w:rPr>
      </w:pPr>
      <w:r>
        <w:rPr>
          <w:rFonts w:ascii="Times New Roman" w:eastAsiaTheme="minorHAnsi" w:hAnsi="Times New Roman" w:cstheme="minorBidi"/>
          <w:b w:val="0"/>
          <w:bCs w:val="0"/>
          <w:noProof/>
          <w:color w:val="auto"/>
          <w:sz w:val="24"/>
          <w:szCs w:val="24"/>
          <w:lang w:eastAsia="en-US"/>
        </w:rPr>
        <w:t>Dans la perspective du</w:t>
      </w:r>
      <w:r>
        <w:rPr>
          <w:rFonts w:ascii="Times New Roman" w:eastAsiaTheme="minorHAnsi" w:hAnsi="Times New Roman" w:cstheme="minorBidi"/>
          <w:b w:val="0"/>
          <w:bCs w:val="0"/>
          <w:noProof/>
          <w:color w:val="auto"/>
          <w:sz w:val="24"/>
          <w:szCs w:val="24"/>
          <w:lang w:eastAsia="en-US"/>
        </w:rPr>
        <w:t xml:space="preserve"> prochain cadre financier pluriannuel, la Commission examinera toutes les réactions et réponses au livre blanc et aux documents de réflexion. Elle sera ainsi en mesure de présenter ses propositions pour l’élaboration du prochain cadre financier pluriannuel</w:t>
      </w:r>
      <w:r>
        <w:rPr>
          <w:rFonts w:ascii="Times New Roman" w:eastAsiaTheme="minorHAnsi" w:hAnsi="Times New Roman" w:cstheme="minorBidi"/>
          <w:b w:val="0"/>
          <w:bCs w:val="0"/>
          <w:noProof/>
          <w:color w:val="auto"/>
          <w:sz w:val="24"/>
          <w:szCs w:val="24"/>
          <w:lang w:eastAsia="en-US"/>
        </w:rPr>
        <w:t xml:space="preserve"> vers le milieu de l’année 2018. </w:t>
      </w:r>
    </w:p>
    <w:sectPr w:rsidR="005965AE">
      <w:headerReference w:type="even" r:id="rId48"/>
      <w:headerReference w:type="default" r:id="rId49"/>
      <w:footerReference w:type="even" r:id="rId50"/>
      <w:footerReference w:type="default" r:id="rId51"/>
      <w:headerReference w:type="first" r:id="rId52"/>
      <w:footerReference w:type="first" r:id="rId53"/>
      <w:pgSz w:w="11906" w:h="16838"/>
      <w:pgMar w:top="1134" w:right="1106" w:bottom="960" w:left="1417" w:header="709" w:footer="709" w:gutter="0"/>
      <w:pgNumType w:start="2"/>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F5C9BA" w15:done="0"/>
  <w15:commentEx w15:paraId="72908F17" w15:done="0"/>
  <w15:commentEx w15:paraId="16A61272" w15:done="0"/>
  <w15:commentEx w15:paraId="7C1E6877" w15:done="0"/>
  <w15:commentEx w15:paraId="2C4473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AE" w:rsidRDefault="005A1DF6">
      <w:pPr>
        <w:spacing w:after="0" w:line="240" w:lineRule="auto"/>
      </w:pPr>
      <w:r>
        <w:separator/>
      </w:r>
    </w:p>
  </w:endnote>
  <w:endnote w:type="continuationSeparator" w:id="0">
    <w:p w:rsidR="005965AE" w:rsidRDefault="005A1DF6">
      <w:pPr>
        <w:spacing w:after="0" w:line="240" w:lineRule="auto"/>
      </w:pPr>
      <w:r>
        <w:continuationSeparator/>
      </w:r>
    </w:p>
  </w:endnote>
  <w:endnote w:type="continuationNotice" w:id="1">
    <w:p w:rsidR="005965AE" w:rsidRDefault="005965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23574"/>
      <w:docPartObj>
        <w:docPartGallery w:val="Page Numbers (Bottom of Page)"/>
        <w:docPartUnique/>
      </w:docPartObj>
    </w:sdtPr>
    <w:sdtEndPr>
      <w:rPr>
        <w:noProof/>
      </w:rPr>
    </w:sdtEndPr>
    <w:sdtContent>
      <w:p w:rsidR="005965AE" w:rsidRDefault="005A1D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349413"/>
      <w:docPartObj>
        <w:docPartGallery w:val="Page Numbers (Bottom of Page)"/>
        <w:docPartUnique/>
      </w:docPartObj>
    </w:sdtPr>
    <w:sdtEndPr>
      <w:rPr>
        <w:noProof/>
      </w:rPr>
    </w:sdtEndPr>
    <w:sdtContent>
      <w:p w:rsidR="005965AE" w:rsidRDefault="005A1DF6">
        <w:pPr>
          <w:pStyle w:val="Footer"/>
          <w:jc w:val="center"/>
        </w:pPr>
        <w:r>
          <w:fldChar w:fldCharType="begin"/>
        </w:r>
        <w:r>
          <w:instrText xml:space="preserve"> PAGE   \* MERGEFORMAT </w:instrText>
        </w:r>
        <w:r>
          <w:fldChar w:fldCharType="separate"/>
        </w:r>
        <w:r>
          <w:rPr>
            <w:noProof/>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82818"/>
      <w:docPartObj>
        <w:docPartGallery w:val="Page Numbers (Bottom of Page)"/>
        <w:docPartUnique/>
      </w:docPartObj>
    </w:sdtPr>
    <w:sdtEndPr>
      <w:rPr>
        <w:noProof/>
      </w:rPr>
    </w:sdtEndPr>
    <w:sdtContent>
      <w:p w:rsidR="005965AE" w:rsidRDefault="005A1DF6">
        <w:pPr>
          <w:pStyle w:val="Footer"/>
          <w:jc w:val="center"/>
        </w:pPr>
        <w:r>
          <w:fldChar w:fldCharType="begin"/>
        </w:r>
        <w:r>
          <w:instrText xml:space="preserve"> PAGE   \* MERGEFORMAT </w:instrText>
        </w:r>
        <w:r>
          <w:fldChar w:fldCharType="separate"/>
        </w:r>
        <w:r>
          <w:rPr>
            <w:noProof/>
          </w:rPr>
          <w:t>38</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AE" w:rsidRDefault="005A1DF6">
      <w:pPr>
        <w:spacing w:after="0" w:line="240" w:lineRule="auto"/>
      </w:pPr>
      <w:r>
        <w:separator/>
      </w:r>
    </w:p>
  </w:footnote>
  <w:footnote w:type="continuationSeparator" w:id="0">
    <w:p w:rsidR="005965AE" w:rsidRDefault="005A1DF6">
      <w:pPr>
        <w:spacing w:after="0" w:line="240" w:lineRule="auto"/>
      </w:pPr>
      <w:r>
        <w:continuationSeparator/>
      </w:r>
    </w:p>
  </w:footnote>
  <w:footnote w:type="continuationNotice" w:id="1">
    <w:p w:rsidR="005965AE" w:rsidRDefault="005965AE">
      <w:pPr>
        <w:spacing w:after="0" w:line="240" w:lineRule="auto"/>
      </w:pPr>
    </w:p>
  </w:footnote>
  <w:footnote w:id="2">
    <w:p w:rsidR="005965AE" w:rsidRDefault="005A1DF6">
      <w:pPr>
        <w:pStyle w:val="FootnoteText"/>
      </w:pPr>
      <w:r>
        <w:rPr>
          <w:rStyle w:val="FootnoteReference"/>
        </w:rPr>
        <w:footnoteRef/>
      </w:r>
      <w:r>
        <w:t xml:space="preserve"> En septembre 2016, la Commission a proposé un renforcement de l’EFSI et sa prolongation jusqu’en 2020.</w:t>
      </w:r>
    </w:p>
  </w:footnote>
  <w:footnote w:id="3">
    <w:p w:rsidR="005965AE" w:rsidRDefault="005A1DF6">
      <w:pPr>
        <w:pStyle w:val="FootnoteText"/>
        <w:jc w:val="both"/>
      </w:pPr>
      <w:r>
        <w:rPr>
          <w:rStyle w:val="FootnoteReference"/>
        </w:rPr>
        <w:footnoteRef/>
      </w:r>
      <w:r>
        <w:t xml:space="preserve"> Galileo est le système mondial de navigation par satellite européen; il fournit toute une gamme de services de positionnement, de navigation et de datation à des utilisateurs du monde entier. Copernicus est le programme de l’UE d’observation et de surveil</w:t>
      </w:r>
      <w:r>
        <w:t>lance de la Terre à des fins par ex. d’agriculture, d’analyse du climat, de protection civile et de gestion des situations d'urgence. Le réacteur thermonucléaire expérimental international (ITER) constitue le plus grand partenariat scientifique au monde; i</w:t>
      </w:r>
      <w:r>
        <w:t>l vise à démontrer que la fusion est une source d’énergie viable et durable. L’UE est le principal contributeur de ce partenariat, qui rassemble également le Japon, la Chine, l’Inde, la Corée du Sud, la Russie et les États-Unis.</w:t>
      </w:r>
    </w:p>
  </w:footnote>
  <w:footnote w:id="4">
    <w:p w:rsidR="005965AE" w:rsidRDefault="005A1DF6">
      <w:pPr>
        <w:pStyle w:val="FootnoteText"/>
      </w:pPr>
      <w:r>
        <w:rPr>
          <w:rStyle w:val="FootnoteReference"/>
        </w:rPr>
        <w:footnoteRef/>
      </w:r>
      <w:r>
        <w:t xml:space="preserve"> Voir l’Eurobaromètre spécial nº 461, «Concevoir l’avenir de l’Europe», publié le 28 juin 2017.</w:t>
      </w:r>
    </w:p>
  </w:footnote>
  <w:footnote w:id="5">
    <w:p w:rsidR="005965AE" w:rsidRDefault="005A1DF6">
      <w:pPr>
        <w:pStyle w:val="FootnoteText"/>
        <w:ind w:left="426" w:hanging="426"/>
      </w:pPr>
      <w:r>
        <w:rPr>
          <w:rStyle w:val="FootnoteReference"/>
        </w:rPr>
        <w:footnoteRef/>
      </w:r>
      <w:r>
        <w:t xml:space="preserve"> </w:t>
      </w:r>
      <w:r>
        <w:tab/>
        <w:t>Stratégie globale de l’Union concernant les questions de politique étrangère et de sécurité, présentée au Conseil européen de juin 2016 par M</w:t>
      </w:r>
      <w:r>
        <w:rPr>
          <w:vertAlign w:val="superscript"/>
        </w:rPr>
        <w:t>me</w:t>
      </w:r>
      <w:r>
        <w:t> Federica Mogh</w:t>
      </w:r>
      <w:r>
        <w:t>erini, haute représentante de l’Union et vice-présidente de la Commission.</w:t>
      </w:r>
    </w:p>
  </w:footnote>
  <w:footnote w:id="6">
    <w:p w:rsidR="005965AE" w:rsidRDefault="005A1DF6">
      <w:pPr>
        <w:pStyle w:val="FootnoteText"/>
        <w:ind w:left="426" w:hanging="426"/>
      </w:pPr>
      <w:r>
        <w:rPr>
          <w:rStyle w:val="FootnoteReference"/>
        </w:rPr>
        <w:footnoteRef/>
      </w:r>
      <w:r>
        <w:t xml:space="preserve"> </w:t>
      </w:r>
      <w:r>
        <w:tab/>
        <w:t>Programme de l'UE pour la compétitivité des entreprises et des petites et moyennes entreprises.</w:t>
      </w:r>
    </w:p>
  </w:footnote>
  <w:footnote w:id="7">
    <w:p w:rsidR="005965AE" w:rsidRDefault="005A1DF6">
      <w:pPr>
        <w:pStyle w:val="FootnoteText"/>
      </w:pPr>
      <w:r>
        <w:rPr>
          <w:rStyle w:val="FootnoteReference"/>
        </w:rPr>
        <w:footnoteRef/>
      </w:r>
      <w:r>
        <w:t xml:space="preserve"> Le tableau de bord de la justice dans l’UE suit l'évolution d’un certain nombre </w:t>
      </w:r>
      <w:r>
        <w:t>de facteurs liés à la qualité, à l’indépendance et à l’efficience des systèmes judiciaires nationaux, tels que l’indépendance des magistrats.</w:t>
      </w:r>
    </w:p>
  </w:footnote>
  <w:footnote w:id="8">
    <w:p w:rsidR="005965AE" w:rsidRDefault="005A1DF6">
      <w:pPr>
        <w:pStyle w:val="FootnoteText"/>
        <w:ind w:left="426" w:hanging="426"/>
      </w:pPr>
      <w:r>
        <w:rPr>
          <w:rStyle w:val="FootnoteReference"/>
        </w:rPr>
        <w:footnoteRef/>
      </w:r>
      <w:r>
        <w:t xml:space="preserve"> </w:t>
      </w:r>
      <w:r>
        <w:tab/>
      </w:r>
      <w:hyperlink r:id="rId1">
        <w:r>
          <w:rPr>
            <w:rStyle w:val="Hyperlink"/>
          </w:rPr>
          <w:t>http://ec.europa.eu/budget/mff/hlgor/library/reports-communication/hlgor-report_20170104.pdf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1" o:spid="_x0000_s2050" type="#_x0000_t136" style="position:absolute;margin-left:0;margin-top:0;width:508.8pt;height:152.6pt;rotation:315;z-index:-25165823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
    </w:pPr>
  </w:p>
  <w:p w:rsidR="005965AE" w:rsidRDefault="005965A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0" o:spid="_x0000_s2049" type="#_x0000_t136" style="position:absolute;margin-left:0;margin-top:0;width:508.8pt;height:152.6pt;rotation:315;z-index:-251658240;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margin-left:0;margin-top:0;width:508.8pt;height:152.6pt;rotation:315;z-index:-251656191;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08.8pt;height:152.6pt;rotation:315;z-index:-251655167;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508.8pt;height:152.6pt;rotation:315;z-index:-25165311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965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5AE" w:rsidRDefault="005A1DF6">
    <w:pPr>
      <w:pStyle w:val="Header"/>
    </w:pPr>
    <w:r>
      <w:rPr>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08.8pt;height:152.6pt;rotation:315;z-index:-251654143;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3D48"/>
    <w:multiLevelType w:val="hybridMultilevel"/>
    <w:tmpl w:val="703656DA"/>
    <w:lvl w:ilvl="0" w:tplc="5F1E91E0">
      <w:start w:val="1"/>
      <w:numFmt w:val="bullet"/>
      <w:lvlText w:val="•"/>
      <w:lvlJc w:val="left"/>
      <w:pPr>
        <w:tabs>
          <w:tab w:val="num" w:pos="720"/>
        </w:tabs>
        <w:ind w:left="720" w:hanging="360"/>
      </w:pPr>
      <w:rPr>
        <w:rFonts w:ascii="Arial" w:hAnsi="Arial" w:hint="default"/>
      </w:rPr>
    </w:lvl>
    <w:lvl w:ilvl="1" w:tplc="BC3A6E86">
      <w:start w:val="1"/>
      <w:numFmt w:val="bullet"/>
      <w:lvlText w:val="•"/>
      <w:lvlJc w:val="left"/>
      <w:pPr>
        <w:tabs>
          <w:tab w:val="num" w:pos="1440"/>
        </w:tabs>
        <w:ind w:left="1440" w:hanging="360"/>
      </w:pPr>
      <w:rPr>
        <w:rFonts w:ascii="Arial" w:hAnsi="Arial" w:hint="default"/>
      </w:rPr>
    </w:lvl>
    <w:lvl w:ilvl="2" w:tplc="661EFD6A">
      <w:start w:val="6158"/>
      <w:numFmt w:val="bullet"/>
      <w:lvlText w:val="•"/>
      <w:lvlJc w:val="left"/>
      <w:pPr>
        <w:tabs>
          <w:tab w:val="num" w:pos="2160"/>
        </w:tabs>
        <w:ind w:left="2160" w:hanging="360"/>
      </w:pPr>
      <w:rPr>
        <w:rFonts w:ascii="Arial" w:hAnsi="Arial" w:hint="default"/>
      </w:rPr>
    </w:lvl>
    <w:lvl w:ilvl="3" w:tplc="62D05E2E" w:tentative="1">
      <w:start w:val="1"/>
      <w:numFmt w:val="bullet"/>
      <w:lvlText w:val="•"/>
      <w:lvlJc w:val="left"/>
      <w:pPr>
        <w:tabs>
          <w:tab w:val="num" w:pos="2880"/>
        </w:tabs>
        <w:ind w:left="2880" w:hanging="360"/>
      </w:pPr>
      <w:rPr>
        <w:rFonts w:ascii="Arial" w:hAnsi="Arial" w:hint="default"/>
      </w:rPr>
    </w:lvl>
    <w:lvl w:ilvl="4" w:tplc="7F323024" w:tentative="1">
      <w:start w:val="1"/>
      <w:numFmt w:val="bullet"/>
      <w:lvlText w:val="•"/>
      <w:lvlJc w:val="left"/>
      <w:pPr>
        <w:tabs>
          <w:tab w:val="num" w:pos="3600"/>
        </w:tabs>
        <w:ind w:left="3600" w:hanging="360"/>
      </w:pPr>
      <w:rPr>
        <w:rFonts w:ascii="Arial" w:hAnsi="Arial" w:hint="default"/>
      </w:rPr>
    </w:lvl>
    <w:lvl w:ilvl="5" w:tplc="5172E744" w:tentative="1">
      <w:start w:val="1"/>
      <w:numFmt w:val="bullet"/>
      <w:lvlText w:val="•"/>
      <w:lvlJc w:val="left"/>
      <w:pPr>
        <w:tabs>
          <w:tab w:val="num" w:pos="4320"/>
        </w:tabs>
        <w:ind w:left="4320" w:hanging="360"/>
      </w:pPr>
      <w:rPr>
        <w:rFonts w:ascii="Arial" w:hAnsi="Arial" w:hint="default"/>
      </w:rPr>
    </w:lvl>
    <w:lvl w:ilvl="6" w:tplc="A4FABE68" w:tentative="1">
      <w:start w:val="1"/>
      <w:numFmt w:val="bullet"/>
      <w:lvlText w:val="•"/>
      <w:lvlJc w:val="left"/>
      <w:pPr>
        <w:tabs>
          <w:tab w:val="num" w:pos="5040"/>
        </w:tabs>
        <w:ind w:left="5040" w:hanging="360"/>
      </w:pPr>
      <w:rPr>
        <w:rFonts w:ascii="Arial" w:hAnsi="Arial" w:hint="default"/>
      </w:rPr>
    </w:lvl>
    <w:lvl w:ilvl="7" w:tplc="55BEC692" w:tentative="1">
      <w:start w:val="1"/>
      <w:numFmt w:val="bullet"/>
      <w:lvlText w:val="•"/>
      <w:lvlJc w:val="left"/>
      <w:pPr>
        <w:tabs>
          <w:tab w:val="num" w:pos="5760"/>
        </w:tabs>
        <w:ind w:left="5760" w:hanging="360"/>
      </w:pPr>
      <w:rPr>
        <w:rFonts w:ascii="Arial" w:hAnsi="Arial" w:hint="default"/>
      </w:rPr>
    </w:lvl>
    <w:lvl w:ilvl="8" w:tplc="84CC0B36" w:tentative="1">
      <w:start w:val="1"/>
      <w:numFmt w:val="bullet"/>
      <w:lvlText w:val="•"/>
      <w:lvlJc w:val="left"/>
      <w:pPr>
        <w:tabs>
          <w:tab w:val="num" w:pos="6480"/>
        </w:tabs>
        <w:ind w:left="6480" w:hanging="360"/>
      </w:pPr>
      <w:rPr>
        <w:rFonts w:ascii="Arial" w:hAnsi="Arial" w:hint="default"/>
      </w:rPr>
    </w:lvl>
  </w:abstractNum>
  <w:abstractNum w:abstractNumId="1">
    <w:nsid w:val="0DD605A2"/>
    <w:multiLevelType w:val="hybridMultilevel"/>
    <w:tmpl w:val="7702E52E"/>
    <w:lvl w:ilvl="0" w:tplc="9F1CA04E">
      <w:start w:val="1"/>
      <w:numFmt w:val="bullet"/>
      <w:lvlText w:val="•"/>
      <w:lvlJc w:val="left"/>
      <w:pPr>
        <w:tabs>
          <w:tab w:val="num" w:pos="720"/>
        </w:tabs>
        <w:ind w:left="720" w:hanging="360"/>
      </w:pPr>
      <w:rPr>
        <w:rFonts w:ascii="Arial" w:hAnsi="Arial" w:hint="default"/>
      </w:rPr>
    </w:lvl>
    <w:lvl w:ilvl="1" w:tplc="6012EA22">
      <w:start w:val="4435"/>
      <w:numFmt w:val="bullet"/>
      <w:lvlText w:val="•"/>
      <w:lvlJc w:val="left"/>
      <w:pPr>
        <w:tabs>
          <w:tab w:val="num" w:pos="1440"/>
        </w:tabs>
        <w:ind w:left="1440" w:hanging="360"/>
      </w:pPr>
      <w:rPr>
        <w:rFonts w:ascii="Arial" w:hAnsi="Arial" w:hint="default"/>
      </w:rPr>
    </w:lvl>
    <w:lvl w:ilvl="2" w:tplc="BB1800B6" w:tentative="1">
      <w:start w:val="1"/>
      <w:numFmt w:val="bullet"/>
      <w:lvlText w:val="•"/>
      <w:lvlJc w:val="left"/>
      <w:pPr>
        <w:tabs>
          <w:tab w:val="num" w:pos="2160"/>
        </w:tabs>
        <w:ind w:left="2160" w:hanging="360"/>
      </w:pPr>
      <w:rPr>
        <w:rFonts w:ascii="Arial" w:hAnsi="Arial" w:hint="default"/>
      </w:rPr>
    </w:lvl>
    <w:lvl w:ilvl="3" w:tplc="C108C6AC" w:tentative="1">
      <w:start w:val="1"/>
      <w:numFmt w:val="bullet"/>
      <w:lvlText w:val="•"/>
      <w:lvlJc w:val="left"/>
      <w:pPr>
        <w:tabs>
          <w:tab w:val="num" w:pos="2880"/>
        </w:tabs>
        <w:ind w:left="2880" w:hanging="360"/>
      </w:pPr>
      <w:rPr>
        <w:rFonts w:ascii="Arial" w:hAnsi="Arial" w:hint="default"/>
      </w:rPr>
    </w:lvl>
    <w:lvl w:ilvl="4" w:tplc="34BA1B46" w:tentative="1">
      <w:start w:val="1"/>
      <w:numFmt w:val="bullet"/>
      <w:lvlText w:val="•"/>
      <w:lvlJc w:val="left"/>
      <w:pPr>
        <w:tabs>
          <w:tab w:val="num" w:pos="3600"/>
        </w:tabs>
        <w:ind w:left="3600" w:hanging="360"/>
      </w:pPr>
      <w:rPr>
        <w:rFonts w:ascii="Arial" w:hAnsi="Arial" w:hint="default"/>
      </w:rPr>
    </w:lvl>
    <w:lvl w:ilvl="5" w:tplc="9880DEC8" w:tentative="1">
      <w:start w:val="1"/>
      <w:numFmt w:val="bullet"/>
      <w:lvlText w:val="•"/>
      <w:lvlJc w:val="left"/>
      <w:pPr>
        <w:tabs>
          <w:tab w:val="num" w:pos="4320"/>
        </w:tabs>
        <w:ind w:left="4320" w:hanging="360"/>
      </w:pPr>
      <w:rPr>
        <w:rFonts w:ascii="Arial" w:hAnsi="Arial" w:hint="default"/>
      </w:rPr>
    </w:lvl>
    <w:lvl w:ilvl="6" w:tplc="47D8B54C" w:tentative="1">
      <w:start w:val="1"/>
      <w:numFmt w:val="bullet"/>
      <w:lvlText w:val="•"/>
      <w:lvlJc w:val="left"/>
      <w:pPr>
        <w:tabs>
          <w:tab w:val="num" w:pos="5040"/>
        </w:tabs>
        <w:ind w:left="5040" w:hanging="360"/>
      </w:pPr>
      <w:rPr>
        <w:rFonts w:ascii="Arial" w:hAnsi="Arial" w:hint="default"/>
      </w:rPr>
    </w:lvl>
    <w:lvl w:ilvl="7" w:tplc="DB001BD0" w:tentative="1">
      <w:start w:val="1"/>
      <w:numFmt w:val="bullet"/>
      <w:lvlText w:val="•"/>
      <w:lvlJc w:val="left"/>
      <w:pPr>
        <w:tabs>
          <w:tab w:val="num" w:pos="5760"/>
        </w:tabs>
        <w:ind w:left="5760" w:hanging="360"/>
      </w:pPr>
      <w:rPr>
        <w:rFonts w:ascii="Arial" w:hAnsi="Arial" w:hint="default"/>
      </w:rPr>
    </w:lvl>
    <w:lvl w:ilvl="8" w:tplc="54940CF0" w:tentative="1">
      <w:start w:val="1"/>
      <w:numFmt w:val="bullet"/>
      <w:lvlText w:val="•"/>
      <w:lvlJc w:val="left"/>
      <w:pPr>
        <w:tabs>
          <w:tab w:val="num" w:pos="6480"/>
        </w:tabs>
        <w:ind w:left="6480" w:hanging="360"/>
      </w:pPr>
      <w:rPr>
        <w:rFonts w:ascii="Arial" w:hAnsi="Arial" w:hint="default"/>
      </w:rPr>
    </w:lvl>
  </w:abstractNum>
  <w:abstractNum w:abstractNumId="2">
    <w:nsid w:val="10D9063E"/>
    <w:multiLevelType w:val="hybridMultilevel"/>
    <w:tmpl w:val="4CB2C56A"/>
    <w:lvl w:ilvl="0" w:tplc="0AA83EFA">
      <w:start w:val="1"/>
      <w:numFmt w:val="bullet"/>
      <w:lvlText w:val="•"/>
      <w:lvlJc w:val="left"/>
      <w:pPr>
        <w:tabs>
          <w:tab w:val="num" w:pos="720"/>
        </w:tabs>
        <w:ind w:left="720" w:hanging="360"/>
      </w:pPr>
      <w:rPr>
        <w:rFonts w:ascii="Arial" w:hAnsi="Arial" w:hint="default"/>
      </w:rPr>
    </w:lvl>
    <w:lvl w:ilvl="1" w:tplc="890E4680" w:tentative="1">
      <w:start w:val="1"/>
      <w:numFmt w:val="bullet"/>
      <w:lvlText w:val="•"/>
      <w:lvlJc w:val="left"/>
      <w:pPr>
        <w:tabs>
          <w:tab w:val="num" w:pos="1440"/>
        </w:tabs>
        <w:ind w:left="1440" w:hanging="360"/>
      </w:pPr>
      <w:rPr>
        <w:rFonts w:ascii="Arial" w:hAnsi="Arial" w:hint="default"/>
      </w:rPr>
    </w:lvl>
    <w:lvl w:ilvl="2" w:tplc="33140B98" w:tentative="1">
      <w:start w:val="1"/>
      <w:numFmt w:val="bullet"/>
      <w:lvlText w:val="•"/>
      <w:lvlJc w:val="left"/>
      <w:pPr>
        <w:tabs>
          <w:tab w:val="num" w:pos="2160"/>
        </w:tabs>
        <w:ind w:left="2160" w:hanging="360"/>
      </w:pPr>
      <w:rPr>
        <w:rFonts w:ascii="Arial" w:hAnsi="Arial" w:hint="default"/>
      </w:rPr>
    </w:lvl>
    <w:lvl w:ilvl="3" w:tplc="07049836" w:tentative="1">
      <w:start w:val="1"/>
      <w:numFmt w:val="bullet"/>
      <w:lvlText w:val="•"/>
      <w:lvlJc w:val="left"/>
      <w:pPr>
        <w:tabs>
          <w:tab w:val="num" w:pos="2880"/>
        </w:tabs>
        <w:ind w:left="2880" w:hanging="360"/>
      </w:pPr>
      <w:rPr>
        <w:rFonts w:ascii="Arial" w:hAnsi="Arial" w:hint="default"/>
      </w:rPr>
    </w:lvl>
    <w:lvl w:ilvl="4" w:tplc="BC6E63DC" w:tentative="1">
      <w:start w:val="1"/>
      <w:numFmt w:val="bullet"/>
      <w:lvlText w:val="•"/>
      <w:lvlJc w:val="left"/>
      <w:pPr>
        <w:tabs>
          <w:tab w:val="num" w:pos="3600"/>
        </w:tabs>
        <w:ind w:left="3600" w:hanging="360"/>
      </w:pPr>
      <w:rPr>
        <w:rFonts w:ascii="Arial" w:hAnsi="Arial" w:hint="default"/>
      </w:rPr>
    </w:lvl>
    <w:lvl w:ilvl="5" w:tplc="88F47378" w:tentative="1">
      <w:start w:val="1"/>
      <w:numFmt w:val="bullet"/>
      <w:lvlText w:val="•"/>
      <w:lvlJc w:val="left"/>
      <w:pPr>
        <w:tabs>
          <w:tab w:val="num" w:pos="4320"/>
        </w:tabs>
        <w:ind w:left="4320" w:hanging="360"/>
      </w:pPr>
      <w:rPr>
        <w:rFonts w:ascii="Arial" w:hAnsi="Arial" w:hint="default"/>
      </w:rPr>
    </w:lvl>
    <w:lvl w:ilvl="6" w:tplc="312255F0" w:tentative="1">
      <w:start w:val="1"/>
      <w:numFmt w:val="bullet"/>
      <w:lvlText w:val="•"/>
      <w:lvlJc w:val="left"/>
      <w:pPr>
        <w:tabs>
          <w:tab w:val="num" w:pos="5040"/>
        </w:tabs>
        <w:ind w:left="5040" w:hanging="360"/>
      </w:pPr>
      <w:rPr>
        <w:rFonts w:ascii="Arial" w:hAnsi="Arial" w:hint="default"/>
      </w:rPr>
    </w:lvl>
    <w:lvl w:ilvl="7" w:tplc="7478B69A" w:tentative="1">
      <w:start w:val="1"/>
      <w:numFmt w:val="bullet"/>
      <w:lvlText w:val="•"/>
      <w:lvlJc w:val="left"/>
      <w:pPr>
        <w:tabs>
          <w:tab w:val="num" w:pos="5760"/>
        </w:tabs>
        <w:ind w:left="5760" w:hanging="360"/>
      </w:pPr>
      <w:rPr>
        <w:rFonts w:ascii="Arial" w:hAnsi="Arial" w:hint="default"/>
      </w:rPr>
    </w:lvl>
    <w:lvl w:ilvl="8" w:tplc="DC46FF98" w:tentative="1">
      <w:start w:val="1"/>
      <w:numFmt w:val="bullet"/>
      <w:lvlText w:val="•"/>
      <w:lvlJc w:val="left"/>
      <w:pPr>
        <w:tabs>
          <w:tab w:val="num" w:pos="6480"/>
        </w:tabs>
        <w:ind w:left="6480" w:hanging="360"/>
      </w:pPr>
      <w:rPr>
        <w:rFonts w:ascii="Arial" w:hAnsi="Arial" w:hint="default"/>
      </w:rPr>
    </w:lvl>
  </w:abstractNum>
  <w:abstractNum w:abstractNumId="3">
    <w:nsid w:val="121D041C"/>
    <w:multiLevelType w:val="hybridMultilevel"/>
    <w:tmpl w:val="EC063248"/>
    <w:lvl w:ilvl="0" w:tplc="B8B21A10">
      <w:start w:val="1"/>
      <w:numFmt w:val="bullet"/>
      <w:pStyle w:val="Tire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3206DD2"/>
    <w:multiLevelType w:val="hybridMultilevel"/>
    <w:tmpl w:val="AF5E14BE"/>
    <w:lvl w:ilvl="0" w:tplc="24425D76">
      <w:start w:val="1"/>
      <w:numFmt w:val="bullet"/>
      <w:lvlText w:val="•"/>
      <w:lvlJc w:val="left"/>
      <w:pPr>
        <w:tabs>
          <w:tab w:val="num" w:pos="720"/>
        </w:tabs>
        <w:ind w:left="720" w:hanging="360"/>
      </w:pPr>
      <w:rPr>
        <w:rFonts w:ascii="Arial" w:hAnsi="Arial" w:hint="default"/>
      </w:rPr>
    </w:lvl>
    <w:lvl w:ilvl="1" w:tplc="CBAE7DE6">
      <w:start w:val="1"/>
      <w:numFmt w:val="bullet"/>
      <w:lvlText w:val="•"/>
      <w:lvlJc w:val="left"/>
      <w:pPr>
        <w:tabs>
          <w:tab w:val="num" w:pos="1440"/>
        </w:tabs>
        <w:ind w:left="1440" w:hanging="360"/>
      </w:pPr>
      <w:rPr>
        <w:rFonts w:ascii="Arial" w:hAnsi="Arial" w:hint="default"/>
      </w:rPr>
    </w:lvl>
    <w:lvl w:ilvl="2" w:tplc="80B63768" w:tentative="1">
      <w:start w:val="1"/>
      <w:numFmt w:val="bullet"/>
      <w:lvlText w:val="•"/>
      <w:lvlJc w:val="left"/>
      <w:pPr>
        <w:tabs>
          <w:tab w:val="num" w:pos="2160"/>
        </w:tabs>
        <w:ind w:left="2160" w:hanging="360"/>
      </w:pPr>
      <w:rPr>
        <w:rFonts w:ascii="Arial" w:hAnsi="Arial" w:hint="default"/>
      </w:rPr>
    </w:lvl>
    <w:lvl w:ilvl="3" w:tplc="1520EC8A" w:tentative="1">
      <w:start w:val="1"/>
      <w:numFmt w:val="bullet"/>
      <w:lvlText w:val="•"/>
      <w:lvlJc w:val="left"/>
      <w:pPr>
        <w:tabs>
          <w:tab w:val="num" w:pos="2880"/>
        </w:tabs>
        <w:ind w:left="2880" w:hanging="360"/>
      </w:pPr>
      <w:rPr>
        <w:rFonts w:ascii="Arial" w:hAnsi="Arial" w:hint="default"/>
      </w:rPr>
    </w:lvl>
    <w:lvl w:ilvl="4" w:tplc="EBBC44A0" w:tentative="1">
      <w:start w:val="1"/>
      <w:numFmt w:val="bullet"/>
      <w:lvlText w:val="•"/>
      <w:lvlJc w:val="left"/>
      <w:pPr>
        <w:tabs>
          <w:tab w:val="num" w:pos="3600"/>
        </w:tabs>
        <w:ind w:left="3600" w:hanging="360"/>
      </w:pPr>
      <w:rPr>
        <w:rFonts w:ascii="Arial" w:hAnsi="Arial" w:hint="default"/>
      </w:rPr>
    </w:lvl>
    <w:lvl w:ilvl="5" w:tplc="456EF3A0" w:tentative="1">
      <w:start w:val="1"/>
      <w:numFmt w:val="bullet"/>
      <w:lvlText w:val="•"/>
      <w:lvlJc w:val="left"/>
      <w:pPr>
        <w:tabs>
          <w:tab w:val="num" w:pos="4320"/>
        </w:tabs>
        <w:ind w:left="4320" w:hanging="360"/>
      </w:pPr>
      <w:rPr>
        <w:rFonts w:ascii="Arial" w:hAnsi="Arial" w:hint="default"/>
      </w:rPr>
    </w:lvl>
    <w:lvl w:ilvl="6" w:tplc="0BCCE2BA" w:tentative="1">
      <w:start w:val="1"/>
      <w:numFmt w:val="bullet"/>
      <w:lvlText w:val="•"/>
      <w:lvlJc w:val="left"/>
      <w:pPr>
        <w:tabs>
          <w:tab w:val="num" w:pos="5040"/>
        </w:tabs>
        <w:ind w:left="5040" w:hanging="360"/>
      </w:pPr>
      <w:rPr>
        <w:rFonts w:ascii="Arial" w:hAnsi="Arial" w:hint="default"/>
      </w:rPr>
    </w:lvl>
    <w:lvl w:ilvl="7" w:tplc="B53E9A0A" w:tentative="1">
      <w:start w:val="1"/>
      <w:numFmt w:val="bullet"/>
      <w:lvlText w:val="•"/>
      <w:lvlJc w:val="left"/>
      <w:pPr>
        <w:tabs>
          <w:tab w:val="num" w:pos="5760"/>
        </w:tabs>
        <w:ind w:left="5760" w:hanging="360"/>
      </w:pPr>
      <w:rPr>
        <w:rFonts w:ascii="Arial" w:hAnsi="Arial" w:hint="default"/>
      </w:rPr>
    </w:lvl>
    <w:lvl w:ilvl="8" w:tplc="13ACFE1A" w:tentative="1">
      <w:start w:val="1"/>
      <w:numFmt w:val="bullet"/>
      <w:lvlText w:val="•"/>
      <w:lvlJc w:val="left"/>
      <w:pPr>
        <w:tabs>
          <w:tab w:val="num" w:pos="6480"/>
        </w:tabs>
        <w:ind w:left="6480" w:hanging="360"/>
      </w:pPr>
      <w:rPr>
        <w:rFonts w:ascii="Arial" w:hAnsi="Arial" w:hint="default"/>
      </w:rPr>
    </w:lvl>
  </w:abstractNum>
  <w:abstractNum w:abstractNumId="5">
    <w:nsid w:val="17C21CCA"/>
    <w:multiLevelType w:val="hybridMultilevel"/>
    <w:tmpl w:val="6204BE4A"/>
    <w:lvl w:ilvl="0" w:tplc="61DCCF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DD3599"/>
    <w:multiLevelType w:val="multilevel"/>
    <w:tmpl w:val="E04EAB78"/>
    <w:lvl w:ilvl="0">
      <w:start w:val="1"/>
      <w:numFmt w:val="decimal"/>
      <w:pStyle w:val="ListContinue5"/>
      <w:lvlText w:val="(%1)"/>
      <w:lvlJc w:val="left"/>
      <w:pPr>
        <w:tabs>
          <w:tab w:val="num" w:pos="709"/>
        </w:tabs>
        <w:ind w:left="709" w:hanging="709"/>
      </w:pPr>
      <w:rPr>
        <w:rFonts w:cs="Times New Roman"/>
        <w:i w:val="0"/>
      </w:rPr>
    </w:lvl>
    <w:lvl w:ilvl="1">
      <w:start w:val="1"/>
      <w:numFmt w:val="lowerLetter"/>
      <w:pStyle w:val="ListNumber1"/>
      <w:lvlText w:val="(%2)"/>
      <w:lvlJc w:val="left"/>
      <w:pPr>
        <w:tabs>
          <w:tab w:val="num" w:pos="1417"/>
        </w:tabs>
        <w:ind w:left="1417" w:hanging="708"/>
      </w:pPr>
      <w:rPr>
        <w:rFonts w:cs="Times New Roman"/>
      </w:rPr>
    </w:lvl>
    <w:lvl w:ilvl="2">
      <w:start w:val="1"/>
      <w:numFmt w:val="bullet"/>
      <w:pStyle w:val="ListNumber1Level2"/>
      <w:lvlText w:val="–"/>
      <w:lvlJc w:val="left"/>
      <w:pPr>
        <w:tabs>
          <w:tab w:val="num" w:pos="2126"/>
        </w:tabs>
        <w:ind w:left="2126" w:hanging="709"/>
      </w:pPr>
      <w:rPr>
        <w:rFonts w:ascii="Times New Roman" w:hAnsi="Times New Roman"/>
      </w:rPr>
    </w:lvl>
    <w:lvl w:ilvl="3">
      <w:start w:val="1"/>
      <w:numFmt w:val="bullet"/>
      <w:pStyle w:val="ListNumber1Level3"/>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D8B6AFE"/>
    <w:multiLevelType w:val="hybridMultilevel"/>
    <w:tmpl w:val="E0D612AC"/>
    <w:lvl w:ilvl="0" w:tplc="9ADEC4BA">
      <w:start w:val="1"/>
      <w:numFmt w:val="bullet"/>
      <w:lvlText w:val="•"/>
      <w:lvlJc w:val="left"/>
      <w:pPr>
        <w:tabs>
          <w:tab w:val="num" w:pos="720"/>
        </w:tabs>
        <w:ind w:left="720" w:hanging="360"/>
      </w:pPr>
      <w:rPr>
        <w:rFonts w:ascii="Arial" w:hAnsi="Arial" w:hint="default"/>
      </w:rPr>
    </w:lvl>
    <w:lvl w:ilvl="1" w:tplc="CC128102">
      <w:start w:val="5308"/>
      <w:numFmt w:val="bullet"/>
      <w:lvlText w:val="•"/>
      <w:lvlJc w:val="left"/>
      <w:pPr>
        <w:tabs>
          <w:tab w:val="num" w:pos="1440"/>
        </w:tabs>
        <w:ind w:left="1440" w:hanging="360"/>
      </w:pPr>
      <w:rPr>
        <w:rFonts w:ascii="Arial" w:hAnsi="Arial" w:hint="default"/>
      </w:rPr>
    </w:lvl>
    <w:lvl w:ilvl="2" w:tplc="979E2718" w:tentative="1">
      <w:start w:val="1"/>
      <w:numFmt w:val="bullet"/>
      <w:lvlText w:val="•"/>
      <w:lvlJc w:val="left"/>
      <w:pPr>
        <w:tabs>
          <w:tab w:val="num" w:pos="2160"/>
        </w:tabs>
        <w:ind w:left="2160" w:hanging="360"/>
      </w:pPr>
      <w:rPr>
        <w:rFonts w:ascii="Arial" w:hAnsi="Arial" w:hint="default"/>
      </w:rPr>
    </w:lvl>
    <w:lvl w:ilvl="3" w:tplc="076E67BE" w:tentative="1">
      <w:start w:val="1"/>
      <w:numFmt w:val="bullet"/>
      <w:lvlText w:val="•"/>
      <w:lvlJc w:val="left"/>
      <w:pPr>
        <w:tabs>
          <w:tab w:val="num" w:pos="2880"/>
        </w:tabs>
        <w:ind w:left="2880" w:hanging="360"/>
      </w:pPr>
      <w:rPr>
        <w:rFonts w:ascii="Arial" w:hAnsi="Arial" w:hint="default"/>
      </w:rPr>
    </w:lvl>
    <w:lvl w:ilvl="4" w:tplc="64740F06" w:tentative="1">
      <w:start w:val="1"/>
      <w:numFmt w:val="bullet"/>
      <w:lvlText w:val="•"/>
      <w:lvlJc w:val="left"/>
      <w:pPr>
        <w:tabs>
          <w:tab w:val="num" w:pos="3600"/>
        </w:tabs>
        <w:ind w:left="3600" w:hanging="360"/>
      </w:pPr>
      <w:rPr>
        <w:rFonts w:ascii="Arial" w:hAnsi="Arial" w:hint="default"/>
      </w:rPr>
    </w:lvl>
    <w:lvl w:ilvl="5" w:tplc="B2A4C516" w:tentative="1">
      <w:start w:val="1"/>
      <w:numFmt w:val="bullet"/>
      <w:lvlText w:val="•"/>
      <w:lvlJc w:val="left"/>
      <w:pPr>
        <w:tabs>
          <w:tab w:val="num" w:pos="4320"/>
        </w:tabs>
        <w:ind w:left="4320" w:hanging="360"/>
      </w:pPr>
      <w:rPr>
        <w:rFonts w:ascii="Arial" w:hAnsi="Arial" w:hint="default"/>
      </w:rPr>
    </w:lvl>
    <w:lvl w:ilvl="6" w:tplc="808ACFFC" w:tentative="1">
      <w:start w:val="1"/>
      <w:numFmt w:val="bullet"/>
      <w:lvlText w:val="•"/>
      <w:lvlJc w:val="left"/>
      <w:pPr>
        <w:tabs>
          <w:tab w:val="num" w:pos="5040"/>
        </w:tabs>
        <w:ind w:left="5040" w:hanging="360"/>
      </w:pPr>
      <w:rPr>
        <w:rFonts w:ascii="Arial" w:hAnsi="Arial" w:hint="default"/>
      </w:rPr>
    </w:lvl>
    <w:lvl w:ilvl="7" w:tplc="771A9A7A" w:tentative="1">
      <w:start w:val="1"/>
      <w:numFmt w:val="bullet"/>
      <w:lvlText w:val="•"/>
      <w:lvlJc w:val="left"/>
      <w:pPr>
        <w:tabs>
          <w:tab w:val="num" w:pos="5760"/>
        </w:tabs>
        <w:ind w:left="5760" w:hanging="360"/>
      </w:pPr>
      <w:rPr>
        <w:rFonts w:ascii="Arial" w:hAnsi="Arial" w:hint="default"/>
      </w:rPr>
    </w:lvl>
    <w:lvl w:ilvl="8" w:tplc="D7EE656E" w:tentative="1">
      <w:start w:val="1"/>
      <w:numFmt w:val="bullet"/>
      <w:lvlText w:val="•"/>
      <w:lvlJc w:val="left"/>
      <w:pPr>
        <w:tabs>
          <w:tab w:val="num" w:pos="6480"/>
        </w:tabs>
        <w:ind w:left="6480" w:hanging="360"/>
      </w:pPr>
      <w:rPr>
        <w:rFonts w:ascii="Arial" w:hAnsi="Arial" w:hint="default"/>
      </w:rPr>
    </w:lvl>
  </w:abstractNum>
  <w:abstractNum w:abstractNumId="8">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002A16"/>
    <w:multiLevelType w:val="hybridMultilevel"/>
    <w:tmpl w:val="562C371E"/>
    <w:lvl w:ilvl="0" w:tplc="EF22B400">
      <w:numFmt w:val="bullet"/>
      <w:pStyle w:val="LTTbody2"/>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CA78F1"/>
    <w:multiLevelType w:val="hybridMultilevel"/>
    <w:tmpl w:val="0D385FAE"/>
    <w:lvl w:ilvl="0" w:tplc="33FA8A02">
      <w:start w:val="1"/>
      <w:numFmt w:val="bullet"/>
      <w:lvlText w:val="•"/>
      <w:lvlJc w:val="left"/>
      <w:pPr>
        <w:tabs>
          <w:tab w:val="num" w:pos="720"/>
        </w:tabs>
        <w:ind w:left="720" w:hanging="360"/>
      </w:pPr>
      <w:rPr>
        <w:rFonts w:ascii="Arial" w:hAnsi="Arial" w:hint="default"/>
      </w:rPr>
    </w:lvl>
    <w:lvl w:ilvl="1" w:tplc="E3B05668" w:tentative="1">
      <w:start w:val="1"/>
      <w:numFmt w:val="bullet"/>
      <w:lvlText w:val="•"/>
      <w:lvlJc w:val="left"/>
      <w:pPr>
        <w:tabs>
          <w:tab w:val="num" w:pos="1440"/>
        </w:tabs>
        <w:ind w:left="1440" w:hanging="360"/>
      </w:pPr>
      <w:rPr>
        <w:rFonts w:ascii="Arial" w:hAnsi="Arial" w:hint="default"/>
      </w:rPr>
    </w:lvl>
    <w:lvl w:ilvl="2" w:tplc="41D03ABA" w:tentative="1">
      <w:start w:val="1"/>
      <w:numFmt w:val="bullet"/>
      <w:lvlText w:val="•"/>
      <w:lvlJc w:val="left"/>
      <w:pPr>
        <w:tabs>
          <w:tab w:val="num" w:pos="2160"/>
        </w:tabs>
        <w:ind w:left="2160" w:hanging="360"/>
      </w:pPr>
      <w:rPr>
        <w:rFonts w:ascii="Arial" w:hAnsi="Arial" w:hint="default"/>
      </w:rPr>
    </w:lvl>
    <w:lvl w:ilvl="3" w:tplc="56902D50" w:tentative="1">
      <w:start w:val="1"/>
      <w:numFmt w:val="bullet"/>
      <w:lvlText w:val="•"/>
      <w:lvlJc w:val="left"/>
      <w:pPr>
        <w:tabs>
          <w:tab w:val="num" w:pos="2880"/>
        </w:tabs>
        <w:ind w:left="2880" w:hanging="360"/>
      </w:pPr>
      <w:rPr>
        <w:rFonts w:ascii="Arial" w:hAnsi="Arial" w:hint="default"/>
      </w:rPr>
    </w:lvl>
    <w:lvl w:ilvl="4" w:tplc="CE0C4250" w:tentative="1">
      <w:start w:val="1"/>
      <w:numFmt w:val="bullet"/>
      <w:lvlText w:val="•"/>
      <w:lvlJc w:val="left"/>
      <w:pPr>
        <w:tabs>
          <w:tab w:val="num" w:pos="3600"/>
        </w:tabs>
        <w:ind w:left="3600" w:hanging="360"/>
      </w:pPr>
      <w:rPr>
        <w:rFonts w:ascii="Arial" w:hAnsi="Arial" w:hint="default"/>
      </w:rPr>
    </w:lvl>
    <w:lvl w:ilvl="5" w:tplc="86642ADA" w:tentative="1">
      <w:start w:val="1"/>
      <w:numFmt w:val="bullet"/>
      <w:lvlText w:val="•"/>
      <w:lvlJc w:val="left"/>
      <w:pPr>
        <w:tabs>
          <w:tab w:val="num" w:pos="4320"/>
        </w:tabs>
        <w:ind w:left="4320" w:hanging="360"/>
      </w:pPr>
      <w:rPr>
        <w:rFonts w:ascii="Arial" w:hAnsi="Arial" w:hint="default"/>
      </w:rPr>
    </w:lvl>
    <w:lvl w:ilvl="6" w:tplc="3DDA485E" w:tentative="1">
      <w:start w:val="1"/>
      <w:numFmt w:val="bullet"/>
      <w:lvlText w:val="•"/>
      <w:lvlJc w:val="left"/>
      <w:pPr>
        <w:tabs>
          <w:tab w:val="num" w:pos="5040"/>
        </w:tabs>
        <w:ind w:left="5040" w:hanging="360"/>
      </w:pPr>
      <w:rPr>
        <w:rFonts w:ascii="Arial" w:hAnsi="Arial" w:hint="default"/>
      </w:rPr>
    </w:lvl>
    <w:lvl w:ilvl="7" w:tplc="8BE8E688" w:tentative="1">
      <w:start w:val="1"/>
      <w:numFmt w:val="bullet"/>
      <w:lvlText w:val="•"/>
      <w:lvlJc w:val="left"/>
      <w:pPr>
        <w:tabs>
          <w:tab w:val="num" w:pos="5760"/>
        </w:tabs>
        <w:ind w:left="5760" w:hanging="360"/>
      </w:pPr>
      <w:rPr>
        <w:rFonts w:ascii="Arial" w:hAnsi="Arial" w:hint="default"/>
      </w:rPr>
    </w:lvl>
    <w:lvl w:ilvl="8" w:tplc="8C94B5E6" w:tentative="1">
      <w:start w:val="1"/>
      <w:numFmt w:val="bullet"/>
      <w:lvlText w:val="•"/>
      <w:lvlJc w:val="left"/>
      <w:pPr>
        <w:tabs>
          <w:tab w:val="num" w:pos="6480"/>
        </w:tabs>
        <w:ind w:left="6480" w:hanging="360"/>
      </w:pPr>
      <w:rPr>
        <w:rFonts w:ascii="Arial" w:hAnsi="Arial" w:hint="default"/>
      </w:rPr>
    </w:lvl>
  </w:abstractNum>
  <w:abstractNum w:abstractNumId="11">
    <w:nsid w:val="43D22394"/>
    <w:multiLevelType w:val="hybridMultilevel"/>
    <w:tmpl w:val="4E44FCD2"/>
    <w:lvl w:ilvl="0" w:tplc="B956D0DE">
      <w:start w:val="1"/>
      <w:numFmt w:val="bullet"/>
      <w:lvlText w:val="•"/>
      <w:lvlJc w:val="left"/>
      <w:pPr>
        <w:tabs>
          <w:tab w:val="num" w:pos="720"/>
        </w:tabs>
        <w:ind w:left="720" w:hanging="360"/>
      </w:pPr>
      <w:rPr>
        <w:rFonts w:ascii="Arial" w:hAnsi="Arial" w:hint="default"/>
      </w:rPr>
    </w:lvl>
    <w:lvl w:ilvl="1" w:tplc="729ADFFE">
      <w:start w:val="5369"/>
      <w:numFmt w:val="bullet"/>
      <w:lvlText w:val="•"/>
      <w:lvlJc w:val="left"/>
      <w:pPr>
        <w:tabs>
          <w:tab w:val="num" w:pos="1440"/>
        </w:tabs>
        <w:ind w:left="1440" w:hanging="360"/>
      </w:pPr>
      <w:rPr>
        <w:rFonts w:ascii="Arial" w:hAnsi="Arial" w:hint="default"/>
      </w:rPr>
    </w:lvl>
    <w:lvl w:ilvl="2" w:tplc="9D428322" w:tentative="1">
      <w:start w:val="1"/>
      <w:numFmt w:val="bullet"/>
      <w:lvlText w:val="•"/>
      <w:lvlJc w:val="left"/>
      <w:pPr>
        <w:tabs>
          <w:tab w:val="num" w:pos="2160"/>
        </w:tabs>
        <w:ind w:left="2160" w:hanging="360"/>
      </w:pPr>
      <w:rPr>
        <w:rFonts w:ascii="Arial" w:hAnsi="Arial" w:hint="default"/>
      </w:rPr>
    </w:lvl>
    <w:lvl w:ilvl="3" w:tplc="4A5AF332" w:tentative="1">
      <w:start w:val="1"/>
      <w:numFmt w:val="bullet"/>
      <w:lvlText w:val="•"/>
      <w:lvlJc w:val="left"/>
      <w:pPr>
        <w:tabs>
          <w:tab w:val="num" w:pos="2880"/>
        </w:tabs>
        <w:ind w:left="2880" w:hanging="360"/>
      </w:pPr>
      <w:rPr>
        <w:rFonts w:ascii="Arial" w:hAnsi="Arial" w:hint="default"/>
      </w:rPr>
    </w:lvl>
    <w:lvl w:ilvl="4" w:tplc="8BDAA604" w:tentative="1">
      <w:start w:val="1"/>
      <w:numFmt w:val="bullet"/>
      <w:lvlText w:val="•"/>
      <w:lvlJc w:val="left"/>
      <w:pPr>
        <w:tabs>
          <w:tab w:val="num" w:pos="3600"/>
        </w:tabs>
        <w:ind w:left="3600" w:hanging="360"/>
      </w:pPr>
      <w:rPr>
        <w:rFonts w:ascii="Arial" w:hAnsi="Arial" w:hint="default"/>
      </w:rPr>
    </w:lvl>
    <w:lvl w:ilvl="5" w:tplc="8ACE79E8" w:tentative="1">
      <w:start w:val="1"/>
      <w:numFmt w:val="bullet"/>
      <w:lvlText w:val="•"/>
      <w:lvlJc w:val="left"/>
      <w:pPr>
        <w:tabs>
          <w:tab w:val="num" w:pos="4320"/>
        </w:tabs>
        <w:ind w:left="4320" w:hanging="360"/>
      </w:pPr>
      <w:rPr>
        <w:rFonts w:ascii="Arial" w:hAnsi="Arial" w:hint="default"/>
      </w:rPr>
    </w:lvl>
    <w:lvl w:ilvl="6" w:tplc="35685DE0" w:tentative="1">
      <w:start w:val="1"/>
      <w:numFmt w:val="bullet"/>
      <w:lvlText w:val="•"/>
      <w:lvlJc w:val="left"/>
      <w:pPr>
        <w:tabs>
          <w:tab w:val="num" w:pos="5040"/>
        </w:tabs>
        <w:ind w:left="5040" w:hanging="360"/>
      </w:pPr>
      <w:rPr>
        <w:rFonts w:ascii="Arial" w:hAnsi="Arial" w:hint="default"/>
      </w:rPr>
    </w:lvl>
    <w:lvl w:ilvl="7" w:tplc="BC30125E" w:tentative="1">
      <w:start w:val="1"/>
      <w:numFmt w:val="bullet"/>
      <w:lvlText w:val="•"/>
      <w:lvlJc w:val="left"/>
      <w:pPr>
        <w:tabs>
          <w:tab w:val="num" w:pos="5760"/>
        </w:tabs>
        <w:ind w:left="5760" w:hanging="360"/>
      </w:pPr>
      <w:rPr>
        <w:rFonts w:ascii="Arial" w:hAnsi="Arial" w:hint="default"/>
      </w:rPr>
    </w:lvl>
    <w:lvl w:ilvl="8" w:tplc="E29613CA" w:tentative="1">
      <w:start w:val="1"/>
      <w:numFmt w:val="bullet"/>
      <w:lvlText w:val="•"/>
      <w:lvlJc w:val="left"/>
      <w:pPr>
        <w:tabs>
          <w:tab w:val="num" w:pos="6480"/>
        </w:tabs>
        <w:ind w:left="6480" w:hanging="360"/>
      </w:pPr>
      <w:rPr>
        <w:rFonts w:ascii="Arial" w:hAnsi="Arial" w:hint="default"/>
      </w:rPr>
    </w:lvl>
  </w:abstractNum>
  <w:abstractNum w:abstractNumId="12">
    <w:nsid w:val="458D6A60"/>
    <w:multiLevelType w:val="multilevel"/>
    <w:tmpl w:val="88B8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BF07AE9"/>
    <w:multiLevelType w:val="hybridMultilevel"/>
    <w:tmpl w:val="1CB0F0EA"/>
    <w:lvl w:ilvl="0" w:tplc="E14A6A0E">
      <w:start w:val="1"/>
      <w:numFmt w:val="bullet"/>
      <w:lvlText w:val="•"/>
      <w:lvlJc w:val="left"/>
      <w:pPr>
        <w:tabs>
          <w:tab w:val="num" w:pos="720"/>
        </w:tabs>
        <w:ind w:left="720" w:hanging="360"/>
      </w:pPr>
      <w:rPr>
        <w:rFonts w:ascii="Arial" w:hAnsi="Arial" w:hint="default"/>
      </w:rPr>
    </w:lvl>
    <w:lvl w:ilvl="1" w:tplc="239A4986" w:tentative="1">
      <w:start w:val="1"/>
      <w:numFmt w:val="bullet"/>
      <w:lvlText w:val="•"/>
      <w:lvlJc w:val="left"/>
      <w:pPr>
        <w:tabs>
          <w:tab w:val="num" w:pos="1440"/>
        </w:tabs>
        <w:ind w:left="1440" w:hanging="360"/>
      </w:pPr>
      <w:rPr>
        <w:rFonts w:ascii="Arial" w:hAnsi="Arial" w:hint="default"/>
      </w:rPr>
    </w:lvl>
    <w:lvl w:ilvl="2" w:tplc="0616C006" w:tentative="1">
      <w:start w:val="1"/>
      <w:numFmt w:val="bullet"/>
      <w:lvlText w:val="•"/>
      <w:lvlJc w:val="left"/>
      <w:pPr>
        <w:tabs>
          <w:tab w:val="num" w:pos="2160"/>
        </w:tabs>
        <w:ind w:left="2160" w:hanging="360"/>
      </w:pPr>
      <w:rPr>
        <w:rFonts w:ascii="Arial" w:hAnsi="Arial" w:hint="default"/>
      </w:rPr>
    </w:lvl>
    <w:lvl w:ilvl="3" w:tplc="1E5621AC" w:tentative="1">
      <w:start w:val="1"/>
      <w:numFmt w:val="bullet"/>
      <w:lvlText w:val="•"/>
      <w:lvlJc w:val="left"/>
      <w:pPr>
        <w:tabs>
          <w:tab w:val="num" w:pos="2880"/>
        </w:tabs>
        <w:ind w:left="2880" w:hanging="360"/>
      </w:pPr>
      <w:rPr>
        <w:rFonts w:ascii="Arial" w:hAnsi="Arial" w:hint="default"/>
      </w:rPr>
    </w:lvl>
    <w:lvl w:ilvl="4" w:tplc="1782529E" w:tentative="1">
      <w:start w:val="1"/>
      <w:numFmt w:val="bullet"/>
      <w:lvlText w:val="•"/>
      <w:lvlJc w:val="left"/>
      <w:pPr>
        <w:tabs>
          <w:tab w:val="num" w:pos="3600"/>
        </w:tabs>
        <w:ind w:left="3600" w:hanging="360"/>
      </w:pPr>
      <w:rPr>
        <w:rFonts w:ascii="Arial" w:hAnsi="Arial" w:hint="default"/>
      </w:rPr>
    </w:lvl>
    <w:lvl w:ilvl="5" w:tplc="0178C3F0" w:tentative="1">
      <w:start w:val="1"/>
      <w:numFmt w:val="bullet"/>
      <w:lvlText w:val="•"/>
      <w:lvlJc w:val="left"/>
      <w:pPr>
        <w:tabs>
          <w:tab w:val="num" w:pos="4320"/>
        </w:tabs>
        <w:ind w:left="4320" w:hanging="360"/>
      </w:pPr>
      <w:rPr>
        <w:rFonts w:ascii="Arial" w:hAnsi="Arial" w:hint="default"/>
      </w:rPr>
    </w:lvl>
    <w:lvl w:ilvl="6" w:tplc="411425C6" w:tentative="1">
      <w:start w:val="1"/>
      <w:numFmt w:val="bullet"/>
      <w:lvlText w:val="•"/>
      <w:lvlJc w:val="left"/>
      <w:pPr>
        <w:tabs>
          <w:tab w:val="num" w:pos="5040"/>
        </w:tabs>
        <w:ind w:left="5040" w:hanging="360"/>
      </w:pPr>
      <w:rPr>
        <w:rFonts w:ascii="Arial" w:hAnsi="Arial" w:hint="default"/>
      </w:rPr>
    </w:lvl>
    <w:lvl w:ilvl="7" w:tplc="9AE4BDF8" w:tentative="1">
      <w:start w:val="1"/>
      <w:numFmt w:val="bullet"/>
      <w:lvlText w:val="•"/>
      <w:lvlJc w:val="left"/>
      <w:pPr>
        <w:tabs>
          <w:tab w:val="num" w:pos="5760"/>
        </w:tabs>
        <w:ind w:left="5760" w:hanging="360"/>
      </w:pPr>
      <w:rPr>
        <w:rFonts w:ascii="Arial" w:hAnsi="Arial" w:hint="default"/>
      </w:rPr>
    </w:lvl>
    <w:lvl w:ilvl="8" w:tplc="42BC75D6" w:tentative="1">
      <w:start w:val="1"/>
      <w:numFmt w:val="bullet"/>
      <w:lvlText w:val="•"/>
      <w:lvlJc w:val="left"/>
      <w:pPr>
        <w:tabs>
          <w:tab w:val="num" w:pos="6480"/>
        </w:tabs>
        <w:ind w:left="6480" w:hanging="360"/>
      </w:pPr>
      <w:rPr>
        <w:rFonts w:ascii="Arial" w:hAnsi="Arial" w:hint="default"/>
      </w:rPr>
    </w:lvl>
  </w:abstractNum>
  <w:abstractNum w:abstractNumId="14">
    <w:nsid w:val="4C9531FC"/>
    <w:multiLevelType w:val="hybridMultilevel"/>
    <w:tmpl w:val="8E745AEA"/>
    <w:lvl w:ilvl="0" w:tplc="20DAA5EE">
      <w:start w:val="1"/>
      <w:numFmt w:val="bullet"/>
      <w:lvlText w:val="•"/>
      <w:lvlJc w:val="left"/>
      <w:pPr>
        <w:tabs>
          <w:tab w:val="num" w:pos="720"/>
        </w:tabs>
        <w:ind w:left="720" w:hanging="360"/>
      </w:pPr>
      <w:rPr>
        <w:rFonts w:ascii="Arial" w:hAnsi="Arial" w:hint="default"/>
      </w:rPr>
    </w:lvl>
    <w:lvl w:ilvl="1" w:tplc="336AE9FC" w:tentative="1">
      <w:start w:val="1"/>
      <w:numFmt w:val="bullet"/>
      <w:lvlText w:val="•"/>
      <w:lvlJc w:val="left"/>
      <w:pPr>
        <w:tabs>
          <w:tab w:val="num" w:pos="1440"/>
        </w:tabs>
        <w:ind w:left="1440" w:hanging="360"/>
      </w:pPr>
      <w:rPr>
        <w:rFonts w:ascii="Arial" w:hAnsi="Arial" w:hint="default"/>
      </w:rPr>
    </w:lvl>
    <w:lvl w:ilvl="2" w:tplc="FC7E18F8" w:tentative="1">
      <w:start w:val="1"/>
      <w:numFmt w:val="bullet"/>
      <w:lvlText w:val="•"/>
      <w:lvlJc w:val="left"/>
      <w:pPr>
        <w:tabs>
          <w:tab w:val="num" w:pos="2160"/>
        </w:tabs>
        <w:ind w:left="2160" w:hanging="360"/>
      </w:pPr>
      <w:rPr>
        <w:rFonts w:ascii="Arial" w:hAnsi="Arial" w:hint="default"/>
      </w:rPr>
    </w:lvl>
    <w:lvl w:ilvl="3" w:tplc="3A901F54" w:tentative="1">
      <w:start w:val="1"/>
      <w:numFmt w:val="bullet"/>
      <w:lvlText w:val="•"/>
      <w:lvlJc w:val="left"/>
      <w:pPr>
        <w:tabs>
          <w:tab w:val="num" w:pos="2880"/>
        </w:tabs>
        <w:ind w:left="2880" w:hanging="360"/>
      </w:pPr>
      <w:rPr>
        <w:rFonts w:ascii="Arial" w:hAnsi="Arial" w:hint="default"/>
      </w:rPr>
    </w:lvl>
    <w:lvl w:ilvl="4" w:tplc="1F486882" w:tentative="1">
      <w:start w:val="1"/>
      <w:numFmt w:val="bullet"/>
      <w:lvlText w:val="•"/>
      <w:lvlJc w:val="left"/>
      <w:pPr>
        <w:tabs>
          <w:tab w:val="num" w:pos="3600"/>
        </w:tabs>
        <w:ind w:left="3600" w:hanging="360"/>
      </w:pPr>
      <w:rPr>
        <w:rFonts w:ascii="Arial" w:hAnsi="Arial" w:hint="default"/>
      </w:rPr>
    </w:lvl>
    <w:lvl w:ilvl="5" w:tplc="AB846E9C" w:tentative="1">
      <w:start w:val="1"/>
      <w:numFmt w:val="bullet"/>
      <w:lvlText w:val="•"/>
      <w:lvlJc w:val="left"/>
      <w:pPr>
        <w:tabs>
          <w:tab w:val="num" w:pos="4320"/>
        </w:tabs>
        <w:ind w:left="4320" w:hanging="360"/>
      </w:pPr>
      <w:rPr>
        <w:rFonts w:ascii="Arial" w:hAnsi="Arial" w:hint="default"/>
      </w:rPr>
    </w:lvl>
    <w:lvl w:ilvl="6" w:tplc="EB74791A" w:tentative="1">
      <w:start w:val="1"/>
      <w:numFmt w:val="bullet"/>
      <w:lvlText w:val="•"/>
      <w:lvlJc w:val="left"/>
      <w:pPr>
        <w:tabs>
          <w:tab w:val="num" w:pos="5040"/>
        </w:tabs>
        <w:ind w:left="5040" w:hanging="360"/>
      </w:pPr>
      <w:rPr>
        <w:rFonts w:ascii="Arial" w:hAnsi="Arial" w:hint="default"/>
      </w:rPr>
    </w:lvl>
    <w:lvl w:ilvl="7" w:tplc="787002B2" w:tentative="1">
      <w:start w:val="1"/>
      <w:numFmt w:val="bullet"/>
      <w:lvlText w:val="•"/>
      <w:lvlJc w:val="left"/>
      <w:pPr>
        <w:tabs>
          <w:tab w:val="num" w:pos="5760"/>
        </w:tabs>
        <w:ind w:left="5760" w:hanging="360"/>
      </w:pPr>
      <w:rPr>
        <w:rFonts w:ascii="Arial" w:hAnsi="Arial" w:hint="default"/>
      </w:rPr>
    </w:lvl>
    <w:lvl w:ilvl="8" w:tplc="CE9A8CEE" w:tentative="1">
      <w:start w:val="1"/>
      <w:numFmt w:val="bullet"/>
      <w:lvlText w:val="•"/>
      <w:lvlJc w:val="left"/>
      <w:pPr>
        <w:tabs>
          <w:tab w:val="num" w:pos="6480"/>
        </w:tabs>
        <w:ind w:left="6480" w:hanging="360"/>
      </w:pPr>
      <w:rPr>
        <w:rFonts w:ascii="Arial" w:hAnsi="Arial" w:hint="default"/>
      </w:rPr>
    </w:lvl>
  </w:abstractNum>
  <w:abstractNum w:abstractNumId="15">
    <w:nsid w:val="4F5239BE"/>
    <w:multiLevelType w:val="hybridMultilevel"/>
    <w:tmpl w:val="FC46B75E"/>
    <w:lvl w:ilvl="0" w:tplc="0A20A8D4">
      <w:start w:val="1"/>
      <w:numFmt w:val="bullet"/>
      <w:lvlText w:val="•"/>
      <w:lvlJc w:val="left"/>
      <w:pPr>
        <w:tabs>
          <w:tab w:val="num" w:pos="720"/>
        </w:tabs>
        <w:ind w:left="720" w:hanging="360"/>
      </w:pPr>
      <w:rPr>
        <w:rFonts w:ascii="Arial" w:hAnsi="Arial" w:hint="default"/>
      </w:rPr>
    </w:lvl>
    <w:lvl w:ilvl="1" w:tplc="74822AA4" w:tentative="1">
      <w:start w:val="1"/>
      <w:numFmt w:val="bullet"/>
      <w:lvlText w:val="•"/>
      <w:lvlJc w:val="left"/>
      <w:pPr>
        <w:tabs>
          <w:tab w:val="num" w:pos="1440"/>
        </w:tabs>
        <w:ind w:left="1440" w:hanging="360"/>
      </w:pPr>
      <w:rPr>
        <w:rFonts w:ascii="Arial" w:hAnsi="Arial" w:hint="default"/>
      </w:rPr>
    </w:lvl>
    <w:lvl w:ilvl="2" w:tplc="4CB42432" w:tentative="1">
      <w:start w:val="1"/>
      <w:numFmt w:val="bullet"/>
      <w:lvlText w:val="•"/>
      <w:lvlJc w:val="left"/>
      <w:pPr>
        <w:tabs>
          <w:tab w:val="num" w:pos="2160"/>
        </w:tabs>
        <w:ind w:left="2160" w:hanging="360"/>
      </w:pPr>
      <w:rPr>
        <w:rFonts w:ascii="Arial" w:hAnsi="Arial" w:hint="default"/>
      </w:rPr>
    </w:lvl>
    <w:lvl w:ilvl="3" w:tplc="D46A6A60" w:tentative="1">
      <w:start w:val="1"/>
      <w:numFmt w:val="bullet"/>
      <w:lvlText w:val="•"/>
      <w:lvlJc w:val="left"/>
      <w:pPr>
        <w:tabs>
          <w:tab w:val="num" w:pos="2880"/>
        </w:tabs>
        <w:ind w:left="2880" w:hanging="360"/>
      </w:pPr>
      <w:rPr>
        <w:rFonts w:ascii="Arial" w:hAnsi="Arial" w:hint="default"/>
      </w:rPr>
    </w:lvl>
    <w:lvl w:ilvl="4" w:tplc="4FF6257C" w:tentative="1">
      <w:start w:val="1"/>
      <w:numFmt w:val="bullet"/>
      <w:lvlText w:val="•"/>
      <w:lvlJc w:val="left"/>
      <w:pPr>
        <w:tabs>
          <w:tab w:val="num" w:pos="3600"/>
        </w:tabs>
        <w:ind w:left="3600" w:hanging="360"/>
      </w:pPr>
      <w:rPr>
        <w:rFonts w:ascii="Arial" w:hAnsi="Arial" w:hint="default"/>
      </w:rPr>
    </w:lvl>
    <w:lvl w:ilvl="5" w:tplc="5142BD62" w:tentative="1">
      <w:start w:val="1"/>
      <w:numFmt w:val="bullet"/>
      <w:lvlText w:val="•"/>
      <w:lvlJc w:val="left"/>
      <w:pPr>
        <w:tabs>
          <w:tab w:val="num" w:pos="4320"/>
        </w:tabs>
        <w:ind w:left="4320" w:hanging="360"/>
      </w:pPr>
      <w:rPr>
        <w:rFonts w:ascii="Arial" w:hAnsi="Arial" w:hint="default"/>
      </w:rPr>
    </w:lvl>
    <w:lvl w:ilvl="6" w:tplc="DB8E7572" w:tentative="1">
      <w:start w:val="1"/>
      <w:numFmt w:val="bullet"/>
      <w:lvlText w:val="•"/>
      <w:lvlJc w:val="left"/>
      <w:pPr>
        <w:tabs>
          <w:tab w:val="num" w:pos="5040"/>
        </w:tabs>
        <w:ind w:left="5040" w:hanging="360"/>
      </w:pPr>
      <w:rPr>
        <w:rFonts w:ascii="Arial" w:hAnsi="Arial" w:hint="default"/>
      </w:rPr>
    </w:lvl>
    <w:lvl w:ilvl="7" w:tplc="FDA2C6BE" w:tentative="1">
      <w:start w:val="1"/>
      <w:numFmt w:val="bullet"/>
      <w:lvlText w:val="•"/>
      <w:lvlJc w:val="left"/>
      <w:pPr>
        <w:tabs>
          <w:tab w:val="num" w:pos="5760"/>
        </w:tabs>
        <w:ind w:left="5760" w:hanging="360"/>
      </w:pPr>
      <w:rPr>
        <w:rFonts w:ascii="Arial" w:hAnsi="Arial" w:hint="default"/>
      </w:rPr>
    </w:lvl>
    <w:lvl w:ilvl="8" w:tplc="DE8E7CAC" w:tentative="1">
      <w:start w:val="1"/>
      <w:numFmt w:val="bullet"/>
      <w:lvlText w:val="•"/>
      <w:lvlJc w:val="left"/>
      <w:pPr>
        <w:tabs>
          <w:tab w:val="num" w:pos="6480"/>
        </w:tabs>
        <w:ind w:left="6480" w:hanging="360"/>
      </w:pPr>
      <w:rPr>
        <w:rFonts w:ascii="Arial" w:hAnsi="Arial" w:hint="default"/>
      </w:rPr>
    </w:lvl>
  </w:abstractNum>
  <w:abstractNum w:abstractNumId="16">
    <w:nsid w:val="5092364C"/>
    <w:multiLevelType w:val="hybridMultilevel"/>
    <w:tmpl w:val="6B80A1EE"/>
    <w:lvl w:ilvl="0" w:tplc="91304718">
      <w:start w:val="1"/>
      <w:numFmt w:val="bullet"/>
      <w:lvlText w:val="•"/>
      <w:lvlJc w:val="left"/>
      <w:pPr>
        <w:tabs>
          <w:tab w:val="num" w:pos="720"/>
        </w:tabs>
        <w:ind w:left="720" w:hanging="360"/>
      </w:pPr>
      <w:rPr>
        <w:rFonts w:ascii="Arial" w:hAnsi="Arial" w:hint="default"/>
      </w:rPr>
    </w:lvl>
    <w:lvl w:ilvl="1" w:tplc="EE166586">
      <w:start w:val="6635"/>
      <w:numFmt w:val="bullet"/>
      <w:lvlText w:val="•"/>
      <w:lvlJc w:val="left"/>
      <w:pPr>
        <w:tabs>
          <w:tab w:val="num" w:pos="1440"/>
        </w:tabs>
        <w:ind w:left="1440" w:hanging="360"/>
      </w:pPr>
      <w:rPr>
        <w:rFonts w:ascii="Arial" w:hAnsi="Arial" w:hint="default"/>
      </w:rPr>
    </w:lvl>
    <w:lvl w:ilvl="2" w:tplc="60B691FE" w:tentative="1">
      <w:start w:val="1"/>
      <w:numFmt w:val="bullet"/>
      <w:lvlText w:val="•"/>
      <w:lvlJc w:val="left"/>
      <w:pPr>
        <w:tabs>
          <w:tab w:val="num" w:pos="2160"/>
        </w:tabs>
        <w:ind w:left="2160" w:hanging="360"/>
      </w:pPr>
      <w:rPr>
        <w:rFonts w:ascii="Arial" w:hAnsi="Arial" w:hint="default"/>
      </w:rPr>
    </w:lvl>
    <w:lvl w:ilvl="3" w:tplc="2E6C38C6" w:tentative="1">
      <w:start w:val="1"/>
      <w:numFmt w:val="bullet"/>
      <w:lvlText w:val="•"/>
      <w:lvlJc w:val="left"/>
      <w:pPr>
        <w:tabs>
          <w:tab w:val="num" w:pos="2880"/>
        </w:tabs>
        <w:ind w:left="2880" w:hanging="360"/>
      </w:pPr>
      <w:rPr>
        <w:rFonts w:ascii="Arial" w:hAnsi="Arial" w:hint="default"/>
      </w:rPr>
    </w:lvl>
    <w:lvl w:ilvl="4" w:tplc="9090666E" w:tentative="1">
      <w:start w:val="1"/>
      <w:numFmt w:val="bullet"/>
      <w:lvlText w:val="•"/>
      <w:lvlJc w:val="left"/>
      <w:pPr>
        <w:tabs>
          <w:tab w:val="num" w:pos="3600"/>
        </w:tabs>
        <w:ind w:left="3600" w:hanging="360"/>
      </w:pPr>
      <w:rPr>
        <w:rFonts w:ascii="Arial" w:hAnsi="Arial" w:hint="default"/>
      </w:rPr>
    </w:lvl>
    <w:lvl w:ilvl="5" w:tplc="FBCA40D4" w:tentative="1">
      <w:start w:val="1"/>
      <w:numFmt w:val="bullet"/>
      <w:lvlText w:val="•"/>
      <w:lvlJc w:val="left"/>
      <w:pPr>
        <w:tabs>
          <w:tab w:val="num" w:pos="4320"/>
        </w:tabs>
        <w:ind w:left="4320" w:hanging="360"/>
      </w:pPr>
      <w:rPr>
        <w:rFonts w:ascii="Arial" w:hAnsi="Arial" w:hint="default"/>
      </w:rPr>
    </w:lvl>
    <w:lvl w:ilvl="6" w:tplc="746487F4" w:tentative="1">
      <w:start w:val="1"/>
      <w:numFmt w:val="bullet"/>
      <w:lvlText w:val="•"/>
      <w:lvlJc w:val="left"/>
      <w:pPr>
        <w:tabs>
          <w:tab w:val="num" w:pos="5040"/>
        </w:tabs>
        <w:ind w:left="5040" w:hanging="360"/>
      </w:pPr>
      <w:rPr>
        <w:rFonts w:ascii="Arial" w:hAnsi="Arial" w:hint="default"/>
      </w:rPr>
    </w:lvl>
    <w:lvl w:ilvl="7" w:tplc="0986AE5C" w:tentative="1">
      <w:start w:val="1"/>
      <w:numFmt w:val="bullet"/>
      <w:lvlText w:val="•"/>
      <w:lvlJc w:val="left"/>
      <w:pPr>
        <w:tabs>
          <w:tab w:val="num" w:pos="5760"/>
        </w:tabs>
        <w:ind w:left="5760" w:hanging="360"/>
      </w:pPr>
      <w:rPr>
        <w:rFonts w:ascii="Arial" w:hAnsi="Arial" w:hint="default"/>
      </w:rPr>
    </w:lvl>
    <w:lvl w:ilvl="8" w:tplc="ADD67FA2" w:tentative="1">
      <w:start w:val="1"/>
      <w:numFmt w:val="bullet"/>
      <w:lvlText w:val="•"/>
      <w:lvlJc w:val="left"/>
      <w:pPr>
        <w:tabs>
          <w:tab w:val="num" w:pos="6480"/>
        </w:tabs>
        <w:ind w:left="6480" w:hanging="360"/>
      </w:pPr>
      <w:rPr>
        <w:rFonts w:ascii="Arial" w:hAnsi="Arial" w:hint="default"/>
      </w:rPr>
    </w:lvl>
  </w:abstractNum>
  <w:abstractNum w:abstractNumId="17">
    <w:nsid w:val="53FF2D8D"/>
    <w:multiLevelType w:val="hybridMultilevel"/>
    <w:tmpl w:val="7DFEF548"/>
    <w:lvl w:ilvl="0" w:tplc="65B2D89A">
      <w:start w:val="1"/>
      <w:numFmt w:val="bullet"/>
      <w:lvlText w:val="•"/>
      <w:lvlJc w:val="left"/>
      <w:pPr>
        <w:tabs>
          <w:tab w:val="num" w:pos="720"/>
        </w:tabs>
        <w:ind w:left="720" w:hanging="360"/>
      </w:pPr>
      <w:rPr>
        <w:rFonts w:ascii="Arial" w:hAnsi="Arial" w:hint="default"/>
      </w:rPr>
    </w:lvl>
    <w:lvl w:ilvl="1" w:tplc="121AD10E" w:tentative="1">
      <w:start w:val="1"/>
      <w:numFmt w:val="bullet"/>
      <w:lvlText w:val="•"/>
      <w:lvlJc w:val="left"/>
      <w:pPr>
        <w:tabs>
          <w:tab w:val="num" w:pos="1440"/>
        </w:tabs>
        <w:ind w:left="1440" w:hanging="360"/>
      </w:pPr>
      <w:rPr>
        <w:rFonts w:ascii="Arial" w:hAnsi="Arial" w:hint="default"/>
      </w:rPr>
    </w:lvl>
    <w:lvl w:ilvl="2" w:tplc="AE1CFCCA" w:tentative="1">
      <w:start w:val="1"/>
      <w:numFmt w:val="bullet"/>
      <w:lvlText w:val="•"/>
      <w:lvlJc w:val="left"/>
      <w:pPr>
        <w:tabs>
          <w:tab w:val="num" w:pos="2160"/>
        </w:tabs>
        <w:ind w:left="2160" w:hanging="360"/>
      </w:pPr>
      <w:rPr>
        <w:rFonts w:ascii="Arial" w:hAnsi="Arial" w:hint="default"/>
      </w:rPr>
    </w:lvl>
    <w:lvl w:ilvl="3" w:tplc="991429FA" w:tentative="1">
      <w:start w:val="1"/>
      <w:numFmt w:val="bullet"/>
      <w:lvlText w:val="•"/>
      <w:lvlJc w:val="left"/>
      <w:pPr>
        <w:tabs>
          <w:tab w:val="num" w:pos="2880"/>
        </w:tabs>
        <w:ind w:left="2880" w:hanging="360"/>
      </w:pPr>
      <w:rPr>
        <w:rFonts w:ascii="Arial" w:hAnsi="Arial" w:hint="default"/>
      </w:rPr>
    </w:lvl>
    <w:lvl w:ilvl="4" w:tplc="B38C7B24" w:tentative="1">
      <w:start w:val="1"/>
      <w:numFmt w:val="bullet"/>
      <w:lvlText w:val="•"/>
      <w:lvlJc w:val="left"/>
      <w:pPr>
        <w:tabs>
          <w:tab w:val="num" w:pos="3600"/>
        </w:tabs>
        <w:ind w:left="3600" w:hanging="360"/>
      </w:pPr>
      <w:rPr>
        <w:rFonts w:ascii="Arial" w:hAnsi="Arial" w:hint="default"/>
      </w:rPr>
    </w:lvl>
    <w:lvl w:ilvl="5" w:tplc="86FE3A44" w:tentative="1">
      <w:start w:val="1"/>
      <w:numFmt w:val="bullet"/>
      <w:lvlText w:val="•"/>
      <w:lvlJc w:val="left"/>
      <w:pPr>
        <w:tabs>
          <w:tab w:val="num" w:pos="4320"/>
        </w:tabs>
        <w:ind w:left="4320" w:hanging="360"/>
      </w:pPr>
      <w:rPr>
        <w:rFonts w:ascii="Arial" w:hAnsi="Arial" w:hint="default"/>
      </w:rPr>
    </w:lvl>
    <w:lvl w:ilvl="6" w:tplc="C6E60360" w:tentative="1">
      <w:start w:val="1"/>
      <w:numFmt w:val="bullet"/>
      <w:lvlText w:val="•"/>
      <w:lvlJc w:val="left"/>
      <w:pPr>
        <w:tabs>
          <w:tab w:val="num" w:pos="5040"/>
        </w:tabs>
        <w:ind w:left="5040" w:hanging="360"/>
      </w:pPr>
      <w:rPr>
        <w:rFonts w:ascii="Arial" w:hAnsi="Arial" w:hint="default"/>
      </w:rPr>
    </w:lvl>
    <w:lvl w:ilvl="7" w:tplc="B810C99C" w:tentative="1">
      <w:start w:val="1"/>
      <w:numFmt w:val="bullet"/>
      <w:lvlText w:val="•"/>
      <w:lvlJc w:val="left"/>
      <w:pPr>
        <w:tabs>
          <w:tab w:val="num" w:pos="5760"/>
        </w:tabs>
        <w:ind w:left="5760" w:hanging="360"/>
      </w:pPr>
      <w:rPr>
        <w:rFonts w:ascii="Arial" w:hAnsi="Arial" w:hint="default"/>
      </w:rPr>
    </w:lvl>
    <w:lvl w:ilvl="8" w:tplc="E13093AA" w:tentative="1">
      <w:start w:val="1"/>
      <w:numFmt w:val="bullet"/>
      <w:lvlText w:val="•"/>
      <w:lvlJc w:val="left"/>
      <w:pPr>
        <w:tabs>
          <w:tab w:val="num" w:pos="6480"/>
        </w:tabs>
        <w:ind w:left="6480" w:hanging="360"/>
      </w:pPr>
      <w:rPr>
        <w:rFonts w:ascii="Arial" w:hAnsi="Arial" w:hint="default"/>
      </w:rPr>
    </w:lvl>
  </w:abstractNum>
  <w:abstractNum w:abstractNumId="18">
    <w:nsid w:val="555F62D2"/>
    <w:multiLevelType w:val="hybridMultilevel"/>
    <w:tmpl w:val="CB5C326A"/>
    <w:lvl w:ilvl="0" w:tplc="83D863A2">
      <w:start w:val="1"/>
      <w:numFmt w:val="bullet"/>
      <w:lvlText w:val="•"/>
      <w:lvlJc w:val="left"/>
      <w:pPr>
        <w:tabs>
          <w:tab w:val="num" w:pos="720"/>
        </w:tabs>
        <w:ind w:left="720" w:hanging="360"/>
      </w:pPr>
      <w:rPr>
        <w:rFonts w:ascii="Arial" w:hAnsi="Arial" w:hint="default"/>
      </w:rPr>
    </w:lvl>
    <w:lvl w:ilvl="1" w:tplc="BA34E2C8" w:tentative="1">
      <w:start w:val="1"/>
      <w:numFmt w:val="bullet"/>
      <w:lvlText w:val="•"/>
      <w:lvlJc w:val="left"/>
      <w:pPr>
        <w:tabs>
          <w:tab w:val="num" w:pos="1440"/>
        </w:tabs>
        <w:ind w:left="1440" w:hanging="360"/>
      </w:pPr>
      <w:rPr>
        <w:rFonts w:ascii="Arial" w:hAnsi="Arial" w:hint="default"/>
      </w:rPr>
    </w:lvl>
    <w:lvl w:ilvl="2" w:tplc="98C65178" w:tentative="1">
      <w:start w:val="1"/>
      <w:numFmt w:val="bullet"/>
      <w:lvlText w:val="•"/>
      <w:lvlJc w:val="left"/>
      <w:pPr>
        <w:tabs>
          <w:tab w:val="num" w:pos="2160"/>
        </w:tabs>
        <w:ind w:left="2160" w:hanging="360"/>
      </w:pPr>
      <w:rPr>
        <w:rFonts w:ascii="Arial" w:hAnsi="Arial" w:hint="default"/>
      </w:rPr>
    </w:lvl>
    <w:lvl w:ilvl="3" w:tplc="DFA45216" w:tentative="1">
      <w:start w:val="1"/>
      <w:numFmt w:val="bullet"/>
      <w:lvlText w:val="•"/>
      <w:lvlJc w:val="left"/>
      <w:pPr>
        <w:tabs>
          <w:tab w:val="num" w:pos="2880"/>
        </w:tabs>
        <w:ind w:left="2880" w:hanging="360"/>
      </w:pPr>
      <w:rPr>
        <w:rFonts w:ascii="Arial" w:hAnsi="Arial" w:hint="default"/>
      </w:rPr>
    </w:lvl>
    <w:lvl w:ilvl="4" w:tplc="AEE060D2" w:tentative="1">
      <w:start w:val="1"/>
      <w:numFmt w:val="bullet"/>
      <w:lvlText w:val="•"/>
      <w:lvlJc w:val="left"/>
      <w:pPr>
        <w:tabs>
          <w:tab w:val="num" w:pos="3600"/>
        </w:tabs>
        <w:ind w:left="3600" w:hanging="360"/>
      </w:pPr>
      <w:rPr>
        <w:rFonts w:ascii="Arial" w:hAnsi="Arial" w:hint="default"/>
      </w:rPr>
    </w:lvl>
    <w:lvl w:ilvl="5" w:tplc="AC8E5DA2" w:tentative="1">
      <w:start w:val="1"/>
      <w:numFmt w:val="bullet"/>
      <w:lvlText w:val="•"/>
      <w:lvlJc w:val="left"/>
      <w:pPr>
        <w:tabs>
          <w:tab w:val="num" w:pos="4320"/>
        </w:tabs>
        <w:ind w:left="4320" w:hanging="360"/>
      </w:pPr>
      <w:rPr>
        <w:rFonts w:ascii="Arial" w:hAnsi="Arial" w:hint="default"/>
      </w:rPr>
    </w:lvl>
    <w:lvl w:ilvl="6" w:tplc="6FE2AB34" w:tentative="1">
      <w:start w:val="1"/>
      <w:numFmt w:val="bullet"/>
      <w:lvlText w:val="•"/>
      <w:lvlJc w:val="left"/>
      <w:pPr>
        <w:tabs>
          <w:tab w:val="num" w:pos="5040"/>
        </w:tabs>
        <w:ind w:left="5040" w:hanging="360"/>
      </w:pPr>
      <w:rPr>
        <w:rFonts w:ascii="Arial" w:hAnsi="Arial" w:hint="default"/>
      </w:rPr>
    </w:lvl>
    <w:lvl w:ilvl="7" w:tplc="9FD08854" w:tentative="1">
      <w:start w:val="1"/>
      <w:numFmt w:val="bullet"/>
      <w:lvlText w:val="•"/>
      <w:lvlJc w:val="left"/>
      <w:pPr>
        <w:tabs>
          <w:tab w:val="num" w:pos="5760"/>
        </w:tabs>
        <w:ind w:left="5760" w:hanging="360"/>
      </w:pPr>
      <w:rPr>
        <w:rFonts w:ascii="Arial" w:hAnsi="Arial" w:hint="default"/>
      </w:rPr>
    </w:lvl>
    <w:lvl w:ilvl="8" w:tplc="89E20334" w:tentative="1">
      <w:start w:val="1"/>
      <w:numFmt w:val="bullet"/>
      <w:lvlText w:val="•"/>
      <w:lvlJc w:val="left"/>
      <w:pPr>
        <w:tabs>
          <w:tab w:val="num" w:pos="6480"/>
        </w:tabs>
        <w:ind w:left="6480" w:hanging="360"/>
      </w:pPr>
      <w:rPr>
        <w:rFonts w:ascii="Arial" w:hAnsi="Arial" w:hint="default"/>
      </w:rPr>
    </w:lvl>
  </w:abstractNum>
  <w:abstractNum w:abstractNumId="19">
    <w:nsid w:val="55630F21"/>
    <w:multiLevelType w:val="hybridMultilevel"/>
    <w:tmpl w:val="42E84D96"/>
    <w:lvl w:ilvl="0" w:tplc="C1EC2F7E">
      <w:start w:val="1"/>
      <w:numFmt w:val="bullet"/>
      <w:lvlText w:val="•"/>
      <w:lvlJc w:val="left"/>
      <w:pPr>
        <w:tabs>
          <w:tab w:val="num" w:pos="720"/>
        </w:tabs>
        <w:ind w:left="720" w:hanging="360"/>
      </w:pPr>
      <w:rPr>
        <w:rFonts w:ascii="Arial" w:hAnsi="Arial" w:hint="default"/>
      </w:rPr>
    </w:lvl>
    <w:lvl w:ilvl="1" w:tplc="5BEA769A" w:tentative="1">
      <w:start w:val="1"/>
      <w:numFmt w:val="bullet"/>
      <w:lvlText w:val="•"/>
      <w:lvlJc w:val="left"/>
      <w:pPr>
        <w:tabs>
          <w:tab w:val="num" w:pos="1440"/>
        </w:tabs>
        <w:ind w:left="1440" w:hanging="360"/>
      </w:pPr>
      <w:rPr>
        <w:rFonts w:ascii="Arial" w:hAnsi="Arial" w:hint="default"/>
      </w:rPr>
    </w:lvl>
    <w:lvl w:ilvl="2" w:tplc="82E619DE" w:tentative="1">
      <w:start w:val="1"/>
      <w:numFmt w:val="bullet"/>
      <w:lvlText w:val="•"/>
      <w:lvlJc w:val="left"/>
      <w:pPr>
        <w:tabs>
          <w:tab w:val="num" w:pos="2160"/>
        </w:tabs>
        <w:ind w:left="2160" w:hanging="360"/>
      </w:pPr>
      <w:rPr>
        <w:rFonts w:ascii="Arial" w:hAnsi="Arial" w:hint="default"/>
      </w:rPr>
    </w:lvl>
    <w:lvl w:ilvl="3" w:tplc="DD22EFAE" w:tentative="1">
      <w:start w:val="1"/>
      <w:numFmt w:val="bullet"/>
      <w:lvlText w:val="•"/>
      <w:lvlJc w:val="left"/>
      <w:pPr>
        <w:tabs>
          <w:tab w:val="num" w:pos="2880"/>
        </w:tabs>
        <w:ind w:left="2880" w:hanging="360"/>
      </w:pPr>
      <w:rPr>
        <w:rFonts w:ascii="Arial" w:hAnsi="Arial" w:hint="default"/>
      </w:rPr>
    </w:lvl>
    <w:lvl w:ilvl="4" w:tplc="90E07D30" w:tentative="1">
      <w:start w:val="1"/>
      <w:numFmt w:val="bullet"/>
      <w:lvlText w:val="•"/>
      <w:lvlJc w:val="left"/>
      <w:pPr>
        <w:tabs>
          <w:tab w:val="num" w:pos="3600"/>
        </w:tabs>
        <w:ind w:left="3600" w:hanging="360"/>
      </w:pPr>
      <w:rPr>
        <w:rFonts w:ascii="Arial" w:hAnsi="Arial" w:hint="default"/>
      </w:rPr>
    </w:lvl>
    <w:lvl w:ilvl="5" w:tplc="1B56F778" w:tentative="1">
      <w:start w:val="1"/>
      <w:numFmt w:val="bullet"/>
      <w:lvlText w:val="•"/>
      <w:lvlJc w:val="left"/>
      <w:pPr>
        <w:tabs>
          <w:tab w:val="num" w:pos="4320"/>
        </w:tabs>
        <w:ind w:left="4320" w:hanging="360"/>
      </w:pPr>
      <w:rPr>
        <w:rFonts w:ascii="Arial" w:hAnsi="Arial" w:hint="default"/>
      </w:rPr>
    </w:lvl>
    <w:lvl w:ilvl="6" w:tplc="4A2A9B9C" w:tentative="1">
      <w:start w:val="1"/>
      <w:numFmt w:val="bullet"/>
      <w:lvlText w:val="•"/>
      <w:lvlJc w:val="left"/>
      <w:pPr>
        <w:tabs>
          <w:tab w:val="num" w:pos="5040"/>
        </w:tabs>
        <w:ind w:left="5040" w:hanging="360"/>
      </w:pPr>
      <w:rPr>
        <w:rFonts w:ascii="Arial" w:hAnsi="Arial" w:hint="default"/>
      </w:rPr>
    </w:lvl>
    <w:lvl w:ilvl="7" w:tplc="2BEE9BD2" w:tentative="1">
      <w:start w:val="1"/>
      <w:numFmt w:val="bullet"/>
      <w:lvlText w:val="•"/>
      <w:lvlJc w:val="left"/>
      <w:pPr>
        <w:tabs>
          <w:tab w:val="num" w:pos="5760"/>
        </w:tabs>
        <w:ind w:left="5760" w:hanging="360"/>
      </w:pPr>
      <w:rPr>
        <w:rFonts w:ascii="Arial" w:hAnsi="Arial" w:hint="default"/>
      </w:rPr>
    </w:lvl>
    <w:lvl w:ilvl="8" w:tplc="305812CC" w:tentative="1">
      <w:start w:val="1"/>
      <w:numFmt w:val="bullet"/>
      <w:lvlText w:val="•"/>
      <w:lvlJc w:val="left"/>
      <w:pPr>
        <w:tabs>
          <w:tab w:val="num" w:pos="6480"/>
        </w:tabs>
        <w:ind w:left="6480" w:hanging="360"/>
      </w:pPr>
      <w:rPr>
        <w:rFonts w:ascii="Arial" w:hAnsi="Arial" w:hint="default"/>
      </w:rPr>
    </w:lvl>
  </w:abstractNum>
  <w:abstractNum w:abstractNumId="20">
    <w:nsid w:val="58057D46"/>
    <w:multiLevelType w:val="hybridMultilevel"/>
    <w:tmpl w:val="F288F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A0F3B6B"/>
    <w:multiLevelType w:val="hybridMultilevel"/>
    <w:tmpl w:val="715C3B44"/>
    <w:lvl w:ilvl="0" w:tplc="08090001">
      <w:start w:val="1"/>
      <w:numFmt w:val="bullet"/>
      <w:lvlText w:val=""/>
      <w:lvlJc w:val="left"/>
      <w:pPr>
        <w:ind w:left="4560" w:hanging="360"/>
      </w:pPr>
      <w:rPr>
        <w:rFonts w:ascii="Symbol" w:hAnsi="Symbol" w:hint="default"/>
      </w:rPr>
    </w:lvl>
    <w:lvl w:ilvl="1" w:tplc="08090003">
      <w:start w:val="1"/>
      <w:numFmt w:val="bullet"/>
      <w:lvlText w:val="o"/>
      <w:lvlJc w:val="left"/>
      <w:pPr>
        <w:ind w:left="5280" w:hanging="360"/>
      </w:pPr>
      <w:rPr>
        <w:rFonts w:ascii="Courier New" w:hAnsi="Courier New" w:cs="Courier New" w:hint="default"/>
      </w:rPr>
    </w:lvl>
    <w:lvl w:ilvl="2" w:tplc="08090005" w:tentative="1">
      <w:start w:val="1"/>
      <w:numFmt w:val="bullet"/>
      <w:lvlText w:val=""/>
      <w:lvlJc w:val="left"/>
      <w:pPr>
        <w:ind w:left="6000" w:hanging="360"/>
      </w:pPr>
      <w:rPr>
        <w:rFonts w:ascii="Wingdings" w:hAnsi="Wingdings" w:hint="default"/>
      </w:rPr>
    </w:lvl>
    <w:lvl w:ilvl="3" w:tplc="08090001" w:tentative="1">
      <w:start w:val="1"/>
      <w:numFmt w:val="bullet"/>
      <w:lvlText w:val=""/>
      <w:lvlJc w:val="left"/>
      <w:pPr>
        <w:ind w:left="6720" w:hanging="360"/>
      </w:pPr>
      <w:rPr>
        <w:rFonts w:ascii="Symbol" w:hAnsi="Symbol" w:hint="default"/>
      </w:rPr>
    </w:lvl>
    <w:lvl w:ilvl="4" w:tplc="08090003" w:tentative="1">
      <w:start w:val="1"/>
      <w:numFmt w:val="bullet"/>
      <w:lvlText w:val="o"/>
      <w:lvlJc w:val="left"/>
      <w:pPr>
        <w:ind w:left="7440" w:hanging="360"/>
      </w:pPr>
      <w:rPr>
        <w:rFonts w:ascii="Courier New" w:hAnsi="Courier New" w:cs="Courier New" w:hint="default"/>
      </w:rPr>
    </w:lvl>
    <w:lvl w:ilvl="5" w:tplc="08090005" w:tentative="1">
      <w:start w:val="1"/>
      <w:numFmt w:val="bullet"/>
      <w:lvlText w:val=""/>
      <w:lvlJc w:val="left"/>
      <w:pPr>
        <w:ind w:left="8160" w:hanging="360"/>
      </w:pPr>
      <w:rPr>
        <w:rFonts w:ascii="Wingdings" w:hAnsi="Wingdings" w:hint="default"/>
      </w:rPr>
    </w:lvl>
    <w:lvl w:ilvl="6" w:tplc="08090001" w:tentative="1">
      <w:start w:val="1"/>
      <w:numFmt w:val="bullet"/>
      <w:lvlText w:val=""/>
      <w:lvlJc w:val="left"/>
      <w:pPr>
        <w:ind w:left="8880" w:hanging="360"/>
      </w:pPr>
      <w:rPr>
        <w:rFonts w:ascii="Symbol" w:hAnsi="Symbol" w:hint="default"/>
      </w:rPr>
    </w:lvl>
    <w:lvl w:ilvl="7" w:tplc="08090003" w:tentative="1">
      <w:start w:val="1"/>
      <w:numFmt w:val="bullet"/>
      <w:lvlText w:val="o"/>
      <w:lvlJc w:val="left"/>
      <w:pPr>
        <w:ind w:left="9600" w:hanging="360"/>
      </w:pPr>
      <w:rPr>
        <w:rFonts w:ascii="Courier New" w:hAnsi="Courier New" w:cs="Courier New" w:hint="default"/>
      </w:rPr>
    </w:lvl>
    <w:lvl w:ilvl="8" w:tplc="08090005" w:tentative="1">
      <w:start w:val="1"/>
      <w:numFmt w:val="bullet"/>
      <w:lvlText w:val=""/>
      <w:lvlJc w:val="left"/>
      <w:pPr>
        <w:ind w:left="10320" w:hanging="360"/>
      </w:pPr>
      <w:rPr>
        <w:rFonts w:ascii="Wingdings" w:hAnsi="Wingdings" w:hint="default"/>
      </w:rPr>
    </w:lvl>
  </w:abstractNum>
  <w:abstractNum w:abstractNumId="22">
    <w:nsid w:val="5D8D3F32"/>
    <w:multiLevelType w:val="hybridMultilevel"/>
    <w:tmpl w:val="4224ED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AF3AEC"/>
    <w:multiLevelType w:val="hybridMultilevel"/>
    <w:tmpl w:val="7DE0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270D87"/>
    <w:multiLevelType w:val="hybridMultilevel"/>
    <w:tmpl w:val="34D416EA"/>
    <w:lvl w:ilvl="0" w:tplc="78C0F516">
      <w:start w:val="1"/>
      <w:numFmt w:val="bullet"/>
      <w:lvlText w:val="•"/>
      <w:lvlJc w:val="left"/>
      <w:pPr>
        <w:tabs>
          <w:tab w:val="num" w:pos="720"/>
        </w:tabs>
        <w:ind w:left="720" w:hanging="360"/>
      </w:pPr>
      <w:rPr>
        <w:rFonts w:ascii="Arial" w:hAnsi="Arial" w:hint="default"/>
      </w:rPr>
    </w:lvl>
    <w:lvl w:ilvl="1" w:tplc="FD8EEC92" w:tentative="1">
      <w:start w:val="1"/>
      <w:numFmt w:val="bullet"/>
      <w:lvlText w:val="•"/>
      <w:lvlJc w:val="left"/>
      <w:pPr>
        <w:tabs>
          <w:tab w:val="num" w:pos="1440"/>
        </w:tabs>
        <w:ind w:left="1440" w:hanging="360"/>
      </w:pPr>
      <w:rPr>
        <w:rFonts w:ascii="Arial" w:hAnsi="Arial" w:hint="default"/>
      </w:rPr>
    </w:lvl>
    <w:lvl w:ilvl="2" w:tplc="3C9A6B1E" w:tentative="1">
      <w:start w:val="1"/>
      <w:numFmt w:val="bullet"/>
      <w:lvlText w:val="•"/>
      <w:lvlJc w:val="left"/>
      <w:pPr>
        <w:tabs>
          <w:tab w:val="num" w:pos="2160"/>
        </w:tabs>
        <w:ind w:left="2160" w:hanging="360"/>
      </w:pPr>
      <w:rPr>
        <w:rFonts w:ascii="Arial" w:hAnsi="Arial" w:hint="default"/>
      </w:rPr>
    </w:lvl>
    <w:lvl w:ilvl="3" w:tplc="F3047F12" w:tentative="1">
      <w:start w:val="1"/>
      <w:numFmt w:val="bullet"/>
      <w:lvlText w:val="•"/>
      <w:lvlJc w:val="left"/>
      <w:pPr>
        <w:tabs>
          <w:tab w:val="num" w:pos="2880"/>
        </w:tabs>
        <w:ind w:left="2880" w:hanging="360"/>
      </w:pPr>
      <w:rPr>
        <w:rFonts w:ascii="Arial" w:hAnsi="Arial" w:hint="default"/>
      </w:rPr>
    </w:lvl>
    <w:lvl w:ilvl="4" w:tplc="3844D182" w:tentative="1">
      <w:start w:val="1"/>
      <w:numFmt w:val="bullet"/>
      <w:lvlText w:val="•"/>
      <w:lvlJc w:val="left"/>
      <w:pPr>
        <w:tabs>
          <w:tab w:val="num" w:pos="3600"/>
        </w:tabs>
        <w:ind w:left="3600" w:hanging="360"/>
      </w:pPr>
      <w:rPr>
        <w:rFonts w:ascii="Arial" w:hAnsi="Arial" w:hint="default"/>
      </w:rPr>
    </w:lvl>
    <w:lvl w:ilvl="5" w:tplc="28F0E250" w:tentative="1">
      <w:start w:val="1"/>
      <w:numFmt w:val="bullet"/>
      <w:lvlText w:val="•"/>
      <w:lvlJc w:val="left"/>
      <w:pPr>
        <w:tabs>
          <w:tab w:val="num" w:pos="4320"/>
        </w:tabs>
        <w:ind w:left="4320" w:hanging="360"/>
      </w:pPr>
      <w:rPr>
        <w:rFonts w:ascii="Arial" w:hAnsi="Arial" w:hint="default"/>
      </w:rPr>
    </w:lvl>
    <w:lvl w:ilvl="6" w:tplc="AC5E3658" w:tentative="1">
      <w:start w:val="1"/>
      <w:numFmt w:val="bullet"/>
      <w:lvlText w:val="•"/>
      <w:lvlJc w:val="left"/>
      <w:pPr>
        <w:tabs>
          <w:tab w:val="num" w:pos="5040"/>
        </w:tabs>
        <w:ind w:left="5040" w:hanging="360"/>
      </w:pPr>
      <w:rPr>
        <w:rFonts w:ascii="Arial" w:hAnsi="Arial" w:hint="default"/>
      </w:rPr>
    </w:lvl>
    <w:lvl w:ilvl="7" w:tplc="5CE05154" w:tentative="1">
      <w:start w:val="1"/>
      <w:numFmt w:val="bullet"/>
      <w:lvlText w:val="•"/>
      <w:lvlJc w:val="left"/>
      <w:pPr>
        <w:tabs>
          <w:tab w:val="num" w:pos="5760"/>
        </w:tabs>
        <w:ind w:left="5760" w:hanging="360"/>
      </w:pPr>
      <w:rPr>
        <w:rFonts w:ascii="Arial" w:hAnsi="Arial" w:hint="default"/>
      </w:rPr>
    </w:lvl>
    <w:lvl w:ilvl="8" w:tplc="6D98C95E" w:tentative="1">
      <w:start w:val="1"/>
      <w:numFmt w:val="bullet"/>
      <w:lvlText w:val="•"/>
      <w:lvlJc w:val="left"/>
      <w:pPr>
        <w:tabs>
          <w:tab w:val="num" w:pos="6480"/>
        </w:tabs>
        <w:ind w:left="6480" w:hanging="360"/>
      </w:pPr>
      <w:rPr>
        <w:rFonts w:ascii="Arial" w:hAnsi="Arial" w:hint="default"/>
      </w:rPr>
    </w:lvl>
  </w:abstractNum>
  <w:abstractNum w:abstractNumId="25">
    <w:nsid w:val="710632FF"/>
    <w:multiLevelType w:val="hybridMultilevel"/>
    <w:tmpl w:val="5128D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56E33"/>
    <w:multiLevelType w:val="hybridMultilevel"/>
    <w:tmpl w:val="B6A428D8"/>
    <w:lvl w:ilvl="0" w:tplc="6F7448F0">
      <w:start w:val="1"/>
      <w:numFmt w:val="bullet"/>
      <w:lvlText w:val="•"/>
      <w:lvlJc w:val="left"/>
      <w:pPr>
        <w:tabs>
          <w:tab w:val="num" w:pos="720"/>
        </w:tabs>
        <w:ind w:left="720" w:hanging="360"/>
      </w:pPr>
      <w:rPr>
        <w:rFonts w:ascii="Arial" w:hAnsi="Arial" w:hint="default"/>
      </w:rPr>
    </w:lvl>
    <w:lvl w:ilvl="1" w:tplc="A5842478">
      <w:start w:val="6158"/>
      <w:numFmt w:val="bullet"/>
      <w:lvlText w:val="•"/>
      <w:lvlJc w:val="left"/>
      <w:pPr>
        <w:tabs>
          <w:tab w:val="num" w:pos="1440"/>
        </w:tabs>
        <w:ind w:left="1440" w:hanging="360"/>
      </w:pPr>
      <w:rPr>
        <w:rFonts w:ascii="Arial" w:hAnsi="Arial" w:hint="default"/>
      </w:rPr>
    </w:lvl>
    <w:lvl w:ilvl="2" w:tplc="6F266520">
      <w:start w:val="6158"/>
      <w:numFmt w:val="bullet"/>
      <w:lvlText w:val="•"/>
      <w:lvlJc w:val="left"/>
      <w:pPr>
        <w:tabs>
          <w:tab w:val="num" w:pos="2160"/>
        </w:tabs>
        <w:ind w:left="2160" w:hanging="360"/>
      </w:pPr>
      <w:rPr>
        <w:rFonts w:ascii="Arial" w:hAnsi="Arial" w:hint="default"/>
      </w:rPr>
    </w:lvl>
    <w:lvl w:ilvl="3" w:tplc="E51E5546" w:tentative="1">
      <w:start w:val="1"/>
      <w:numFmt w:val="bullet"/>
      <w:lvlText w:val="•"/>
      <w:lvlJc w:val="left"/>
      <w:pPr>
        <w:tabs>
          <w:tab w:val="num" w:pos="2880"/>
        </w:tabs>
        <w:ind w:left="2880" w:hanging="360"/>
      </w:pPr>
      <w:rPr>
        <w:rFonts w:ascii="Arial" w:hAnsi="Arial" w:hint="default"/>
      </w:rPr>
    </w:lvl>
    <w:lvl w:ilvl="4" w:tplc="F9664050" w:tentative="1">
      <w:start w:val="1"/>
      <w:numFmt w:val="bullet"/>
      <w:lvlText w:val="•"/>
      <w:lvlJc w:val="left"/>
      <w:pPr>
        <w:tabs>
          <w:tab w:val="num" w:pos="3600"/>
        </w:tabs>
        <w:ind w:left="3600" w:hanging="360"/>
      </w:pPr>
      <w:rPr>
        <w:rFonts w:ascii="Arial" w:hAnsi="Arial" w:hint="default"/>
      </w:rPr>
    </w:lvl>
    <w:lvl w:ilvl="5" w:tplc="C5909F10" w:tentative="1">
      <w:start w:val="1"/>
      <w:numFmt w:val="bullet"/>
      <w:lvlText w:val="•"/>
      <w:lvlJc w:val="left"/>
      <w:pPr>
        <w:tabs>
          <w:tab w:val="num" w:pos="4320"/>
        </w:tabs>
        <w:ind w:left="4320" w:hanging="360"/>
      </w:pPr>
      <w:rPr>
        <w:rFonts w:ascii="Arial" w:hAnsi="Arial" w:hint="default"/>
      </w:rPr>
    </w:lvl>
    <w:lvl w:ilvl="6" w:tplc="C0389FE8" w:tentative="1">
      <w:start w:val="1"/>
      <w:numFmt w:val="bullet"/>
      <w:lvlText w:val="•"/>
      <w:lvlJc w:val="left"/>
      <w:pPr>
        <w:tabs>
          <w:tab w:val="num" w:pos="5040"/>
        </w:tabs>
        <w:ind w:left="5040" w:hanging="360"/>
      </w:pPr>
      <w:rPr>
        <w:rFonts w:ascii="Arial" w:hAnsi="Arial" w:hint="default"/>
      </w:rPr>
    </w:lvl>
    <w:lvl w:ilvl="7" w:tplc="F91C2F5A" w:tentative="1">
      <w:start w:val="1"/>
      <w:numFmt w:val="bullet"/>
      <w:lvlText w:val="•"/>
      <w:lvlJc w:val="left"/>
      <w:pPr>
        <w:tabs>
          <w:tab w:val="num" w:pos="5760"/>
        </w:tabs>
        <w:ind w:left="5760" w:hanging="360"/>
      </w:pPr>
      <w:rPr>
        <w:rFonts w:ascii="Arial" w:hAnsi="Arial" w:hint="default"/>
      </w:rPr>
    </w:lvl>
    <w:lvl w:ilvl="8" w:tplc="DB7236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3"/>
  </w:num>
  <w:num w:numId="5">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20"/>
  </w:num>
  <w:num w:numId="9">
    <w:abstractNumId w:val="24"/>
  </w:num>
  <w:num w:numId="10">
    <w:abstractNumId w:val="7"/>
  </w:num>
  <w:num w:numId="11">
    <w:abstractNumId w:val="18"/>
  </w:num>
  <w:num w:numId="12">
    <w:abstractNumId w:val="14"/>
  </w:num>
  <w:num w:numId="13">
    <w:abstractNumId w:val="11"/>
  </w:num>
  <w:num w:numId="14">
    <w:abstractNumId w:val="15"/>
  </w:num>
  <w:num w:numId="15">
    <w:abstractNumId w:val="10"/>
  </w:num>
  <w:num w:numId="16">
    <w:abstractNumId w:val="4"/>
  </w:num>
  <w:num w:numId="17">
    <w:abstractNumId w:val="0"/>
  </w:num>
  <w:num w:numId="18">
    <w:abstractNumId w:val="26"/>
  </w:num>
  <w:num w:numId="19">
    <w:abstractNumId w:val="19"/>
  </w:num>
  <w:num w:numId="20">
    <w:abstractNumId w:val="1"/>
  </w:num>
  <w:num w:numId="21">
    <w:abstractNumId w:val="13"/>
  </w:num>
  <w:num w:numId="22">
    <w:abstractNumId w:val="17"/>
  </w:num>
  <w:num w:numId="23">
    <w:abstractNumId w:val="16"/>
  </w:num>
  <w:num w:numId="24">
    <w:abstractNumId w:val="2"/>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annis Latoudis">
    <w15:presenceInfo w15:providerId="Windows Live" w15:userId="d2652b3c93abad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doNotTrackFormatting/>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lt;UNUSED&gt;"/>
    <w:docVar w:name="LW_CONFIDENCE" w:val=" "/>
    <w:docVar w:name="LW_CONST_RESTREINT_UE" w:val="RESTREINT UE"/>
    <w:docVar w:name="LW_CORRIGENDUM" w:val="&lt;UNUSED&gt;"/>
    <w:docVar w:name="LW_COVERPAGE_GUID" w:val="CA633581FE004EE18162B5D8B0498265"/>
    <w:docVar w:name="LW_CROSSREFERENCE" w:val="&lt;UNUSED&gt;"/>
    <w:docVar w:name="LW_DATE.ADOPT.CP_ISODATE" w:val="&lt;EMPTY&gt;"/>
    <w:docVar w:name="LW_DocType" w:val="NORMAL"/>
    <w:docVar w:name="LW_EMISSION" w:val="28.6.2017"/>
    <w:docVar w:name="LW_EMISSION_ISODATE" w:val="2017-06-28"/>
    <w:docVar w:name="LW_EMISSION_LOCATION" w:val="BRX"/>
    <w:docVar w:name="LW_EMISSION_PREFIX" w:val="Bruxelles, le "/>
    <w:docVar w:name="LW_EMISSION_SUFFIX" w:val=" "/>
    <w:docVar w:name="LW_ID_DOCTYPE_NONLW" w:val="CP-035"/>
    <w:docVar w:name="LW_INTERETEEE.CP" w:val="&lt;UNUSED&gt;"/>
    <w:docVar w:name="LW_LANGUE" w:val="FR"/>
    <w:docVar w:name="LW_LANGUESFAISANTFOI.CP" w:val="&lt;UNUSED&gt;"/>
    <w:docVar w:name="LW_MARKING" w:val="&lt;UNUSED&gt;"/>
    <w:docVar w:name="LW_NOM.INST" w:val="COMMISSION EUROPÉENNE"/>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358"/>
    <w:docVar w:name="LW_REF.INTERNE" w:val="&lt;UNUSED&gt;"/>
    <w:docVar w:name="LW_SOUS.TITRE.OBJ.CP" w:val="&lt;UNUSED&gt;"/>
    <w:docVar w:name="LW_SUPERTITRE" w:val="&lt;UNUSED&gt;"/>
    <w:docVar w:name="LW_TITRE.OBJ.CP" w:val="SUR L'AVENIR DES FINANCES DE L'UE"/>
    <w:docVar w:name="LW_TYPE.DOC.CP" w:val="DOCUMENT DE RÉFLEXION"/>
    <w:docVar w:name="LW_TYPEACTEPRINCIPAL.CP" w:val="&lt;UNUSED&gt;"/>
  </w:docVars>
  <w:rsids>
    <w:rsidRoot w:val="005965AE"/>
    <w:rsid w:val="005965AE"/>
    <w:rsid w:val="005A1D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lang w:eastAsia="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lang w:eastAsia="en-GB"/>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lang w:val="en-GB" w:eastAsia="en-GB"/>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lang w:eastAsia="en-GB"/>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lang w:val="en-GB" w:eastAsia="en-GB"/>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en-GB"/>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lang w:eastAsia="en-GB"/>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lang w:eastAsia="en-GB"/>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lang w:eastAsia="en-GB"/>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lang w:eastAsia="en-GB"/>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lang w:eastAsia="en-GB"/>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lang w:eastAsia="en-GB"/>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lang w:eastAsia="en-GB"/>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en-GB"/>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lang w:eastAsia="en-GB"/>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lang w:eastAsia="en-GB"/>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lang w:eastAsia="en-GB"/>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lang w:eastAsia="en-GB"/>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lang w:eastAsia="en-GB"/>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lang w:eastAsia="en-GB"/>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lang w:eastAsia="en-GB"/>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lang w:eastAsia="en-GB"/>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lang w:eastAsia="en-GB"/>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lang w:eastAsia="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lang w:eastAsia="en-GB"/>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lang w:val="en-GB" w:eastAsia="en-GB"/>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lang w:eastAsia="en-GB"/>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lang w:val="en-GB" w:eastAsia="en-GB"/>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en-GB"/>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lang w:eastAsia="en-GB"/>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lang w:eastAsia="en-GB"/>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lang w:eastAsia="en-GB"/>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lang w:eastAsia="en-GB"/>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lang w:eastAsia="en-GB"/>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lang w:eastAsia="en-GB"/>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lang w:eastAsia="en-GB"/>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en-GB"/>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lang w:eastAsia="en-GB"/>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lang w:eastAsia="en-GB"/>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lang w:eastAsia="en-GB"/>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lang w:eastAsia="en-GB"/>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lang w:eastAsia="en-GB"/>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lang w:eastAsia="en-GB"/>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lang w:eastAsia="en-GB"/>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lang w:eastAsia="en-GB"/>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lang w:eastAsia="en-GB"/>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86">
      <w:bodyDiv w:val="1"/>
      <w:marLeft w:val="0"/>
      <w:marRight w:val="0"/>
      <w:marTop w:val="0"/>
      <w:marBottom w:val="0"/>
      <w:divBdr>
        <w:top w:val="none" w:sz="0" w:space="0" w:color="auto"/>
        <w:left w:val="none" w:sz="0" w:space="0" w:color="auto"/>
        <w:bottom w:val="none" w:sz="0" w:space="0" w:color="auto"/>
        <w:right w:val="none" w:sz="0" w:space="0" w:color="auto"/>
      </w:divBdr>
    </w:div>
    <w:div w:id="7487168">
      <w:bodyDiv w:val="1"/>
      <w:marLeft w:val="0"/>
      <w:marRight w:val="0"/>
      <w:marTop w:val="0"/>
      <w:marBottom w:val="0"/>
      <w:divBdr>
        <w:top w:val="none" w:sz="0" w:space="0" w:color="auto"/>
        <w:left w:val="none" w:sz="0" w:space="0" w:color="auto"/>
        <w:bottom w:val="none" w:sz="0" w:space="0" w:color="auto"/>
        <w:right w:val="none" w:sz="0" w:space="0" w:color="auto"/>
      </w:divBdr>
    </w:div>
    <w:div w:id="16664774">
      <w:bodyDiv w:val="1"/>
      <w:marLeft w:val="0"/>
      <w:marRight w:val="0"/>
      <w:marTop w:val="0"/>
      <w:marBottom w:val="0"/>
      <w:divBdr>
        <w:top w:val="none" w:sz="0" w:space="0" w:color="auto"/>
        <w:left w:val="none" w:sz="0" w:space="0" w:color="auto"/>
        <w:bottom w:val="none" w:sz="0" w:space="0" w:color="auto"/>
        <w:right w:val="none" w:sz="0" w:space="0" w:color="auto"/>
      </w:divBdr>
    </w:div>
    <w:div w:id="65495041">
      <w:bodyDiv w:val="1"/>
      <w:marLeft w:val="0"/>
      <w:marRight w:val="0"/>
      <w:marTop w:val="0"/>
      <w:marBottom w:val="0"/>
      <w:divBdr>
        <w:top w:val="none" w:sz="0" w:space="0" w:color="auto"/>
        <w:left w:val="none" w:sz="0" w:space="0" w:color="auto"/>
        <w:bottom w:val="none" w:sz="0" w:space="0" w:color="auto"/>
        <w:right w:val="none" w:sz="0" w:space="0" w:color="auto"/>
      </w:divBdr>
    </w:div>
    <w:div w:id="76480562">
      <w:bodyDiv w:val="1"/>
      <w:marLeft w:val="0"/>
      <w:marRight w:val="0"/>
      <w:marTop w:val="0"/>
      <w:marBottom w:val="0"/>
      <w:divBdr>
        <w:top w:val="none" w:sz="0" w:space="0" w:color="auto"/>
        <w:left w:val="none" w:sz="0" w:space="0" w:color="auto"/>
        <w:bottom w:val="none" w:sz="0" w:space="0" w:color="auto"/>
        <w:right w:val="none" w:sz="0" w:space="0" w:color="auto"/>
      </w:divBdr>
    </w:div>
    <w:div w:id="93941829">
      <w:bodyDiv w:val="1"/>
      <w:marLeft w:val="0"/>
      <w:marRight w:val="0"/>
      <w:marTop w:val="0"/>
      <w:marBottom w:val="0"/>
      <w:divBdr>
        <w:top w:val="none" w:sz="0" w:space="0" w:color="auto"/>
        <w:left w:val="none" w:sz="0" w:space="0" w:color="auto"/>
        <w:bottom w:val="none" w:sz="0" w:space="0" w:color="auto"/>
        <w:right w:val="none" w:sz="0" w:space="0" w:color="auto"/>
      </w:divBdr>
    </w:div>
    <w:div w:id="145054620">
      <w:bodyDiv w:val="1"/>
      <w:marLeft w:val="0"/>
      <w:marRight w:val="0"/>
      <w:marTop w:val="0"/>
      <w:marBottom w:val="0"/>
      <w:divBdr>
        <w:top w:val="none" w:sz="0" w:space="0" w:color="auto"/>
        <w:left w:val="none" w:sz="0" w:space="0" w:color="auto"/>
        <w:bottom w:val="none" w:sz="0" w:space="0" w:color="auto"/>
        <w:right w:val="none" w:sz="0" w:space="0" w:color="auto"/>
      </w:divBdr>
    </w:div>
    <w:div w:id="155195134">
      <w:bodyDiv w:val="1"/>
      <w:marLeft w:val="0"/>
      <w:marRight w:val="0"/>
      <w:marTop w:val="0"/>
      <w:marBottom w:val="0"/>
      <w:divBdr>
        <w:top w:val="none" w:sz="0" w:space="0" w:color="auto"/>
        <w:left w:val="none" w:sz="0" w:space="0" w:color="auto"/>
        <w:bottom w:val="none" w:sz="0" w:space="0" w:color="auto"/>
        <w:right w:val="none" w:sz="0" w:space="0" w:color="auto"/>
      </w:divBdr>
    </w:div>
    <w:div w:id="160046819">
      <w:bodyDiv w:val="1"/>
      <w:marLeft w:val="0"/>
      <w:marRight w:val="0"/>
      <w:marTop w:val="0"/>
      <w:marBottom w:val="0"/>
      <w:divBdr>
        <w:top w:val="none" w:sz="0" w:space="0" w:color="auto"/>
        <w:left w:val="none" w:sz="0" w:space="0" w:color="auto"/>
        <w:bottom w:val="none" w:sz="0" w:space="0" w:color="auto"/>
        <w:right w:val="none" w:sz="0" w:space="0" w:color="auto"/>
      </w:divBdr>
      <w:divsChild>
        <w:div w:id="1793983635">
          <w:marLeft w:val="0"/>
          <w:marRight w:val="0"/>
          <w:marTop w:val="0"/>
          <w:marBottom w:val="0"/>
          <w:divBdr>
            <w:top w:val="none" w:sz="0" w:space="0" w:color="auto"/>
            <w:left w:val="none" w:sz="0" w:space="0" w:color="auto"/>
            <w:bottom w:val="none" w:sz="0" w:space="0" w:color="auto"/>
            <w:right w:val="none" w:sz="0" w:space="0" w:color="auto"/>
          </w:divBdr>
          <w:divsChild>
            <w:div w:id="84570533">
              <w:marLeft w:val="-225"/>
              <w:marRight w:val="-225"/>
              <w:marTop w:val="0"/>
              <w:marBottom w:val="0"/>
              <w:divBdr>
                <w:top w:val="none" w:sz="0" w:space="0" w:color="auto"/>
                <w:left w:val="none" w:sz="0" w:space="0" w:color="auto"/>
                <w:bottom w:val="none" w:sz="0" w:space="0" w:color="auto"/>
                <w:right w:val="none" w:sz="0" w:space="0" w:color="auto"/>
              </w:divBdr>
              <w:divsChild>
                <w:div w:id="633289308">
                  <w:marLeft w:val="0"/>
                  <w:marRight w:val="0"/>
                  <w:marTop w:val="0"/>
                  <w:marBottom w:val="0"/>
                  <w:divBdr>
                    <w:top w:val="none" w:sz="0" w:space="0" w:color="auto"/>
                    <w:left w:val="none" w:sz="0" w:space="0" w:color="auto"/>
                    <w:bottom w:val="none" w:sz="0" w:space="0" w:color="auto"/>
                    <w:right w:val="none" w:sz="0" w:space="0" w:color="auto"/>
                  </w:divBdr>
                  <w:divsChild>
                    <w:div w:id="574582873">
                      <w:marLeft w:val="-225"/>
                      <w:marRight w:val="-225"/>
                      <w:marTop w:val="0"/>
                      <w:marBottom w:val="0"/>
                      <w:divBdr>
                        <w:top w:val="none" w:sz="0" w:space="0" w:color="auto"/>
                        <w:left w:val="none" w:sz="0" w:space="0" w:color="auto"/>
                        <w:bottom w:val="none" w:sz="0" w:space="0" w:color="auto"/>
                        <w:right w:val="none" w:sz="0" w:space="0" w:color="auto"/>
                      </w:divBdr>
                      <w:divsChild>
                        <w:div w:id="942961696">
                          <w:marLeft w:val="0"/>
                          <w:marRight w:val="0"/>
                          <w:marTop w:val="0"/>
                          <w:marBottom w:val="0"/>
                          <w:divBdr>
                            <w:top w:val="none" w:sz="0" w:space="0" w:color="auto"/>
                            <w:left w:val="none" w:sz="0" w:space="0" w:color="auto"/>
                            <w:bottom w:val="none" w:sz="0" w:space="0" w:color="auto"/>
                            <w:right w:val="none" w:sz="0" w:space="0" w:color="auto"/>
                          </w:divBdr>
                          <w:divsChild>
                            <w:div w:id="373847069">
                              <w:marLeft w:val="0"/>
                              <w:marRight w:val="0"/>
                              <w:marTop w:val="0"/>
                              <w:marBottom w:val="0"/>
                              <w:divBdr>
                                <w:top w:val="none" w:sz="0" w:space="0" w:color="auto"/>
                                <w:left w:val="none" w:sz="0" w:space="0" w:color="auto"/>
                                <w:bottom w:val="none" w:sz="0" w:space="0" w:color="auto"/>
                                <w:right w:val="none" w:sz="0" w:space="0" w:color="auto"/>
                              </w:divBdr>
                              <w:divsChild>
                                <w:div w:id="1821383726">
                                  <w:marLeft w:val="0"/>
                                  <w:marRight w:val="0"/>
                                  <w:marTop w:val="0"/>
                                  <w:marBottom w:val="0"/>
                                  <w:divBdr>
                                    <w:top w:val="none" w:sz="0" w:space="0" w:color="auto"/>
                                    <w:left w:val="none" w:sz="0" w:space="0" w:color="auto"/>
                                    <w:bottom w:val="none" w:sz="0" w:space="0" w:color="auto"/>
                                    <w:right w:val="none" w:sz="0" w:space="0" w:color="auto"/>
                                  </w:divBdr>
                                  <w:divsChild>
                                    <w:div w:id="2110195145">
                                      <w:marLeft w:val="0"/>
                                      <w:marRight w:val="0"/>
                                      <w:marTop w:val="0"/>
                                      <w:marBottom w:val="0"/>
                                      <w:divBdr>
                                        <w:top w:val="none" w:sz="0" w:space="0" w:color="auto"/>
                                        <w:left w:val="none" w:sz="0" w:space="0" w:color="auto"/>
                                        <w:bottom w:val="none" w:sz="0" w:space="0" w:color="auto"/>
                                        <w:right w:val="none" w:sz="0" w:space="0" w:color="auto"/>
                                      </w:divBdr>
                                      <w:divsChild>
                                        <w:div w:id="918292881">
                                          <w:marLeft w:val="0"/>
                                          <w:marRight w:val="0"/>
                                          <w:marTop w:val="0"/>
                                          <w:marBottom w:val="0"/>
                                          <w:divBdr>
                                            <w:top w:val="none" w:sz="0" w:space="0" w:color="auto"/>
                                            <w:left w:val="none" w:sz="0" w:space="0" w:color="auto"/>
                                            <w:bottom w:val="none" w:sz="0" w:space="0" w:color="auto"/>
                                            <w:right w:val="none" w:sz="0" w:space="0" w:color="auto"/>
                                          </w:divBdr>
                                          <w:divsChild>
                                            <w:div w:id="1790976641">
                                              <w:marLeft w:val="0"/>
                                              <w:marRight w:val="0"/>
                                              <w:marTop w:val="0"/>
                                              <w:marBottom w:val="0"/>
                                              <w:divBdr>
                                                <w:top w:val="none" w:sz="0" w:space="0" w:color="auto"/>
                                                <w:left w:val="none" w:sz="0" w:space="0" w:color="auto"/>
                                                <w:bottom w:val="none" w:sz="0" w:space="0" w:color="auto"/>
                                                <w:right w:val="none" w:sz="0" w:space="0" w:color="auto"/>
                                              </w:divBdr>
                                              <w:divsChild>
                                                <w:div w:id="1574314903">
                                                  <w:marLeft w:val="0"/>
                                                  <w:marRight w:val="0"/>
                                                  <w:marTop w:val="0"/>
                                                  <w:marBottom w:val="0"/>
                                                  <w:divBdr>
                                                    <w:top w:val="none" w:sz="0" w:space="0" w:color="auto"/>
                                                    <w:left w:val="none" w:sz="0" w:space="0" w:color="auto"/>
                                                    <w:bottom w:val="none" w:sz="0" w:space="0" w:color="auto"/>
                                                    <w:right w:val="none" w:sz="0" w:space="0" w:color="auto"/>
                                                  </w:divBdr>
                                                  <w:divsChild>
                                                    <w:div w:id="725950489">
                                                      <w:marLeft w:val="0"/>
                                                      <w:marRight w:val="0"/>
                                                      <w:marTop w:val="0"/>
                                                      <w:marBottom w:val="0"/>
                                                      <w:divBdr>
                                                        <w:top w:val="none" w:sz="0" w:space="0" w:color="auto"/>
                                                        <w:left w:val="none" w:sz="0" w:space="0" w:color="auto"/>
                                                        <w:bottom w:val="none" w:sz="0" w:space="0" w:color="auto"/>
                                                        <w:right w:val="none" w:sz="0" w:space="0" w:color="auto"/>
                                                      </w:divBdr>
                                                      <w:divsChild>
                                                        <w:div w:id="3323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817208">
      <w:bodyDiv w:val="1"/>
      <w:marLeft w:val="0"/>
      <w:marRight w:val="0"/>
      <w:marTop w:val="0"/>
      <w:marBottom w:val="0"/>
      <w:divBdr>
        <w:top w:val="none" w:sz="0" w:space="0" w:color="auto"/>
        <w:left w:val="none" w:sz="0" w:space="0" w:color="auto"/>
        <w:bottom w:val="none" w:sz="0" w:space="0" w:color="auto"/>
        <w:right w:val="none" w:sz="0" w:space="0" w:color="auto"/>
      </w:divBdr>
    </w:div>
    <w:div w:id="234248564">
      <w:bodyDiv w:val="1"/>
      <w:marLeft w:val="0"/>
      <w:marRight w:val="0"/>
      <w:marTop w:val="0"/>
      <w:marBottom w:val="0"/>
      <w:divBdr>
        <w:top w:val="none" w:sz="0" w:space="0" w:color="auto"/>
        <w:left w:val="none" w:sz="0" w:space="0" w:color="auto"/>
        <w:bottom w:val="none" w:sz="0" w:space="0" w:color="auto"/>
        <w:right w:val="none" w:sz="0" w:space="0" w:color="auto"/>
      </w:divBdr>
    </w:div>
    <w:div w:id="237445362">
      <w:bodyDiv w:val="1"/>
      <w:marLeft w:val="0"/>
      <w:marRight w:val="0"/>
      <w:marTop w:val="0"/>
      <w:marBottom w:val="0"/>
      <w:divBdr>
        <w:top w:val="none" w:sz="0" w:space="0" w:color="auto"/>
        <w:left w:val="none" w:sz="0" w:space="0" w:color="auto"/>
        <w:bottom w:val="none" w:sz="0" w:space="0" w:color="auto"/>
        <w:right w:val="none" w:sz="0" w:space="0" w:color="auto"/>
      </w:divBdr>
    </w:div>
    <w:div w:id="261955513">
      <w:bodyDiv w:val="1"/>
      <w:marLeft w:val="0"/>
      <w:marRight w:val="0"/>
      <w:marTop w:val="0"/>
      <w:marBottom w:val="0"/>
      <w:divBdr>
        <w:top w:val="none" w:sz="0" w:space="0" w:color="auto"/>
        <w:left w:val="none" w:sz="0" w:space="0" w:color="auto"/>
        <w:bottom w:val="none" w:sz="0" w:space="0" w:color="auto"/>
        <w:right w:val="none" w:sz="0" w:space="0" w:color="auto"/>
      </w:divBdr>
    </w:div>
    <w:div w:id="305862871">
      <w:bodyDiv w:val="1"/>
      <w:marLeft w:val="0"/>
      <w:marRight w:val="0"/>
      <w:marTop w:val="0"/>
      <w:marBottom w:val="0"/>
      <w:divBdr>
        <w:top w:val="none" w:sz="0" w:space="0" w:color="auto"/>
        <w:left w:val="none" w:sz="0" w:space="0" w:color="auto"/>
        <w:bottom w:val="none" w:sz="0" w:space="0" w:color="auto"/>
        <w:right w:val="none" w:sz="0" w:space="0" w:color="auto"/>
      </w:divBdr>
    </w:div>
    <w:div w:id="556673023">
      <w:bodyDiv w:val="1"/>
      <w:marLeft w:val="0"/>
      <w:marRight w:val="0"/>
      <w:marTop w:val="0"/>
      <w:marBottom w:val="0"/>
      <w:divBdr>
        <w:top w:val="none" w:sz="0" w:space="0" w:color="auto"/>
        <w:left w:val="none" w:sz="0" w:space="0" w:color="auto"/>
        <w:bottom w:val="none" w:sz="0" w:space="0" w:color="auto"/>
        <w:right w:val="none" w:sz="0" w:space="0" w:color="auto"/>
      </w:divBdr>
    </w:div>
    <w:div w:id="588542434">
      <w:bodyDiv w:val="1"/>
      <w:marLeft w:val="0"/>
      <w:marRight w:val="0"/>
      <w:marTop w:val="0"/>
      <w:marBottom w:val="0"/>
      <w:divBdr>
        <w:top w:val="none" w:sz="0" w:space="0" w:color="auto"/>
        <w:left w:val="none" w:sz="0" w:space="0" w:color="auto"/>
        <w:bottom w:val="none" w:sz="0" w:space="0" w:color="auto"/>
        <w:right w:val="none" w:sz="0" w:space="0" w:color="auto"/>
      </w:divBdr>
    </w:div>
    <w:div w:id="608199861">
      <w:bodyDiv w:val="1"/>
      <w:marLeft w:val="0"/>
      <w:marRight w:val="0"/>
      <w:marTop w:val="0"/>
      <w:marBottom w:val="0"/>
      <w:divBdr>
        <w:top w:val="none" w:sz="0" w:space="0" w:color="auto"/>
        <w:left w:val="none" w:sz="0" w:space="0" w:color="auto"/>
        <w:bottom w:val="none" w:sz="0" w:space="0" w:color="auto"/>
        <w:right w:val="none" w:sz="0" w:space="0" w:color="auto"/>
      </w:divBdr>
    </w:div>
    <w:div w:id="620721492">
      <w:bodyDiv w:val="1"/>
      <w:marLeft w:val="0"/>
      <w:marRight w:val="0"/>
      <w:marTop w:val="0"/>
      <w:marBottom w:val="0"/>
      <w:divBdr>
        <w:top w:val="none" w:sz="0" w:space="0" w:color="auto"/>
        <w:left w:val="none" w:sz="0" w:space="0" w:color="auto"/>
        <w:bottom w:val="none" w:sz="0" w:space="0" w:color="auto"/>
        <w:right w:val="none" w:sz="0" w:space="0" w:color="auto"/>
      </w:divBdr>
    </w:div>
    <w:div w:id="801574723">
      <w:bodyDiv w:val="1"/>
      <w:marLeft w:val="0"/>
      <w:marRight w:val="0"/>
      <w:marTop w:val="0"/>
      <w:marBottom w:val="0"/>
      <w:divBdr>
        <w:top w:val="none" w:sz="0" w:space="0" w:color="auto"/>
        <w:left w:val="none" w:sz="0" w:space="0" w:color="auto"/>
        <w:bottom w:val="none" w:sz="0" w:space="0" w:color="auto"/>
        <w:right w:val="none" w:sz="0" w:space="0" w:color="auto"/>
      </w:divBdr>
    </w:div>
    <w:div w:id="943729309">
      <w:bodyDiv w:val="1"/>
      <w:marLeft w:val="0"/>
      <w:marRight w:val="0"/>
      <w:marTop w:val="0"/>
      <w:marBottom w:val="0"/>
      <w:divBdr>
        <w:top w:val="none" w:sz="0" w:space="0" w:color="auto"/>
        <w:left w:val="none" w:sz="0" w:space="0" w:color="auto"/>
        <w:bottom w:val="none" w:sz="0" w:space="0" w:color="auto"/>
        <w:right w:val="none" w:sz="0" w:space="0" w:color="auto"/>
      </w:divBdr>
    </w:div>
    <w:div w:id="959651362">
      <w:bodyDiv w:val="1"/>
      <w:marLeft w:val="0"/>
      <w:marRight w:val="0"/>
      <w:marTop w:val="0"/>
      <w:marBottom w:val="0"/>
      <w:divBdr>
        <w:top w:val="none" w:sz="0" w:space="0" w:color="auto"/>
        <w:left w:val="none" w:sz="0" w:space="0" w:color="auto"/>
        <w:bottom w:val="none" w:sz="0" w:space="0" w:color="auto"/>
        <w:right w:val="none" w:sz="0" w:space="0" w:color="auto"/>
      </w:divBdr>
    </w:div>
    <w:div w:id="979073618">
      <w:bodyDiv w:val="1"/>
      <w:marLeft w:val="0"/>
      <w:marRight w:val="0"/>
      <w:marTop w:val="0"/>
      <w:marBottom w:val="0"/>
      <w:divBdr>
        <w:top w:val="none" w:sz="0" w:space="0" w:color="auto"/>
        <w:left w:val="none" w:sz="0" w:space="0" w:color="auto"/>
        <w:bottom w:val="none" w:sz="0" w:space="0" w:color="auto"/>
        <w:right w:val="none" w:sz="0" w:space="0" w:color="auto"/>
      </w:divBdr>
    </w:div>
    <w:div w:id="1017345689">
      <w:bodyDiv w:val="1"/>
      <w:marLeft w:val="0"/>
      <w:marRight w:val="0"/>
      <w:marTop w:val="0"/>
      <w:marBottom w:val="0"/>
      <w:divBdr>
        <w:top w:val="none" w:sz="0" w:space="0" w:color="auto"/>
        <w:left w:val="none" w:sz="0" w:space="0" w:color="auto"/>
        <w:bottom w:val="none" w:sz="0" w:space="0" w:color="auto"/>
        <w:right w:val="none" w:sz="0" w:space="0" w:color="auto"/>
      </w:divBdr>
    </w:div>
    <w:div w:id="1179808456">
      <w:bodyDiv w:val="1"/>
      <w:marLeft w:val="0"/>
      <w:marRight w:val="0"/>
      <w:marTop w:val="0"/>
      <w:marBottom w:val="0"/>
      <w:divBdr>
        <w:top w:val="none" w:sz="0" w:space="0" w:color="auto"/>
        <w:left w:val="none" w:sz="0" w:space="0" w:color="auto"/>
        <w:bottom w:val="none" w:sz="0" w:space="0" w:color="auto"/>
        <w:right w:val="none" w:sz="0" w:space="0" w:color="auto"/>
      </w:divBdr>
    </w:div>
    <w:div w:id="1180461122">
      <w:bodyDiv w:val="1"/>
      <w:marLeft w:val="0"/>
      <w:marRight w:val="0"/>
      <w:marTop w:val="0"/>
      <w:marBottom w:val="0"/>
      <w:divBdr>
        <w:top w:val="none" w:sz="0" w:space="0" w:color="auto"/>
        <w:left w:val="none" w:sz="0" w:space="0" w:color="auto"/>
        <w:bottom w:val="none" w:sz="0" w:space="0" w:color="auto"/>
        <w:right w:val="none" w:sz="0" w:space="0" w:color="auto"/>
      </w:divBdr>
    </w:div>
    <w:div w:id="1235240385">
      <w:bodyDiv w:val="1"/>
      <w:marLeft w:val="0"/>
      <w:marRight w:val="0"/>
      <w:marTop w:val="0"/>
      <w:marBottom w:val="0"/>
      <w:divBdr>
        <w:top w:val="none" w:sz="0" w:space="0" w:color="auto"/>
        <w:left w:val="none" w:sz="0" w:space="0" w:color="auto"/>
        <w:bottom w:val="none" w:sz="0" w:space="0" w:color="auto"/>
        <w:right w:val="none" w:sz="0" w:space="0" w:color="auto"/>
      </w:divBdr>
    </w:div>
    <w:div w:id="1428650400">
      <w:bodyDiv w:val="1"/>
      <w:marLeft w:val="0"/>
      <w:marRight w:val="0"/>
      <w:marTop w:val="0"/>
      <w:marBottom w:val="0"/>
      <w:divBdr>
        <w:top w:val="none" w:sz="0" w:space="0" w:color="auto"/>
        <w:left w:val="none" w:sz="0" w:space="0" w:color="auto"/>
        <w:bottom w:val="none" w:sz="0" w:space="0" w:color="auto"/>
        <w:right w:val="none" w:sz="0" w:space="0" w:color="auto"/>
      </w:divBdr>
    </w:div>
    <w:div w:id="1451046593">
      <w:bodyDiv w:val="1"/>
      <w:marLeft w:val="0"/>
      <w:marRight w:val="0"/>
      <w:marTop w:val="0"/>
      <w:marBottom w:val="0"/>
      <w:divBdr>
        <w:top w:val="none" w:sz="0" w:space="0" w:color="auto"/>
        <w:left w:val="none" w:sz="0" w:space="0" w:color="auto"/>
        <w:bottom w:val="none" w:sz="0" w:space="0" w:color="auto"/>
        <w:right w:val="none" w:sz="0" w:space="0" w:color="auto"/>
      </w:divBdr>
    </w:div>
    <w:div w:id="1498498520">
      <w:bodyDiv w:val="1"/>
      <w:marLeft w:val="0"/>
      <w:marRight w:val="0"/>
      <w:marTop w:val="0"/>
      <w:marBottom w:val="0"/>
      <w:divBdr>
        <w:top w:val="none" w:sz="0" w:space="0" w:color="auto"/>
        <w:left w:val="none" w:sz="0" w:space="0" w:color="auto"/>
        <w:bottom w:val="none" w:sz="0" w:space="0" w:color="auto"/>
        <w:right w:val="none" w:sz="0" w:space="0" w:color="auto"/>
      </w:divBdr>
    </w:div>
    <w:div w:id="1517228642">
      <w:bodyDiv w:val="1"/>
      <w:marLeft w:val="0"/>
      <w:marRight w:val="0"/>
      <w:marTop w:val="0"/>
      <w:marBottom w:val="0"/>
      <w:divBdr>
        <w:top w:val="none" w:sz="0" w:space="0" w:color="auto"/>
        <w:left w:val="none" w:sz="0" w:space="0" w:color="auto"/>
        <w:bottom w:val="none" w:sz="0" w:space="0" w:color="auto"/>
        <w:right w:val="none" w:sz="0" w:space="0" w:color="auto"/>
      </w:divBdr>
    </w:div>
    <w:div w:id="1572353463">
      <w:bodyDiv w:val="1"/>
      <w:marLeft w:val="0"/>
      <w:marRight w:val="0"/>
      <w:marTop w:val="0"/>
      <w:marBottom w:val="0"/>
      <w:divBdr>
        <w:top w:val="none" w:sz="0" w:space="0" w:color="auto"/>
        <w:left w:val="none" w:sz="0" w:space="0" w:color="auto"/>
        <w:bottom w:val="none" w:sz="0" w:space="0" w:color="auto"/>
        <w:right w:val="none" w:sz="0" w:space="0" w:color="auto"/>
      </w:divBdr>
    </w:div>
    <w:div w:id="1633517162">
      <w:bodyDiv w:val="1"/>
      <w:marLeft w:val="0"/>
      <w:marRight w:val="0"/>
      <w:marTop w:val="0"/>
      <w:marBottom w:val="0"/>
      <w:divBdr>
        <w:top w:val="none" w:sz="0" w:space="0" w:color="auto"/>
        <w:left w:val="none" w:sz="0" w:space="0" w:color="auto"/>
        <w:bottom w:val="none" w:sz="0" w:space="0" w:color="auto"/>
        <w:right w:val="none" w:sz="0" w:space="0" w:color="auto"/>
      </w:divBdr>
    </w:div>
    <w:div w:id="1668366319">
      <w:bodyDiv w:val="1"/>
      <w:marLeft w:val="0"/>
      <w:marRight w:val="0"/>
      <w:marTop w:val="0"/>
      <w:marBottom w:val="0"/>
      <w:divBdr>
        <w:top w:val="none" w:sz="0" w:space="0" w:color="auto"/>
        <w:left w:val="none" w:sz="0" w:space="0" w:color="auto"/>
        <w:bottom w:val="none" w:sz="0" w:space="0" w:color="auto"/>
        <w:right w:val="none" w:sz="0" w:space="0" w:color="auto"/>
      </w:divBdr>
    </w:div>
    <w:div w:id="1686512377">
      <w:bodyDiv w:val="1"/>
      <w:marLeft w:val="0"/>
      <w:marRight w:val="0"/>
      <w:marTop w:val="0"/>
      <w:marBottom w:val="0"/>
      <w:divBdr>
        <w:top w:val="none" w:sz="0" w:space="0" w:color="auto"/>
        <w:left w:val="none" w:sz="0" w:space="0" w:color="auto"/>
        <w:bottom w:val="none" w:sz="0" w:space="0" w:color="auto"/>
        <w:right w:val="none" w:sz="0" w:space="0" w:color="auto"/>
      </w:divBdr>
      <w:divsChild>
        <w:div w:id="1402019245">
          <w:marLeft w:val="634"/>
          <w:marRight w:val="58"/>
          <w:marTop w:val="60"/>
          <w:marBottom w:val="60"/>
          <w:divBdr>
            <w:top w:val="none" w:sz="0" w:space="0" w:color="auto"/>
            <w:left w:val="none" w:sz="0" w:space="0" w:color="auto"/>
            <w:bottom w:val="none" w:sz="0" w:space="0" w:color="auto"/>
            <w:right w:val="none" w:sz="0" w:space="0" w:color="auto"/>
          </w:divBdr>
        </w:div>
        <w:div w:id="2084598852">
          <w:marLeft w:val="1123"/>
          <w:marRight w:val="58"/>
          <w:marTop w:val="60"/>
          <w:marBottom w:val="60"/>
          <w:divBdr>
            <w:top w:val="none" w:sz="0" w:space="0" w:color="auto"/>
            <w:left w:val="none" w:sz="0" w:space="0" w:color="auto"/>
            <w:bottom w:val="none" w:sz="0" w:space="0" w:color="auto"/>
            <w:right w:val="none" w:sz="0" w:space="0" w:color="auto"/>
          </w:divBdr>
        </w:div>
        <w:div w:id="532617020">
          <w:marLeft w:val="1123"/>
          <w:marRight w:val="58"/>
          <w:marTop w:val="60"/>
          <w:marBottom w:val="60"/>
          <w:divBdr>
            <w:top w:val="none" w:sz="0" w:space="0" w:color="auto"/>
            <w:left w:val="none" w:sz="0" w:space="0" w:color="auto"/>
            <w:bottom w:val="none" w:sz="0" w:space="0" w:color="auto"/>
            <w:right w:val="none" w:sz="0" w:space="0" w:color="auto"/>
          </w:divBdr>
        </w:div>
        <w:div w:id="620722143">
          <w:marLeft w:val="1123"/>
          <w:marRight w:val="58"/>
          <w:marTop w:val="60"/>
          <w:marBottom w:val="60"/>
          <w:divBdr>
            <w:top w:val="none" w:sz="0" w:space="0" w:color="auto"/>
            <w:left w:val="none" w:sz="0" w:space="0" w:color="auto"/>
            <w:bottom w:val="none" w:sz="0" w:space="0" w:color="auto"/>
            <w:right w:val="none" w:sz="0" w:space="0" w:color="auto"/>
          </w:divBdr>
        </w:div>
        <w:div w:id="559049786">
          <w:marLeft w:val="634"/>
          <w:marRight w:val="58"/>
          <w:marTop w:val="60"/>
          <w:marBottom w:val="60"/>
          <w:divBdr>
            <w:top w:val="none" w:sz="0" w:space="0" w:color="auto"/>
            <w:left w:val="none" w:sz="0" w:space="0" w:color="auto"/>
            <w:bottom w:val="none" w:sz="0" w:space="0" w:color="auto"/>
            <w:right w:val="none" w:sz="0" w:space="0" w:color="auto"/>
          </w:divBdr>
        </w:div>
        <w:div w:id="301665000">
          <w:marLeft w:val="446"/>
          <w:marRight w:val="58"/>
          <w:marTop w:val="60"/>
          <w:marBottom w:val="60"/>
          <w:divBdr>
            <w:top w:val="none" w:sz="0" w:space="0" w:color="auto"/>
            <w:left w:val="none" w:sz="0" w:space="0" w:color="auto"/>
            <w:bottom w:val="none" w:sz="0" w:space="0" w:color="auto"/>
            <w:right w:val="none" w:sz="0" w:space="0" w:color="auto"/>
          </w:divBdr>
        </w:div>
        <w:div w:id="2094622966">
          <w:marLeft w:val="1123"/>
          <w:marRight w:val="58"/>
          <w:marTop w:val="60"/>
          <w:marBottom w:val="60"/>
          <w:divBdr>
            <w:top w:val="none" w:sz="0" w:space="0" w:color="auto"/>
            <w:left w:val="none" w:sz="0" w:space="0" w:color="auto"/>
            <w:bottom w:val="none" w:sz="0" w:space="0" w:color="auto"/>
            <w:right w:val="none" w:sz="0" w:space="0" w:color="auto"/>
          </w:divBdr>
        </w:div>
        <w:div w:id="800342065">
          <w:marLeft w:val="1123"/>
          <w:marRight w:val="58"/>
          <w:marTop w:val="60"/>
          <w:marBottom w:val="60"/>
          <w:divBdr>
            <w:top w:val="none" w:sz="0" w:space="0" w:color="auto"/>
            <w:left w:val="none" w:sz="0" w:space="0" w:color="auto"/>
            <w:bottom w:val="none" w:sz="0" w:space="0" w:color="auto"/>
            <w:right w:val="none" w:sz="0" w:space="0" w:color="auto"/>
          </w:divBdr>
        </w:div>
        <w:div w:id="1889755918">
          <w:marLeft w:val="634"/>
          <w:marRight w:val="58"/>
          <w:marTop w:val="60"/>
          <w:marBottom w:val="60"/>
          <w:divBdr>
            <w:top w:val="none" w:sz="0" w:space="0" w:color="auto"/>
            <w:left w:val="none" w:sz="0" w:space="0" w:color="auto"/>
            <w:bottom w:val="none" w:sz="0" w:space="0" w:color="auto"/>
            <w:right w:val="none" w:sz="0" w:space="0" w:color="auto"/>
          </w:divBdr>
        </w:div>
        <w:div w:id="2030524272">
          <w:marLeft w:val="1123"/>
          <w:marRight w:val="58"/>
          <w:marTop w:val="60"/>
          <w:marBottom w:val="60"/>
          <w:divBdr>
            <w:top w:val="none" w:sz="0" w:space="0" w:color="auto"/>
            <w:left w:val="none" w:sz="0" w:space="0" w:color="auto"/>
            <w:bottom w:val="none" w:sz="0" w:space="0" w:color="auto"/>
            <w:right w:val="none" w:sz="0" w:space="0" w:color="auto"/>
          </w:divBdr>
        </w:div>
        <w:div w:id="331102313">
          <w:marLeft w:val="634"/>
          <w:marRight w:val="58"/>
          <w:marTop w:val="60"/>
          <w:marBottom w:val="60"/>
          <w:divBdr>
            <w:top w:val="none" w:sz="0" w:space="0" w:color="auto"/>
            <w:left w:val="none" w:sz="0" w:space="0" w:color="auto"/>
            <w:bottom w:val="none" w:sz="0" w:space="0" w:color="auto"/>
            <w:right w:val="none" w:sz="0" w:space="0" w:color="auto"/>
          </w:divBdr>
        </w:div>
        <w:div w:id="404376293">
          <w:marLeft w:val="1123"/>
          <w:marRight w:val="58"/>
          <w:marTop w:val="60"/>
          <w:marBottom w:val="60"/>
          <w:divBdr>
            <w:top w:val="none" w:sz="0" w:space="0" w:color="auto"/>
            <w:left w:val="none" w:sz="0" w:space="0" w:color="auto"/>
            <w:bottom w:val="none" w:sz="0" w:space="0" w:color="auto"/>
            <w:right w:val="none" w:sz="0" w:space="0" w:color="auto"/>
          </w:divBdr>
        </w:div>
        <w:div w:id="949750110">
          <w:marLeft w:val="1123"/>
          <w:marRight w:val="58"/>
          <w:marTop w:val="60"/>
          <w:marBottom w:val="60"/>
          <w:divBdr>
            <w:top w:val="none" w:sz="0" w:space="0" w:color="auto"/>
            <w:left w:val="none" w:sz="0" w:space="0" w:color="auto"/>
            <w:bottom w:val="none" w:sz="0" w:space="0" w:color="auto"/>
            <w:right w:val="none" w:sz="0" w:space="0" w:color="auto"/>
          </w:divBdr>
        </w:div>
      </w:divsChild>
    </w:div>
    <w:div w:id="1719360152">
      <w:bodyDiv w:val="1"/>
      <w:marLeft w:val="0"/>
      <w:marRight w:val="0"/>
      <w:marTop w:val="0"/>
      <w:marBottom w:val="0"/>
      <w:divBdr>
        <w:top w:val="none" w:sz="0" w:space="0" w:color="auto"/>
        <w:left w:val="none" w:sz="0" w:space="0" w:color="auto"/>
        <w:bottom w:val="none" w:sz="0" w:space="0" w:color="auto"/>
        <w:right w:val="none" w:sz="0" w:space="0" w:color="auto"/>
      </w:divBdr>
    </w:div>
    <w:div w:id="1722092029">
      <w:bodyDiv w:val="1"/>
      <w:marLeft w:val="0"/>
      <w:marRight w:val="0"/>
      <w:marTop w:val="0"/>
      <w:marBottom w:val="0"/>
      <w:divBdr>
        <w:top w:val="none" w:sz="0" w:space="0" w:color="auto"/>
        <w:left w:val="none" w:sz="0" w:space="0" w:color="auto"/>
        <w:bottom w:val="none" w:sz="0" w:space="0" w:color="auto"/>
        <w:right w:val="none" w:sz="0" w:space="0" w:color="auto"/>
      </w:divBdr>
    </w:div>
    <w:div w:id="1722099687">
      <w:bodyDiv w:val="1"/>
      <w:marLeft w:val="0"/>
      <w:marRight w:val="0"/>
      <w:marTop w:val="0"/>
      <w:marBottom w:val="0"/>
      <w:divBdr>
        <w:top w:val="none" w:sz="0" w:space="0" w:color="auto"/>
        <w:left w:val="none" w:sz="0" w:space="0" w:color="auto"/>
        <w:bottom w:val="none" w:sz="0" w:space="0" w:color="auto"/>
        <w:right w:val="none" w:sz="0" w:space="0" w:color="auto"/>
      </w:divBdr>
    </w:div>
    <w:div w:id="1747073774">
      <w:bodyDiv w:val="1"/>
      <w:marLeft w:val="0"/>
      <w:marRight w:val="0"/>
      <w:marTop w:val="0"/>
      <w:marBottom w:val="0"/>
      <w:divBdr>
        <w:top w:val="none" w:sz="0" w:space="0" w:color="auto"/>
        <w:left w:val="none" w:sz="0" w:space="0" w:color="auto"/>
        <w:bottom w:val="none" w:sz="0" w:space="0" w:color="auto"/>
        <w:right w:val="none" w:sz="0" w:space="0" w:color="auto"/>
      </w:divBdr>
    </w:div>
    <w:div w:id="1751001575">
      <w:bodyDiv w:val="1"/>
      <w:marLeft w:val="0"/>
      <w:marRight w:val="0"/>
      <w:marTop w:val="0"/>
      <w:marBottom w:val="0"/>
      <w:divBdr>
        <w:top w:val="none" w:sz="0" w:space="0" w:color="auto"/>
        <w:left w:val="none" w:sz="0" w:space="0" w:color="auto"/>
        <w:bottom w:val="none" w:sz="0" w:space="0" w:color="auto"/>
        <w:right w:val="none" w:sz="0" w:space="0" w:color="auto"/>
      </w:divBdr>
    </w:div>
    <w:div w:id="1760448443">
      <w:bodyDiv w:val="1"/>
      <w:marLeft w:val="0"/>
      <w:marRight w:val="0"/>
      <w:marTop w:val="0"/>
      <w:marBottom w:val="0"/>
      <w:divBdr>
        <w:top w:val="none" w:sz="0" w:space="0" w:color="auto"/>
        <w:left w:val="none" w:sz="0" w:space="0" w:color="auto"/>
        <w:bottom w:val="none" w:sz="0" w:space="0" w:color="auto"/>
        <w:right w:val="none" w:sz="0" w:space="0" w:color="auto"/>
      </w:divBdr>
    </w:div>
    <w:div w:id="1762607424">
      <w:bodyDiv w:val="1"/>
      <w:marLeft w:val="0"/>
      <w:marRight w:val="0"/>
      <w:marTop w:val="0"/>
      <w:marBottom w:val="0"/>
      <w:divBdr>
        <w:top w:val="none" w:sz="0" w:space="0" w:color="auto"/>
        <w:left w:val="none" w:sz="0" w:space="0" w:color="auto"/>
        <w:bottom w:val="none" w:sz="0" w:space="0" w:color="auto"/>
        <w:right w:val="none" w:sz="0" w:space="0" w:color="auto"/>
      </w:divBdr>
    </w:div>
    <w:div w:id="1766344440">
      <w:bodyDiv w:val="1"/>
      <w:marLeft w:val="0"/>
      <w:marRight w:val="0"/>
      <w:marTop w:val="0"/>
      <w:marBottom w:val="0"/>
      <w:divBdr>
        <w:top w:val="none" w:sz="0" w:space="0" w:color="auto"/>
        <w:left w:val="none" w:sz="0" w:space="0" w:color="auto"/>
        <w:bottom w:val="none" w:sz="0" w:space="0" w:color="auto"/>
        <w:right w:val="none" w:sz="0" w:space="0" w:color="auto"/>
      </w:divBdr>
    </w:div>
    <w:div w:id="1866751968">
      <w:bodyDiv w:val="1"/>
      <w:marLeft w:val="0"/>
      <w:marRight w:val="0"/>
      <w:marTop w:val="0"/>
      <w:marBottom w:val="0"/>
      <w:divBdr>
        <w:top w:val="none" w:sz="0" w:space="0" w:color="auto"/>
        <w:left w:val="none" w:sz="0" w:space="0" w:color="auto"/>
        <w:bottom w:val="none" w:sz="0" w:space="0" w:color="auto"/>
        <w:right w:val="none" w:sz="0" w:space="0" w:color="auto"/>
      </w:divBdr>
    </w:div>
    <w:div w:id="2027166824">
      <w:bodyDiv w:val="1"/>
      <w:marLeft w:val="0"/>
      <w:marRight w:val="0"/>
      <w:marTop w:val="0"/>
      <w:marBottom w:val="0"/>
      <w:divBdr>
        <w:top w:val="none" w:sz="0" w:space="0" w:color="auto"/>
        <w:left w:val="none" w:sz="0" w:space="0" w:color="auto"/>
        <w:bottom w:val="none" w:sz="0" w:space="0" w:color="auto"/>
        <w:right w:val="none" w:sz="0" w:space="0" w:color="auto"/>
      </w:divBdr>
    </w:div>
    <w:div w:id="2032367103">
      <w:bodyDiv w:val="1"/>
      <w:marLeft w:val="0"/>
      <w:marRight w:val="0"/>
      <w:marTop w:val="0"/>
      <w:marBottom w:val="0"/>
      <w:divBdr>
        <w:top w:val="none" w:sz="0" w:space="0" w:color="auto"/>
        <w:left w:val="none" w:sz="0" w:space="0" w:color="auto"/>
        <w:bottom w:val="none" w:sz="0" w:space="0" w:color="auto"/>
        <w:right w:val="none" w:sz="0" w:space="0" w:color="auto"/>
      </w:divBdr>
    </w:div>
    <w:div w:id="2079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header" Target="header12.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11.xml"/><Relationship Id="rId72" Type="http://schemas.microsoft.com/office/2011/relationships/people" Target="people.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mff/hlgor/library/reports-communication/hlgor-report_201701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A9AB6-23BA-41F6-92B3-7CA0A9D0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13714</Words>
  <Characters>78171</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2017-06-28T13:48:00Z</dcterms:created>
  <dcterms:modified xsi:type="dcterms:W3CDTF">2017-06-29T08:53:00Z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