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E6B4204BCA3F4592B4B25CC58C9D7EA7" style="width:450.75pt;height:453.75pt">
            <v:imagedata r:id="rId8" o:title=""/>
          </v:shape>
        </w:pict>
      </w:r>
    </w:p>
    <w:bookmarkEnd w:id="0"/>
    <w:p>
      <w:pPr>
        <w:rPr>
          <w:rFonts w:ascii="Times New Roman" w:hAnsi="Times New Roman" w:cs="Times New Roman"/>
          <w:noProof/>
          <w:sz w:val="24"/>
          <w:szCs w:val="24"/>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1"/>
          <w:cols w:space="720"/>
          <w:docGrid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blLook w:val="04A0" w:firstRow="1" w:lastRow="0" w:firstColumn="1" w:lastColumn="0" w:noHBand="0" w:noVBand="1"/>
      </w:tblPr>
      <w:tblGrid>
        <w:gridCol w:w="8726"/>
      </w:tblGrid>
      <w:tr>
        <w:tc>
          <w:tcPr>
            <w:tcW w:w="8726" w:type="dxa"/>
            <w:shd w:val="clear" w:color="auto" w:fill="C6D9F1"/>
          </w:tcPr>
          <w:p>
            <w:pPr>
              <w:pStyle w:val="Heading1"/>
              <w:rPr>
                <w:rFonts w:ascii="Times New Roman" w:eastAsia="Times New Roman" w:hAnsi="Times New Roman" w:cs="Times New Roman"/>
                <w:noProof/>
                <w:sz w:val="24"/>
                <w:szCs w:val="24"/>
              </w:rPr>
            </w:pPr>
            <w:bookmarkStart w:id="1" w:name="_GoBack"/>
            <w:bookmarkEnd w:id="1"/>
            <w:r>
              <w:rPr>
                <w:rFonts w:ascii="Times New Roman" w:hAnsi="Times New Roman"/>
                <w:noProof/>
                <w:sz w:val="24"/>
              </w:rPr>
              <w:lastRenderedPageBreak/>
              <w:t>Раздел 1 — Обобщена оценка</w:t>
            </w:r>
          </w:p>
        </w:tc>
      </w:tr>
    </w:tbl>
    <w:p>
      <w:pPr>
        <w:spacing w:before="240" w:after="240" w:line="240" w:lineRule="auto"/>
        <w:ind w:right="-28"/>
        <w:jc w:val="both"/>
        <w:rPr>
          <w:rFonts w:ascii="Times New Roman" w:eastAsia="Calibri" w:hAnsi="Times New Roman" w:cs="Times New Roman"/>
          <w:bCs/>
          <w:noProof/>
          <w:sz w:val="24"/>
          <w:szCs w:val="24"/>
        </w:rPr>
      </w:pPr>
      <w:bookmarkStart w:id="2" w:name="_Toc412809023"/>
      <w:bookmarkStart w:id="3" w:name="_Toc412809358"/>
      <w:bookmarkStart w:id="4" w:name="_Toc412809689"/>
      <w:bookmarkStart w:id="5" w:name="_Toc412817948"/>
      <w:bookmarkStart w:id="6" w:name="_Toc412821532"/>
      <w:r>
        <w:rPr>
          <w:rFonts w:ascii="Times New Roman" w:hAnsi="Times New Roman"/>
          <w:noProof/>
          <w:sz w:val="24"/>
        </w:rPr>
        <w:t>Проверката за пригодност обхваща две схеми, които предприятията могат да използват доброволно: Регламент (ЕО) № 66/2010 относно екомаркировката на ЕС</w:t>
      </w:r>
      <w:r>
        <w:rPr>
          <w:rStyle w:val="FootnoteReference"/>
          <w:rFonts w:ascii="Times New Roman" w:hAnsi="Times New Roman"/>
          <w:noProof/>
          <w:sz w:val="24"/>
        </w:rPr>
        <w:footnoteReference w:id="1"/>
      </w:r>
      <w:r>
        <w:rPr>
          <w:rFonts w:ascii="Times New Roman" w:hAnsi="Times New Roman"/>
          <w:noProof/>
          <w:sz w:val="24"/>
        </w:rPr>
        <w:t xml:space="preserve"> (Регламента за екомаркировката на ЕС) и Регламент (ЕО) № 1221/2009 относно доброволното участие на организации в Схемата на Общността за управление по околна среда и одит (EMAS)</w:t>
      </w:r>
      <w:r>
        <w:rPr>
          <w:rStyle w:val="FootnoteReference"/>
          <w:rFonts w:ascii="Times New Roman" w:hAnsi="Times New Roman"/>
          <w:noProof/>
          <w:sz w:val="24"/>
        </w:rPr>
        <w:footnoteReference w:id="2"/>
      </w:r>
      <w:r>
        <w:rPr>
          <w:rFonts w:ascii="Times New Roman" w:hAnsi="Times New Roman"/>
          <w:noProof/>
          <w:sz w:val="24"/>
        </w:rPr>
        <w:t xml:space="preserve"> (Регламента за EMAS). В съответствие с насоките на Комисията за по-добро регулиране в рамките на проверката за пригодност схемите бяха оценени по отношение на своето значение, ефективност, ефикасност, съгласуваност и добавена стойност за ЕС. </w:t>
      </w:r>
    </w:p>
    <w:bookmarkEnd w:id="2"/>
    <w:bookmarkEnd w:id="3"/>
    <w:bookmarkEnd w:id="4"/>
    <w:bookmarkEnd w:id="5"/>
    <w:bookmarkEnd w:id="6"/>
    <w:p>
      <w:pPr>
        <w:pStyle w:val="Text"/>
        <w:spacing w:before="240" w:after="240" w:line="240" w:lineRule="auto"/>
        <w:jc w:val="both"/>
        <w:rPr>
          <w:rFonts w:ascii="Times New Roman" w:eastAsia="Times New Roman" w:hAnsi="Times New Roman" w:cs="Times New Roman"/>
          <w:noProof/>
          <w:color w:val="auto"/>
          <w:sz w:val="24"/>
          <w:szCs w:val="24"/>
        </w:rPr>
      </w:pPr>
      <w:r>
        <w:rPr>
          <w:rFonts w:ascii="Times New Roman" w:hAnsi="Times New Roman"/>
          <w:noProof/>
          <w:color w:val="auto"/>
          <w:sz w:val="24"/>
        </w:rPr>
        <w:t>Що се отнася до процедурата, проверката за пригодност беше подкрепена от две отделни проучвания за оценяване, подкрепени от своя страна от ангажираността на заинтересованите страни, включително обществена консултация относно екомаркировката на ЕС и целенасочена консултация със заинтересованите страни относно EMAS. Тази консултация със заинтересованите страни беше особено важна, тъй като обхватът на проверката за пригодност бе донякъде ограничен поради доброволния характер на схемите и липсата на данни за количествено определяне на въздействието им. Липсата на общоприет метод за измерване и сравняване на екологичните характеристики на организации и продукти с целеви показатели означава също така, че не е възможно да се сравняват системно продукти и организации, които участват в схемите, с тези, които не участват в тях. Освен това в регламентите не са определени ясни цели за тяхното възприемане, поради което не е възможно да се оцени количествено дали схемите са постигнали очакваните от тях резултати или не.</w:t>
      </w:r>
    </w:p>
    <w:p>
      <w:pPr>
        <w:pStyle w:val="Text"/>
        <w:spacing w:before="240" w:after="240" w:line="240" w:lineRule="auto"/>
        <w:jc w:val="both"/>
        <w:rPr>
          <w:rFonts w:ascii="Times New Roman" w:eastAsia="Times New Roman" w:hAnsi="Times New Roman" w:cs="Times New Roman"/>
          <w:noProof/>
          <w:color w:val="auto"/>
          <w:sz w:val="24"/>
          <w:szCs w:val="24"/>
        </w:rPr>
      </w:pPr>
      <w:r>
        <w:rPr>
          <w:rFonts w:ascii="Times New Roman" w:hAnsi="Times New Roman"/>
          <w:noProof/>
          <w:color w:val="auto"/>
          <w:sz w:val="24"/>
        </w:rPr>
        <w:t xml:space="preserve">Въпреки това проверката за пригодност позволи да се извърши оценка на функционирането и ефективността на схемите и да се направят заключения относно това какво функционира добре и какво — не. </w:t>
      </w:r>
    </w:p>
    <w:p>
      <w:pPr>
        <w:pStyle w:val="Text"/>
        <w:spacing w:before="240" w:after="240" w:line="240" w:lineRule="auto"/>
        <w:jc w:val="both"/>
        <w:rPr>
          <w:rFonts w:ascii="Times New Roman" w:eastAsia="Times New Roman" w:hAnsi="Times New Roman" w:cs="Times New Roman"/>
          <w:noProof/>
          <w:color w:val="auto"/>
          <w:sz w:val="24"/>
          <w:szCs w:val="24"/>
        </w:rPr>
      </w:pPr>
      <w:r>
        <w:rPr>
          <w:rFonts w:ascii="Times New Roman" w:hAnsi="Times New Roman"/>
          <w:noProof/>
          <w:color w:val="auto"/>
          <w:sz w:val="24"/>
        </w:rPr>
        <w:t>Основните констатации относно начина, по който се изпълняват целите на регламентите, направени и проучени въз основа на интервенционната логика на проверката за пригодност, са следните:</w:t>
      </w:r>
    </w:p>
    <w:p>
      <w:pPr>
        <w:pStyle w:val="ListParagraph"/>
        <w:numPr>
          <w:ilvl w:val="0"/>
          <w:numId w:val="2"/>
        </w:numPr>
        <w:pBdr>
          <w:top w:val="nil"/>
          <w:left w:val="nil"/>
          <w:bottom w:val="nil"/>
          <w:right w:val="nil"/>
          <w:between w:val="nil"/>
          <w:bar w:val="nil"/>
        </w:pBdr>
        <w:spacing w:before="240" w:after="120"/>
        <w:contextualSpacing w:val="0"/>
        <w:jc w:val="both"/>
        <w:rPr>
          <w:rFonts w:ascii="Times New Roman" w:eastAsia="Times New Roman" w:hAnsi="Times New Roman" w:cs="Times New Roman"/>
          <w:noProof/>
          <w:sz w:val="24"/>
          <w:szCs w:val="24"/>
        </w:rPr>
      </w:pPr>
      <w:r>
        <w:rPr>
          <w:rFonts w:ascii="Times New Roman" w:hAnsi="Times New Roman"/>
          <w:noProof/>
          <w:sz w:val="24"/>
        </w:rPr>
        <w:t>Регламентите допринасят за намаляване на въздействието на потреблението и производството върху околната среда (</w:t>
      </w:r>
      <w:r>
        <w:rPr>
          <w:rFonts w:ascii="Times New Roman" w:hAnsi="Times New Roman"/>
          <w:i/>
          <w:noProof/>
          <w:sz w:val="24"/>
        </w:rPr>
        <w:t>обща цел</w:t>
      </w:r>
      <w:r>
        <w:rPr>
          <w:rFonts w:ascii="Times New Roman" w:hAnsi="Times New Roman"/>
          <w:noProof/>
          <w:sz w:val="24"/>
        </w:rPr>
        <w:t>).</w:t>
      </w:r>
    </w:p>
    <w:p>
      <w:pPr>
        <w:pStyle w:val="ListParagraph"/>
        <w:numPr>
          <w:ilvl w:val="0"/>
          <w:numId w:val="2"/>
        </w:numPr>
        <w:pBdr>
          <w:top w:val="nil"/>
          <w:left w:val="nil"/>
          <w:bottom w:val="nil"/>
          <w:right w:val="nil"/>
          <w:between w:val="nil"/>
          <w:bar w:val="nil"/>
        </w:pBdr>
        <w:spacing w:before="120" w:after="240" w:line="240" w:lineRule="auto"/>
        <w:contextualSpacing w:val="0"/>
        <w:jc w:val="both"/>
        <w:rPr>
          <w:rFonts w:ascii="Times New Roman" w:eastAsia="Times New Roman" w:hAnsi="Times New Roman" w:cs="Times New Roman"/>
          <w:noProof/>
          <w:sz w:val="24"/>
          <w:szCs w:val="24"/>
        </w:rPr>
      </w:pPr>
      <w:r>
        <w:rPr>
          <w:rFonts w:ascii="Times New Roman" w:hAnsi="Times New Roman"/>
          <w:noProof/>
          <w:sz w:val="24"/>
        </w:rPr>
        <w:t>Регламентите допринасят за насърчаване на непрекъснатото подобряване на екологичните характеристики на организациите и за насърчаване на продукти с намалено въздействие върху околната среда (</w:t>
      </w:r>
      <w:r>
        <w:rPr>
          <w:rFonts w:ascii="Times New Roman" w:hAnsi="Times New Roman"/>
          <w:i/>
          <w:noProof/>
          <w:sz w:val="24"/>
        </w:rPr>
        <w:t>конкретни цели</w:t>
      </w:r>
      <w:r>
        <w:rPr>
          <w:rFonts w:ascii="Times New Roman" w:hAnsi="Times New Roman"/>
          <w:noProof/>
          <w:sz w:val="24"/>
        </w:rPr>
        <w:t>) въз основа на критериите за екомаркировката на ЕС и чрез подобренията, свързани с околната среда, наблюдавани в регистрираните по EMAS организации (</w:t>
      </w:r>
      <w:r>
        <w:rPr>
          <w:rFonts w:ascii="Times New Roman" w:hAnsi="Times New Roman"/>
          <w:i/>
          <w:noProof/>
          <w:sz w:val="24"/>
        </w:rPr>
        <w:t>оперативна цел</w:t>
      </w:r>
      <w:r>
        <w:rPr>
          <w:rFonts w:ascii="Times New Roman" w:hAnsi="Times New Roman"/>
          <w:noProof/>
          <w:sz w:val="24"/>
        </w:rPr>
        <w:t xml:space="preserve">). </w:t>
      </w:r>
    </w:p>
    <w:p>
      <w:pPr>
        <w:spacing w:before="240" w:after="240"/>
        <w:jc w:val="both"/>
        <w:rPr>
          <w:rFonts w:ascii="Times New Roman" w:eastAsia="Times New Roman" w:hAnsi="Times New Roman" w:cs="Times New Roman"/>
          <w:noProof/>
          <w:sz w:val="24"/>
          <w:szCs w:val="24"/>
        </w:rPr>
      </w:pPr>
      <w:r>
        <w:rPr>
          <w:rFonts w:ascii="Times New Roman" w:hAnsi="Times New Roman"/>
          <w:noProof/>
          <w:sz w:val="24"/>
        </w:rPr>
        <w:t>Този принос обаче е:</w:t>
      </w:r>
    </w:p>
    <w:p>
      <w:pPr>
        <w:pStyle w:val="ListParagraph"/>
        <w:numPr>
          <w:ilvl w:val="0"/>
          <w:numId w:val="2"/>
        </w:numPr>
        <w:pBdr>
          <w:top w:val="nil"/>
          <w:left w:val="nil"/>
          <w:bottom w:val="nil"/>
          <w:right w:val="nil"/>
          <w:between w:val="nil"/>
          <w:bar w:val="nil"/>
        </w:pBdr>
        <w:spacing w:before="240" w:after="240" w:line="240" w:lineRule="auto"/>
        <w:contextualSpacing w:val="0"/>
        <w:jc w:val="both"/>
        <w:rPr>
          <w:rFonts w:ascii="Times New Roman" w:eastAsia="Times New Roman" w:hAnsi="Times New Roman" w:cs="Times New Roman"/>
          <w:noProof/>
          <w:sz w:val="24"/>
          <w:szCs w:val="24"/>
        </w:rPr>
      </w:pPr>
      <w:r>
        <w:rPr>
          <w:rFonts w:ascii="Times New Roman" w:hAnsi="Times New Roman"/>
          <w:noProof/>
          <w:sz w:val="24"/>
        </w:rPr>
        <w:t>съществено ограничен поради степента на възприемане на EMAS и екомаркировката на ЕС от страна на производителите и организациите (</w:t>
      </w:r>
      <w:r>
        <w:rPr>
          <w:rFonts w:ascii="Times New Roman" w:hAnsi="Times New Roman"/>
          <w:i/>
          <w:noProof/>
          <w:sz w:val="24"/>
        </w:rPr>
        <w:t>оперативна цел</w:t>
      </w:r>
      <w:r>
        <w:rPr>
          <w:rFonts w:ascii="Times New Roman" w:hAnsi="Times New Roman"/>
          <w:noProof/>
          <w:sz w:val="24"/>
        </w:rPr>
        <w:t>), дължаща се на ограничената осведоменост на външни заинтересовани страни, включително бизнес партньори, потребители, но и компетентни органи, което води до ограничени пазарни и административни/регулаторни стимули за участие, както и дължаща се на критериите за участие, които в някои случаи може да се окажат трудни за спазване от промишлеността на ЕС;</w:t>
      </w:r>
    </w:p>
    <w:p>
      <w:pPr>
        <w:pStyle w:val="ListParagraph"/>
        <w:numPr>
          <w:ilvl w:val="0"/>
          <w:numId w:val="2"/>
        </w:numPr>
        <w:pBdr>
          <w:top w:val="nil"/>
          <w:left w:val="nil"/>
          <w:bottom w:val="nil"/>
          <w:right w:val="nil"/>
          <w:between w:val="nil"/>
          <w:bar w:val="nil"/>
        </w:pBdr>
        <w:spacing w:before="240" w:after="240" w:line="240" w:lineRule="auto"/>
        <w:contextualSpacing w:val="0"/>
        <w:jc w:val="both"/>
        <w:rPr>
          <w:rFonts w:ascii="Times New Roman" w:eastAsia="Times New Roman" w:hAnsi="Times New Roman" w:cs="Times New Roman"/>
          <w:noProof/>
          <w:sz w:val="24"/>
          <w:szCs w:val="24"/>
        </w:rPr>
      </w:pPr>
      <w:r>
        <w:rPr>
          <w:rFonts w:ascii="Times New Roman" w:hAnsi="Times New Roman"/>
          <w:noProof/>
          <w:sz w:val="24"/>
        </w:rPr>
        <w:t>ограничен в сравнение с общия широк обхват на предизвикателствата, които трябва да бъдат преодолени по отношение на намаляването на общото въздействие на потреблението и производството върху околната среда.</w:t>
      </w:r>
      <w:r>
        <w:rPr>
          <w:rFonts w:ascii="Times New Roman" w:eastAsia="Times New Roman" w:hAnsi="Times New Roman" w:cs="Times New Roman"/>
          <w:noProof/>
          <w:sz w:val="24"/>
          <w:szCs w:val="24"/>
        </w:rPr>
        <w:br/>
      </w:r>
    </w:p>
    <w:p>
      <w:pPr>
        <w:pStyle w:val="Text"/>
        <w:spacing w:after="240" w:line="240" w:lineRule="auto"/>
        <w:jc w:val="both"/>
        <w:rPr>
          <w:rFonts w:ascii="Times New Roman" w:eastAsia="Times New Roman" w:hAnsi="Times New Roman" w:cs="Times New Roman"/>
          <w:noProof/>
          <w:color w:val="auto"/>
          <w:sz w:val="24"/>
          <w:szCs w:val="24"/>
        </w:rPr>
      </w:pPr>
      <w:r>
        <w:rPr>
          <w:rFonts w:ascii="Times New Roman" w:hAnsi="Times New Roman"/>
          <w:noProof/>
          <w:color w:val="auto"/>
          <w:sz w:val="24"/>
        </w:rPr>
        <w:t xml:space="preserve">Въпреки тези ограничения регламентите са </w:t>
      </w:r>
      <w:r>
        <w:rPr>
          <w:rFonts w:ascii="Times New Roman" w:hAnsi="Times New Roman"/>
          <w:b/>
          <w:noProof/>
          <w:color w:val="auto"/>
          <w:sz w:val="24"/>
        </w:rPr>
        <w:t>от значение</w:t>
      </w:r>
      <w:r>
        <w:rPr>
          <w:rFonts w:ascii="Times New Roman" w:hAnsi="Times New Roman"/>
          <w:noProof/>
          <w:color w:val="auto"/>
          <w:sz w:val="24"/>
        </w:rPr>
        <w:t xml:space="preserve"> като част от пакет от политически мерки на ЕС в отговор на нарастващата нужда от промяна на действащите модели на потребление и производство, както е отразено в сегашните стратегически цели на политиката, включително стратегията „Европа 2020“</w:t>
      </w:r>
      <w:r>
        <w:rPr>
          <w:rStyle w:val="FootnoteReference"/>
          <w:rFonts w:ascii="Times New Roman" w:hAnsi="Times New Roman"/>
          <w:noProof/>
          <w:color w:val="auto"/>
          <w:sz w:val="24"/>
        </w:rPr>
        <w:footnoteReference w:id="3"/>
      </w:r>
      <w:r>
        <w:rPr>
          <w:rFonts w:ascii="Times New Roman" w:hAnsi="Times New Roman"/>
          <w:noProof/>
          <w:color w:val="auto"/>
          <w:sz w:val="24"/>
        </w:rPr>
        <w:t>, пътната карта за ефективно използване на ресурсите в Европа</w:t>
      </w:r>
      <w:r>
        <w:rPr>
          <w:rStyle w:val="FootnoteReference"/>
          <w:rFonts w:ascii="Times New Roman" w:hAnsi="Times New Roman"/>
          <w:noProof/>
          <w:color w:val="auto"/>
          <w:sz w:val="24"/>
        </w:rPr>
        <w:footnoteReference w:id="4"/>
      </w:r>
      <w:r>
        <w:rPr>
          <w:rFonts w:ascii="Times New Roman" w:hAnsi="Times New Roman"/>
          <w:noProof/>
          <w:color w:val="auto"/>
          <w:sz w:val="24"/>
        </w:rPr>
        <w:t>, Седмата програма за действие за околната среда</w:t>
      </w:r>
      <w:r>
        <w:rPr>
          <w:rStyle w:val="FootnoteReference"/>
          <w:rFonts w:ascii="Times New Roman" w:hAnsi="Times New Roman"/>
          <w:noProof/>
          <w:color w:val="auto"/>
          <w:sz w:val="24"/>
        </w:rPr>
        <w:footnoteReference w:id="5"/>
      </w:r>
      <w:r>
        <w:rPr>
          <w:rFonts w:ascii="Times New Roman" w:hAnsi="Times New Roman"/>
          <w:noProof/>
          <w:color w:val="auto"/>
          <w:sz w:val="24"/>
        </w:rPr>
        <w:t xml:space="preserve"> и плана за действие на ЕС за кръговата икономика</w:t>
      </w:r>
      <w:r>
        <w:rPr>
          <w:rStyle w:val="FootnoteReference"/>
          <w:rFonts w:ascii="Times New Roman" w:hAnsi="Times New Roman"/>
          <w:noProof/>
          <w:color w:val="auto"/>
          <w:sz w:val="24"/>
        </w:rPr>
        <w:footnoteReference w:id="6"/>
      </w:r>
      <w:r>
        <w:rPr>
          <w:rFonts w:ascii="Times New Roman" w:hAnsi="Times New Roman"/>
          <w:noProof/>
          <w:color w:val="auto"/>
          <w:sz w:val="24"/>
        </w:rPr>
        <w:t>. Сред инструментите на политиката на ЕС EMAS и екомаркировката на ЕС (заедно с екологосъобразните обществени поръчки) са уникални в това, че имат за цел да се справят с въздействието върху околната среда през целия жизнен цикъл, включително увеличаващия се брой последици от европейското потребление в държави извън ЕС, в които продуктите и материалите често се произвеждат и от които се внасят в ЕС. По отношение на EMAS се поставя въпросът за нейното бъдещо значение, тъй като преработеният през 2015 г. стандарт ISO 14001 поема все повече, но все още не всички нейни основни елементи.</w:t>
      </w:r>
    </w:p>
    <w:p>
      <w:pPr>
        <w:pStyle w:val="Text"/>
        <w:spacing w:after="240" w:line="240" w:lineRule="auto"/>
        <w:jc w:val="both"/>
        <w:rPr>
          <w:rFonts w:ascii="Times New Roman" w:eastAsia="Times New Roman" w:hAnsi="Times New Roman" w:cs="Times New Roman"/>
          <w:noProof/>
          <w:color w:val="auto"/>
          <w:sz w:val="24"/>
          <w:szCs w:val="24"/>
        </w:rPr>
      </w:pPr>
      <w:r>
        <w:rPr>
          <w:rFonts w:ascii="Times New Roman" w:hAnsi="Times New Roman"/>
          <w:noProof/>
          <w:color w:val="auto"/>
          <w:sz w:val="24"/>
        </w:rPr>
        <w:t xml:space="preserve">Регламентите бяха </w:t>
      </w:r>
      <w:r>
        <w:rPr>
          <w:rFonts w:ascii="Times New Roman" w:hAnsi="Times New Roman"/>
          <w:b/>
          <w:noProof/>
          <w:color w:val="auto"/>
          <w:sz w:val="24"/>
        </w:rPr>
        <w:t>частично ефективни</w:t>
      </w:r>
      <w:r>
        <w:rPr>
          <w:rFonts w:ascii="Times New Roman" w:hAnsi="Times New Roman"/>
          <w:noProof/>
          <w:color w:val="auto"/>
          <w:sz w:val="24"/>
        </w:rPr>
        <w:t>, тъй като те гарантират:</w:t>
      </w:r>
    </w:p>
    <w:p>
      <w:pPr>
        <w:pStyle w:val="ListParagraph"/>
        <w:numPr>
          <w:ilvl w:val="0"/>
          <w:numId w:val="4"/>
        </w:numPr>
        <w:pBdr>
          <w:top w:val="nil"/>
          <w:left w:val="nil"/>
          <w:bottom w:val="nil"/>
          <w:right w:val="nil"/>
          <w:between w:val="nil"/>
          <w:bar w:val="nil"/>
        </w:pBdr>
        <w:spacing w:after="120" w:line="240" w:lineRule="auto"/>
        <w:contextualSpacing w:val="0"/>
        <w:jc w:val="both"/>
        <w:rPr>
          <w:rFonts w:ascii="Times New Roman" w:eastAsia="Times New Roman" w:hAnsi="Times New Roman" w:cs="Times New Roman"/>
          <w:noProof/>
          <w:sz w:val="24"/>
          <w:szCs w:val="24"/>
        </w:rPr>
      </w:pPr>
      <w:r>
        <w:rPr>
          <w:rFonts w:ascii="Times New Roman" w:hAnsi="Times New Roman"/>
          <w:noProof/>
          <w:sz w:val="24"/>
        </w:rPr>
        <w:t>подобрени екологични характеристики за продуктите, които носят екомаркировката на ЕС. Количественият критерий за отлични екологични показатели (най-добрите 10—20 % от екологичните характеристики на продуктите на пазара) обаче не може да бъде удостоверен поради липса на съгласувана методика за сравняване и липса на обстойни данни. Също така в някои случаи, когато валидността на критериите за екомаркировката на ЕС се разширява без широкообхватен анализ на развитието на пазарната ситуация, е възможно екомаркировката на ЕС вече да не е знак за отлични екологични показатели;</w:t>
      </w:r>
    </w:p>
    <w:p>
      <w:pPr>
        <w:pStyle w:val="ListParagraph"/>
        <w:numPr>
          <w:ilvl w:val="0"/>
          <w:numId w:val="4"/>
        </w:numPr>
        <w:spacing w:after="240" w:line="240" w:lineRule="auto"/>
        <w:jc w:val="both"/>
        <w:rPr>
          <w:rFonts w:ascii="Times New Roman" w:hAnsi="Times New Roman" w:cs="Times New Roman"/>
          <w:noProof/>
          <w:sz w:val="24"/>
          <w:szCs w:val="24"/>
        </w:rPr>
      </w:pPr>
      <w:r>
        <w:rPr>
          <w:rFonts w:ascii="Times New Roman" w:hAnsi="Times New Roman"/>
          <w:noProof/>
          <w:sz w:val="24"/>
        </w:rPr>
        <w:t>подобрени екологични характеристики по повечето основни показатели, включително по отношение на енергията, водата и CO2, за сертифицираните по EMAS организации. По основните показатели „отпадъци“ и „материали“ картината е смесена — над 75 % от регистрираните по EMAS предприятия показват от една страна положително въздействие върху резултатите по отношение на отпадъците и материалите, но от друга страна — отрицателни средни резултати, изчислени въз основа на извадка от отчети по основните показатели. Съгласно проучвания EMAS като цяло постига по-голямо подобряване на екологичните характеристики от ISO 14001.</w:t>
      </w:r>
    </w:p>
    <w:p>
      <w:pPr>
        <w:pStyle w:val="Text"/>
        <w:spacing w:after="240" w:line="240" w:lineRule="auto"/>
        <w:jc w:val="both"/>
        <w:rPr>
          <w:rFonts w:ascii="Times New Roman" w:eastAsia="Times New Roman" w:hAnsi="Times New Roman" w:cs="Times New Roman"/>
          <w:noProof/>
          <w:color w:val="auto"/>
          <w:sz w:val="24"/>
          <w:szCs w:val="24"/>
        </w:rPr>
      </w:pPr>
      <w:r>
        <w:rPr>
          <w:rFonts w:ascii="Times New Roman" w:hAnsi="Times New Roman"/>
          <w:noProof/>
          <w:color w:val="auto"/>
          <w:sz w:val="24"/>
        </w:rPr>
        <w:t>Общата ефективност на инструментите обаче е намалена поради ограниченото възприемане:</w:t>
      </w:r>
    </w:p>
    <w:p>
      <w:pPr>
        <w:pStyle w:val="ListParagraph"/>
        <w:numPr>
          <w:ilvl w:val="0"/>
          <w:numId w:val="4"/>
        </w:numPr>
        <w:pBdr>
          <w:top w:val="nil"/>
          <w:left w:val="nil"/>
          <w:bottom w:val="nil"/>
          <w:right w:val="nil"/>
          <w:between w:val="nil"/>
          <w:bar w:val="nil"/>
        </w:pBdr>
        <w:spacing w:after="240" w:line="240" w:lineRule="auto"/>
        <w:contextualSpacing w:val="0"/>
        <w:jc w:val="both"/>
        <w:rPr>
          <w:rFonts w:ascii="Times New Roman" w:eastAsia="Times New Roman" w:hAnsi="Times New Roman" w:cs="Times New Roman"/>
          <w:noProof/>
          <w:sz w:val="24"/>
          <w:szCs w:val="24"/>
        </w:rPr>
      </w:pPr>
      <w:r>
        <w:rPr>
          <w:rFonts w:ascii="Times New Roman" w:hAnsi="Times New Roman"/>
          <w:noProof/>
          <w:sz w:val="24"/>
        </w:rPr>
        <w:t>Възприемането на EMAS и екомаркировката на ЕС не е достатъчно, за да стимулира пазара като цяло и по този начин да доведе до значителни промени в моделите на потребление и на производство като цяло и въз основа на това да осигури значителни ползи за околната среда отвъд дружествата и организациите, които решават да участват в схемите. Ограниченото възприемане на двата регламента се дължи на липсата на осведоменост и на признание на пазара, на липсата на признание в публичната политика и на разходите за привеждане в съответствие и за проверки.</w:t>
      </w:r>
    </w:p>
    <w:p>
      <w:pPr>
        <w:pStyle w:val="Text"/>
        <w:spacing w:before="240" w:after="240" w:line="240" w:lineRule="auto"/>
        <w:ind w:left="720"/>
        <w:jc w:val="both"/>
        <w:rPr>
          <w:rFonts w:ascii="Times New Roman" w:eastAsia="Times New Roman" w:hAnsi="Times New Roman" w:cs="Times New Roman"/>
          <w:noProof/>
          <w:color w:val="auto"/>
          <w:sz w:val="24"/>
          <w:szCs w:val="24"/>
        </w:rPr>
      </w:pPr>
      <w:r>
        <w:rPr>
          <w:rFonts w:ascii="Times New Roman" w:hAnsi="Times New Roman"/>
          <w:noProof/>
          <w:color w:val="auto"/>
          <w:sz w:val="24"/>
        </w:rPr>
        <w:t xml:space="preserve">По отношение на екомаркировката на ЕС: липсват промоционални дейности, брой и строгост на изискванията на критериите и предизвикателството на спазването на член 6, параграф 6, с който се забранява употребата на опасни вещества. Съществуват и значителни разлики във възприемането по отношение на различните типове продукти, като за няколко групи продукти няма възприемане изобщо или само съвсем слабо, което от една страна показва бариерите за някои специфични групи продукти, а от друга страна — липсата на стратегически подход за подбор на групи, за които да се разработят/преразгледат критериите. </w:t>
      </w:r>
    </w:p>
    <w:p>
      <w:pPr>
        <w:pStyle w:val="Text"/>
        <w:spacing w:before="240" w:after="240" w:line="240" w:lineRule="auto"/>
        <w:ind w:left="720"/>
        <w:jc w:val="both"/>
        <w:rPr>
          <w:rFonts w:ascii="Times New Roman" w:eastAsia="Times New Roman" w:hAnsi="Times New Roman" w:cs="Times New Roman"/>
          <w:noProof/>
          <w:color w:val="auto"/>
          <w:sz w:val="24"/>
          <w:szCs w:val="24"/>
        </w:rPr>
      </w:pPr>
      <w:r>
        <w:rPr>
          <w:rFonts w:ascii="Times New Roman" w:hAnsi="Times New Roman"/>
          <w:noProof/>
          <w:color w:val="auto"/>
          <w:sz w:val="24"/>
        </w:rPr>
        <w:t>За EMAS има допълнителни пречки: липса на интеграция в публичната политика под формата на стимули и освобождаване от други регулаторни изисквания (регулаторни облекчения), липса на промоционални дейности и съществуване на световно призната и по-малко взискателна система за управление за околната среда (ISO 14001), която е пазарен лидер.</w:t>
      </w:r>
    </w:p>
    <w:p>
      <w:pPr>
        <w:pStyle w:val="Text"/>
        <w:spacing w:before="240" w:after="240" w:line="240" w:lineRule="auto"/>
        <w:jc w:val="both"/>
        <w:rPr>
          <w:rFonts w:ascii="Times New Roman" w:hAnsi="Times New Roman" w:cs="Times New Roman"/>
          <w:noProof/>
          <w:color w:val="auto"/>
          <w:sz w:val="24"/>
          <w:szCs w:val="24"/>
        </w:rPr>
      </w:pPr>
      <w:r>
        <w:rPr>
          <w:rFonts w:ascii="Times New Roman" w:hAnsi="Times New Roman"/>
          <w:noProof/>
          <w:color w:val="auto"/>
          <w:sz w:val="24"/>
        </w:rPr>
        <w:t>Ефективността на двете схеми варира между държавите членки, като в някои няма възприемане изобщо или само съвсем слабо, докато други отбелязват по-добри резултати, като например Германия и Испания съответно с 1882 и 1289 регистрирани по EMAS обекта, Франция с 555 и Италия с 359 регистрирани лицензи за екомаркировката на ЕС. Тези разлики вероятно се дължат най-вече на обема на ресурсите, инвестирани от държавите членки, както и на това дали се предприемат инициативи за интегриране на инструментите в по-широкия контекст на политиките в областта на околната среда. Например свързването на EMAS с правила относно екологични инспекции може да създаде стимул за приемане на EMAS и получаване на регулаторни облекчения</w:t>
      </w:r>
      <w:r>
        <w:rPr>
          <w:rStyle w:val="FootnoteReference"/>
          <w:rFonts w:ascii="Times New Roman" w:hAnsi="Times New Roman"/>
          <w:noProof/>
          <w:color w:val="auto"/>
          <w:sz w:val="24"/>
        </w:rPr>
        <w:footnoteReference w:id="7"/>
      </w:r>
      <w:r>
        <w:rPr>
          <w:rFonts w:ascii="Times New Roman" w:hAnsi="Times New Roman"/>
          <w:noProof/>
          <w:color w:val="auto"/>
          <w:sz w:val="24"/>
        </w:rPr>
        <w:t>; Подобно екомаркировката може да се стимулира чрез свързване с екологосъобразните обществени поръчки.</w:t>
      </w:r>
    </w:p>
    <w:p>
      <w:pPr>
        <w:pStyle w:val="Text"/>
        <w:spacing w:before="240" w:after="240" w:line="240" w:lineRule="auto"/>
        <w:jc w:val="both"/>
        <w:rPr>
          <w:rFonts w:ascii="Times New Roman" w:eastAsia="Times New Roman" w:hAnsi="Times New Roman" w:cs="Times New Roman"/>
          <w:noProof/>
          <w:color w:val="auto"/>
          <w:sz w:val="24"/>
          <w:szCs w:val="24"/>
        </w:rPr>
      </w:pPr>
      <w:r>
        <w:rPr>
          <w:rFonts w:ascii="Times New Roman" w:hAnsi="Times New Roman"/>
          <w:noProof/>
          <w:color w:val="auto"/>
          <w:sz w:val="24"/>
        </w:rPr>
        <w:t xml:space="preserve">Регламентите може да се считат и за </w:t>
      </w:r>
      <w:r>
        <w:rPr>
          <w:rFonts w:ascii="Times New Roman" w:hAnsi="Times New Roman"/>
          <w:b/>
          <w:noProof/>
          <w:color w:val="auto"/>
          <w:sz w:val="24"/>
        </w:rPr>
        <w:t>частично ефикасни</w:t>
      </w:r>
      <w:r>
        <w:rPr>
          <w:rFonts w:ascii="Times New Roman" w:hAnsi="Times New Roman"/>
          <w:noProof/>
          <w:color w:val="auto"/>
          <w:sz w:val="24"/>
        </w:rPr>
        <w:t>, тъй като разходите за функционирането на схемата са сравнително ниски:</w:t>
      </w:r>
    </w:p>
    <w:p>
      <w:pPr>
        <w:pStyle w:val="ListParagraph"/>
        <w:numPr>
          <w:ilvl w:val="0"/>
          <w:numId w:val="4"/>
        </w:numPr>
        <w:pBdr>
          <w:top w:val="nil"/>
          <w:left w:val="nil"/>
          <w:bottom w:val="nil"/>
          <w:right w:val="nil"/>
          <w:between w:val="nil"/>
          <w:bar w:val="nil"/>
        </w:pBdr>
        <w:spacing w:before="240" w:after="240" w:line="240" w:lineRule="auto"/>
        <w:contextualSpacing w:val="0"/>
        <w:jc w:val="both"/>
        <w:rPr>
          <w:rFonts w:ascii="Times New Roman" w:eastAsia="Times New Roman" w:hAnsi="Times New Roman" w:cs="Times New Roman"/>
          <w:noProof/>
          <w:sz w:val="24"/>
          <w:szCs w:val="24"/>
        </w:rPr>
      </w:pPr>
      <w:r>
        <w:rPr>
          <w:rFonts w:ascii="Times New Roman" w:hAnsi="Times New Roman"/>
          <w:noProof/>
          <w:sz w:val="24"/>
        </w:rPr>
        <w:t>Според приблизителна оценка средните годишни разходи на Европейската комисия възлизат на 500 000 EUR за EMAS и 1 100 000 EUR за екомаркировката на ЕС. Тези разходи покриват система от 33 групи продукти, 2000 лицензи и 44 000 продукта за екомаркировката на ЕС и 4000 организации и 7500 обекта за EMAS.</w:t>
      </w:r>
    </w:p>
    <w:p>
      <w:pPr>
        <w:pStyle w:val="ListParagraph"/>
        <w:numPr>
          <w:ilvl w:val="0"/>
          <w:numId w:val="4"/>
        </w:numPr>
        <w:pBdr>
          <w:top w:val="nil"/>
          <w:left w:val="nil"/>
          <w:bottom w:val="nil"/>
          <w:right w:val="nil"/>
          <w:between w:val="nil"/>
          <w:bar w:val="nil"/>
        </w:pBdr>
        <w:spacing w:before="240" w:after="240" w:line="240" w:lineRule="auto"/>
        <w:contextualSpacing w:val="0"/>
        <w:jc w:val="both"/>
        <w:rPr>
          <w:rFonts w:ascii="Times New Roman" w:eastAsia="Times New Roman" w:hAnsi="Times New Roman" w:cs="Times New Roman"/>
          <w:noProof/>
          <w:sz w:val="24"/>
          <w:szCs w:val="24"/>
        </w:rPr>
      </w:pPr>
      <w:r>
        <w:rPr>
          <w:rFonts w:ascii="Times New Roman" w:hAnsi="Times New Roman"/>
          <w:noProof/>
          <w:sz w:val="24"/>
        </w:rPr>
        <w:t xml:space="preserve">Значителни разлики в усилията на държавите членки за изпълнение отразяват различните оценки на съотношението разходи/ползи. Поради доброволния характер на схемите не може да се счита, че те налагат непропорционални тежести на държавите членки или на дружествата и организациите, тъй като всички те инвестират в схемите само дотолкова, доколкото го считат за полезно. Ниските инвестиции обаче водят също така до ограничено възприемане и ограничено въздействие. </w:t>
      </w:r>
    </w:p>
    <w:p>
      <w:pPr>
        <w:pStyle w:val="ListParagraph"/>
        <w:numPr>
          <w:ilvl w:val="0"/>
          <w:numId w:val="4"/>
        </w:numPr>
        <w:pBdr>
          <w:top w:val="nil"/>
          <w:left w:val="nil"/>
          <w:bottom w:val="nil"/>
          <w:right w:val="nil"/>
          <w:between w:val="nil"/>
          <w:bar w:val="nil"/>
        </w:pBdr>
        <w:spacing w:before="240" w:after="240" w:line="240" w:lineRule="auto"/>
        <w:contextualSpacing w:val="0"/>
        <w:jc w:val="both"/>
        <w:rPr>
          <w:rFonts w:ascii="Times New Roman" w:eastAsia="Times New Roman" w:hAnsi="Times New Roman" w:cs="Times New Roman"/>
          <w:noProof/>
          <w:sz w:val="24"/>
          <w:szCs w:val="24"/>
        </w:rPr>
      </w:pPr>
      <w:r>
        <w:rPr>
          <w:rFonts w:ascii="Times New Roman" w:hAnsi="Times New Roman"/>
          <w:noProof/>
          <w:sz w:val="24"/>
        </w:rPr>
        <w:t>За определени регистрирани по EMAS организации — особено такива в областта на производството на енергия — мерки за енергийна ефективност може да доведат до значителни икономии (според проучването за оценяване те възлизат на около 1,3 милиарда евро за всички регистрирани по EMAS организации в период от две години).</w:t>
      </w:r>
    </w:p>
    <w:p>
      <w:pPr>
        <w:spacing w:before="240" w:after="240"/>
        <w:jc w:val="both"/>
        <w:rPr>
          <w:rFonts w:ascii="Times New Roman" w:eastAsia="Times New Roman" w:hAnsi="Times New Roman" w:cs="Times New Roman"/>
          <w:noProof/>
          <w:sz w:val="24"/>
          <w:szCs w:val="24"/>
        </w:rPr>
      </w:pPr>
      <w:r>
        <w:rPr>
          <w:rFonts w:ascii="Times New Roman" w:hAnsi="Times New Roman"/>
          <w:noProof/>
          <w:sz w:val="24"/>
        </w:rPr>
        <w:t>Ефикасността обаче се намалява:</w:t>
      </w:r>
    </w:p>
    <w:p>
      <w:pPr>
        <w:pStyle w:val="ListParagraph"/>
        <w:numPr>
          <w:ilvl w:val="0"/>
          <w:numId w:val="6"/>
        </w:numPr>
        <w:pBdr>
          <w:top w:val="nil"/>
          <w:left w:val="nil"/>
          <w:bottom w:val="nil"/>
          <w:right w:val="nil"/>
          <w:between w:val="nil"/>
          <w:bar w:val="nil"/>
        </w:pBdr>
        <w:spacing w:before="240" w:after="240" w:line="240" w:lineRule="auto"/>
        <w:contextualSpacing w:val="0"/>
        <w:jc w:val="both"/>
        <w:rPr>
          <w:rFonts w:ascii="Times New Roman" w:eastAsia="Times New Roman" w:hAnsi="Times New Roman" w:cs="Times New Roman"/>
          <w:noProof/>
          <w:sz w:val="24"/>
          <w:szCs w:val="24"/>
        </w:rPr>
      </w:pPr>
      <w:r>
        <w:rPr>
          <w:rFonts w:ascii="Times New Roman" w:hAnsi="Times New Roman"/>
          <w:noProof/>
          <w:sz w:val="24"/>
        </w:rPr>
        <w:t>когато за отделни дружества и организации разходите за привеждане в съответствие и за проверки надхвърлят ползите и по този начин намаляват стойността за производителите и организациите и възпират участието им в схемите. При малките оператори последиците от това са още по-големи. Възприемането на EMAS в сравнение с ISO 14001 представлява неизненадващ показател за това, че организациите имат различен опит по отношение на разходите и ползите по двете схеми;</w:t>
      </w:r>
    </w:p>
    <w:p>
      <w:pPr>
        <w:pStyle w:val="ListParagraph"/>
        <w:numPr>
          <w:ilvl w:val="0"/>
          <w:numId w:val="6"/>
        </w:numPr>
        <w:pBdr>
          <w:top w:val="nil"/>
          <w:left w:val="nil"/>
          <w:bottom w:val="nil"/>
          <w:right w:val="nil"/>
          <w:between w:val="nil"/>
          <w:bar w:val="nil"/>
        </w:pBdr>
        <w:spacing w:before="240" w:after="240" w:line="240" w:lineRule="auto"/>
        <w:contextualSpacing w:val="0"/>
        <w:jc w:val="both"/>
        <w:rPr>
          <w:rFonts w:ascii="Times New Roman" w:eastAsia="Times New Roman" w:hAnsi="Times New Roman" w:cs="Times New Roman"/>
          <w:noProof/>
          <w:sz w:val="24"/>
          <w:szCs w:val="24"/>
        </w:rPr>
      </w:pPr>
      <w:r>
        <w:rPr>
          <w:rFonts w:ascii="Times New Roman" w:hAnsi="Times New Roman"/>
          <w:noProof/>
          <w:sz w:val="24"/>
        </w:rPr>
        <w:t xml:space="preserve">когато има само слабо или никакво възприемане за специфични групи продукти. По отношение на екомарировката на ЕС за редица групи продукти няма възприемане изобщо или само съвсем слабо, което показва, че пазарът е недоразвит и/или административната тежест или разходите за проверка на съответствието с определени критерии може да са твърде високи и да представляват пречка за участието. </w:t>
      </w:r>
    </w:p>
    <w:p>
      <w:pPr>
        <w:pStyle w:val="Text"/>
        <w:spacing w:before="240" w:after="240" w:line="240" w:lineRule="auto"/>
        <w:jc w:val="both"/>
        <w:rPr>
          <w:rFonts w:ascii="Times New Roman" w:eastAsia="Times New Roman" w:hAnsi="Times New Roman" w:cs="Times New Roman"/>
          <w:noProof/>
          <w:color w:val="auto"/>
          <w:sz w:val="24"/>
          <w:szCs w:val="24"/>
        </w:rPr>
      </w:pPr>
      <w:r>
        <w:rPr>
          <w:rFonts w:ascii="Times New Roman" w:hAnsi="Times New Roman"/>
          <w:noProof/>
          <w:color w:val="auto"/>
          <w:sz w:val="24"/>
        </w:rPr>
        <w:t xml:space="preserve">И за двете схеми се счита, че са </w:t>
      </w:r>
      <w:r>
        <w:rPr>
          <w:rFonts w:ascii="Times New Roman" w:hAnsi="Times New Roman"/>
          <w:b/>
          <w:noProof/>
          <w:color w:val="auto"/>
          <w:sz w:val="24"/>
        </w:rPr>
        <w:t>до голяма степен съгласувани</w:t>
      </w:r>
      <w:r>
        <w:rPr>
          <w:rFonts w:ascii="Times New Roman" w:hAnsi="Times New Roman"/>
          <w:noProof/>
          <w:color w:val="auto"/>
          <w:sz w:val="24"/>
        </w:rPr>
        <w:t xml:space="preserve"> с други съответни политики на ЕС, които са свързани с устойчивото потребление и производство в ЕС, и ги допълват. Въпреки това оценката сочи към следните нужди:</w:t>
      </w:r>
    </w:p>
    <w:p>
      <w:pPr>
        <w:pStyle w:val="ListParagraph"/>
        <w:numPr>
          <w:ilvl w:val="0"/>
          <w:numId w:val="8"/>
        </w:numPr>
        <w:pBdr>
          <w:top w:val="nil"/>
          <w:left w:val="nil"/>
          <w:bottom w:val="nil"/>
          <w:right w:val="nil"/>
          <w:between w:val="nil"/>
          <w:bar w:val="nil"/>
        </w:pBdr>
        <w:spacing w:before="240" w:after="240" w:line="240" w:lineRule="auto"/>
        <w:contextualSpacing w:val="0"/>
        <w:jc w:val="both"/>
        <w:rPr>
          <w:rFonts w:ascii="Times New Roman" w:eastAsia="Times New Roman" w:hAnsi="Times New Roman" w:cs="Times New Roman"/>
          <w:noProof/>
          <w:sz w:val="24"/>
          <w:szCs w:val="24"/>
        </w:rPr>
      </w:pPr>
      <w:r>
        <w:rPr>
          <w:rFonts w:ascii="Times New Roman" w:hAnsi="Times New Roman"/>
          <w:noProof/>
          <w:sz w:val="24"/>
        </w:rPr>
        <w:t>Следва да се проучат допълнителни възможности за полезно взаимодействие с политики на ЕС, които биха могли да използват по-добре възможностите, предоставяни от екомаркировката на ЕС и/или EMAS, включително, но не само, плана за действие за кръговата икономика, разработването на стратегията на ЕС за нетоксична околна среда, директивата относно нелоялните търговски практики, директивата за обществените поръчки и директивата относно емисиите от промишлеността.</w:t>
      </w:r>
    </w:p>
    <w:p>
      <w:pPr>
        <w:pStyle w:val="ListParagraph"/>
        <w:numPr>
          <w:ilvl w:val="0"/>
          <w:numId w:val="8"/>
        </w:numPr>
        <w:pBdr>
          <w:top w:val="nil"/>
          <w:left w:val="nil"/>
          <w:bottom w:val="nil"/>
          <w:right w:val="nil"/>
          <w:between w:val="nil"/>
          <w:bar w:val="nil"/>
        </w:pBdr>
        <w:spacing w:before="240" w:after="240" w:line="240" w:lineRule="auto"/>
        <w:contextualSpacing w:val="0"/>
        <w:jc w:val="both"/>
        <w:rPr>
          <w:rFonts w:ascii="Times New Roman" w:eastAsia="Times New Roman" w:hAnsi="Times New Roman" w:cs="Times New Roman"/>
          <w:noProof/>
          <w:sz w:val="24"/>
          <w:szCs w:val="24"/>
        </w:rPr>
      </w:pPr>
      <w:r>
        <w:rPr>
          <w:rFonts w:ascii="Times New Roman" w:hAnsi="Times New Roman"/>
          <w:noProof/>
          <w:sz w:val="24"/>
        </w:rPr>
        <w:t>Следва да се вземат мерки във връзка с припокриването на екомаркировката на ЕС и енергийния етикет, където може по-добре да се използват полезни взаимодействия, като се съгласуват различните планове за действие, и където наличието на двата знака за една и съща група продукти невинаги е най-добрата опция.</w:t>
      </w:r>
    </w:p>
    <w:p>
      <w:pPr>
        <w:spacing w:before="240" w:after="240"/>
        <w:jc w:val="both"/>
        <w:rPr>
          <w:rFonts w:ascii="Times New Roman" w:eastAsia="Times New Roman" w:hAnsi="Times New Roman" w:cs="Times New Roman"/>
          <w:noProof/>
          <w:sz w:val="24"/>
          <w:szCs w:val="24"/>
        </w:rPr>
      </w:pPr>
      <w:r>
        <w:rPr>
          <w:rFonts w:ascii="Times New Roman" w:hAnsi="Times New Roman"/>
          <w:noProof/>
          <w:sz w:val="24"/>
        </w:rPr>
        <w:t xml:space="preserve">Що се отнася да съгласуваността между двете схеми, оценката показва, че те се допълват взаимно, като поставят акцент върху различни цели, но че може да има леко припокриване, когато както EMAS, така и екомаркировката на ЕС са насочени към конкретни сектори на услугите, например туризъм и къмпинг. В този случай следва да се вземат мерки да не се създава объркване у потребителите, които могат да избират въз основа на двете схеми. </w:t>
      </w:r>
    </w:p>
    <w:p>
      <w:pPr>
        <w:pStyle w:val="Text"/>
        <w:spacing w:before="240" w:after="240" w:line="240" w:lineRule="auto"/>
        <w:jc w:val="both"/>
        <w:rPr>
          <w:rFonts w:ascii="Times New Roman" w:hAnsi="Times New Roman" w:cs="Times New Roman"/>
          <w:noProof/>
          <w:color w:val="auto"/>
          <w:sz w:val="24"/>
          <w:szCs w:val="24"/>
        </w:rPr>
      </w:pPr>
      <w:r>
        <w:rPr>
          <w:rFonts w:ascii="Times New Roman" w:hAnsi="Times New Roman"/>
          <w:noProof/>
          <w:color w:val="auto"/>
          <w:sz w:val="24"/>
        </w:rPr>
        <w:t xml:space="preserve">Добавената стойност на двете схеми за ЕС не е еднаква. Регламентите са </w:t>
      </w:r>
      <w:r>
        <w:rPr>
          <w:rFonts w:ascii="Times New Roman" w:hAnsi="Times New Roman"/>
          <w:b/>
          <w:noProof/>
          <w:color w:val="auto"/>
          <w:sz w:val="24"/>
        </w:rPr>
        <w:t>създали добавена стойност за ЕС</w:t>
      </w:r>
      <w:r>
        <w:rPr>
          <w:rFonts w:ascii="Times New Roman" w:hAnsi="Times New Roman"/>
          <w:noProof/>
          <w:color w:val="auto"/>
          <w:sz w:val="24"/>
        </w:rPr>
        <w:t xml:space="preserve"> в рамките на ограничението, породено от доброволния характер на схемите. Добавена стойност се създава чрез предоставянето на рамка за хармонизирани правила и процедури на целия вътрешен пазар, които осигуряват достоверност и прозрачност по отношение на твърдения за екологосъобразност. Рамката предоставя информация за екологичните характеристики на продукти и организации, както и възможност за интеграция и съгласуване с други политики на ЕС. По този начин рамката подкрепя производителите и организациите, които желаят да предприемат мерки извън обхвата на задължителните мерки; това важи по-специално за МСП, които не разполагат с вътрешен капацитет, за да изградят своите собствени системи. </w:t>
      </w:r>
    </w:p>
    <w:p>
      <w:pPr>
        <w:pStyle w:val="Text"/>
        <w:spacing w:before="240" w:after="240" w:line="240" w:lineRule="auto"/>
        <w:jc w:val="both"/>
        <w:rPr>
          <w:rFonts w:ascii="Times New Roman" w:eastAsia="Times New Roman" w:hAnsi="Times New Roman" w:cs="Times New Roman"/>
          <w:noProof/>
          <w:color w:val="auto"/>
          <w:sz w:val="24"/>
          <w:szCs w:val="24"/>
        </w:rPr>
      </w:pPr>
      <w:r>
        <w:rPr>
          <w:rFonts w:ascii="Times New Roman" w:hAnsi="Times New Roman"/>
          <w:noProof/>
          <w:color w:val="auto"/>
          <w:sz w:val="24"/>
        </w:rPr>
        <w:t>Не беше възможно да се направи пълен количествен анализ на разходите и ползите. Инструментите обаче се прилагат в контекста на общата публична подкрепа за устойчивото производство и потребление: 77 % от населението на ЕС, анкетирани в проучване на Евробарометър, посочиха, че са готови да плащат повече за екологосъобразни продукти, ако са убедени, че могат да повярват на съответните твърдения. Въпреки че отзивите на обществените консултации, които се отнесоха конкретно до тези инструменти, по принцип са дадени от анкетирани, които вече действат активно с тези инструменти, те бяха като цяло доволни от тях. Например 79 % от заинтересованите страни смятат, че екомаркировката на ЕС е ценен инструмент, който може да улесни по-доброто възприемане и свободното обращение на екологични продукти в цяла Европа, а 95 % искат да я запазят в сегашната ѝ форма или с промени. Същевременно повече от 70 % от анкетираните регистрирани по EMAS организации са констатирали, че характеристиките им по отношение на енергийната ефективност, използването на материали, потреблението на вода и генерирането на отпадъци са се подобрили или дори значително подобрили.</w:t>
      </w:r>
    </w:p>
    <w:p>
      <w:pPr>
        <w:pStyle w:val="Text"/>
        <w:spacing w:line="240" w:lineRule="auto"/>
        <w:jc w:val="both"/>
        <w:rPr>
          <w:rFonts w:ascii="Times New Roman" w:hAnsi="Times New Roman" w:cs="Times New Roman"/>
          <w:noProof/>
          <w:color w:val="auto"/>
          <w:sz w:val="24"/>
          <w:szCs w:val="24"/>
        </w:rPr>
      </w:pPr>
      <w:r>
        <w:rPr>
          <w:rFonts w:ascii="Times New Roman" w:hAnsi="Times New Roman"/>
          <w:noProof/>
          <w:color w:val="auto"/>
          <w:sz w:val="24"/>
        </w:rPr>
        <w:t>Възприемането на EMAS е значително по-слабо в сравнение с ISO 14001. Оценката обаче показва, че регистрираните по EMAS предприятия имат еднакво добри или по-добри екологични характеристики от организациите по ISO 14001, и че определени изисквания на EMAS, като прозрачно докладване и контрол от страна на публичните органи, създават по-висока надеждност и по-добър потенциал за интеграция в политиката в областта на околната среда. Доказателства въз основа на опита на някои държави — членки на ЕС, които активно участваха в схемата, потвърждават този потенциал.</w:t>
      </w:r>
    </w:p>
    <w:p>
      <w:pPr>
        <w:pStyle w:val="Text"/>
        <w:spacing w:line="240" w:lineRule="auto"/>
        <w:jc w:val="both"/>
        <w:rPr>
          <w:rFonts w:ascii="Times New Roman" w:eastAsia="Times New Roman" w:hAnsi="Times New Roman" w:cs="Times New Roman"/>
          <w:noProof/>
          <w:color w:val="auto"/>
          <w:sz w:val="24"/>
          <w:szCs w:val="24"/>
        </w:rPr>
      </w:pPr>
      <w:r>
        <w:rPr>
          <w:rFonts w:ascii="Times New Roman" w:hAnsi="Times New Roman"/>
          <w:noProof/>
          <w:color w:val="auto"/>
          <w:sz w:val="24"/>
        </w:rPr>
        <w:t>Тъй като схемите обаче не са постигнали по-високо възприемане в Европа, е трудно да се демонстрира пълната добавена стойност за ЕС, която е извън рамките на подобренията, свързани с околната среда, за продуктите, услугите и участващите организации. По-специално въздействието на EMAS е засегнато от конкуренцията с ISO 14001, който предвижда по-малко взискателна алтернатива на EMAS чрез хармонизирани правила и процедури за управление на околната среда, признати в световен мащаб. Въпреки това взаимодействието между двете схеми беше конструктивно и EMAS допринесе за нови елементи и подобрения в рамките на международния стандарт ISO 14001, чрез които той се приближава към EMAS, макар и все още да има значителни разлики. За разлика от ISO 14001 EMAS предоставя платформа за съответствие и отчетност, чрез която екологичните характеристики на организацията стават прозрачни за обществеността и публичните органи. Освен това тази платформа има капацитет да улесни признаването на тези, които имат най-високи постижения, от публичните органи и разработването на мерки за подкрепа, както и да доведе до намаляването на административната тежест. Този капацитет се обяснява с факта, че за разлика от ISO, органите и други трети страни получават достъп до информацията относно екологичните характеристики и правното съответствие и трябва да я одобрят, чрез което се дава сигурност, достатъчна за освобождаване от други регулаторни тежести.</w:t>
      </w:r>
    </w:p>
    <w:sectPr>
      <w:headerReference w:type="even" r:id="rId15"/>
      <w:headerReference w:type="default" r:id="rId16"/>
      <w:footerReference w:type="even" r:id="rId17"/>
      <w:footerReference w:type="default" r:id="rId18"/>
      <w:headerReference w:type="first" r:id="rId19"/>
      <w:footerReference w:type="first" r:id="rId20"/>
      <w:pgSz w:w="11906" w:h="16838"/>
      <w:pgMar w:top="1080" w:right="1440" w:bottom="240" w:left="1440"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364752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sz w:val="18"/>
          <w:szCs w:val="18"/>
          <w:lang w:val="ru-RU"/>
        </w:rPr>
      </w:pPr>
      <w:r>
        <w:rPr>
          <w:rStyle w:val="FootnoteReference"/>
        </w:rPr>
        <w:footnoteRef/>
      </w:r>
      <w:r>
        <w:rPr>
          <w:rFonts w:ascii="Times New Roman" w:hAnsi="Times New Roman"/>
          <w:sz w:val="18"/>
        </w:rPr>
        <w:t xml:space="preserve"> </w:t>
      </w:r>
      <w:hyperlink r:id="rId1" w:history="1">
        <w:r>
          <w:rPr>
            <w:rStyle w:val="Hyperlink"/>
            <w:rFonts w:ascii="Times New Roman" w:hAnsi="Times New Roman"/>
            <w:sz w:val="18"/>
          </w:rPr>
          <w:t>Регламент (EО) № 66/2010</w:t>
        </w:r>
      </w:hyperlink>
      <w:r>
        <w:rPr>
          <w:rFonts w:ascii="Times New Roman" w:hAnsi="Times New Roman"/>
          <w:sz w:val="18"/>
        </w:rPr>
        <w:t xml:space="preserve"> </w:t>
      </w:r>
    </w:p>
  </w:footnote>
  <w:footnote w:id="2">
    <w:p>
      <w:pPr>
        <w:pStyle w:val="FootnoteText"/>
        <w:rPr>
          <w:sz w:val="18"/>
          <w:szCs w:val="18"/>
          <w:lang w:val="ru-RU"/>
        </w:rPr>
      </w:pPr>
      <w:r>
        <w:rPr>
          <w:rStyle w:val="FootnoteReference"/>
          <w:sz w:val="18"/>
        </w:rPr>
        <w:footnoteRef/>
      </w:r>
      <w:r>
        <w:rPr>
          <w:sz w:val="18"/>
        </w:rPr>
        <w:t xml:space="preserve"> </w:t>
      </w:r>
      <w:hyperlink r:id="rId2" w:history="1">
        <w:r>
          <w:rPr>
            <w:rStyle w:val="Hyperlink"/>
            <w:sz w:val="18"/>
          </w:rPr>
          <w:t>Регламент (ЕО) № 1221/2009</w:t>
        </w:r>
      </w:hyperlink>
      <w:r>
        <w:rPr>
          <w:sz w:val="18"/>
        </w:rPr>
        <w:t xml:space="preserve"> </w:t>
      </w:r>
    </w:p>
  </w:footnote>
  <w:footnote w:id="3">
    <w:p>
      <w:pPr>
        <w:pStyle w:val="FootnoteText"/>
        <w:rPr>
          <w:lang w:val="ru-RU"/>
        </w:rPr>
      </w:pPr>
      <w:r>
        <w:rPr>
          <w:rStyle w:val="FootnoteReference"/>
        </w:rPr>
        <w:footnoteRef/>
      </w:r>
      <w:r>
        <w:t xml:space="preserve"> </w:t>
      </w:r>
      <w:hyperlink r:id="rId3">
        <w:r>
          <w:rPr>
            <w:rStyle w:val="Hyperlink"/>
          </w:rPr>
          <w:t>COM(2010) 2020 окончателен</w:t>
        </w:r>
      </w:hyperlink>
    </w:p>
  </w:footnote>
  <w:footnote w:id="4">
    <w:p>
      <w:pPr>
        <w:pStyle w:val="FootnoteText"/>
        <w:rPr>
          <w:lang w:val="ru-RU"/>
        </w:rPr>
      </w:pPr>
      <w:r>
        <w:rPr>
          <w:rStyle w:val="FootnoteReference"/>
        </w:rPr>
        <w:footnoteRef/>
      </w:r>
      <w:r>
        <w:t xml:space="preserve"> </w:t>
      </w:r>
      <w:hyperlink r:id="rId4" w:history="1">
        <w:r>
          <w:rPr>
            <w:rStyle w:val="Hyperlink"/>
          </w:rPr>
          <w:t>COM(2011)571 окончателен</w:t>
        </w:r>
      </w:hyperlink>
    </w:p>
  </w:footnote>
  <w:footnote w:id="5">
    <w:p>
      <w:pPr>
        <w:pStyle w:val="FootnoteText"/>
        <w:rPr>
          <w:lang w:val="ru-RU"/>
        </w:rPr>
      </w:pPr>
      <w:r>
        <w:rPr>
          <w:rStyle w:val="FootnoteReference"/>
        </w:rPr>
        <w:footnoteRef/>
      </w:r>
      <w:r>
        <w:t xml:space="preserve"> </w:t>
      </w:r>
      <w:hyperlink r:id="rId5" w:history="1">
        <w:r>
          <w:rPr>
            <w:rStyle w:val="Hyperlink"/>
          </w:rPr>
          <w:t>РЕШЕНИЕ № 1386/2013/EС</w:t>
        </w:r>
      </w:hyperlink>
    </w:p>
  </w:footnote>
  <w:footnote w:id="6">
    <w:p>
      <w:pPr>
        <w:pStyle w:val="FootnoteText"/>
        <w:rPr>
          <w:lang w:val="ru-RU"/>
        </w:rPr>
      </w:pPr>
      <w:r>
        <w:rPr>
          <w:rStyle w:val="FootnoteReference"/>
        </w:rPr>
        <w:footnoteRef/>
      </w:r>
      <w:r>
        <w:t xml:space="preserve"> </w:t>
      </w:r>
      <w:hyperlink r:id="rId6">
        <w:r>
          <w:rPr>
            <w:rStyle w:val="Hyperlink"/>
          </w:rPr>
          <w:t>COM(2015)614 final</w:t>
        </w:r>
      </w:hyperlink>
    </w:p>
  </w:footnote>
  <w:footnote w:id="7">
    <w:p>
      <w:pPr>
        <w:pStyle w:val="FootnoteText"/>
        <w:rPr>
          <w:rFonts w:ascii="Times New Roman" w:hAnsi="Times New Roman" w:cs="Times New Roman"/>
        </w:rPr>
      </w:pPr>
      <w:r>
        <w:rPr>
          <w:rStyle w:val="FootnoteReference"/>
        </w:rPr>
        <w:footnoteRef/>
      </w:r>
      <w:r>
        <w:rPr>
          <w:rFonts w:ascii="Times New Roman" w:hAnsi="Times New Roman"/>
        </w:rPr>
        <w:t xml:space="preserve"> Под регулаторни облекчения се разбират намаления на регулаторната или административната тежест (като например честота на екологичните инспекции, ускорени процедури, по-ниски такси или данъци и др.) в резултат от спазването на EMAS.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F81560"/>
    <w:multiLevelType w:val="hybridMultilevel"/>
    <w:tmpl w:val="60786DCE"/>
    <w:numStyleLink w:val="ImportierterStil4"/>
  </w:abstractNum>
  <w:abstractNum w:abstractNumId="1">
    <w:nsid w:val="21881AFC"/>
    <w:multiLevelType w:val="hybridMultilevel"/>
    <w:tmpl w:val="5422FDC0"/>
    <w:numStyleLink w:val="ImportierterStil2"/>
  </w:abstractNum>
  <w:abstractNum w:abstractNumId="2">
    <w:nsid w:val="23F52BBB"/>
    <w:multiLevelType w:val="hybridMultilevel"/>
    <w:tmpl w:val="B1102062"/>
    <w:styleLink w:val="ImportierterStil1"/>
    <w:lvl w:ilvl="0" w:tplc="95D819E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B645B1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D2E804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6A66BB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3861B5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42CE02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03E02F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F60C3F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C2C711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nsid w:val="273B29CA"/>
    <w:multiLevelType w:val="hybridMultilevel"/>
    <w:tmpl w:val="DF26643C"/>
    <w:styleLink w:val="ImportierterStil3"/>
    <w:lvl w:ilvl="0" w:tplc="E5905F0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1E8E1E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3A238E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A523BF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DE0CF9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3DCD5F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094730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E46AE9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822BDE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nsid w:val="2C212330"/>
    <w:multiLevelType w:val="hybridMultilevel"/>
    <w:tmpl w:val="5422FDC0"/>
    <w:styleLink w:val="ImportierterStil2"/>
    <w:lvl w:ilvl="0" w:tplc="718C9C7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A3EF8E8">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7C289456">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1EE2131C">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CDC5712">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BBE862B0">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745ED3B4">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23481A0">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7340E180">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nsid w:val="365F1122"/>
    <w:multiLevelType w:val="hybridMultilevel"/>
    <w:tmpl w:val="DF26643C"/>
    <w:numStyleLink w:val="ImportierterStil3"/>
  </w:abstractNum>
  <w:abstractNum w:abstractNumId="6">
    <w:nsid w:val="43252341"/>
    <w:multiLevelType w:val="hybridMultilevel"/>
    <w:tmpl w:val="60786DCE"/>
    <w:styleLink w:val="ImportierterStil4"/>
    <w:lvl w:ilvl="0" w:tplc="FFC6E7C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D92B74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BDED3F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04C00C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CA4B3C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F9E9F9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C0C10D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9F60DE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D48044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nsid w:val="46032225"/>
    <w:multiLevelType w:val="hybridMultilevel"/>
    <w:tmpl w:val="B1102062"/>
    <w:numStyleLink w:val="ImportierterStil1"/>
  </w:abstractNum>
  <w:num w:numId="1">
    <w:abstractNumId w:val="2"/>
  </w:num>
  <w:num w:numId="2">
    <w:abstractNumId w:val="7"/>
    <w:lvlOverride w:ilvl="0">
      <w:lvl w:ilvl="0" w:tplc="474490D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
    <w:abstractNumId w:val="4"/>
  </w:num>
  <w:num w:numId="4">
    <w:abstractNumId w:val="1"/>
  </w:num>
  <w:num w:numId="5">
    <w:abstractNumId w:val="3"/>
  </w:num>
  <w:num w:numId="6">
    <w:abstractNumId w:val="5"/>
  </w:num>
  <w:num w:numId="7">
    <w:abstractNumId w:val="6"/>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revisionView w:markup="0"/>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u1087?\u1088?\u1080?\u1076?\u1088?\u1091?\u1078?\u1072?\u1074?\u1072?\u1097?"/>
    <w:docVar w:name="LW_CONFIDENCE" w:val=" "/>
    <w:docVar w:name="LW_CONST_RESTREINT_UE" w:val="RESTREINT UE"/>
    <w:docVar w:name="LW_CORRIGENDUM" w:val="&lt;UNUSED&gt;"/>
    <w:docVar w:name="LW_COVERPAGE_GUID" w:val="E6B4204BCA3F4592B4B25CC58C9D7EA7"/>
    <w:docVar w:name="LW_CROSSREFERENCE" w:val="{COM(2017) 355 final}_x000b_{SWD(2017) 253 final}"/>
    <w:docVar w:name="LW_DocType" w:val="NORMAL"/>
    <w:docVar w:name="LW_EMISSION" w:val="30.6.2017"/>
    <w:docVar w:name="LW_EMISSION_ISODATE" w:val="2017-06-30"/>
    <w:docVar w:name="LW_EMISSION_LOCATION" w:val="BRX"/>
    <w:docVar w:name="LW_EMISSION_PREFIX" w:val="Брюксел, "/>
    <w:docVar w:name="LW_EMISSION_SUFFIX" w:val=" \u1075?."/>
    <w:docVar w:name="LW_ID_DOCTYPE_NONLW" w:val="CP-025"/>
    <w:docVar w:name="LW_LANGUE" w:val="BG"/>
    <w:docVar w:name="LW_MARKING" w:val="&lt;UNUSED&gt;"/>
    <w:docVar w:name="LW_NOM.INST" w:val="\u1045?\u1042?\u1056?\u1054?\u1055?\u1045?\u1049?\u1057?\u1050?\u1040? \u1050?\u1054?\u1052?\u1048?\u1057?\u1048?\u1071?"/>
    <w:docVar w:name="LW_NOM.INST_JOINTDOC" w:val="&lt;EMPTY&gt;"/>
    <w:docVar w:name="LW_OBJETACTEPRINCIPAL.CP" w:val="&lt;UNUSED&gt;"/>
    <w:docVar w:name="LW_PART_NBR" w:val="1"/>
    <w:docVar w:name="LW_PART_NBR_TOTAL" w:val="1"/>
    <w:docVar w:name="LW_REF.INST.NEW" w:val="SWD"/>
    <w:docVar w:name="LW_REF.INST.NEW_ADOPTED" w:val="final"/>
    <w:docVar w:name="LW_REF.INST.NEW_TEXT" w:val="(2017) 252"/>
    <w:docVar w:name="LW_REF.INTERNE" w:val="&lt;UNUSED&gt;"/>
    <w:docVar w:name="LW_SUPERTITRE" w:val="&lt;UNUSED&gt;"/>
    <w:docVar w:name="LW_TITRE.OBJ.CP" w:val="\u1056?\u1045?\u1047?\u1070?\u1052?\u1045? \u1053?\u1040? \u1055?\u1056?\u1054?\u1042?\u1045?\u1056?\u1050?\u1040?\u1058?\u1040? \u1047?\u1040? \u1055?\u1056?\u1048?\u1043?\u1054?\u1044?\u1053?\u1054?\u1057?\u1058?"/>
    <w:docVar w:name="LW_TYPE.DOC.CP" w:val="\u1056?\u1040?\u1041?\u1054?\u1058?\u1045?\u1053? \u1044?\u1054?\u1050?\u1059?\u1052?\u1045?\u1053?\u1058? \u1053?\u1040? \u1057?\u1051?\u1059?\u1046?\u1041?\u1048?\u1058?\u1045? \u1053?\u1040? \u1050?\u1054?\u1052?\u1048?\u1057?\u1048?\u1071?\u1058?\u1040?"/>
    <w:docVar w:name="LW_TYPEACTEPRINCIPAL.CP" w:val="\u1044?\u1054?\u1050?\u1051?\u1040?\u1044? \u1054?\u1058? \u1050?\u1054?\u1052?\u1048?\u1057?\u1048?\u1071?\u1058?\u1040? \u1044?\u1054? \u1045?\u1042?\u1056?\u1054?\u1055?\u1045?\u1049?\u1057?\u1050?\u1048?\u1071? \u1055?\u1040?\u1056?\u1051?\u1040?\u1052?\u1045?\u1053?\u1058? \u1048? \u1057?\u1066?\u1042?\u1045?\u1058?\u1040?_x000b_\u1086?\u1090?\u1085?\u1086?\u1089?\u1085?\u1086? \u1087?\u1088?\u1077?\u1075?\u1083?\u1077?\u1076?\u1072? \u1085?\u1072? \u1087?\u1088?\u1080?\u1083?\u1072?\u1075?\u1072?\u1085?\u1077?\u1090?\u1086? \u1085?\u1072? \u1056?\u1077?\u1075?\u1083?\u1072?\u1084?\u1077?\u1085?\u1090? (E\u1054?) \u8470? 1221/2009 \u1085?\u1072? \u1045?\u1074?\u1088?\u1086?\u1087?\u1077?\u1081?\u1089?\u1082?\u1080?\u1103? \u1087?\u1072?\u1088?\u1083?\u1072?\u1084?\u1077?\u1085?\u1090? \u1080? \u1085?\u1072? \u1057?\u1098?\u1074?\u1077?\u1090?\u1072? \u1086?\u1090? 25 \u1085?\u1086?\u1077?\u1084?\u1074?\u1088?\u1080? 2009 \u1075?. \u1086?\u1090?\u1085?\u1086?\u1089?\u1085?\u1086? \u1076?\u1086?\u1073?\u1088?\u1086?\u1074?\u1086?\u1083?\u1085?\u1086?\u1090?\u1086? \u1091?\u1095?\u1072?\u1089?\u1090?\u1080?\u1077? \u1085?\u1072? \u1086?\u1088?\u1075?\u1072?\u1085?\u1080?\u1079?\u1072?\u1094?\u1080?\u1080? \u1074? \u1057?\u1093?\u1077?\u1084?\u1072?\u1090?\u1072? \u1085?\u1072? \u1054?\u1073?\u1097?\u1085?\u1086?\u1089?\u1090?\u1090?\u1072? \u1079?\u1072? \u1091?\u1087?\u1088?\u1072?\u1074?\u1083?\u1077?\u1085?\u1080?\u1077? \u1087?\u1086? \u1086?\u1082?\u1086?\u1083?\u1085?\u1072? \u1089?\u1088?\u1077?\u1076?\u1072? \u1080? \u1086?\u1076?\u1080?\u1090? (EMAS) \u1080? \u1056?\u1077?\u1075?\u1083?\u1072?\u1084?\u1077?\u1085?\u1090? (E\u1054?) \u8470? 66/2010 \u1085?\u1072? \u1045?\u1074?\u1088?\u1086?\u1087?\u1077?\u1081?\u1089?\u1082?\u1080?\u1103? \u1087?\u1072?\u1088?\u1083?\u1072?\u1084?\u1077?\u1085?\u1090? \u1080? \u1085?\u1072? \u1057?\u1098?\u1074?\u1077?\u1090?\u1072? \u1086?\u1090? 25 \u1085?\u1086?\u1077?\u1084?\u1074?\u1088?\u1080? 2009 \u1075?. \u1086?\u1090?\u1085?\u1086?\u1089?\u1085?\u1086? \u1077?\u1082?\u1086?\u1084?\u1072?\u1088?\u1082?\u1080?\u1088?\u1086?\u1074?\u1082?\u1072?\u1090?\u1072? \u1085?\u1072? \u1045?\u1057? _x000b_"/>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lang w:val="bg-BG"/>
    </w:rPr>
  </w:style>
  <w:style w:type="paragraph" w:styleId="FootnoteText">
    <w:name w:val="footnote text"/>
    <w:aliases w:val="Footnote,Char Char Char,Reference,Fußnote,Footnote Text Char Char,Footnote Text Char Char Char Char,Footnote Text1,Footnote Text Char Char Char,Fu§notentext Char,Fu§notentext Char1 Char1,-E Fußnotentext,Fußnotentext Ursprung,Fußn,f,ft,o,fn"/>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Char,Char Char Char Char,Reference Char,Fußnote Char,Footnote Text Char Char Char1,Footnote Text Char Char Char Char Char,Footnote Text1 Char,Footnote Text Char Char Char Char1,Fu§notentext Char Char,-E Fußnotentext Char"/>
    <w:basedOn w:val="DefaultParagraphFont"/>
    <w:link w:val="FootnoteText"/>
    <w:rPr>
      <w:sz w:val="20"/>
      <w:szCs w:val="20"/>
      <w:lang w:val="bg-BG"/>
    </w:rPr>
  </w:style>
  <w:style w:type="character" w:styleId="FootnoteReference">
    <w:name w:val="footnote reference"/>
    <w:aliases w:val="Footnote symbol,Footnote reference number,note TESI,BVI fnr,Appel note de bas de p,Nota,SUPERS,Footnote number,Footnote Reference Superscript,EN Footnote Reference,-E Fußnotenzeichen,number Char Char,number,Ref,styl,styli,de nota al p"/>
    <w:uiPriority w:val="99"/>
    <w:unhideWhenUsed/>
    <w:qFormat/>
    <w:rPr>
      <w:vertAlign w:val="superscript"/>
    </w:rPr>
  </w:style>
  <w:style w:type="paragraph" w:styleId="ListParagraph">
    <w:name w:val="List Paragraph"/>
    <w:basedOn w:val="Normal"/>
    <w:uiPriority w:val="34"/>
    <w:qFormat/>
    <w:pPr>
      <w:ind w:left="720"/>
      <w:contextualSpacing/>
    </w:pPr>
  </w:style>
  <w:style w:type="paragraph" w:customStyle="1" w:styleId="Text">
    <w:name w:val="Text"/>
    <w:pPr>
      <w:pBdr>
        <w:top w:val="nil"/>
        <w:left w:val="nil"/>
        <w:bottom w:val="nil"/>
        <w:right w:val="nil"/>
        <w:between w:val="nil"/>
        <w:bar w:val="nil"/>
      </w:pBdr>
    </w:pPr>
    <w:rPr>
      <w:rFonts w:ascii="Calibri" w:eastAsia="Calibri" w:hAnsi="Calibri" w:cs="Calibri"/>
      <w:color w:val="000000"/>
      <w:u w:color="000000"/>
      <w:bdr w:val="nil"/>
    </w:rPr>
  </w:style>
  <w:style w:type="numbering" w:customStyle="1" w:styleId="ImportierterStil1">
    <w:name w:val="Importierter Stil: 1"/>
    <w:pPr>
      <w:numPr>
        <w:numId w:val="1"/>
      </w:numPr>
    </w:pPr>
  </w:style>
  <w:style w:type="numbering" w:customStyle="1" w:styleId="ImportierterStil2">
    <w:name w:val="Importierter Stil: 2"/>
    <w:pPr>
      <w:numPr>
        <w:numId w:val="3"/>
      </w:numPr>
    </w:pPr>
  </w:style>
  <w:style w:type="numbering" w:customStyle="1" w:styleId="ImportierterStil3">
    <w:name w:val="Importierter Stil: 3"/>
    <w:pPr>
      <w:numPr>
        <w:numId w:val="5"/>
      </w:numPr>
    </w:pPr>
  </w:style>
  <w:style w:type="numbering" w:customStyle="1" w:styleId="ImportierterStil4">
    <w:name w:val="Importierter Stil: 4"/>
    <w:pPr>
      <w:numPr>
        <w:numId w:val="7"/>
      </w:numPr>
    </w:p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lang w:val="bg-BG"/>
    </w:rPr>
  </w:style>
  <w:style w:type="paragraph" w:styleId="FootnoteText">
    <w:name w:val="footnote text"/>
    <w:aliases w:val="Footnote,Char Char Char,Reference,Fußnote,Footnote Text Char Char,Footnote Text Char Char Char Char,Footnote Text1,Footnote Text Char Char Char,Fu§notentext Char,Fu§notentext Char1 Char1,-E Fußnotentext,Fußnotentext Ursprung,Fußn,f,ft,o,fn"/>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Char,Char Char Char Char,Reference Char,Fußnote Char,Footnote Text Char Char Char1,Footnote Text Char Char Char Char Char,Footnote Text1 Char,Footnote Text Char Char Char Char1,Fu§notentext Char Char,-E Fußnotentext Char"/>
    <w:basedOn w:val="DefaultParagraphFont"/>
    <w:link w:val="FootnoteText"/>
    <w:rPr>
      <w:sz w:val="20"/>
      <w:szCs w:val="20"/>
      <w:lang w:val="bg-BG"/>
    </w:rPr>
  </w:style>
  <w:style w:type="character" w:styleId="FootnoteReference">
    <w:name w:val="footnote reference"/>
    <w:aliases w:val="Footnote symbol,Footnote reference number,note TESI,BVI fnr,Appel note de bas de p,Nota,SUPERS,Footnote number,Footnote Reference Superscript,EN Footnote Reference,-E Fußnotenzeichen,number Char Char,number,Ref,styl,styli,de nota al p"/>
    <w:uiPriority w:val="99"/>
    <w:unhideWhenUsed/>
    <w:qFormat/>
    <w:rPr>
      <w:vertAlign w:val="superscript"/>
    </w:rPr>
  </w:style>
  <w:style w:type="paragraph" w:styleId="ListParagraph">
    <w:name w:val="List Paragraph"/>
    <w:basedOn w:val="Normal"/>
    <w:uiPriority w:val="34"/>
    <w:qFormat/>
    <w:pPr>
      <w:ind w:left="720"/>
      <w:contextualSpacing/>
    </w:pPr>
  </w:style>
  <w:style w:type="paragraph" w:customStyle="1" w:styleId="Text">
    <w:name w:val="Text"/>
    <w:pPr>
      <w:pBdr>
        <w:top w:val="nil"/>
        <w:left w:val="nil"/>
        <w:bottom w:val="nil"/>
        <w:right w:val="nil"/>
        <w:between w:val="nil"/>
        <w:bar w:val="nil"/>
      </w:pBdr>
    </w:pPr>
    <w:rPr>
      <w:rFonts w:ascii="Calibri" w:eastAsia="Calibri" w:hAnsi="Calibri" w:cs="Calibri"/>
      <w:color w:val="000000"/>
      <w:u w:color="000000"/>
      <w:bdr w:val="nil"/>
    </w:rPr>
  </w:style>
  <w:style w:type="numbering" w:customStyle="1" w:styleId="ImportierterStil1">
    <w:name w:val="Importierter Stil: 1"/>
    <w:pPr>
      <w:numPr>
        <w:numId w:val="1"/>
      </w:numPr>
    </w:pPr>
  </w:style>
  <w:style w:type="numbering" w:customStyle="1" w:styleId="ImportierterStil2">
    <w:name w:val="Importierter Stil: 2"/>
    <w:pPr>
      <w:numPr>
        <w:numId w:val="3"/>
      </w:numPr>
    </w:pPr>
  </w:style>
  <w:style w:type="numbering" w:customStyle="1" w:styleId="ImportierterStil3">
    <w:name w:val="Importierter Stil: 3"/>
    <w:pPr>
      <w:numPr>
        <w:numId w:val="5"/>
      </w:numPr>
    </w:pPr>
  </w:style>
  <w:style w:type="numbering" w:customStyle="1" w:styleId="ImportierterStil4">
    <w:name w:val="Importierter Stil: 4"/>
    <w:pPr>
      <w:numPr>
        <w:numId w:val="7"/>
      </w:numPr>
    </w:p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eur-lex.europa.eu/LexUriServ/LexUriServ.do?uri=COM:2010:2020:FIN:BG:PDF" TargetMode="External"/><Relationship Id="rId2" Type="http://schemas.openxmlformats.org/officeDocument/2006/relationships/hyperlink" Target="http://eur-lex.europa.eu/legal-content/BG/TXT/PDF/?uri=CELEX:32009R1221&amp;amp;amp;amp;from=EN" TargetMode="External"/><Relationship Id="rId1" Type="http://schemas.openxmlformats.org/officeDocument/2006/relationships/hyperlink" Target="http://eur-lex.europa.eu/legal-content/BG/TXT/PDF/?uri=CELEX:32010R0066&amp;amp;amp;amp;from=EN" TargetMode="External"/><Relationship Id="rId6" Type="http://schemas.openxmlformats.org/officeDocument/2006/relationships/hyperlink" Target="http://eur-lex.europa.eu/resource.html?uri=cellar:8a8ef5e8-99a0-11e5-b3b7-01aa75ed71a1.0012.02/DOC_1&amp;format=PDF" TargetMode="External"/><Relationship Id="rId5" Type="http://schemas.openxmlformats.org/officeDocument/2006/relationships/hyperlink" Target="http://eur-lex.europa.eu/legal-content/BG/TXT/PDF/?uri=CELEX:32013D1386&amp;amp;amp;amp;from=EN" TargetMode="External"/><Relationship Id="rId4" Type="http://schemas.openxmlformats.org/officeDocument/2006/relationships/hyperlink" Target="http://eur-lex.europa.eu/legal-content/BG/TXT/PDF/?uri=CELEX:52011DC0571&amp;amp;amp;amp;from=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2242</Words>
  <Characters>13141</Characters>
  <Application>Microsoft Office Word</Application>
  <DocSecurity>0</DocSecurity>
  <Lines>226</Lines>
  <Paragraphs>39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2017-01-10T16:05:00Z</dcterms:created>
  <dcterms:modified xsi:type="dcterms:W3CDTF">2017-06-23T14:52:00Z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Part">
    <vt:lpwstr>1</vt:lpwstr>
  </property>
  <property fmtid="{D5CDD505-2E9C-101B-9397-08002B2CF9AE}" pid="4" name="Total parts">
    <vt:lpwstr>1</vt:lpwstr>
  </property>
  <property fmtid="{D5CDD505-2E9C-101B-9397-08002B2CF9AE}" pid="5" name="Classification">
    <vt:lpwstr> </vt:lpwstr>
  </property>
</Properties>
</file>