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A72" w:rsidRDefault="00493550">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1CB4EAD3CB9425FBF5DCDEFF056DE72" style="width:450.75pt;height:407.25pt">
            <v:imagedata r:id="rId8" o:title=""/>
          </v:shape>
        </w:pict>
      </w:r>
    </w:p>
    <w:bookmarkEnd w:id="0"/>
    <w:p w:rsidR="003F0A72" w:rsidRDefault="003F0A72">
      <w:pPr>
        <w:rPr>
          <w:noProof/>
        </w:rPr>
        <w:sectPr w:rsidR="003F0A72">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3F0A72" w:rsidRDefault="00493550">
      <w:pPr>
        <w:autoSpaceDE w:val="0"/>
        <w:autoSpaceDN w:val="0"/>
        <w:adjustRightInd w:val="0"/>
        <w:spacing w:after="240" w:line="240" w:lineRule="auto"/>
        <w:jc w:val="center"/>
        <w:rPr>
          <w:rFonts w:ascii="Times New Roman" w:eastAsia="Times New Roman" w:hAnsi="Times New Roman" w:cs="Times New Roman"/>
          <w:b/>
          <w:noProof/>
          <w:sz w:val="24"/>
          <w:szCs w:val="24"/>
          <w:u w:val="single"/>
        </w:rPr>
      </w:pPr>
      <w:r>
        <w:rPr>
          <w:rFonts w:ascii="Times New Roman" w:hAnsi="Times New Roman"/>
          <w:b/>
          <w:noProof/>
          <w:sz w:val="24"/>
          <w:u w:val="single"/>
        </w:rPr>
        <w:lastRenderedPageBreak/>
        <w:t>Annexe</w:t>
      </w:r>
    </w:p>
    <w:p w:rsidR="003F0A72" w:rsidRDefault="00493550">
      <w:pPr>
        <w:autoSpaceDE w:val="0"/>
        <w:autoSpaceDN w:val="0"/>
        <w:adjustRightInd w:val="0"/>
        <w:spacing w:after="240" w:line="240" w:lineRule="auto"/>
        <w:jc w:val="center"/>
        <w:rPr>
          <w:rFonts w:ascii="Times New Roman" w:eastAsia="Times New Roman" w:hAnsi="Times New Roman" w:cs="Times New Roman"/>
          <w:b/>
          <w:noProof/>
          <w:sz w:val="24"/>
          <w:szCs w:val="24"/>
        </w:rPr>
      </w:pPr>
      <w:r>
        <w:rPr>
          <w:rFonts w:ascii="Times New Roman" w:hAnsi="Times New Roman"/>
          <w:b/>
          <w:noProof/>
          <w:sz w:val="24"/>
        </w:rPr>
        <w:t xml:space="preserve"> Liste des documents de la Commission au sujet desquels la Commission a reçu des avis motivés</w:t>
      </w:r>
      <w:r>
        <w:rPr>
          <w:rFonts w:ascii="Times New Roman" w:hAnsi="Times New Roman"/>
          <w:b/>
          <w:noProof/>
          <w:sz w:val="24"/>
          <w:vertAlign w:val="superscript"/>
        </w:rPr>
        <w:footnoteReference w:id="1"/>
      </w:r>
      <w:r>
        <w:rPr>
          <w:rFonts w:ascii="Times New Roman" w:hAnsi="Times New Roman"/>
          <w:b/>
          <w:noProof/>
          <w:sz w:val="24"/>
        </w:rPr>
        <w:t xml:space="preserve"> de la part des parlements nationaux en 2016 en ce qui concerne le respect du principe de subsidiarité</w:t>
      </w:r>
      <w:r>
        <w:rPr>
          <w:rFonts w:ascii="Times New Roman" w:eastAsia="Times New Roman" w:hAnsi="Times New Roman" w:cs="Times New Roman"/>
          <w:b/>
          <w:noProof/>
          <w:sz w:val="24"/>
          <w:szCs w:val="24"/>
        </w:rPr>
        <w:br/>
      </w:r>
    </w:p>
    <w:p w:rsidR="00757DDF" w:rsidRDefault="00757DDF">
      <w:pPr>
        <w:autoSpaceDE w:val="0"/>
        <w:autoSpaceDN w:val="0"/>
        <w:adjustRightInd w:val="0"/>
        <w:spacing w:after="240" w:line="240" w:lineRule="auto"/>
        <w:jc w:val="center"/>
        <w:rPr>
          <w:rFonts w:ascii="Times New Roman" w:eastAsia="Times New Roman" w:hAnsi="Times New Roman" w:cs="Times New Roman"/>
          <w:b/>
          <w:noProof/>
          <w:sz w:val="24"/>
          <w:szCs w:val="24"/>
        </w:rPr>
      </w:pPr>
    </w:p>
    <w:p w:rsidR="00757DDF" w:rsidRDefault="00757DDF">
      <w:pPr>
        <w:autoSpaceDE w:val="0"/>
        <w:autoSpaceDN w:val="0"/>
        <w:adjustRightInd w:val="0"/>
        <w:spacing w:after="240" w:line="240" w:lineRule="auto"/>
        <w:jc w:val="center"/>
        <w:rPr>
          <w:rFonts w:ascii="Times New Roman" w:eastAsia="Times New Roman" w:hAnsi="Times New Roman" w:cs="Times New Roman"/>
          <w:b/>
          <w:noProof/>
          <w:sz w:val="24"/>
          <w:szCs w:val="24"/>
        </w:rPr>
      </w:pPr>
    </w:p>
    <w:p w:rsidR="00757DDF" w:rsidRDefault="00757DDF">
      <w:pPr>
        <w:autoSpaceDE w:val="0"/>
        <w:autoSpaceDN w:val="0"/>
        <w:adjustRightInd w:val="0"/>
        <w:spacing w:after="240" w:line="240" w:lineRule="auto"/>
        <w:jc w:val="center"/>
        <w:rPr>
          <w:rFonts w:ascii="Times New Roman" w:eastAsia="Times New Roman" w:hAnsi="Times New Roman" w:cs="Times New Roman"/>
          <w:b/>
          <w:noProof/>
          <w:sz w:val="24"/>
          <w:szCs w:val="24"/>
        </w:rPr>
      </w:pPr>
    </w:p>
    <w:p w:rsidR="00757DDF" w:rsidRDefault="00757DDF">
      <w:pPr>
        <w:autoSpaceDE w:val="0"/>
        <w:autoSpaceDN w:val="0"/>
        <w:adjustRightInd w:val="0"/>
        <w:spacing w:after="240" w:line="240" w:lineRule="auto"/>
        <w:jc w:val="center"/>
        <w:rPr>
          <w:rFonts w:ascii="Times New Roman" w:eastAsia="Times New Roman" w:hAnsi="Times New Roman" w:cs="Times New Roman"/>
          <w:b/>
          <w:noProof/>
          <w:sz w:val="24"/>
          <w:szCs w:val="24"/>
        </w:rPr>
      </w:pPr>
    </w:p>
    <w:p w:rsidR="00757DDF" w:rsidRDefault="00757DDF">
      <w:pPr>
        <w:autoSpaceDE w:val="0"/>
        <w:autoSpaceDN w:val="0"/>
        <w:adjustRightInd w:val="0"/>
        <w:spacing w:after="240" w:line="240" w:lineRule="auto"/>
        <w:jc w:val="center"/>
        <w:rPr>
          <w:rFonts w:ascii="Times New Roman" w:eastAsia="Times New Roman" w:hAnsi="Times New Roman" w:cs="Times New Roman"/>
          <w:b/>
          <w:noProof/>
          <w:sz w:val="24"/>
          <w:szCs w:val="24"/>
        </w:rPr>
      </w:pPr>
    </w:p>
    <w:p w:rsidR="00757DDF" w:rsidRDefault="00757DDF">
      <w:pPr>
        <w:autoSpaceDE w:val="0"/>
        <w:autoSpaceDN w:val="0"/>
        <w:adjustRightInd w:val="0"/>
        <w:spacing w:after="240" w:line="240" w:lineRule="auto"/>
        <w:jc w:val="center"/>
        <w:rPr>
          <w:rFonts w:ascii="Times New Roman" w:eastAsia="Times New Roman" w:hAnsi="Times New Roman" w:cs="Times New Roman"/>
          <w:b/>
          <w:noProof/>
          <w:sz w:val="24"/>
          <w:szCs w:val="24"/>
        </w:rPr>
      </w:pPr>
    </w:p>
    <w:p w:rsidR="00757DDF" w:rsidRDefault="00757DDF">
      <w:pPr>
        <w:autoSpaceDE w:val="0"/>
        <w:autoSpaceDN w:val="0"/>
        <w:adjustRightInd w:val="0"/>
        <w:spacing w:after="240" w:line="240" w:lineRule="auto"/>
        <w:jc w:val="center"/>
        <w:rPr>
          <w:rFonts w:ascii="Times New Roman" w:eastAsia="Times New Roman" w:hAnsi="Times New Roman" w:cs="Times New Roman"/>
          <w:b/>
          <w:noProof/>
          <w:sz w:val="24"/>
          <w:szCs w:val="24"/>
        </w:rPr>
      </w:pPr>
    </w:p>
    <w:p w:rsidR="00757DDF" w:rsidRDefault="00757DDF">
      <w:pPr>
        <w:autoSpaceDE w:val="0"/>
        <w:autoSpaceDN w:val="0"/>
        <w:adjustRightInd w:val="0"/>
        <w:spacing w:after="240" w:line="240" w:lineRule="auto"/>
        <w:jc w:val="center"/>
        <w:rPr>
          <w:rFonts w:ascii="Times New Roman" w:eastAsia="Times New Roman" w:hAnsi="Times New Roman" w:cs="Times New Roman"/>
          <w:b/>
          <w:noProof/>
          <w:sz w:val="24"/>
          <w:szCs w:val="24"/>
        </w:rPr>
      </w:pPr>
    </w:p>
    <w:p w:rsidR="00757DDF" w:rsidRDefault="00757DDF">
      <w:pPr>
        <w:autoSpaceDE w:val="0"/>
        <w:autoSpaceDN w:val="0"/>
        <w:adjustRightInd w:val="0"/>
        <w:spacing w:after="240" w:line="240" w:lineRule="auto"/>
        <w:jc w:val="center"/>
        <w:rPr>
          <w:rFonts w:ascii="Times New Roman" w:eastAsia="Times New Roman" w:hAnsi="Times New Roman" w:cs="Times New Roman"/>
          <w:b/>
          <w:noProof/>
          <w:sz w:val="24"/>
          <w:szCs w:val="24"/>
        </w:rPr>
      </w:pPr>
    </w:p>
    <w:p w:rsidR="00757DDF" w:rsidRDefault="00757DDF">
      <w:pPr>
        <w:autoSpaceDE w:val="0"/>
        <w:autoSpaceDN w:val="0"/>
        <w:adjustRightInd w:val="0"/>
        <w:spacing w:after="240" w:line="240" w:lineRule="auto"/>
        <w:jc w:val="center"/>
        <w:rPr>
          <w:rFonts w:ascii="Times New Roman" w:eastAsia="Times New Roman" w:hAnsi="Times New Roman" w:cs="Times New Roman"/>
          <w:b/>
          <w:noProof/>
          <w:sz w:val="24"/>
          <w:szCs w:val="24"/>
        </w:rPr>
      </w:pPr>
    </w:p>
    <w:p w:rsidR="00757DDF" w:rsidRDefault="00757DDF">
      <w:pPr>
        <w:autoSpaceDE w:val="0"/>
        <w:autoSpaceDN w:val="0"/>
        <w:adjustRightInd w:val="0"/>
        <w:spacing w:after="240" w:line="240" w:lineRule="auto"/>
        <w:jc w:val="center"/>
        <w:rPr>
          <w:rFonts w:ascii="Times New Roman" w:eastAsia="Times New Roman" w:hAnsi="Times New Roman" w:cs="Times New Roman"/>
          <w:b/>
          <w:noProof/>
          <w:sz w:val="24"/>
          <w:szCs w:val="24"/>
        </w:rPr>
      </w:pPr>
    </w:p>
    <w:p w:rsidR="00757DDF" w:rsidRDefault="00757DDF">
      <w:pPr>
        <w:autoSpaceDE w:val="0"/>
        <w:autoSpaceDN w:val="0"/>
        <w:adjustRightInd w:val="0"/>
        <w:spacing w:after="240" w:line="240" w:lineRule="auto"/>
        <w:jc w:val="center"/>
        <w:rPr>
          <w:rFonts w:ascii="Times New Roman" w:eastAsia="Times New Roman" w:hAnsi="Times New Roman" w:cs="Times New Roman"/>
          <w:b/>
          <w:noProof/>
          <w:sz w:val="24"/>
          <w:szCs w:val="24"/>
        </w:rPr>
      </w:pPr>
    </w:p>
    <w:p w:rsidR="00757DDF" w:rsidRDefault="00757DDF">
      <w:pPr>
        <w:autoSpaceDE w:val="0"/>
        <w:autoSpaceDN w:val="0"/>
        <w:adjustRightInd w:val="0"/>
        <w:spacing w:after="240" w:line="240" w:lineRule="auto"/>
        <w:jc w:val="center"/>
        <w:rPr>
          <w:rFonts w:ascii="Times New Roman" w:eastAsia="Times New Roman" w:hAnsi="Times New Roman" w:cs="Times New Roman"/>
          <w:b/>
          <w:noProof/>
          <w:sz w:val="24"/>
          <w:szCs w:val="24"/>
        </w:rPr>
      </w:pPr>
    </w:p>
    <w:p w:rsidR="00757DDF" w:rsidRDefault="00757DDF">
      <w:pPr>
        <w:autoSpaceDE w:val="0"/>
        <w:autoSpaceDN w:val="0"/>
        <w:adjustRightInd w:val="0"/>
        <w:spacing w:after="240" w:line="240" w:lineRule="auto"/>
        <w:jc w:val="center"/>
        <w:rPr>
          <w:rFonts w:ascii="Times New Roman" w:eastAsia="Times New Roman" w:hAnsi="Times New Roman" w:cs="Times New Roman"/>
          <w:b/>
          <w:noProof/>
          <w:sz w:val="24"/>
          <w:szCs w:val="24"/>
        </w:rPr>
      </w:pPr>
    </w:p>
    <w:p w:rsidR="00757DDF" w:rsidRDefault="00757DDF">
      <w:pPr>
        <w:autoSpaceDE w:val="0"/>
        <w:autoSpaceDN w:val="0"/>
        <w:adjustRightInd w:val="0"/>
        <w:spacing w:after="240" w:line="240" w:lineRule="auto"/>
        <w:jc w:val="center"/>
        <w:rPr>
          <w:rFonts w:ascii="Times New Roman" w:eastAsia="Times New Roman" w:hAnsi="Times New Roman" w:cs="Times New Roman"/>
          <w:b/>
          <w:noProof/>
          <w:sz w:val="24"/>
          <w:szCs w:val="24"/>
        </w:rPr>
      </w:pPr>
    </w:p>
    <w:p w:rsidR="00757DDF" w:rsidRDefault="00757DDF">
      <w:pPr>
        <w:autoSpaceDE w:val="0"/>
        <w:autoSpaceDN w:val="0"/>
        <w:adjustRightInd w:val="0"/>
        <w:spacing w:after="240" w:line="240" w:lineRule="auto"/>
        <w:jc w:val="center"/>
        <w:rPr>
          <w:rFonts w:ascii="Times New Roman" w:eastAsia="Times New Roman" w:hAnsi="Times New Roman" w:cs="Times New Roman"/>
          <w:b/>
          <w:noProof/>
          <w:sz w:val="24"/>
          <w:szCs w:val="24"/>
        </w:rPr>
      </w:pPr>
    </w:p>
    <w:p w:rsidR="00757DDF" w:rsidRDefault="00757DDF">
      <w:pPr>
        <w:autoSpaceDE w:val="0"/>
        <w:autoSpaceDN w:val="0"/>
        <w:adjustRightInd w:val="0"/>
        <w:spacing w:after="240" w:line="240" w:lineRule="auto"/>
        <w:jc w:val="center"/>
        <w:rPr>
          <w:rFonts w:ascii="Times New Roman" w:eastAsia="Times New Roman" w:hAnsi="Times New Roman" w:cs="Times New Roman"/>
          <w:b/>
          <w:noProof/>
          <w:sz w:val="24"/>
          <w:szCs w:val="24"/>
        </w:rPr>
      </w:pPr>
    </w:p>
    <w:p w:rsidR="00757DDF" w:rsidRDefault="00757DDF">
      <w:pPr>
        <w:autoSpaceDE w:val="0"/>
        <w:autoSpaceDN w:val="0"/>
        <w:adjustRightInd w:val="0"/>
        <w:spacing w:after="240" w:line="240" w:lineRule="auto"/>
        <w:jc w:val="center"/>
        <w:rPr>
          <w:rFonts w:ascii="Times New Roman" w:eastAsia="Times New Roman" w:hAnsi="Times New Roman" w:cs="Times New Roman"/>
          <w:b/>
          <w:noProof/>
          <w:sz w:val="24"/>
          <w:szCs w:val="24"/>
        </w:rPr>
      </w:pPr>
    </w:p>
    <w:p w:rsidR="00757DDF" w:rsidRDefault="00757DDF">
      <w:pPr>
        <w:autoSpaceDE w:val="0"/>
        <w:autoSpaceDN w:val="0"/>
        <w:adjustRightInd w:val="0"/>
        <w:spacing w:after="240" w:line="240" w:lineRule="auto"/>
        <w:jc w:val="center"/>
        <w:rPr>
          <w:rFonts w:ascii="Times New Roman" w:eastAsia="Times New Roman" w:hAnsi="Times New Roman" w:cs="Times New Roman"/>
          <w:b/>
          <w:noProof/>
          <w:sz w:val="24"/>
          <w:szCs w:val="24"/>
        </w:rPr>
      </w:pPr>
      <w:bookmarkStart w:id="1" w:name="_GoBack"/>
      <w:bookmarkEnd w:id="1"/>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2409"/>
        <w:gridCol w:w="1418"/>
        <w:gridCol w:w="1134"/>
        <w:gridCol w:w="2410"/>
      </w:tblGrid>
      <w:tr w:rsidR="003F0A72">
        <w:trPr>
          <w:cantSplit/>
          <w:trHeight w:val="1333"/>
          <w:tblHeader/>
        </w:trPr>
        <w:tc>
          <w:tcPr>
            <w:tcW w:w="568" w:type="dxa"/>
            <w:tcBorders>
              <w:top w:val="nil"/>
              <w:left w:val="nil"/>
            </w:tcBorders>
            <w:shd w:val="clear" w:color="auto" w:fill="auto"/>
          </w:tcPr>
          <w:p w:rsidR="003F0A72" w:rsidRDefault="003F0A72">
            <w:pPr>
              <w:spacing w:after="240" w:line="240" w:lineRule="auto"/>
              <w:rPr>
                <w:rFonts w:ascii="Times New Roman" w:eastAsia="Times New Roman" w:hAnsi="Times New Roman" w:cs="Times New Roman"/>
                <w:b/>
                <w:noProof/>
                <w:sz w:val="24"/>
                <w:szCs w:val="24"/>
              </w:rPr>
            </w:pPr>
          </w:p>
          <w:p w:rsidR="00757DDF" w:rsidRDefault="00757DDF">
            <w:pPr>
              <w:spacing w:after="240" w:line="240" w:lineRule="auto"/>
              <w:rPr>
                <w:rFonts w:ascii="Times New Roman" w:eastAsia="Times New Roman" w:hAnsi="Times New Roman" w:cs="Times New Roman"/>
                <w:noProof/>
                <w:sz w:val="24"/>
                <w:szCs w:val="24"/>
              </w:rPr>
            </w:pPr>
          </w:p>
        </w:tc>
        <w:tc>
          <w:tcPr>
            <w:tcW w:w="1843" w:type="dxa"/>
            <w:shd w:val="clear" w:color="auto" w:fill="auto"/>
          </w:tcPr>
          <w:p w:rsidR="003F0A72" w:rsidRDefault="003F0A72">
            <w:pPr>
              <w:spacing w:after="240" w:line="240" w:lineRule="auto"/>
              <w:rPr>
                <w:rFonts w:ascii="Times New Roman" w:eastAsia="Times New Roman" w:hAnsi="Times New Roman" w:cs="Times New Roman"/>
                <w:b/>
                <w:noProof/>
              </w:rPr>
            </w:pPr>
          </w:p>
          <w:p w:rsidR="003F0A72" w:rsidRDefault="00493550">
            <w:pPr>
              <w:spacing w:after="240" w:line="240" w:lineRule="auto"/>
              <w:jc w:val="center"/>
              <w:rPr>
                <w:rFonts w:ascii="Times New Roman" w:eastAsia="Times New Roman" w:hAnsi="Times New Roman" w:cs="Times New Roman"/>
                <w:b/>
                <w:noProof/>
              </w:rPr>
            </w:pPr>
            <w:r>
              <w:rPr>
                <w:rFonts w:ascii="Times New Roman" w:hAnsi="Times New Roman"/>
                <w:b/>
                <w:noProof/>
              </w:rPr>
              <w:t>Document de la Commission</w:t>
            </w:r>
          </w:p>
        </w:tc>
        <w:tc>
          <w:tcPr>
            <w:tcW w:w="2409" w:type="dxa"/>
            <w:shd w:val="clear" w:color="auto" w:fill="auto"/>
          </w:tcPr>
          <w:p w:rsidR="003F0A72" w:rsidRDefault="003F0A72">
            <w:pPr>
              <w:spacing w:after="240" w:line="240" w:lineRule="auto"/>
              <w:rPr>
                <w:rFonts w:ascii="Times New Roman" w:eastAsia="Times New Roman" w:hAnsi="Times New Roman" w:cs="Times New Roman"/>
                <w:b/>
                <w:noProof/>
              </w:rPr>
            </w:pPr>
          </w:p>
          <w:p w:rsidR="003F0A72" w:rsidRDefault="00493550">
            <w:pPr>
              <w:spacing w:after="240" w:line="240" w:lineRule="auto"/>
              <w:jc w:val="center"/>
              <w:rPr>
                <w:rFonts w:ascii="Times New Roman" w:eastAsia="Times New Roman" w:hAnsi="Times New Roman" w:cs="Times New Roman"/>
                <w:noProof/>
              </w:rPr>
            </w:pPr>
            <w:r>
              <w:rPr>
                <w:rFonts w:ascii="Times New Roman" w:hAnsi="Times New Roman"/>
                <w:b/>
                <w:noProof/>
              </w:rPr>
              <w:t>Intitulé</w:t>
            </w:r>
          </w:p>
        </w:tc>
        <w:tc>
          <w:tcPr>
            <w:tcW w:w="1418" w:type="dxa"/>
            <w:shd w:val="clear" w:color="auto" w:fill="auto"/>
          </w:tcPr>
          <w:p w:rsidR="003F0A72" w:rsidRDefault="003F0A72">
            <w:pPr>
              <w:spacing w:after="240" w:line="240" w:lineRule="auto"/>
              <w:jc w:val="center"/>
              <w:rPr>
                <w:rFonts w:ascii="Times New Roman" w:eastAsia="Times New Roman" w:hAnsi="Times New Roman" w:cs="Times New Roman"/>
                <w:b/>
                <w:noProof/>
                <w:sz w:val="2"/>
                <w:szCs w:val="2"/>
              </w:rPr>
            </w:pPr>
          </w:p>
          <w:p w:rsidR="003F0A72" w:rsidRDefault="00493550">
            <w:pPr>
              <w:spacing w:after="240" w:line="240" w:lineRule="auto"/>
              <w:jc w:val="center"/>
              <w:rPr>
                <w:rFonts w:ascii="Times New Roman" w:eastAsia="Times New Roman" w:hAnsi="Times New Roman" w:cs="Times New Roman"/>
                <w:b/>
                <w:noProof/>
              </w:rPr>
            </w:pPr>
            <w:r>
              <w:rPr>
                <w:rFonts w:ascii="Times New Roman" w:hAnsi="Times New Roman"/>
                <w:b/>
                <w:noProof/>
              </w:rPr>
              <w:t>Nombre d’avis motivés (protocole nº 2)</w:t>
            </w:r>
          </w:p>
        </w:tc>
        <w:tc>
          <w:tcPr>
            <w:tcW w:w="1134" w:type="dxa"/>
            <w:shd w:val="clear" w:color="auto" w:fill="auto"/>
          </w:tcPr>
          <w:p w:rsidR="003F0A72" w:rsidRDefault="003F0A72">
            <w:pPr>
              <w:spacing w:after="240" w:line="240" w:lineRule="auto"/>
              <w:jc w:val="center"/>
              <w:rPr>
                <w:rFonts w:ascii="Times New Roman" w:eastAsia="Times New Roman" w:hAnsi="Times New Roman" w:cs="Times New Roman"/>
                <w:b/>
                <w:noProof/>
                <w:sz w:val="2"/>
                <w:szCs w:val="2"/>
              </w:rPr>
            </w:pPr>
          </w:p>
          <w:p w:rsidR="003F0A72" w:rsidRDefault="00493550">
            <w:pPr>
              <w:spacing w:after="240" w:line="240" w:lineRule="auto"/>
              <w:jc w:val="center"/>
              <w:rPr>
                <w:rFonts w:ascii="Times New Roman" w:eastAsia="Times New Roman" w:hAnsi="Times New Roman" w:cs="Times New Roman"/>
                <w:noProof/>
              </w:rPr>
            </w:pPr>
            <w:r>
              <w:rPr>
                <w:rFonts w:ascii="Times New Roman" w:hAnsi="Times New Roman"/>
                <w:b/>
                <w:noProof/>
              </w:rPr>
              <w:t>Nombre de voix (protocole nº 2)</w:t>
            </w:r>
            <w:r>
              <w:rPr>
                <w:rFonts w:ascii="Times New Roman" w:hAnsi="Times New Roman"/>
                <w:noProof/>
                <w:vertAlign w:val="superscript"/>
              </w:rPr>
              <w:footnoteReference w:id="2"/>
            </w:r>
          </w:p>
        </w:tc>
        <w:tc>
          <w:tcPr>
            <w:tcW w:w="2410" w:type="dxa"/>
            <w:shd w:val="clear" w:color="auto" w:fill="auto"/>
          </w:tcPr>
          <w:p w:rsidR="003F0A72" w:rsidRDefault="003F0A72">
            <w:pPr>
              <w:spacing w:after="240" w:line="240" w:lineRule="auto"/>
              <w:jc w:val="center"/>
              <w:rPr>
                <w:rFonts w:ascii="Times New Roman" w:eastAsia="Times New Roman" w:hAnsi="Times New Roman" w:cs="Times New Roman"/>
                <w:b/>
                <w:noProof/>
                <w:sz w:val="2"/>
                <w:szCs w:val="2"/>
              </w:rPr>
            </w:pPr>
          </w:p>
          <w:p w:rsidR="003F0A72" w:rsidRDefault="00493550">
            <w:pPr>
              <w:spacing w:after="240" w:line="240" w:lineRule="auto"/>
              <w:jc w:val="center"/>
              <w:rPr>
                <w:rFonts w:ascii="Times New Roman" w:eastAsia="Times New Roman" w:hAnsi="Times New Roman" w:cs="Times New Roman"/>
                <w:noProof/>
              </w:rPr>
            </w:pPr>
            <w:r>
              <w:rPr>
                <w:rFonts w:ascii="Times New Roman" w:hAnsi="Times New Roman"/>
                <w:b/>
                <w:noProof/>
              </w:rPr>
              <w:t xml:space="preserve">Chambres nationales ayant émis un avis </w:t>
            </w:r>
            <w:r>
              <w:rPr>
                <w:rFonts w:ascii="Times New Roman" w:hAnsi="Times New Roman"/>
                <w:b/>
                <w:noProof/>
              </w:rPr>
              <w:t>motivé</w:t>
            </w:r>
          </w:p>
        </w:tc>
      </w:tr>
      <w:tr w:rsidR="003F0A72">
        <w:trPr>
          <w:cantSplit/>
          <w:trHeight w:val="6948"/>
        </w:trPr>
        <w:tc>
          <w:tcPr>
            <w:tcW w:w="568"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eastAsia="Times New Roman" w:hAnsi="Times New Roman" w:cs="Times New Roman"/>
                <w:noProof/>
              </w:rPr>
              <w:t>1</w:t>
            </w:r>
          </w:p>
        </w:tc>
        <w:tc>
          <w:tcPr>
            <w:tcW w:w="1843"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 xml:space="preserve">COM(2016) 128 </w:t>
            </w:r>
          </w:p>
        </w:tc>
        <w:tc>
          <w:tcPr>
            <w:tcW w:w="2409"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Proposition de directive modifiant la directive 96/71/CE du Parlement européen et du Conseil du 16 décembre 1996 concernant le détachement de travailleurs effectué dans le cadre d’une prestation de services</w:t>
            </w:r>
          </w:p>
        </w:tc>
        <w:tc>
          <w:tcPr>
            <w:tcW w:w="1418"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14</w:t>
            </w:r>
          </w:p>
        </w:tc>
        <w:tc>
          <w:tcPr>
            <w:tcW w:w="1134"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22</w:t>
            </w:r>
          </w:p>
        </w:tc>
        <w:tc>
          <w:tcPr>
            <w:tcW w:w="2410" w:type="dxa"/>
            <w:tcBorders>
              <w:bottom w:val="single" w:sz="4" w:space="0" w:color="auto"/>
            </w:tcBorders>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Narodno sabranie</w:t>
            </w:r>
            <w:r>
              <w:rPr>
                <w:rFonts w:ascii="Times New Roman" w:hAnsi="Times New Roman"/>
                <w:noProof/>
              </w:rPr>
              <w:t xml:space="preserve"> bulgare (2 voix)</w:t>
            </w:r>
          </w:p>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Hrvatski</w:t>
            </w:r>
            <w:r>
              <w:rPr>
                <w:rFonts w:ascii="Times New Roman" w:hAnsi="Times New Roman"/>
                <w:noProof/>
              </w:rPr>
              <w:t xml:space="preserve"> </w:t>
            </w:r>
            <w:r>
              <w:rPr>
                <w:rFonts w:ascii="Times New Roman" w:hAnsi="Times New Roman"/>
                <w:i/>
                <w:noProof/>
              </w:rPr>
              <w:t>sabor</w:t>
            </w:r>
            <w:r>
              <w:rPr>
                <w:rFonts w:ascii="Times New Roman" w:hAnsi="Times New Roman"/>
                <w:noProof/>
              </w:rPr>
              <w:t xml:space="preserve"> croate (2 voix)</w:t>
            </w:r>
          </w:p>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Poslanecká sněmovna</w:t>
            </w:r>
            <w:r>
              <w:rPr>
                <w:rFonts w:ascii="Times New Roman" w:hAnsi="Times New Roman"/>
                <w:noProof/>
              </w:rPr>
              <w:t xml:space="preserve"> tchèque (1 voix)</w:t>
            </w:r>
          </w:p>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Senát</w:t>
            </w:r>
            <w:r>
              <w:rPr>
                <w:rFonts w:ascii="Times New Roman" w:hAnsi="Times New Roman"/>
                <w:noProof/>
              </w:rPr>
              <w:t xml:space="preserve"> tchèque (1 voix)</w:t>
            </w:r>
          </w:p>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Folketing</w:t>
            </w:r>
            <w:r>
              <w:rPr>
                <w:rFonts w:ascii="Times New Roman" w:hAnsi="Times New Roman"/>
                <w:noProof/>
              </w:rPr>
              <w:t xml:space="preserve"> danois (2 voix)</w:t>
            </w:r>
          </w:p>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Riigikogu</w:t>
            </w:r>
            <w:r>
              <w:rPr>
                <w:rFonts w:ascii="Times New Roman" w:hAnsi="Times New Roman"/>
                <w:noProof/>
              </w:rPr>
              <w:t xml:space="preserve"> estonien (2 voix)</w:t>
            </w:r>
          </w:p>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Országgyűlés</w:t>
            </w:r>
            <w:r>
              <w:rPr>
                <w:rFonts w:ascii="Times New Roman" w:hAnsi="Times New Roman"/>
                <w:noProof/>
              </w:rPr>
              <w:t xml:space="preserve"> hongrois (2 voix)</w:t>
            </w:r>
          </w:p>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Saeima</w:t>
            </w:r>
            <w:r>
              <w:rPr>
                <w:rFonts w:ascii="Times New Roman" w:hAnsi="Times New Roman"/>
                <w:noProof/>
              </w:rPr>
              <w:t xml:space="preserve"> lettonne (2 voix)</w:t>
            </w:r>
          </w:p>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Seimas</w:t>
            </w:r>
            <w:r>
              <w:rPr>
                <w:rFonts w:ascii="Times New Roman" w:hAnsi="Times New Roman"/>
                <w:noProof/>
              </w:rPr>
              <w:t xml:space="preserve"> lituanien (2 voix)</w:t>
            </w:r>
          </w:p>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Sejm</w:t>
            </w:r>
            <w:r>
              <w:rPr>
                <w:rFonts w:ascii="Times New Roman" w:hAnsi="Times New Roman"/>
                <w:noProof/>
              </w:rPr>
              <w:t xml:space="preserve"> polona</w:t>
            </w:r>
            <w:r>
              <w:rPr>
                <w:rFonts w:ascii="Times New Roman" w:hAnsi="Times New Roman"/>
                <w:noProof/>
              </w:rPr>
              <w:t>is (1 voix)</w:t>
            </w:r>
          </w:p>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Senat</w:t>
            </w:r>
            <w:r>
              <w:rPr>
                <w:rFonts w:ascii="Times New Roman" w:hAnsi="Times New Roman"/>
                <w:noProof/>
              </w:rPr>
              <w:t xml:space="preserve"> polonais (1 voix)</w:t>
            </w:r>
          </w:p>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Camera</w:t>
            </w:r>
            <w:r>
              <w:rPr>
                <w:rFonts w:ascii="Times New Roman" w:hAnsi="Times New Roman"/>
                <w:noProof/>
              </w:rPr>
              <w:t xml:space="preserve"> </w:t>
            </w:r>
            <w:r>
              <w:rPr>
                <w:rFonts w:ascii="Times New Roman" w:hAnsi="Times New Roman"/>
                <w:i/>
                <w:noProof/>
              </w:rPr>
              <w:t>Deputaților</w:t>
            </w:r>
            <w:r>
              <w:rPr>
                <w:rFonts w:ascii="Times New Roman" w:hAnsi="Times New Roman"/>
                <w:noProof/>
              </w:rPr>
              <w:t xml:space="preserve"> roumaine (1 voix)</w:t>
            </w:r>
          </w:p>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Senat</w:t>
            </w:r>
            <w:r>
              <w:rPr>
                <w:rFonts w:ascii="Times New Roman" w:hAnsi="Times New Roman"/>
                <w:noProof/>
              </w:rPr>
              <w:t xml:space="preserve"> roumain (1 voix) </w:t>
            </w:r>
          </w:p>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Národná</w:t>
            </w:r>
            <w:r>
              <w:rPr>
                <w:rFonts w:ascii="Times New Roman" w:hAnsi="Times New Roman"/>
                <w:noProof/>
              </w:rPr>
              <w:t xml:space="preserve"> </w:t>
            </w:r>
            <w:r>
              <w:rPr>
                <w:rFonts w:ascii="Times New Roman" w:hAnsi="Times New Roman"/>
                <w:i/>
                <w:noProof/>
              </w:rPr>
              <w:t>rada</w:t>
            </w:r>
            <w:r>
              <w:rPr>
                <w:rFonts w:ascii="Times New Roman" w:hAnsi="Times New Roman"/>
                <w:noProof/>
              </w:rPr>
              <w:t xml:space="preserve"> slovaque (2 voix) </w:t>
            </w:r>
          </w:p>
        </w:tc>
      </w:tr>
      <w:tr w:rsidR="003F0A72">
        <w:trPr>
          <w:cantSplit/>
          <w:trHeight w:val="4146"/>
        </w:trPr>
        <w:tc>
          <w:tcPr>
            <w:tcW w:w="568"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lastRenderedPageBreak/>
              <w:t>2</w:t>
            </w:r>
          </w:p>
        </w:tc>
        <w:tc>
          <w:tcPr>
            <w:tcW w:w="1843"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COM(2016) 683</w:t>
            </w:r>
            <w:r>
              <w:rPr>
                <w:rStyle w:val="FootnoteReference"/>
                <w:rFonts w:ascii="Times New Roman" w:hAnsi="Times New Roman"/>
                <w:noProof/>
              </w:rPr>
              <w:footnoteReference w:id="3"/>
            </w:r>
            <w:r>
              <w:rPr>
                <w:rFonts w:ascii="Times New Roman" w:hAnsi="Times New Roman"/>
                <w:noProof/>
              </w:rPr>
              <w:t xml:space="preserve"> </w:t>
            </w:r>
          </w:p>
        </w:tc>
        <w:tc>
          <w:tcPr>
            <w:tcW w:w="2409"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Proposition de directive du Conseil concernant une assiette commune consolidée pour l’impôt sur les sociétés</w:t>
            </w:r>
            <w:r>
              <w:rPr>
                <w:rFonts w:ascii="Times New Roman" w:hAnsi="Times New Roman"/>
                <w:noProof/>
              </w:rPr>
              <w:t xml:space="preserve"> (ACCIS)</w:t>
            </w:r>
          </w:p>
        </w:tc>
        <w:tc>
          <w:tcPr>
            <w:tcW w:w="1418"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8</w:t>
            </w:r>
          </w:p>
        </w:tc>
        <w:tc>
          <w:tcPr>
            <w:tcW w:w="1134"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12</w:t>
            </w:r>
          </w:p>
        </w:tc>
        <w:tc>
          <w:tcPr>
            <w:tcW w:w="2410" w:type="dxa"/>
            <w:tcBorders>
              <w:bottom w:val="single" w:sz="4" w:space="0" w:color="auto"/>
            </w:tcBorders>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Folketing</w:t>
            </w:r>
            <w:r>
              <w:rPr>
                <w:rStyle w:val="FootnoteReference"/>
                <w:rFonts w:ascii="Times New Roman" w:hAnsi="Times New Roman"/>
                <w:noProof/>
              </w:rPr>
              <w:footnoteReference w:id="4"/>
            </w:r>
            <w:r>
              <w:rPr>
                <w:rFonts w:ascii="Times New Roman" w:hAnsi="Times New Roman"/>
                <w:noProof/>
              </w:rPr>
              <w:t xml:space="preserve"> danois (2 voix)</w:t>
            </w:r>
          </w:p>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Dáil</w:t>
            </w:r>
            <w:r>
              <w:rPr>
                <w:rFonts w:ascii="Times New Roman" w:hAnsi="Times New Roman"/>
                <w:noProof/>
              </w:rPr>
              <w:t xml:space="preserve"> </w:t>
            </w:r>
            <w:r>
              <w:rPr>
                <w:rFonts w:ascii="Times New Roman" w:hAnsi="Times New Roman"/>
                <w:i/>
                <w:noProof/>
              </w:rPr>
              <w:t>Éireann</w:t>
            </w:r>
            <w:r>
              <w:rPr>
                <w:rStyle w:val="FootnoteReference"/>
                <w:rFonts w:ascii="Times New Roman" w:hAnsi="Times New Roman"/>
                <w:noProof/>
              </w:rPr>
              <w:footnoteReference w:id="5"/>
            </w:r>
            <w:r>
              <w:rPr>
                <w:rFonts w:ascii="Times New Roman" w:hAnsi="Times New Roman"/>
                <w:noProof/>
              </w:rPr>
              <w:t xml:space="preserve"> irlandais (1 voix)</w:t>
            </w:r>
          </w:p>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Seanad</w:t>
            </w:r>
            <w:r>
              <w:rPr>
                <w:rFonts w:ascii="Times New Roman" w:hAnsi="Times New Roman"/>
                <w:noProof/>
              </w:rPr>
              <w:t xml:space="preserve"> </w:t>
            </w:r>
            <w:r>
              <w:rPr>
                <w:rFonts w:ascii="Times New Roman" w:hAnsi="Times New Roman"/>
                <w:i/>
                <w:noProof/>
              </w:rPr>
              <w:t>Éireann</w:t>
            </w:r>
            <w:r>
              <w:rPr>
                <w:rStyle w:val="FootnoteReference"/>
                <w:rFonts w:ascii="Times New Roman" w:hAnsi="Times New Roman"/>
                <w:noProof/>
              </w:rPr>
              <w:footnoteReference w:id="6"/>
            </w:r>
            <w:r>
              <w:rPr>
                <w:rFonts w:ascii="Times New Roman" w:hAnsi="Times New Roman"/>
                <w:noProof/>
              </w:rPr>
              <w:t xml:space="preserve"> irlandais (1 voix)</w:t>
            </w:r>
          </w:p>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Chambre</w:t>
            </w:r>
            <w:r>
              <w:rPr>
                <w:rFonts w:ascii="Times New Roman" w:hAnsi="Times New Roman"/>
                <w:noProof/>
              </w:rPr>
              <w:t xml:space="preserve"> </w:t>
            </w:r>
            <w:r>
              <w:rPr>
                <w:rFonts w:ascii="Times New Roman" w:hAnsi="Times New Roman"/>
                <w:i/>
                <w:noProof/>
              </w:rPr>
              <w:t>des</w:t>
            </w:r>
            <w:r>
              <w:rPr>
                <w:rFonts w:ascii="Times New Roman" w:hAnsi="Times New Roman"/>
                <w:noProof/>
              </w:rPr>
              <w:t xml:space="preserve"> </w:t>
            </w:r>
            <w:r>
              <w:rPr>
                <w:rFonts w:ascii="Times New Roman" w:hAnsi="Times New Roman"/>
                <w:i/>
                <w:noProof/>
              </w:rPr>
              <w:t>Députés</w:t>
            </w:r>
            <w:r>
              <w:rPr>
                <w:rFonts w:ascii="Times New Roman" w:hAnsi="Times New Roman"/>
                <w:noProof/>
              </w:rPr>
              <w:t xml:space="preserve"> luxembourgeoise (2 voix)</w:t>
            </w:r>
          </w:p>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Kamra</w:t>
            </w:r>
            <w:r>
              <w:rPr>
                <w:rFonts w:ascii="Times New Roman" w:hAnsi="Times New Roman"/>
                <w:noProof/>
              </w:rPr>
              <w:t xml:space="preserve"> </w:t>
            </w:r>
            <w:r>
              <w:rPr>
                <w:rFonts w:ascii="Times New Roman" w:hAnsi="Times New Roman"/>
                <w:i/>
                <w:noProof/>
              </w:rPr>
              <w:t>tad-Deputati</w:t>
            </w:r>
            <w:r>
              <w:rPr>
                <w:rFonts w:ascii="Times New Roman" w:hAnsi="Times New Roman"/>
                <w:noProof/>
              </w:rPr>
              <w:t xml:space="preserve"> maltaise (2 voix)</w:t>
            </w:r>
          </w:p>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Eerste</w:t>
            </w:r>
            <w:r>
              <w:rPr>
                <w:rFonts w:ascii="Times New Roman" w:hAnsi="Times New Roman"/>
                <w:noProof/>
              </w:rPr>
              <w:t xml:space="preserve"> </w:t>
            </w:r>
            <w:r>
              <w:rPr>
                <w:rFonts w:ascii="Times New Roman" w:hAnsi="Times New Roman"/>
                <w:i/>
                <w:noProof/>
              </w:rPr>
              <w:t>Kamer</w:t>
            </w:r>
            <w:r>
              <w:rPr>
                <w:rStyle w:val="FootnoteReference"/>
                <w:rFonts w:ascii="Times New Roman" w:hAnsi="Times New Roman"/>
                <w:noProof/>
              </w:rPr>
              <w:footnoteReference w:id="7"/>
            </w:r>
            <w:r>
              <w:rPr>
                <w:rFonts w:ascii="Times New Roman" w:hAnsi="Times New Roman"/>
                <w:noProof/>
              </w:rPr>
              <w:t xml:space="preserve"> néerlandaise (1 voix) </w:t>
            </w:r>
          </w:p>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Tweede</w:t>
            </w:r>
            <w:r>
              <w:rPr>
                <w:rFonts w:ascii="Times New Roman" w:hAnsi="Times New Roman"/>
                <w:noProof/>
              </w:rPr>
              <w:t xml:space="preserve"> </w:t>
            </w:r>
            <w:r>
              <w:rPr>
                <w:rFonts w:ascii="Times New Roman" w:hAnsi="Times New Roman"/>
                <w:i/>
                <w:noProof/>
              </w:rPr>
              <w:t>Kamer</w:t>
            </w:r>
            <w:r>
              <w:rPr>
                <w:rFonts w:ascii="Times New Roman" w:hAnsi="Times New Roman"/>
                <w:noProof/>
              </w:rPr>
              <w:t xml:space="preserve"> néerlandaise (1 voix) </w:t>
            </w:r>
          </w:p>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Riksdag</w:t>
            </w:r>
            <w:r>
              <w:rPr>
                <w:rFonts w:ascii="Times New Roman" w:hAnsi="Times New Roman"/>
                <w:noProof/>
              </w:rPr>
              <w:t xml:space="preserve"> suédois (2 voix) </w:t>
            </w:r>
          </w:p>
        </w:tc>
      </w:tr>
      <w:tr w:rsidR="003F0A72">
        <w:trPr>
          <w:cantSplit/>
          <w:trHeight w:val="4146"/>
        </w:trPr>
        <w:tc>
          <w:tcPr>
            <w:tcW w:w="568"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lastRenderedPageBreak/>
              <w:t>3</w:t>
            </w:r>
          </w:p>
        </w:tc>
        <w:tc>
          <w:tcPr>
            <w:tcW w:w="1843"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COM(2016) 685</w:t>
            </w:r>
            <w:r>
              <w:rPr>
                <w:rStyle w:val="FootnoteReference"/>
                <w:rFonts w:ascii="Times New Roman" w:hAnsi="Times New Roman"/>
                <w:noProof/>
              </w:rPr>
              <w:footnoteReference w:id="8"/>
            </w:r>
            <w:r>
              <w:rPr>
                <w:rFonts w:ascii="Times New Roman" w:hAnsi="Times New Roman"/>
                <w:noProof/>
              </w:rPr>
              <w:t xml:space="preserve"> </w:t>
            </w:r>
          </w:p>
        </w:tc>
        <w:tc>
          <w:tcPr>
            <w:tcW w:w="2409"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Proposition de directive du Conseil concernant une assiette commune pour l’impôt sur les sociétés</w:t>
            </w:r>
          </w:p>
        </w:tc>
        <w:tc>
          <w:tcPr>
            <w:tcW w:w="1418"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8</w:t>
            </w:r>
          </w:p>
        </w:tc>
        <w:tc>
          <w:tcPr>
            <w:tcW w:w="1134"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12</w:t>
            </w:r>
          </w:p>
        </w:tc>
        <w:tc>
          <w:tcPr>
            <w:tcW w:w="2410" w:type="dxa"/>
            <w:tcBorders>
              <w:bottom w:val="single" w:sz="4" w:space="0" w:color="auto"/>
            </w:tcBorders>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Folketing</w:t>
            </w:r>
            <w:r>
              <w:rPr>
                <w:rStyle w:val="FootnoteReference"/>
                <w:rFonts w:ascii="Times New Roman" w:hAnsi="Times New Roman"/>
                <w:noProof/>
              </w:rPr>
              <w:footnoteReference w:id="9"/>
            </w:r>
            <w:r>
              <w:rPr>
                <w:rFonts w:ascii="Times New Roman" w:hAnsi="Times New Roman"/>
                <w:noProof/>
              </w:rPr>
              <w:t xml:space="preserve"> danois (2 voix)</w:t>
            </w:r>
          </w:p>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Dáil</w:t>
            </w:r>
            <w:r>
              <w:rPr>
                <w:rFonts w:ascii="Times New Roman" w:hAnsi="Times New Roman"/>
                <w:noProof/>
              </w:rPr>
              <w:t xml:space="preserve"> </w:t>
            </w:r>
            <w:r>
              <w:rPr>
                <w:rFonts w:ascii="Times New Roman" w:hAnsi="Times New Roman"/>
                <w:i/>
                <w:noProof/>
              </w:rPr>
              <w:t>Éireann</w:t>
            </w:r>
            <w:r>
              <w:rPr>
                <w:rStyle w:val="FootnoteReference"/>
                <w:rFonts w:ascii="Times New Roman" w:hAnsi="Times New Roman"/>
                <w:noProof/>
              </w:rPr>
              <w:footnoteReference w:id="10"/>
            </w:r>
            <w:r>
              <w:rPr>
                <w:rFonts w:ascii="Times New Roman" w:hAnsi="Times New Roman"/>
                <w:noProof/>
              </w:rPr>
              <w:t xml:space="preserve"> irlandais (1 voix)</w:t>
            </w:r>
          </w:p>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Seanad</w:t>
            </w:r>
            <w:r>
              <w:rPr>
                <w:rFonts w:ascii="Times New Roman" w:hAnsi="Times New Roman"/>
                <w:noProof/>
              </w:rPr>
              <w:t xml:space="preserve"> </w:t>
            </w:r>
            <w:r>
              <w:rPr>
                <w:rFonts w:ascii="Times New Roman" w:hAnsi="Times New Roman"/>
                <w:i/>
                <w:noProof/>
              </w:rPr>
              <w:t>Éireann</w:t>
            </w:r>
            <w:r>
              <w:rPr>
                <w:rStyle w:val="FootnoteReference"/>
                <w:rFonts w:ascii="Times New Roman" w:hAnsi="Times New Roman"/>
                <w:noProof/>
              </w:rPr>
              <w:footnoteReference w:id="11"/>
            </w:r>
            <w:r>
              <w:rPr>
                <w:rFonts w:ascii="Times New Roman" w:hAnsi="Times New Roman"/>
                <w:noProof/>
              </w:rPr>
              <w:t xml:space="preserve"> irlandais (1 voix) </w:t>
            </w:r>
          </w:p>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Chambre</w:t>
            </w:r>
            <w:r>
              <w:rPr>
                <w:rFonts w:ascii="Times New Roman" w:hAnsi="Times New Roman"/>
                <w:noProof/>
              </w:rPr>
              <w:t xml:space="preserve"> </w:t>
            </w:r>
            <w:r>
              <w:rPr>
                <w:rFonts w:ascii="Times New Roman" w:hAnsi="Times New Roman"/>
                <w:i/>
                <w:noProof/>
              </w:rPr>
              <w:t>des</w:t>
            </w:r>
            <w:r>
              <w:rPr>
                <w:rFonts w:ascii="Times New Roman" w:hAnsi="Times New Roman"/>
                <w:noProof/>
              </w:rPr>
              <w:t xml:space="preserve"> </w:t>
            </w:r>
            <w:r>
              <w:rPr>
                <w:rFonts w:ascii="Times New Roman" w:hAnsi="Times New Roman"/>
                <w:i/>
                <w:noProof/>
              </w:rPr>
              <w:t>Députés</w:t>
            </w:r>
            <w:r>
              <w:rPr>
                <w:rFonts w:ascii="Times New Roman" w:hAnsi="Times New Roman"/>
                <w:noProof/>
              </w:rPr>
              <w:t xml:space="preserve"> luxembourgeoise (2 voix) </w:t>
            </w:r>
          </w:p>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Kamra</w:t>
            </w:r>
            <w:r>
              <w:rPr>
                <w:rFonts w:ascii="Times New Roman" w:hAnsi="Times New Roman"/>
                <w:noProof/>
              </w:rPr>
              <w:t xml:space="preserve"> </w:t>
            </w:r>
            <w:r>
              <w:rPr>
                <w:rFonts w:ascii="Times New Roman" w:hAnsi="Times New Roman"/>
                <w:i/>
                <w:noProof/>
              </w:rPr>
              <w:t>tad</w:t>
            </w:r>
            <w:r>
              <w:rPr>
                <w:rFonts w:ascii="Times New Roman" w:hAnsi="Times New Roman"/>
                <w:noProof/>
              </w:rPr>
              <w:t>-</w:t>
            </w:r>
            <w:r>
              <w:rPr>
                <w:rFonts w:ascii="Times New Roman" w:hAnsi="Times New Roman"/>
                <w:i/>
                <w:noProof/>
              </w:rPr>
              <w:t>Deputati</w:t>
            </w:r>
            <w:r>
              <w:rPr>
                <w:rFonts w:ascii="Times New Roman" w:hAnsi="Times New Roman"/>
                <w:noProof/>
              </w:rPr>
              <w:t xml:space="preserve"> maltaise (2 voix) </w:t>
            </w:r>
          </w:p>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Eerste</w:t>
            </w:r>
            <w:r>
              <w:rPr>
                <w:rFonts w:ascii="Times New Roman" w:hAnsi="Times New Roman"/>
                <w:noProof/>
              </w:rPr>
              <w:t xml:space="preserve"> </w:t>
            </w:r>
            <w:r>
              <w:rPr>
                <w:rFonts w:ascii="Times New Roman" w:hAnsi="Times New Roman"/>
                <w:i/>
                <w:noProof/>
              </w:rPr>
              <w:t>Kamer</w:t>
            </w:r>
            <w:r>
              <w:rPr>
                <w:rStyle w:val="FootnoteReference"/>
                <w:rFonts w:ascii="Times New Roman" w:hAnsi="Times New Roman"/>
                <w:noProof/>
              </w:rPr>
              <w:footnoteReference w:id="12"/>
            </w:r>
            <w:r>
              <w:rPr>
                <w:rFonts w:ascii="Times New Roman" w:hAnsi="Times New Roman"/>
                <w:noProof/>
              </w:rPr>
              <w:t xml:space="preserve"> néerlandaise (1 voix) </w:t>
            </w:r>
          </w:p>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Tweede</w:t>
            </w:r>
            <w:r>
              <w:rPr>
                <w:rFonts w:ascii="Times New Roman" w:hAnsi="Times New Roman"/>
                <w:noProof/>
              </w:rPr>
              <w:t xml:space="preserve"> </w:t>
            </w:r>
            <w:r>
              <w:rPr>
                <w:rFonts w:ascii="Times New Roman" w:hAnsi="Times New Roman"/>
                <w:i/>
                <w:noProof/>
              </w:rPr>
              <w:t>Kamer</w:t>
            </w:r>
            <w:r>
              <w:rPr>
                <w:rFonts w:ascii="Times New Roman" w:hAnsi="Times New Roman"/>
                <w:noProof/>
              </w:rPr>
              <w:t xml:space="preserve"> néerlandaise (1 voix) </w:t>
            </w:r>
          </w:p>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Riksdag</w:t>
            </w:r>
            <w:r>
              <w:rPr>
                <w:rFonts w:ascii="Times New Roman" w:hAnsi="Times New Roman"/>
                <w:noProof/>
              </w:rPr>
              <w:t xml:space="preserve"> suédois (2 voix) </w:t>
            </w:r>
          </w:p>
        </w:tc>
      </w:tr>
      <w:tr w:rsidR="003F0A72">
        <w:trPr>
          <w:cantSplit/>
          <w:trHeight w:val="4146"/>
        </w:trPr>
        <w:tc>
          <w:tcPr>
            <w:tcW w:w="568"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lastRenderedPageBreak/>
              <w:t>4</w:t>
            </w:r>
          </w:p>
        </w:tc>
        <w:tc>
          <w:tcPr>
            <w:tcW w:w="1843"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 xml:space="preserve">COM(2016) 270 </w:t>
            </w:r>
          </w:p>
        </w:tc>
        <w:tc>
          <w:tcPr>
            <w:tcW w:w="2409"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Proposition de règlement établissa</w:t>
            </w:r>
            <w:r>
              <w:rPr>
                <w:rFonts w:ascii="Times New Roman" w:hAnsi="Times New Roman"/>
                <w:noProof/>
              </w:rPr>
              <w:t>nt les critères et mécanismes de détermination de l’État membre responsable de l’examen d’une demande de protection internationale introduite dans l’un des États membres par un ressortissant de pays tiers ou un apatride (refonte)</w:t>
            </w:r>
          </w:p>
        </w:tc>
        <w:tc>
          <w:tcPr>
            <w:tcW w:w="1418" w:type="dxa"/>
            <w:shd w:val="clear" w:color="auto" w:fill="auto"/>
          </w:tcPr>
          <w:p w:rsidR="003F0A72" w:rsidRDefault="00493550">
            <w:pPr>
              <w:spacing w:after="240" w:line="240" w:lineRule="auto"/>
              <w:rPr>
                <w:rFonts w:ascii="Times New Roman" w:eastAsia="Times New Roman" w:hAnsi="Times New Roman" w:cs="Times New Roman"/>
                <w:dstrike/>
                <w:noProof/>
              </w:rPr>
            </w:pPr>
            <w:r>
              <w:rPr>
                <w:rFonts w:ascii="Times New Roman" w:hAnsi="Times New Roman"/>
                <w:noProof/>
              </w:rPr>
              <w:t>8</w:t>
            </w:r>
          </w:p>
        </w:tc>
        <w:tc>
          <w:tcPr>
            <w:tcW w:w="1134"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10</w:t>
            </w:r>
          </w:p>
        </w:tc>
        <w:tc>
          <w:tcPr>
            <w:tcW w:w="2410" w:type="dxa"/>
            <w:tcBorders>
              <w:bottom w:val="single" w:sz="4" w:space="0" w:color="auto"/>
            </w:tcBorders>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Poslanecká</w:t>
            </w:r>
            <w:r>
              <w:rPr>
                <w:rFonts w:ascii="Times New Roman" w:hAnsi="Times New Roman"/>
                <w:noProof/>
              </w:rPr>
              <w:t xml:space="preserve"> </w:t>
            </w:r>
            <w:r>
              <w:rPr>
                <w:rFonts w:ascii="Times New Roman" w:hAnsi="Times New Roman"/>
                <w:i/>
                <w:noProof/>
              </w:rPr>
              <w:t>sněmovna</w:t>
            </w:r>
            <w:r>
              <w:rPr>
                <w:rFonts w:ascii="Times New Roman" w:hAnsi="Times New Roman"/>
                <w:noProof/>
              </w:rPr>
              <w:t xml:space="preserve"> tchèque (1 voix)</w:t>
            </w:r>
          </w:p>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Senát</w:t>
            </w:r>
            <w:r>
              <w:rPr>
                <w:rFonts w:ascii="Times New Roman" w:hAnsi="Times New Roman"/>
                <w:noProof/>
              </w:rPr>
              <w:t xml:space="preserve"> tchèque (1 voix)</w:t>
            </w:r>
          </w:p>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Országgyűlés</w:t>
            </w:r>
            <w:r>
              <w:rPr>
                <w:rFonts w:ascii="Times New Roman" w:hAnsi="Times New Roman"/>
                <w:noProof/>
              </w:rPr>
              <w:t xml:space="preserve"> hongrois (2 voix)</w:t>
            </w:r>
          </w:p>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Senato</w:t>
            </w:r>
            <w:r>
              <w:rPr>
                <w:rFonts w:ascii="Times New Roman" w:hAnsi="Times New Roman"/>
                <w:noProof/>
              </w:rPr>
              <w:t xml:space="preserve"> </w:t>
            </w:r>
            <w:r>
              <w:rPr>
                <w:rFonts w:ascii="Times New Roman" w:hAnsi="Times New Roman"/>
                <w:i/>
                <w:noProof/>
              </w:rPr>
              <w:t>della</w:t>
            </w:r>
            <w:r>
              <w:rPr>
                <w:rFonts w:ascii="Times New Roman" w:hAnsi="Times New Roman"/>
                <w:noProof/>
              </w:rPr>
              <w:t xml:space="preserve"> </w:t>
            </w:r>
            <w:r>
              <w:rPr>
                <w:rFonts w:ascii="Times New Roman" w:hAnsi="Times New Roman"/>
                <w:i/>
                <w:noProof/>
              </w:rPr>
              <w:t>Repubblica</w:t>
            </w:r>
            <w:r>
              <w:rPr>
                <w:rFonts w:ascii="Times New Roman" w:hAnsi="Times New Roman"/>
                <w:noProof/>
              </w:rPr>
              <w:t xml:space="preserve"> italien (1 voix)</w:t>
            </w:r>
          </w:p>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Sejm</w:t>
            </w:r>
            <w:r>
              <w:rPr>
                <w:rFonts w:ascii="Times New Roman" w:hAnsi="Times New Roman"/>
                <w:noProof/>
              </w:rPr>
              <w:t xml:space="preserve"> polonais (1 voix)</w:t>
            </w:r>
          </w:p>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Senat</w:t>
            </w:r>
            <w:r>
              <w:rPr>
                <w:rFonts w:ascii="Times New Roman" w:hAnsi="Times New Roman"/>
                <w:noProof/>
              </w:rPr>
              <w:t xml:space="preserve"> polonais (1 voix)</w:t>
            </w:r>
          </w:p>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Camera</w:t>
            </w:r>
            <w:r>
              <w:rPr>
                <w:rFonts w:ascii="Times New Roman" w:hAnsi="Times New Roman"/>
                <w:noProof/>
              </w:rPr>
              <w:t xml:space="preserve"> </w:t>
            </w:r>
            <w:r>
              <w:rPr>
                <w:rFonts w:ascii="Times New Roman" w:hAnsi="Times New Roman"/>
                <w:i/>
                <w:noProof/>
              </w:rPr>
              <w:t>Deputaților</w:t>
            </w:r>
            <w:r>
              <w:rPr>
                <w:rFonts w:ascii="Times New Roman" w:hAnsi="Times New Roman"/>
                <w:noProof/>
              </w:rPr>
              <w:t xml:space="preserve"> roumaine (1 voix) </w:t>
            </w:r>
          </w:p>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Národná</w:t>
            </w:r>
            <w:r>
              <w:rPr>
                <w:rFonts w:ascii="Times New Roman" w:hAnsi="Times New Roman"/>
                <w:noProof/>
              </w:rPr>
              <w:t xml:space="preserve"> </w:t>
            </w:r>
            <w:r>
              <w:rPr>
                <w:rFonts w:ascii="Times New Roman" w:hAnsi="Times New Roman"/>
                <w:i/>
                <w:noProof/>
              </w:rPr>
              <w:t>rada</w:t>
            </w:r>
            <w:r>
              <w:rPr>
                <w:rFonts w:ascii="Times New Roman" w:hAnsi="Times New Roman"/>
                <w:noProof/>
              </w:rPr>
              <w:t xml:space="preserve"> slovaque (2 voix)</w:t>
            </w:r>
          </w:p>
        </w:tc>
      </w:tr>
      <w:tr w:rsidR="003F0A72" w:rsidRPr="00757DDF">
        <w:trPr>
          <w:cantSplit/>
          <w:trHeight w:val="3025"/>
        </w:trPr>
        <w:tc>
          <w:tcPr>
            <w:tcW w:w="568"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5</w:t>
            </w:r>
          </w:p>
        </w:tc>
        <w:tc>
          <w:tcPr>
            <w:tcW w:w="1843"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COM(2016) 53</w:t>
            </w:r>
            <w:r>
              <w:rPr>
                <w:rStyle w:val="FootnoteReference"/>
                <w:rFonts w:ascii="Times New Roman" w:hAnsi="Times New Roman"/>
                <w:noProof/>
              </w:rPr>
              <w:footnoteReference w:id="13"/>
            </w:r>
            <w:r>
              <w:rPr>
                <w:rFonts w:ascii="Times New Roman" w:hAnsi="Times New Roman"/>
                <w:noProof/>
              </w:rPr>
              <w:t xml:space="preserve"> </w:t>
            </w:r>
          </w:p>
        </w:tc>
        <w:tc>
          <w:tcPr>
            <w:tcW w:w="2409"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 xml:space="preserve">Proposition de décision établissant un mécanisme d’échange d’informations en ce qui concerne les accords intergouvernementaux et les instruments non contraignants conclus entre des États membres et des pays tiers dans le domaine de l’énergie, et abrogeant </w:t>
            </w:r>
            <w:r>
              <w:rPr>
                <w:rFonts w:ascii="Times New Roman" w:hAnsi="Times New Roman"/>
                <w:noProof/>
              </w:rPr>
              <w:t>la décision nº 994/2012/UE</w:t>
            </w:r>
          </w:p>
        </w:tc>
        <w:tc>
          <w:tcPr>
            <w:tcW w:w="1418"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4</w:t>
            </w:r>
          </w:p>
        </w:tc>
        <w:tc>
          <w:tcPr>
            <w:tcW w:w="1134"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6</w:t>
            </w:r>
          </w:p>
        </w:tc>
        <w:tc>
          <w:tcPr>
            <w:tcW w:w="2410" w:type="dxa"/>
            <w:tcBorders>
              <w:bottom w:val="single" w:sz="4" w:space="0" w:color="auto"/>
            </w:tcBorders>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Bundesrat</w:t>
            </w:r>
            <w:r>
              <w:rPr>
                <w:rStyle w:val="FootnoteReference"/>
                <w:rFonts w:ascii="Times New Roman" w:hAnsi="Times New Roman"/>
                <w:noProof/>
              </w:rPr>
              <w:footnoteReference w:id="14"/>
            </w:r>
            <w:r>
              <w:rPr>
                <w:rFonts w:ascii="Times New Roman" w:hAnsi="Times New Roman"/>
                <w:noProof/>
              </w:rPr>
              <w:t xml:space="preserve"> autrichien (1 voix)</w:t>
            </w:r>
          </w:p>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Sénat</w:t>
            </w:r>
            <w:r>
              <w:rPr>
                <w:rFonts w:ascii="Times New Roman" w:hAnsi="Times New Roman"/>
                <w:noProof/>
              </w:rPr>
              <w:t xml:space="preserve"> français (1 voix)</w:t>
            </w:r>
          </w:p>
          <w:p w:rsidR="003F0A72" w:rsidRDefault="00493550">
            <w:pPr>
              <w:spacing w:after="240" w:line="240" w:lineRule="auto"/>
              <w:rPr>
                <w:rFonts w:ascii="Times New Roman" w:eastAsia="Times New Roman" w:hAnsi="Times New Roman" w:cs="Times New Roman"/>
                <w:noProof/>
                <w:lang w:val="pt-PT"/>
              </w:rPr>
            </w:pPr>
            <w:r>
              <w:rPr>
                <w:rFonts w:ascii="Times New Roman" w:hAnsi="Times New Roman"/>
                <w:i/>
                <w:noProof/>
                <w:lang w:val="pt-PT"/>
              </w:rPr>
              <w:t>Kamra</w:t>
            </w:r>
            <w:r>
              <w:rPr>
                <w:rFonts w:ascii="Times New Roman" w:hAnsi="Times New Roman"/>
                <w:noProof/>
                <w:lang w:val="pt-PT"/>
              </w:rPr>
              <w:t xml:space="preserve"> </w:t>
            </w:r>
            <w:r>
              <w:rPr>
                <w:rFonts w:ascii="Times New Roman" w:hAnsi="Times New Roman"/>
                <w:i/>
                <w:noProof/>
                <w:lang w:val="pt-PT"/>
              </w:rPr>
              <w:t>tad</w:t>
            </w:r>
            <w:r>
              <w:rPr>
                <w:rFonts w:ascii="Times New Roman" w:hAnsi="Times New Roman"/>
                <w:noProof/>
                <w:lang w:val="pt-PT"/>
              </w:rPr>
              <w:t>-</w:t>
            </w:r>
            <w:r>
              <w:rPr>
                <w:rFonts w:ascii="Times New Roman" w:hAnsi="Times New Roman"/>
                <w:i/>
                <w:noProof/>
                <w:lang w:val="pt-PT"/>
              </w:rPr>
              <w:t>Deputati</w:t>
            </w:r>
            <w:r>
              <w:rPr>
                <w:rFonts w:ascii="Times New Roman" w:hAnsi="Times New Roman"/>
                <w:noProof/>
                <w:lang w:val="pt-PT"/>
              </w:rPr>
              <w:t xml:space="preserve"> maltaise (2 voix) </w:t>
            </w:r>
          </w:p>
          <w:p w:rsidR="003F0A72" w:rsidRDefault="00493550">
            <w:pPr>
              <w:spacing w:after="240" w:line="240" w:lineRule="auto"/>
              <w:rPr>
                <w:rFonts w:ascii="Times New Roman" w:eastAsia="Times New Roman" w:hAnsi="Times New Roman" w:cs="Times New Roman"/>
                <w:noProof/>
                <w:lang w:val="pt-PT"/>
              </w:rPr>
            </w:pPr>
            <w:r>
              <w:rPr>
                <w:rFonts w:ascii="Times New Roman" w:hAnsi="Times New Roman"/>
                <w:i/>
                <w:noProof/>
                <w:lang w:val="pt-PT"/>
              </w:rPr>
              <w:t>Assembleia</w:t>
            </w:r>
            <w:r>
              <w:rPr>
                <w:rFonts w:ascii="Times New Roman" w:hAnsi="Times New Roman"/>
                <w:noProof/>
                <w:lang w:val="pt-PT"/>
              </w:rPr>
              <w:t xml:space="preserve"> </w:t>
            </w:r>
            <w:r>
              <w:rPr>
                <w:rFonts w:ascii="Times New Roman" w:hAnsi="Times New Roman"/>
                <w:i/>
                <w:noProof/>
                <w:lang w:val="pt-PT"/>
              </w:rPr>
              <w:t>da</w:t>
            </w:r>
            <w:r>
              <w:rPr>
                <w:rFonts w:ascii="Times New Roman" w:hAnsi="Times New Roman"/>
                <w:noProof/>
                <w:lang w:val="pt-PT"/>
              </w:rPr>
              <w:t xml:space="preserve"> </w:t>
            </w:r>
            <w:r>
              <w:rPr>
                <w:rFonts w:ascii="Times New Roman" w:hAnsi="Times New Roman"/>
                <w:i/>
                <w:noProof/>
                <w:lang w:val="pt-PT"/>
              </w:rPr>
              <w:t>República</w:t>
            </w:r>
            <w:r>
              <w:rPr>
                <w:rFonts w:ascii="Times New Roman" w:hAnsi="Times New Roman"/>
                <w:noProof/>
                <w:lang w:val="pt-PT"/>
              </w:rPr>
              <w:t xml:space="preserve"> portugaise (2 voix)</w:t>
            </w:r>
          </w:p>
        </w:tc>
      </w:tr>
      <w:tr w:rsidR="003F0A72">
        <w:trPr>
          <w:cantSplit/>
          <w:trHeight w:val="298"/>
        </w:trPr>
        <w:tc>
          <w:tcPr>
            <w:tcW w:w="568"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6</w:t>
            </w:r>
          </w:p>
        </w:tc>
        <w:tc>
          <w:tcPr>
            <w:tcW w:w="1843"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 xml:space="preserve">COM(2016) 283 </w:t>
            </w:r>
          </w:p>
        </w:tc>
        <w:tc>
          <w:tcPr>
            <w:tcW w:w="2409"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 xml:space="preserve">Proposition de règlement sur la coopération entre les autorités </w:t>
            </w:r>
            <w:r>
              <w:rPr>
                <w:rFonts w:ascii="Times New Roman" w:hAnsi="Times New Roman"/>
                <w:noProof/>
              </w:rPr>
              <w:t>nationales chargées de veiller à l’application de la législation en matière de protection des consommateurs</w:t>
            </w:r>
          </w:p>
        </w:tc>
        <w:tc>
          <w:tcPr>
            <w:tcW w:w="1418"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4</w:t>
            </w:r>
          </w:p>
        </w:tc>
        <w:tc>
          <w:tcPr>
            <w:tcW w:w="1134"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6</w:t>
            </w:r>
          </w:p>
        </w:tc>
        <w:tc>
          <w:tcPr>
            <w:tcW w:w="2410" w:type="dxa"/>
            <w:tcBorders>
              <w:bottom w:val="single" w:sz="4" w:space="0" w:color="auto"/>
            </w:tcBorders>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Bundesrat</w:t>
            </w:r>
            <w:r>
              <w:rPr>
                <w:rFonts w:ascii="Times New Roman" w:hAnsi="Times New Roman"/>
                <w:noProof/>
              </w:rPr>
              <w:t xml:space="preserve"> autrichien (1 voix)</w:t>
            </w:r>
          </w:p>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Narodno</w:t>
            </w:r>
            <w:r>
              <w:rPr>
                <w:rFonts w:ascii="Times New Roman" w:hAnsi="Times New Roman"/>
                <w:noProof/>
              </w:rPr>
              <w:t xml:space="preserve"> </w:t>
            </w:r>
            <w:r>
              <w:rPr>
                <w:rFonts w:ascii="Times New Roman" w:hAnsi="Times New Roman"/>
                <w:i/>
                <w:noProof/>
              </w:rPr>
              <w:t>sabranie</w:t>
            </w:r>
            <w:r>
              <w:rPr>
                <w:rFonts w:ascii="Times New Roman" w:hAnsi="Times New Roman"/>
                <w:noProof/>
              </w:rPr>
              <w:t xml:space="preserve"> bulgare (2 voix)</w:t>
            </w:r>
          </w:p>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Poslanecká</w:t>
            </w:r>
            <w:r>
              <w:rPr>
                <w:rFonts w:ascii="Times New Roman" w:hAnsi="Times New Roman"/>
                <w:noProof/>
              </w:rPr>
              <w:t xml:space="preserve"> </w:t>
            </w:r>
            <w:r>
              <w:rPr>
                <w:rFonts w:ascii="Times New Roman" w:hAnsi="Times New Roman"/>
                <w:i/>
                <w:noProof/>
              </w:rPr>
              <w:t>sněmovna</w:t>
            </w:r>
            <w:r>
              <w:rPr>
                <w:rFonts w:ascii="Times New Roman" w:hAnsi="Times New Roman"/>
                <w:noProof/>
              </w:rPr>
              <w:t xml:space="preserve"> tchèque (1 voix) </w:t>
            </w:r>
          </w:p>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Riksdag</w:t>
            </w:r>
            <w:r>
              <w:rPr>
                <w:rFonts w:ascii="Times New Roman" w:hAnsi="Times New Roman"/>
                <w:noProof/>
              </w:rPr>
              <w:t xml:space="preserve"> suédois (2 voix)</w:t>
            </w:r>
          </w:p>
        </w:tc>
      </w:tr>
      <w:tr w:rsidR="003F0A72">
        <w:trPr>
          <w:cantSplit/>
          <w:trHeight w:val="70"/>
        </w:trPr>
        <w:tc>
          <w:tcPr>
            <w:tcW w:w="568"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lastRenderedPageBreak/>
              <w:t>7</w:t>
            </w:r>
          </w:p>
        </w:tc>
        <w:tc>
          <w:tcPr>
            <w:tcW w:w="1843"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 xml:space="preserve">COM(2016) 378 </w:t>
            </w:r>
          </w:p>
        </w:tc>
        <w:tc>
          <w:tcPr>
            <w:tcW w:w="2409"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Proposition de directive établissant les conditions d’entrée et de séjour des ressortissants de pays tiers aux fins d’un emploi nécessitant des compétences élevées</w:t>
            </w:r>
          </w:p>
        </w:tc>
        <w:tc>
          <w:tcPr>
            <w:tcW w:w="1418"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3</w:t>
            </w:r>
          </w:p>
        </w:tc>
        <w:tc>
          <w:tcPr>
            <w:tcW w:w="1134"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4</w:t>
            </w:r>
          </w:p>
        </w:tc>
        <w:tc>
          <w:tcPr>
            <w:tcW w:w="2410" w:type="dxa"/>
            <w:tcBorders>
              <w:bottom w:val="single" w:sz="4" w:space="0" w:color="auto"/>
            </w:tcBorders>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Narodno</w:t>
            </w:r>
            <w:r>
              <w:rPr>
                <w:rFonts w:ascii="Times New Roman" w:hAnsi="Times New Roman"/>
                <w:noProof/>
              </w:rPr>
              <w:t xml:space="preserve"> </w:t>
            </w:r>
            <w:r>
              <w:rPr>
                <w:rFonts w:ascii="Times New Roman" w:hAnsi="Times New Roman"/>
                <w:i/>
                <w:noProof/>
              </w:rPr>
              <w:t>sabranie</w:t>
            </w:r>
            <w:r>
              <w:rPr>
                <w:rFonts w:ascii="Times New Roman" w:hAnsi="Times New Roman"/>
                <w:noProof/>
              </w:rPr>
              <w:t xml:space="preserve"> bulgare (2 voix)</w:t>
            </w:r>
          </w:p>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Poslanecká</w:t>
            </w:r>
            <w:r>
              <w:rPr>
                <w:rFonts w:ascii="Times New Roman" w:hAnsi="Times New Roman"/>
                <w:noProof/>
              </w:rPr>
              <w:t xml:space="preserve"> </w:t>
            </w:r>
            <w:r>
              <w:rPr>
                <w:rFonts w:ascii="Times New Roman" w:hAnsi="Times New Roman"/>
                <w:i/>
                <w:noProof/>
              </w:rPr>
              <w:t>sněmovna</w:t>
            </w:r>
            <w:r>
              <w:rPr>
                <w:rFonts w:ascii="Times New Roman" w:hAnsi="Times New Roman"/>
                <w:noProof/>
              </w:rPr>
              <w:t xml:space="preserve"> tchèque (1 voix) </w:t>
            </w:r>
          </w:p>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Senát</w:t>
            </w:r>
            <w:r>
              <w:rPr>
                <w:rFonts w:ascii="Times New Roman" w:hAnsi="Times New Roman"/>
                <w:noProof/>
              </w:rPr>
              <w:t xml:space="preserve"> tchèque (1 voix)</w:t>
            </w:r>
          </w:p>
        </w:tc>
      </w:tr>
      <w:tr w:rsidR="003F0A72">
        <w:trPr>
          <w:cantSplit/>
          <w:trHeight w:val="70"/>
        </w:trPr>
        <w:tc>
          <w:tcPr>
            <w:tcW w:w="568"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8</w:t>
            </w:r>
          </w:p>
        </w:tc>
        <w:tc>
          <w:tcPr>
            <w:tcW w:w="1843"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COM(2016) 687</w:t>
            </w:r>
            <w:r>
              <w:rPr>
                <w:rStyle w:val="FootnoteReference"/>
                <w:rFonts w:ascii="Times New Roman" w:hAnsi="Times New Roman"/>
                <w:noProof/>
              </w:rPr>
              <w:footnoteReference w:id="15"/>
            </w:r>
            <w:r>
              <w:rPr>
                <w:rFonts w:ascii="Times New Roman" w:hAnsi="Times New Roman"/>
                <w:noProof/>
              </w:rPr>
              <w:t xml:space="preserve"> </w:t>
            </w:r>
          </w:p>
        </w:tc>
        <w:tc>
          <w:tcPr>
            <w:tcW w:w="2409"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Proposition de directive du Conseil modifiant la directive (UE) 2016/1164 en ce qui concerne les dispositifs hybrides faisant intervenir des pays tiers</w:t>
            </w:r>
          </w:p>
        </w:tc>
        <w:tc>
          <w:tcPr>
            <w:tcW w:w="1418"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3</w:t>
            </w:r>
          </w:p>
        </w:tc>
        <w:tc>
          <w:tcPr>
            <w:tcW w:w="1134"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4</w:t>
            </w:r>
          </w:p>
        </w:tc>
        <w:tc>
          <w:tcPr>
            <w:tcW w:w="2410" w:type="dxa"/>
            <w:tcBorders>
              <w:bottom w:val="single" w:sz="4" w:space="0" w:color="auto"/>
            </w:tcBorders>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Eerste</w:t>
            </w:r>
            <w:r>
              <w:rPr>
                <w:rFonts w:ascii="Times New Roman" w:hAnsi="Times New Roman"/>
                <w:noProof/>
              </w:rPr>
              <w:t xml:space="preserve"> </w:t>
            </w:r>
            <w:r>
              <w:rPr>
                <w:rFonts w:ascii="Times New Roman" w:hAnsi="Times New Roman"/>
                <w:i/>
                <w:noProof/>
              </w:rPr>
              <w:t>Kamer</w:t>
            </w:r>
            <w:r>
              <w:rPr>
                <w:rStyle w:val="FootnoteReference"/>
                <w:rFonts w:ascii="Times New Roman" w:hAnsi="Times New Roman"/>
                <w:noProof/>
              </w:rPr>
              <w:footnoteReference w:id="16"/>
            </w:r>
            <w:r>
              <w:rPr>
                <w:rFonts w:ascii="Times New Roman" w:hAnsi="Times New Roman"/>
                <w:noProof/>
              </w:rPr>
              <w:t xml:space="preserve"> néerlandaise (1 voix)</w:t>
            </w:r>
          </w:p>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Tweede</w:t>
            </w:r>
            <w:r>
              <w:rPr>
                <w:rFonts w:ascii="Times New Roman" w:hAnsi="Times New Roman"/>
                <w:noProof/>
              </w:rPr>
              <w:t xml:space="preserve"> </w:t>
            </w:r>
            <w:r>
              <w:rPr>
                <w:rFonts w:ascii="Times New Roman" w:hAnsi="Times New Roman"/>
                <w:i/>
                <w:noProof/>
              </w:rPr>
              <w:t>Kamer</w:t>
            </w:r>
            <w:r>
              <w:rPr>
                <w:rFonts w:ascii="Times New Roman" w:hAnsi="Times New Roman"/>
                <w:noProof/>
              </w:rPr>
              <w:t xml:space="preserve"> néerlandaise (1 voix) </w:t>
            </w:r>
          </w:p>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Riksdag</w:t>
            </w:r>
            <w:r>
              <w:rPr>
                <w:rFonts w:ascii="Times New Roman" w:hAnsi="Times New Roman"/>
                <w:noProof/>
              </w:rPr>
              <w:t xml:space="preserve"> suédois (2 voix)</w:t>
            </w:r>
          </w:p>
        </w:tc>
      </w:tr>
      <w:tr w:rsidR="003F0A72">
        <w:trPr>
          <w:cantSplit/>
          <w:trHeight w:val="70"/>
        </w:trPr>
        <w:tc>
          <w:tcPr>
            <w:tcW w:w="568"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9</w:t>
            </w:r>
          </w:p>
        </w:tc>
        <w:tc>
          <w:tcPr>
            <w:tcW w:w="1843"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 xml:space="preserve">COM(2016) 26 </w:t>
            </w:r>
          </w:p>
        </w:tc>
        <w:tc>
          <w:tcPr>
            <w:tcW w:w="2409"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Proposition de directive du Conseil établissant des règles pour lutter contre les pratiques d’évasion fiscale qui ont une incidence directe sur le fonctionnement du marché intérieur</w:t>
            </w:r>
          </w:p>
        </w:tc>
        <w:tc>
          <w:tcPr>
            <w:tcW w:w="1418"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2</w:t>
            </w:r>
          </w:p>
        </w:tc>
        <w:tc>
          <w:tcPr>
            <w:tcW w:w="1134"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4</w:t>
            </w:r>
          </w:p>
        </w:tc>
        <w:tc>
          <w:tcPr>
            <w:tcW w:w="2410" w:type="dxa"/>
            <w:tcBorders>
              <w:bottom w:val="single" w:sz="4" w:space="0" w:color="auto"/>
            </w:tcBorders>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Kamr</w:t>
            </w:r>
            <w:r>
              <w:rPr>
                <w:rFonts w:ascii="Times New Roman" w:hAnsi="Times New Roman"/>
                <w:i/>
                <w:noProof/>
              </w:rPr>
              <w:t>a</w:t>
            </w:r>
            <w:r>
              <w:rPr>
                <w:rFonts w:ascii="Times New Roman" w:hAnsi="Times New Roman"/>
                <w:noProof/>
              </w:rPr>
              <w:t xml:space="preserve"> </w:t>
            </w:r>
            <w:r>
              <w:rPr>
                <w:rFonts w:ascii="Times New Roman" w:hAnsi="Times New Roman"/>
                <w:i/>
                <w:noProof/>
              </w:rPr>
              <w:t>tad</w:t>
            </w:r>
            <w:r>
              <w:rPr>
                <w:rFonts w:ascii="Times New Roman" w:hAnsi="Times New Roman"/>
                <w:noProof/>
              </w:rPr>
              <w:t>-</w:t>
            </w:r>
            <w:r>
              <w:rPr>
                <w:rFonts w:ascii="Times New Roman" w:hAnsi="Times New Roman"/>
                <w:i/>
                <w:noProof/>
              </w:rPr>
              <w:t>Deputati</w:t>
            </w:r>
            <w:r>
              <w:rPr>
                <w:rFonts w:ascii="Times New Roman" w:hAnsi="Times New Roman"/>
                <w:noProof/>
              </w:rPr>
              <w:t xml:space="preserve"> maltaise (2 voix) </w:t>
            </w:r>
          </w:p>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Riksdag</w:t>
            </w:r>
            <w:r>
              <w:rPr>
                <w:rFonts w:ascii="Times New Roman" w:hAnsi="Times New Roman"/>
                <w:noProof/>
              </w:rPr>
              <w:t xml:space="preserve"> suédois (2 voix)</w:t>
            </w:r>
          </w:p>
        </w:tc>
      </w:tr>
      <w:tr w:rsidR="003F0A72">
        <w:trPr>
          <w:cantSplit/>
          <w:trHeight w:val="70"/>
        </w:trPr>
        <w:tc>
          <w:tcPr>
            <w:tcW w:w="568"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10</w:t>
            </w:r>
          </w:p>
        </w:tc>
        <w:tc>
          <w:tcPr>
            <w:tcW w:w="1843"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 xml:space="preserve">COM(2015) 613 </w:t>
            </w:r>
          </w:p>
        </w:tc>
        <w:tc>
          <w:tcPr>
            <w:tcW w:w="2409"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 xml:space="preserve">Proposition de règlement concernant des règles communes dans le domaine de l’aviation civile et instituant une Agence de la sécurité aérienne de l’Union européenne, et abrogeant </w:t>
            </w:r>
            <w:r>
              <w:rPr>
                <w:rFonts w:ascii="Times New Roman" w:hAnsi="Times New Roman"/>
                <w:noProof/>
              </w:rPr>
              <w:t>le règlement (CE) nº 216/2008 du Parlement européen et du Conseil</w:t>
            </w:r>
          </w:p>
        </w:tc>
        <w:tc>
          <w:tcPr>
            <w:tcW w:w="1418"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2</w:t>
            </w:r>
          </w:p>
        </w:tc>
        <w:tc>
          <w:tcPr>
            <w:tcW w:w="1134"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3</w:t>
            </w:r>
          </w:p>
        </w:tc>
        <w:tc>
          <w:tcPr>
            <w:tcW w:w="2410" w:type="dxa"/>
            <w:tcBorders>
              <w:bottom w:val="single" w:sz="4" w:space="0" w:color="auto"/>
            </w:tcBorders>
            <w:shd w:val="clear" w:color="auto" w:fill="auto"/>
          </w:tcPr>
          <w:p w:rsidR="003F0A72" w:rsidRDefault="00493550">
            <w:pPr>
              <w:spacing w:after="240" w:line="240" w:lineRule="auto"/>
              <w:rPr>
                <w:rFonts w:ascii="Times New Roman" w:eastAsia="Times New Roman" w:hAnsi="Times New Roman" w:cs="Times New Roman"/>
                <w:noProof/>
                <w:lang w:val="it-IT"/>
              </w:rPr>
            </w:pPr>
            <w:r>
              <w:rPr>
                <w:rFonts w:ascii="Times New Roman" w:hAnsi="Times New Roman"/>
                <w:i/>
                <w:noProof/>
                <w:lang w:val="it-IT"/>
              </w:rPr>
              <w:t>Senato</w:t>
            </w:r>
            <w:r>
              <w:rPr>
                <w:rFonts w:ascii="Times New Roman" w:hAnsi="Times New Roman"/>
                <w:noProof/>
                <w:lang w:val="it-IT"/>
              </w:rPr>
              <w:t xml:space="preserve"> </w:t>
            </w:r>
            <w:r>
              <w:rPr>
                <w:rFonts w:ascii="Times New Roman" w:hAnsi="Times New Roman"/>
                <w:i/>
                <w:noProof/>
                <w:lang w:val="it-IT"/>
              </w:rPr>
              <w:t>della</w:t>
            </w:r>
            <w:r>
              <w:rPr>
                <w:rFonts w:ascii="Times New Roman" w:hAnsi="Times New Roman"/>
                <w:noProof/>
                <w:lang w:val="it-IT"/>
              </w:rPr>
              <w:t xml:space="preserve"> </w:t>
            </w:r>
            <w:r>
              <w:rPr>
                <w:rFonts w:ascii="Times New Roman" w:hAnsi="Times New Roman"/>
                <w:i/>
                <w:noProof/>
                <w:lang w:val="it-IT"/>
              </w:rPr>
              <w:t>Repubblica</w:t>
            </w:r>
            <w:r>
              <w:rPr>
                <w:rFonts w:ascii="Times New Roman" w:hAnsi="Times New Roman"/>
                <w:noProof/>
                <w:lang w:val="it-IT"/>
              </w:rPr>
              <w:t xml:space="preserve"> italien (1 voix)</w:t>
            </w:r>
          </w:p>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Kamra</w:t>
            </w:r>
            <w:r>
              <w:rPr>
                <w:rFonts w:ascii="Times New Roman" w:hAnsi="Times New Roman"/>
                <w:noProof/>
              </w:rPr>
              <w:t xml:space="preserve"> </w:t>
            </w:r>
            <w:r>
              <w:rPr>
                <w:rFonts w:ascii="Times New Roman" w:hAnsi="Times New Roman"/>
                <w:i/>
                <w:noProof/>
              </w:rPr>
              <w:t>tad</w:t>
            </w:r>
            <w:r>
              <w:rPr>
                <w:rFonts w:ascii="Times New Roman" w:hAnsi="Times New Roman"/>
                <w:noProof/>
              </w:rPr>
              <w:t>-</w:t>
            </w:r>
            <w:r>
              <w:rPr>
                <w:rFonts w:ascii="Times New Roman" w:hAnsi="Times New Roman"/>
                <w:i/>
                <w:noProof/>
              </w:rPr>
              <w:t>Deputati</w:t>
            </w:r>
            <w:r>
              <w:rPr>
                <w:rFonts w:ascii="Times New Roman" w:hAnsi="Times New Roman"/>
                <w:noProof/>
              </w:rPr>
              <w:t xml:space="preserve"> maltaise (2 voix) </w:t>
            </w:r>
          </w:p>
        </w:tc>
      </w:tr>
      <w:tr w:rsidR="003F0A72">
        <w:trPr>
          <w:cantSplit/>
          <w:trHeight w:val="282"/>
        </w:trPr>
        <w:tc>
          <w:tcPr>
            <w:tcW w:w="568"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lastRenderedPageBreak/>
              <w:t>11</w:t>
            </w:r>
          </w:p>
        </w:tc>
        <w:tc>
          <w:tcPr>
            <w:tcW w:w="1843"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 xml:space="preserve">COM(2016) 198 </w:t>
            </w:r>
          </w:p>
        </w:tc>
        <w:tc>
          <w:tcPr>
            <w:tcW w:w="2409"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 xml:space="preserve">Proposition de directive modifiant la directive 2013/34/UE en ce qui concerne la </w:t>
            </w:r>
            <w:r>
              <w:rPr>
                <w:rFonts w:ascii="Times New Roman" w:hAnsi="Times New Roman"/>
                <w:noProof/>
              </w:rPr>
              <w:t>communication, par certaines entreprises et succursales, d’informations relatives à l’impôt sur les bénéfices</w:t>
            </w:r>
          </w:p>
        </w:tc>
        <w:tc>
          <w:tcPr>
            <w:tcW w:w="1418"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2</w:t>
            </w:r>
          </w:p>
        </w:tc>
        <w:tc>
          <w:tcPr>
            <w:tcW w:w="1134"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3</w:t>
            </w:r>
          </w:p>
        </w:tc>
        <w:tc>
          <w:tcPr>
            <w:tcW w:w="2410" w:type="dxa"/>
            <w:tcBorders>
              <w:bottom w:val="single" w:sz="4" w:space="0" w:color="auto"/>
            </w:tcBorders>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Dáil</w:t>
            </w:r>
            <w:r>
              <w:rPr>
                <w:rFonts w:ascii="Times New Roman" w:hAnsi="Times New Roman"/>
                <w:noProof/>
              </w:rPr>
              <w:t xml:space="preserve"> </w:t>
            </w:r>
            <w:r>
              <w:rPr>
                <w:rFonts w:ascii="Times New Roman" w:hAnsi="Times New Roman"/>
                <w:i/>
                <w:noProof/>
              </w:rPr>
              <w:t>Éireann</w:t>
            </w:r>
            <w:r>
              <w:rPr>
                <w:rFonts w:ascii="Times New Roman" w:hAnsi="Times New Roman"/>
                <w:noProof/>
              </w:rPr>
              <w:t xml:space="preserve"> irlandais (1 voix)</w:t>
            </w:r>
          </w:p>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Riksdag</w:t>
            </w:r>
            <w:r>
              <w:rPr>
                <w:rFonts w:ascii="Times New Roman" w:hAnsi="Times New Roman"/>
                <w:noProof/>
              </w:rPr>
              <w:t xml:space="preserve"> suédois (2 voix)</w:t>
            </w:r>
          </w:p>
        </w:tc>
      </w:tr>
      <w:tr w:rsidR="003F0A72">
        <w:trPr>
          <w:cantSplit/>
          <w:trHeight w:val="204"/>
        </w:trPr>
        <w:tc>
          <w:tcPr>
            <w:tcW w:w="568"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12</w:t>
            </w:r>
          </w:p>
        </w:tc>
        <w:tc>
          <w:tcPr>
            <w:tcW w:w="1843"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COM(2015) 595</w:t>
            </w:r>
            <w:r>
              <w:rPr>
                <w:rStyle w:val="FootnoteReference"/>
                <w:rFonts w:ascii="Times New Roman" w:hAnsi="Times New Roman"/>
                <w:noProof/>
              </w:rPr>
              <w:footnoteReference w:id="17"/>
            </w:r>
            <w:r>
              <w:rPr>
                <w:rFonts w:ascii="Times New Roman" w:hAnsi="Times New Roman"/>
                <w:noProof/>
              </w:rPr>
              <w:t xml:space="preserve"> </w:t>
            </w:r>
          </w:p>
        </w:tc>
        <w:tc>
          <w:tcPr>
            <w:tcW w:w="2409"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Proposition de directive modifiant la directive 2008/98/CE relati</w:t>
            </w:r>
            <w:r>
              <w:rPr>
                <w:rFonts w:ascii="Times New Roman" w:hAnsi="Times New Roman"/>
                <w:noProof/>
              </w:rPr>
              <w:t>ve aux déchets</w:t>
            </w:r>
          </w:p>
        </w:tc>
        <w:tc>
          <w:tcPr>
            <w:tcW w:w="1418"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2</w:t>
            </w:r>
          </w:p>
        </w:tc>
        <w:tc>
          <w:tcPr>
            <w:tcW w:w="1134"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2</w:t>
            </w:r>
          </w:p>
        </w:tc>
        <w:tc>
          <w:tcPr>
            <w:tcW w:w="2410"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Bundesrat</w:t>
            </w:r>
            <w:r>
              <w:rPr>
                <w:rFonts w:ascii="Times New Roman" w:hAnsi="Times New Roman"/>
                <w:noProof/>
              </w:rPr>
              <w:t xml:space="preserve"> autrichien (1 voix)</w:t>
            </w:r>
          </w:p>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Sénat</w:t>
            </w:r>
            <w:r>
              <w:rPr>
                <w:rStyle w:val="FootnoteReference"/>
                <w:rFonts w:ascii="Times New Roman" w:hAnsi="Times New Roman"/>
                <w:noProof/>
              </w:rPr>
              <w:footnoteReference w:id="18"/>
            </w:r>
            <w:r>
              <w:rPr>
                <w:rFonts w:ascii="Times New Roman" w:hAnsi="Times New Roman"/>
                <w:noProof/>
              </w:rPr>
              <w:t xml:space="preserve"> français (1 voix)</w:t>
            </w:r>
          </w:p>
        </w:tc>
      </w:tr>
      <w:tr w:rsidR="003F0A72">
        <w:trPr>
          <w:cantSplit/>
          <w:trHeight w:val="204"/>
        </w:trPr>
        <w:tc>
          <w:tcPr>
            <w:tcW w:w="568"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13</w:t>
            </w:r>
          </w:p>
        </w:tc>
        <w:tc>
          <w:tcPr>
            <w:tcW w:w="1843"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 xml:space="preserve">COM(2015) 750 </w:t>
            </w:r>
          </w:p>
        </w:tc>
        <w:tc>
          <w:tcPr>
            <w:tcW w:w="2409"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Proposition de directive modifiant la directive 91/477/CEE du Conseil relative au contrôle de l’acquisition et de la détention d’armes</w:t>
            </w:r>
          </w:p>
        </w:tc>
        <w:tc>
          <w:tcPr>
            <w:tcW w:w="1418"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1</w:t>
            </w:r>
          </w:p>
        </w:tc>
        <w:tc>
          <w:tcPr>
            <w:tcW w:w="1134"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2</w:t>
            </w:r>
          </w:p>
        </w:tc>
        <w:tc>
          <w:tcPr>
            <w:tcW w:w="2410"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Riksdag</w:t>
            </w:r>
            <w:r>
              <w:rPr>
                <w:rFonts w:ascii="Times New Roman" w:hAnsi="Times New Roman"/>
                <w:noProof/>
              </w:rPr>
              <w:t xml:space="preserve"> suédois (2 voix)</w:t>
            </w:r>
          </w:p>
        </w:tc>
      </w:tr>
      <w:tr w:rsidR="003F0A72">
        <w:trPr>
          <w:cantSplit/>
          <w:trHeight w:val="70"/>
        </w:trPr>
        <w:tc>
          <w:tcPr>
            <w:tcW w:w="568"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14</w:t>
            </w:r>
          </w:p>
        </w:tc>
        <w:tc>
          <w:tcPr>
            <w:tcW w:w="1843"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 xml:space="preserve">COM(2016) 25 </w:t>
            </w:r>
          </w:p>
        </w:tc>
        <w:tc>
          <w:tcPr>
            <w:tcW w:w="2409"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Proposition de directive du Conseil modifiant la directive 2011/16/UE en ce qui concerne l’échange automatique et obligatoire d’informations dans le domaine fiscal</w:t>
            </w:r>
          </w:p>
        </w:tc>
        <w:tc>
          <w:tcPr>
            <w:tcW w:w="1418"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1</w:t>
            </w:r>
          </w:p>
        </w:tc>
        <w:tc>
          <w:tcPr>
            <w:tcW w:w="1134"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2</w:t>
            </w:r>
          </w:p>
        </w:tc>
        <w:tc>
          <w:tcPr>
            <w:tcW w:w="2410" w:type="dxa"/>
            <w:tcBorders>
              <w:bottom w:val="single" w:sz="4" w:space="0" w:color="auto"/>
            </w:tcBorders>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Riksdag</w:t>
            </w:r>
            <w:r>
              <w:rPr>
                <w:rFonts w:ascii="Times New Roman" w:hAnsi="Times New Roman"/>
                <w:noProof/>
              </w:rPr>
              <w:t xml:space="preserve"> suédois (2 voix)</w:t>
            </w:r>
          </w:p>
        </w:tc>
      </w:tr>
      <w:tr w:rsidR="003F0A72">
        <w:trPr>
          <w:cantSplit/>
          <w:trHeight w:val="630"/>
        </w:trPr>
        <w:tc>
          <w:tcPr>
            <w:tcW w:w="568"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15</w:t>
            </w:r>
          </w:p>
        </w:tc>
        <w:tc>
          <w:tcPr>
            <w:tcW w:w="1843"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 xml:space="preserve">COM(2016) 551 </w:t>
            </w:r>
          </w:p>
        </w:tc>
        <w:tc>
          <w:tcPr>
            <w:tcW w:w="2409"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 xml:space="preserve">Proposition de règlement </w:t>
            </w:r>
            <w:r>
              <w:rPr>
                <w:rFonts w:ascii="Times New Roman" w:hAnsi="Times New Roman"/>
                <w:noProof/>
              </w:rPr>
              <w:t>établissant un cadre commun pour des statistiques européennes relatives aux personnes et aux ménages fondées sur des données au niveau individuel collectées à partir d’échantillons</w:t>
            </w:r>
          </w:p>
        </w:tc>
        <w:tc>
          <w:tcPr>
            <w:tcW w:w="1418"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1</w:t>
            </w:r>
          </w:p>
        </w:tc>
        <w:tc>
          <w:tcPr>
            <w:tcW w:w="1134"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2</w:t>
            </w:r>
          </w:p>
        </w:tc>
        <w:tc>
          <w:tcPr>
            <w:tcW w:w="2410" w:type="dxa"/>
            <w:tcBorders>
              <w:bottom w:val="single" w:sz="4" w:space="0" w:color="auto"/>
            </w:tcBorders>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Riksdag</w:t>
            </w:r>
            <w:r>
              <w:rPr>
                <w:rFonts w:ascii="Times New Roman" w:hAnsi="Times New Roman"/>
                <w:noProof/>
              </w:rPr>
              <w:t xml:space="preserve"> suédois (2 voix) </w:t>
            </w:r>
          </w:p>
        </w:tc>
      </w:tr>
      <w:tr w:rsidR="003F0A72">
        <w:trPr>
          <w:cantSplit/>
          <w:trHeight w:val="372"/>
        </w:trPr>
        <w:tc>
          <w:tcPr>
            <w:tcW w:w="568"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lastRenderedPageBreak/>
              <w:t>16</w:t>
            </w:r>
          </w:p>
        </w:tc>
        <w:tc>
          <w:tcPr>
            <w:tcW w:w="1843"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 xml:space="preserve">COM(2016) 589 </w:t>
            </w:r>
          </w:p>
        </w:tc>
        <w:tc>
          <w:tcPr>
            <w:tcW w:w="2409"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 xml:space="preserve">Proposition de règlement </w:t>
            </w:r>
            <w:r>
              <w:rPr>
                <w:rFonts w:ascii="Times New Roman" w:hAnsi="Times New Roman"/>
                <w:noProof/>
              </w:rPr>
              <w:t>modifiant les règlements (UE) nº 1316/2013 et (UE) nº 283/2014 en ce qui concerne la promotion de la connectivité internet dans les communautés locales</w:t>
            </w:r>
          </w:p>
        </w:tc>
        <w:tc>
          <w:tcPr>
            <w:tcW w:w="1418"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1</w:t>
            </w:r>
          </w:p>
        </w:tc>
        <w:tc>
          <w:tcPr>
            <w:tcW w:w="1134"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2</w:t>
            </w:r>
          </w:p>
        </w:tc>
        <w:tc>
          <w:tcPr>
            <w:tcW w:w="2410" w:type="dxa"/>
            <w:tcBorders>
              <w:bottom w:val="single" w:sz="4" w:space="0" w:color="auto"/>
            </w:tcBorders>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Riksdag</w:t>
            </w:r>
            <w:r>
              <w:rPr>
                <w:rFonts w:ascii="Times New Roman" w:hAnsi="Times New Roman"/>
                <w:noProof/>
              </w:rPr>
              <w:t xml:space="preserve"> suédois (2 voix)</w:t>
            </w:r>
          </w:p>
        </w:tc>
      </w:tr>
      <w:tr w:rsidR="003F0A72">
        <w:trPr>
          <w:cantSplit/>
          <w:trHeight w:val="540"/>
        </w:trPr>
        <w:tc>
          <w:tcPr>
            <w:tcW w:w="568"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17</w:t>
            </w:r>
          </w:p>
        </w:tc>
        <w:tc>
          <w:tcPr>
            <w:tcW w:w="1843"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 xml:space="preserve">COM(2016) 590 </w:t>
            </w:r>
          </w:p>
        </w:tc>
        <w:tc>
          <w:tcPr>
            <w:tcW w:w="2409"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 xml:space="preserve">Proposition de directive établissant le code européen </w:t>
            </w:r>
            <w:r>
              <w:rPr>
                <w:rFonts w:ascii="Times New Roman" w:hAnsi="Times New Roman"/>
                <w:noProof/>
              </w:rPr>
              <w:t>des communications électroniques</w:t>
            </w:r>
          </w:p>
        </w:tc>
        <w:tc>
          <w:tcPr>
            <w:tcW w:w="1418"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1</w:t>
            </w:r>
          </w:p>
        </w:tc>
        <w:tc>
          <w:tcPr>
            <w:tcW w:w="1134"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2</w:t>
            </w:r>
          </w:p>
        </w:tc>
        <w:tc>
          <w:tcPr>
            <w:tcW w:w="2410" w:type="dxa"/>
            <w:tcBorders>
              <w:bottom w:val="single" w:sz="4" w:space="0" w:color="auto"/>
            </w:tcBorders>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Riksdag</w:t>
            </w:r>
            <w:r>
              <w:rPr>
                <w:rFonts w:ascii="Times New Roman" w:hAnsi="Times New Roman"/>
                <w:noProof/>
              </w:rPr>
              <w:t xml:space="preserve"> suédois (2 voix)</w:t>
            </w:r>
          </w:p>
        </w:tc>
      </w:tr>
      <w:tr w:rsidR="003F0A72">
        <w:trPr>
          <w:cantSplit/>
          <w:trHeight w:val="492"/>
        </w:trPr>
        <w:tc>
          <w:tcPr>
            <w:tcW w:w="568"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18</w:t>
            </w:r>
          </w:p>
        </w:tc>
        <w:tc>
          <w:tcPr>
            <w:tcW w:w="1843"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 xml:space="preserve">COM(2016) 686 </w:t>
            </w:r>
          </w:p>
        </w:tc>
        <w:tc>
          <w:tcPr>
            <w:tcW w:w="2409"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Proposition de directive du Conseil concernant les mécanismes de règlement des différends en matière de double imposition dans l’Union européenne</w:t>
            </w:r>
          </w:p>
        </w:tc>
        <w:tc>
          <w:tcPr>
            <w:tcW w:w="1418"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1</w:t>
            </w:r>
          </w:p>
        </w:tc>
        <w:tc>
          <w:tcPr>
            <w:tcW w:w="1134"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2</w:t>
            </w:r>
          </w:p>
        </w:tc>
        <w:tc>
          <w:tcPr>
            <w:tcW w:w="2410" w:type="dxa"/>
            <w:tcBorders>
              <w:bottom w:val="single" w:sz="4" w:space="0" w:color="auto"/>
            </w:tcBorders>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Riksdag</w:t>
            </w:r>
            <w:r>
              <w:rPr>
                <w:rFonts w:ascii="Times New Roman" w:hAnsi="Times New Roman"/>
                <w:noProof/>
              </w:rPr>
              <w:t xml:space="preserve"> suédois (2 voix)</w:t>
            </w:r>
          </w:p>
        </w:tc>
      </w:tr>
      <w:tr w:rsidR="003F0A72">
        <w:trPr>
          <w:cantSplit/>
          <w:trHeight w:val="296"/>
        </w:trPr>
        <w:tc>
          <w:tcPr>
            <w:tcW w:w="568"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19</w:t>
            </w:r>
          </w:p>
        </w:tc>
        <w:tc>
          <w:tcPr>
            <w:tcW w:w="1843"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COM(2015) 594</w:t>
            </w:r>
            <w:r>
              <w:rPr>
                <w:rStyle w:val="FootnoteReference"/>
                <w:rFonts w:ascii="Times New Roman" w:hAnsi="Times New Roman"/>
                <w:noProof/>
              </w:rPr>
              <w:footnoteReference w:id="19"/>
            </w:r>
            <w:r>
              <w:rPr>
                <w:rFonts w:ascii="Times New Roman" w:hAnsi="Times New Roman"/>
                <w:noProof/>
              </w:rPr>
              <w:t xml:space="preserve"> </w:t>
            </w:r>
          </w:p>
        </w:tc>
        <w:tc>
          <w:tcPr>
            <w:tcW w:w="2409"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Proposition de directive modifiant la directive 1999/31/CE concernant la mise en décharge des déchets</w:t>
            </w:r>
          </w:p>
        </w:tc>
        <w:tc>
          <w:tcPr>
            <w:tcW w:w="1418"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1</w:t>
            </w:r>
          </w:p>
        </w:tc>
        <w:tc>
          <w:tcPr>
            <w:tcW w:w="1134"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1</w:t>
            </w:r>
          </w:p>
        </w:tc>
        <w:tc>
          <w:tcPr>
            <w:tcW w:w="2410"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Sénat</w:t>
            </w:r>
            <w:r>
              <w:rPr>
                <w:rStyle w:val="FootnoteReference"/>
                <w:rFonts w:ascii="Times New Roman" w:hAnsi="Times New Roman"/>
                <w:noProof/>
              </w:rPr>
              <w:footnoteReference w:id="20"/>
            </w:r>
            <w:r>
              <w:rPr>
                <w:rFonts w:ascii="Times New Roman" w:hAnsi="Times New Roman"/>
                <w:noProof/>
              </w:rPr>
              <w:t xml:space="preserve"> français (1 voix)</w:t>
            </w:r>
          </w:p>
        </w:tc>
      </w:tr>
      <w:tr w:rsidR="003F0A72">
        <w:trPr>
          <w:cantSplit/>
          <w:trHeight w:val="138"/>
        </w:trPr>
        <w:tc>
          <w:tcPr>
            <w:tcW w:w="568"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20</w:t>
            </w:r>
          </w:p>
        </w:tc>
        <w:tc>
          <w:tcPr>
            <w:tcW w:w="1843"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COM(2015) 596</w:t>
            </w:r>
            <w:r>
              <w:rPr>
                <w:rStyle w:val="FootnoteReference"/>
                <w:rFonts w:ascii="Times New Roman" w:hAnsi="Times New Roman"/>
                <w:noProof/>
              </w:rPr>
              <w:footnoteReference w:id="21"/>
            </w:r>
            <w:r>
              <w:rPr>
                <w:rFonts w:ascii="Times New Roman" w:hAnsi="Times New Roman"/>
                <w:noProof/>
              </w:rPr>
              <w:t xml:space="preserve"> </w:t>
            </w:r>
          </w:p>
        </w:tc>
        <w:tc>
          <w:tcPr>
            <w:tcW w:w="2409"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 xml:space="preserve">Proposition de directive modifiant la directive 94/62/CE relative aux emballages et </w:t>
            </w:r>
            <w:r>
              <w:rPr>
                <w:rFonts w:ascii="Times New Roman" w:hAnsi="Times New Roman"/>
                <w:noProof/>
              </w:rPr>
              <w:t>aux déchets d’emballages</w:t>
            </w:r>
          </w:p>
        </w:tc>
        <w:tc>
          <w:tcPr>
            <w:tcW w:w="1418"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1</w:t>
            </w:r>
          </w:p>
        </w:tc>
        <w:tc>
          <w:tcPr>
            <w:tcW w:w="1134"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1</w:t>
            </w:r>
          </w:p>
        </w:tc>
        <w:tc>
          <w:tcPr>
            <w:tcW w:w="2410" w:type="dxa"/>
            <w:tcBorders>
              <w:bottom w:val="single" w:sz="4" w:space="0" w:color="auto"/>
            </w:tcBorders>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Sénat</w:t>
            </w:r>
            <w:r>
              <w:rPr>
                <w:rStyle w:val="FootnoteReference"/>
                <w:rFonts w:ascii="Times New Roman" w:hAnsi="Times New Roman"/>
                <w:noProof/>
              </w:rPr>
              <w:footnoteReference w:id="22"/>
            </w:r>
            <w:r>
              <w:rPr>
                <w:rFonts w:ascii="Times New Roman" w:hAnsi="Times New Roman"/>
                <w:noProof/>
              </w:rPr>
              <w:t xml:space="preserve"> français (1 voix)</w:t>
            </w:r>
          </w:p>
        </w:tc>
      </w:tr>
      <w:tr w:rsidR="003F0A72">
        <w:trPr>
          <w:cantSplit/>
          <w:trHeight w:val="70"/>
        </w:trPr>
        <w:tc>
          <w:tcPr>
            <w:tcW w:w="568"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21</w:t>
            </w:r>
          </w:p>
        </w:tc>
        <w:tc>
          <w:tcPr>
            <w:tcW w:w="1843"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COM(2015) 634</w:t>
            </w:r>
            <w:r>
              <w:rPr>
                <w:rStyle w:val="FootnoteReference"/>
                <w:rFonts w:ascii="Times New Roman" w:hAnsi="Times New Roman"/>
                <w:noProof/>
              </w:rPr>
              <w:footnoteReference w:id="23"/>
            </w:r>
            <w:r>
              <w:rPr>
                <w:rFonts w:ascii="Times New Roman" w:hAnsi="Times New Roman"/>
                <w:noProof/>
              </w:rPr>
              <w:t xml:space="preserve"> </w:t>
            </w:r>
          </w:p>
        </w:tc>
        <w:tc>
          <w:tcPr>
            <w:tcW w:w="2409"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Proposition de directive concernant certains aspects des contrats de fourniture de contenu numérique</w:t>
            </w:r>
          </w:p>
        </w:tc>
        <w:tc>
          <w:tcPr>
            <w:tcW w:w="1418"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1</w:t>
            </w:r>
          </w:p>
        </w:tc>
        <w:tc>
          <w:tcPr>
            <w:tcW w:w="1134"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1</w:t>
            </w:r>
          </w:p>
        </w:tc>
        <w:tc>
          <w:tcPr>
            <w:tcW w:w="2410" w:type="dxa"/>
            <w:tcBorders>
              <w:bottom w:val="single" w:sz="4" w:space="0" w:color="auto"/>
            </w:tcBorders>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Sénat</w:t>
            </w:r>
            <w:r>
              <w:rPr>
                <w:rStyle w:val="FootnoteReference"/>
                <w:rFonts w:ascii="Times New Roman" w:hAnsi="Times New Roman"/>
                <w:noProof/>
              </w:rPr>
              <w:footnoteReference w:id="24"/>
            </w:r>
            <w:r>
              <w:rPr>
                <w:rFonts w:ascii="Times New Roman" w:hAnsi="Times New Roman"/>
                <w:noProof/>
              </w:rPr>
              <w:t xml:space="preserve"> français (1 voix)</w:t>
            </w:r>
          </w:p>
        </w:tc>
      </w:tr>
      <w:tr w:rsidR="003F0A72">
        <w:trPr>
          <w:cantSplit/>
          <w:trHeight w:val="70"/>
        </w:trPr>
        <w:tc>
          <w:tcPr>
            <w:tcW w:w="568"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lastRenderedPageBreak/>
              <w:t>22</w:t>
            </w:r>
          </w:p>
        </w:tc>
        <w:tc>
          <w:tcPr>
            <w:tcW w:w="1843"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COM(2015) 635</w:t>
            </w:r>
            <w:r>
              <w:rPr>
                <w:rStyle w:val="FootnoteReference"/>
                <w:rFonts w:ascii="Times New Roman" w:hAnsi="Times New Roman"/>
                <w:noProof/>
              </w:rPr>
              <w:footnoteReference w:id="25"/>
            </w:r>
            <w:r>
              <w:rPr>
                <w:rFonts w:ascii="Times New Roman" w:hAnsi="Times New Roman"/>
                <w:noProof/>
              </w:rPr>
              <w:t xml:space="preserve"> </w:t>
            </w:r>
          </w:p>
        </w:tc>
        <w:tc>
          <w:tcPr>
            <w:tcW w:w="2409"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 xml:space="preserve">Proposition de directive </w:t>
            </w:r>
            <w:r>
              <w:rPr>
                <w:rFonts w:ascii="Times New Roman" w:hAnsi="Times New Roman"/>
                <w:noProof/>
              </w:rPr>
              <w:t>concernant certains aspects des contrats de vente en ligne et de toute autre vente à distance de biens</w:t>
            </w:r>
          </w:p>
        </w:tc>
        <w:tc>
          <w:tcPr>
            <w:tcW w:w="1418"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1</w:t>
            </w:r>
          </w:p>
        </w:tc>
        <w:tc>
          <w:tcPr>
            <w:tcW w:w="1134"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1</w:t>
            </w:r>
          </w:p>
        </w:tc>
        <w:tc>
          <w:tcPr>
            <w:tcW w:w="2410" w:type="dxa"/>
            <w:tcBorders>
              <w:bottom w:val="single" w:sz="4" w:space="0" w:color="auto"/>
            </w:tcBorders>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Sénat</w:t>
            </w:r>
            <w:r>
              <w:rPr>
                <w:rStyle w:val="FootnoteReference"/>
                <w:rFonts w:ascii="Times New Roman" w:hAnsi="Times New Roman"/>
                <w:noProof/>
              </w:rPr>
              <w:footnoteReference w:id="26"/>
            </w:r>
            <w:r>
              <w:rPr>
                <w:rFonts w:ascii="Times New Roman" w:hAnsi="Times New Roman"/>
                <w:noProof/>
              </w:rPr>
              <w:t xml:space="preserve"> français (1 voix)</w:t>
            </w:r>
          </w:p>
        </w:tc>
      </w:tr>
      <w:tr w:rsidR="003F0A72">
        <w:trPr>
          <w:cantSplit/>
          <w:trHeight w:val="70"/>
        </w:trPr>
        <w:tc>
          <w:tcPr>
            <w:tcW w:w="568"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23</w:t>
            </w:r>
          </w:p>
        </w:tc>
        <w:tc>
          <w:tcPr>
            <w:tcW w:w="1843"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COM(2016) 52</w:t>
            </w:r>
            <w:r>
              <w:rPr>
                <w:rStyle w:val="FootnoteReference"/>
                <w:rFonts w:ascii="Times New Roman" w:hAnsi="Times New Roman"/>
                <w:noProof/>
              </w:rPr>
              <w:footnoteReference w:id="27"/>
            </w:r>
            <w:r>
              <w:rPr>
                <w:rFonts w:ascii="Times New Roman" w:hAnsi="Times New Roman"/>
                <w:noProof/>
              </w:rPr>
              <w:t xml:space="preserve"> </w:t>
            </w:r>
          </w:p>
        </w:tc>
        <w:tc>
          <w:tcPr>
            <w:tcW w:w="2409"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Proposition de règlement concernant des mesures visant à garantir la sécurité de l’approvisionnement en g</w:t>
            </w:r>
            <w:r>
              <w:rPr>
                <w:rFonts w:ascii="Times New Roman" w:hAnsi="Times New Roman"/>
                <w:noProof/>
              </w:rPr>
              <w:t>az naturel et abrogeant le règlement (UE) nº 994/2010</w:t>
            </w:r>
          </w:p>
        </w:tc>
        <w:tc>
          <w:tcPr>
            <w:tcW w:w="1418"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1</w:t>
            </w:r>
          </w:p>
        </w:tc>
        <w:tc>
          <w:tcPr>
            <w:tcW w:w="1134"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1</w:t>
            </w:r>
          </w:p>
        </w:tc>
        <w:tc>
          <w:tcPr>
            <w:tcW w:w="2410" w:type="dxa"/>
            <w:tcBorders>
              <w:bottom w:val="single" w:sz="4" w:space="0" w:color="auto"/>
            </w:tcBorders>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Bundesrat</w:t>
            </w:r>
            <w:r>
              <w:rPr>
                <w:rStyle w:val="FootnoteReference"/>
                <w:rFonts w:ascii="Times New Roman" w:hAnsi="Times New Roman"/>
                <w:noProof/>
              </w:rPr>
              <w:footnoteReference w:id="28"/>
            </w:r>
            <w:r>
              <w:rPr>
                <w:rFonts w:ascii="Times New Roman" w:hAnsi="Times New Roman"/>
                <w:noProof/>
              </w:rPr>
              <w:t xml:space="preserve"> autrichien (1 voix)</w:t>
            </w:r>
          </w:p>
        </w:tc>
      </w:tr>
      <w:tr w:rsidR="003F0A72">
        <w:trPr>
          <w:cantSplit/>
          <w:trHeight w:val="70"/>
        </w:trPr>
        <w:tc>
          <w:tcPr>
            <w:tcW w:w="568"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24</w:t>
            </w:r>
          </w:p>
        </w:tc>
        <w:tc>
          <w:tcPr>
            <w:tcW w:w="1843"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 xml:space="preserve">COM(2016) 289 </w:t>
            </w:r>
          </w:p>
        </w:tc>
        <w:tc>
          <w:tcPr>
            <w:tcW w:w="2409"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 xml:space="preserve">Proposition de règlement visant à contrer le blocage géographique et d’autres formes de discrimination fondée sur la nationalité, le lieu de </w:t>
            </w:r>
            <w:r>
              <w:rPr>
                <w:rFonts w:ascii="Times New Roman" w:hAnsi="Times New Roman"/>
                <w:noProof/>
              </w:rPr>
              <w:t>résidence ou le lieu d’établissement des clients dans le marché intérieur, et modifiant le règlement (CE) nº 2006/2004 et la directive 2009/22/CE</w:t>
            </w:r>
          </w:p>
        </w:tc>
        <w:tc>
          <w:tcPr>
            <w:tcW w:w="1418"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1</w:t>
            </w:r>
          </w:p>
        </w:tc>
        <w:tc>
          <w:tcPr>
            <w:tcW w:w="1134"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1</w:t>
            </w:r>
          </w:p>
        </w:tc>
        <w:tc>
          <w:tcPr>
            <w:tcW w:w="2410" w:type="dxa"/>
            <w:tcBorders>
              <w:bottom w:val="single" w:sz="4" w:space="0" w:color="auto"/>
            </w:tcBorders>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i/>
                <w:noProof/>
              </w:rPr>
              <w:t>Bundesrat</w:t>
            </w:r>
            <w:r>
              <w:rPr>
                <w:rFonts w:ascii="Times New Roman" w:hAnsi="Times New Roman"/>
                <w:noProof/>
              </w:rPr>
              <w:t xml:space="preserve"> autrichien (1 voix)</w:t>
            </w:r>
          </w:p>
        </w:tc>
      </w:tr>
      <w:tr w:rsidR="003F0A72" w:rsidRPr="00757DDF">
        <w:trPr>
          <w:cantSplit/>
          <w:trHeight w:val="425"/>
        </w:trPr>
        <w:tc>
          <w:tcPr>
            <w:tcW w:w="568"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25</w:t>
            </w:r>
          </w:p>
        </w:tc>
        <w:tc>
          <w:tcPr>
            <w:tcW w:w="1843"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 xml:space="preserve">COM(2016) 465 </w:t>
            </w:r>
          </w:p>
        </w:tc>
        <w:tc>
          <w:tcPr>
            <w:tcW w:w="2409"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 xml:space="preserve">Proposition de directive établissant des normes pour </w:t>
            </w:r>
            <w:r>
              <w:rPr>
                <w:rFonts w:ascii="Times New Roman" w:hAnsi="Times New Roman"/>
                <w:noProof/>
              </w:rPr>
              <w:t>l’accueil des personnes demandant la protection internationale (refonte)</w:t>
            </w:r>
          </w:p>
        </w:tc>
        <w:tc>
          <w:tcPr>
            <w:tcW w:w="1418"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1</w:t>
            </w:r>
          </w:p>
        </w:tc>
        <w:tc>
          <w:tcPr>
            <w:tcW w:w="1134"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1</w:t>
            </w:r>
          </w:p>
        </w:tc>
        <w:tc>
          <w:tcPr>
            <w:tcW w:w="2410" w:type="dxa"/>
            <w:tcBorders>
              <w:bottom w:val="single" w:sz="4" w:space="0" w:color="auto"/>
            </w:tcBorders>
            <w:shd w:val="clear" w:color="auto" w:fill="auto"/>
          </w:tcPr>
          <w:p w:rsidR="003F0A72" w:rsidRDefault="00493550">
            <w:pPr>
              <w:spacing w:after="240" w:line="240" w:lineRule="auto"/>
              <w:rPr>
                <w:rFonts w:ascii="Times New Roman" w:eastAsia="Times New Roman" w:hAnsi="Times New Roman" w:cs="Times New Roman"/>
                <w:noProof/>
                <w:lang w:val="it-IT"/>
              </w:rPr>
            </w:pPr>
            <w:r>
              <w:rPr>
                <w:rFonts w:ascii="Times New Roman" w:hAnsi="Times New Roman"/>
                <w:i/>
                <w:noProof/>
                <w:lang w:val="it-IT"/>
              </w:rPr>
              <w:t>Senato</w:t>
            </w:r>
            <w:r>
              <w:rPr>
                <w:rFonts w:ascii="Times New Roman" w:hAnsi="Times New Roman"/>
                <w:noProof/>
                <w:lang w:val="it-IT"/>
              </w:rPr>
              <w:t xml:space="preserve"> </w:t>
            </w:r>
            <w:r>
              <w:rPr>
                <w:rFonts w:ascii="Times New Roman" w:hAnsi="Times New Roman"/>
                <w:i/>
                <w:noProof/>
                <w:lang w:val="it-IT"/>
              </w:rPr>
              <w:t>della</w:t>
            </w:r>
            <w:r>
              <w:rPr>
                <w:rFonts w:ascii="Times New Roman" w:hAnsi="Times New Roman"/>
                <w:noProof/>
                <w:lang w:val="it-IT"/>
              </w:rPr>
              <w:t xml:space="preserve"> </w:t>
            </w:r>
            <w:r>
              <w:rPr>
                <w:rFonts w:ascii="Times New Roman" w:hAnsi="Times New Roman"/>
                <w:i/>
                <w:noProof/>
                <w:lang w:val="it-IT"/>
              </w:rPr>
              <w:t>Repubblica</w:t>
            </w:r>
            <w:r>
              <w:rPr>
                <w:rFonts w:ascii="Times New Roman" w:hAnsi="Times New Roman"/>
                <w:noProof/>
                <w:lang w:val="it-IT"/>
              </w:rPr>
              <w:t xml:space="preserve"> italien (1 voix)</w:t>
            </w:r>
          </w:p>
        </w:tc>
      </w:tr>
      <w:tr w:rsidR="003F0A72" w:rsidRPr="00757DDF">
        <w:trPr>
          <w:cantSplit/>
          <w:trHeight w:val="295"/>
        </w:trPr>
        <w:tc>
          <w:tcPr>
            <w:tcW w:w="568"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lastRenderedPageBreak/>
              <w:t>26</w:t>
            </w:r>
          </w:p>
        </w:tc>
        <w:tc>
          <w:tcPr>
            <w:tcW w:w="1843"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 xml:space="preserve">COM(2016) 491 </w:t>
            </w:r>
          </w:p>
        </w:tc>
        <w:tc>
          <w:tcPr>
            <w:tcW w:w="2409"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Proposition de règlement établissant un système de certification européen pour les équipements d’inspection/filtrage ut</w:t>
            </w:r>
            <w:r>
              <w:rPr>
                <w:rFonts w:ascii="Times New Roman" w:hAnsi="Times New Roman"/>
                <w:noProof/>
              </w:rPr>
              <w:t>ilisés aux fins de la sûreté aérienne</w:t>
            </w:r>
          </w:p>
        </w:tc>
        <w:tc>
          <w:tcPr>
            <w:tcW w:w="1418"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1</w:t>
            </w:r>
          </w:p>
        </w:tc>
        <w:tc>
          <w:tcPr>
            <w:tcW w:w="1134" w:type="dxa"/>
            <w:shd w:val="clear" w:color="auto" w:fill="auto"/>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1</w:t>
            </w:r>
          </w:p>
        </w:tc>
        <w:tc>
          <w:tcPr>
            <w:tcW w:w="2410" w:type="dxa"/>
            <w:tcBorders>
              <w:bottom w:val="single" w:sz="4" w:space="0" w:color="auto"/>
            </w:tcBorders>
            <w:shd w:val="clear" w:color="auto" w:fill="auto"/>
          </w:tcPr>
          <w:p w:rsidR="003F0A72" w:rsidRDefault="00493550">
            <w:pPr>
              <w:spacing w:after="240" w:line="240" w:lineRule="auto"/>
              <w:rPr>
                <w:rFonts w:ascii="Times New Roman" w:eastAsia="Times New Roman" w:hAnsi="Times New Roman" w:cs="Times New Roman"/>
                <w:noProof/>
                <w:lang w:val="en-GB"/>
              </w:rPr>
            </w:pPr>
            <w:r>
              <w:rPr>
                <w:rFonts w:ascii="Times New Roman" w:hAnsi="Times New Roman"/>
                <w:i/>
                <w:noProof/>
                <w:lang w:val="en-GB"/>
              </w:rPr>
              <w:t>House of Commons</w:t>
            </w:r>
            <w:r>
              <w:rPr>
                <w:rFonts w:ascii="Times New Roman" w:hAnsi="Times New Roman"/>
                <w:noProof/>
                <w:lang w:val="en-GB"/>
              </w:rPr>
              <w:t xml:space="preserve"> britannique (1 voix) </w:t>
            </w:r>
          </w:p>
        </w:tc>
      </w:tr>
      <w:tr w:rsidR="003F0A72">
        <w:trPr>
          <w:cantSplit/>
        </w:trPr>
        <w:tc>
          <w:tcPr>
            <w:tcW w:w="2411" w:type="dxa"/>
            <w:gridSpan w:val="2"/>
            <w:tcBorders>
              <w:top w:val="single" w:sz="4" w:space="0" w:color="auto"/>
              <w:left w:val="single" w:sz="4" w:space="0" w:color="auto"/>
              <w:bottom w:val="single" w:sz="4" w:space="0" w:color="auto"/>
              <w:right w:val="single" w:sz="4" w:space="0" w:color="auto"/>
            </w:tcBorders>
            <w:hideMark/>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Nombre d’avis motivés concernant des documents de la Commission comptés individuellement</w:t>
            </w:r>
            <w:r>
              <w:rPr>
                <w:rStyle w:val="FootnoteReference"/>
                <w:rFonts w:ascii="Times New Roman" w:hAnsi="Times New Roman"/>
                <w:noProof/>
              </w:rPr>
              <w:footnoteReference w:id="29"/>
            </w:r>
          </w:p>
        </w:tc>
        <w:tc>
          <w:tcPr>
            <w:tcW w:w="7371" w:type="dxa"/>
            <w:gridSpan w:val="4"/>
            <w:tcBorders>
              <w:top w:val="single" w:sz="4" w:space="0" w:color="auto"/>
              <w:left w:val="single" w:sz="4" w:space="0" w:color="auto"/>
              <w:bottom w:val="single" w:sz="4" w:space="0" w:color="auto"/>
              <w:right w:val="single" w:sz="4" w:space="0" w:color="auto"/>
            </w:tcBorders>
            <w:vAlign w:val="center"/>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74</w:t>
            </w:r>
          </w:p>
          <w:p w:rsidR="003F0A72" w:rsidRDefault="003F0A72">
            <w:pPr>
              <w:spacing w:after="240" w:line="240" w:lineRule="auto"/>
              <w:rPr>
                <w:rFonts w:ascii="Times New Roman" w:eastAsia="Times New Roman" w:hAnsi="Times New Roman" w:cs="Times New Roman"/>
                <w:noProof/>
              </w:rPr>
            </w:pPr>
          </w:p>
        </w:tc>
      </w:tr>
      <w:tr w:rsidR="003F0A72">
        <w:trPr>
          <w:cantSplit/>
        </w:trPr>
        <w:tc>
          <w:tcPr>
            <w:tcW w:w="2411" w:type="dxa"/>
            <w:gridSpan w:val="2"/>
            <w:tcBorders>
              <w:top w:val="single" w:sz="4" w:space="0" w:color="auto"/>
              <w:left w:val="single" w:sz="4" w:space="0" w:color="auto"/>
              <w:bottom w:val="single" w:sz="4" w:space="0" w:color="auto"/>
              <w:right w:val="single" w:sz="4" w:space="0" w:color="auto"/>
            </w:tcBorders>
            <w:hideMark/>
          </w:tcPr>
          <w:p w:rsidR="003F0A72" w:rsidRDefault="00493550">
            <w:pPr>
              <w:spacing w:after="240" w:line="240" w:lineRule="auto"/>
              <w:rPr>
                <w:rFonts w:ascii="Times New Roman" w:eastAsia="Times New Roman" w:hAnsi="Times New Roman" w:cs="Times New Roman"/>
                <w:noProof/>
              </w:rPr>
            </w:pPr>
            <w:r>
              <w:rPr>
                <w:rFonts w:ascii="Times New Roman" w:hAnsi="Times New Roman"/>
                <w:b/>
                <w:noProof/>
              </w:rPr>
              <w:t>Nombre TOTAL d’avis motivés reçus</w:t>
            </w:r>
            <w:r>
              <w:rPr>
                <w:rStyle w:val="FootnoteReference"/>
                <w:rFonts w:ascii="Times New Roman" w:hAnsi="Times New Roman"/>
                <w:noProof/>
              </w:rPr>
              <w:footnoteReference w:id="30"/>
            </w:r>
          </w:p>
        </w:tc>
        <w:tc>
          <w:tcPr>
            <w:tcW w:w="7371" w:type="dxa"/>
            <w:gridSpan w:val="4"/>
            <w:tcBorders>
              <w:top w:val="single" w:sz="4" w:space="0" w:color="auto"/>
              <w:left w:val="single" w:sz="4" w:space="0" w:color="auto"/>
              <w:bottom w:val="single" w:sz="4" w:space="0" w:color="auto"/>
              <w:right w:val="single" w:sz="4" w:space="0" w:color="auto"/>
            </w:tcBorders>
            <w:vAlign w:val="center"/>
            <w:hideMark/>
          </w:tcPr>
          <w:p w:rsidR="003F0A72" w:rsidRDefault="00493550">
            <w:pPr>
              <w:spacing w:after="240" w:line="240" w:lineRule="auto"/>
              <w:rPr>
                <w:rFonts w:ascii="Times New Roman" w:eastAsia="Times New Roman" w:hAnsi="Times New Roman" w:cs="Times New Roman"/>
                <w:noProof/>
              </w:rPr>
            </w:pPr>
            <w:r>
              <w:rPr>
                <w:rFonts w:ascii="Times New Roman" w:hAnsi="Times New Roman"/>
                <w:noProof/>
              </w:rPr>
              <w:t>65</w:t>
            </w:r>
          </w:p>
        </w:tc>
      </w:tr>
    </w:tbl>
    <w:p w:rsidR="003F0A72" w:rsidRDefault="003F0A72">
      <w:pPr>
        <w:spacing w:after="0" w:line="240" w:lineRule="auto"/>
        <w:rPr>
          <w:rFonts w:ascii="Times New Roman" w:eastAsia="Times New Roman" w:hAnsi="Times New Roman" w:cs="Times New Roman"/>
          <w:noProof/>
        </w:rPr>
      </w:pPr>
    </w:p>
    <w:sectPr w:rsidR="003F0A72">
      <w:headerReference w:type="even" r:id="rId15"/>
      <w:headerReference w:type="default" r:id="rId16"/>
      <w:footerReference w:type="even" r:id="rId17"/>
      <w:footerReference w:type="default" r:id="rId18"/>
      <w:headerReference w:type="first" r:id="rId19"/>
      <w:footerReference w:type="first" r:id="rId20"/>
      <w:pgSz w:w="11906" w:h="16838"/>
      <w:pgMar w:top="709" w:right="1418" w:bottom="454" w:left="1418" w:header="709" w:footer="709"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550" w:rsidRDefault="00493550">
      <w:pPr>
        <w:spacing w:after="0" w:line="240" w:lineRule="auto"/>
      </w:pPr>
      <w:r>
        <w:separator/>
      </w:r>
    </w:p>
  </w:endnote>
  <w:endnote w:type="continuationSeparator" w:id="0">
    <w:p w:rsidR="00493550" w:rsidRDefault="00493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99E" w:rsidRDefault="004869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A72" w:rsidRDefault="00493550">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rsidR="0048699E">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99E" w:rsidRDefault="0048699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A72" w:rsidRDefault="003F0A7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970053"/>
      <w:docPartObj>
        <w:docPartGallery w:val="Page Numbers (Bottom of Page)"/>
        <w:docPartUnique/>
      </w:docPartObj>
    </w:sdtPr>
    <w:sdtEndPr>
      <w:rPr>
        <w:noProof/>
      </w:rPr>
    </w:sdtEndPr>
    <w:sdtContent>
      <w:p w:rsidR="003F0A72" w:rsidRDefault="00493550">
        <w:pPr>
          <w:pStyle w:val="Footer"/>
          <w:jc w:val="center"/>
        </w:pPr>
        <w:r>
          <w:fldChar w:fldCharType="begin"/>
        </w:r>
        <w:r>
          <w:instrText xml:space="preserve"> PAGE   \* MERGEFORMAT </w:instrText>
        </w:r>
        <w:r>
          <w:fldChar w:fldCharType="separate"/>
        </w:r>
        <w:r w:rsidR="0048699E">
          <w:rPr>
            <w:noProof/>
          </w:rPr>
          <w:t>4</w:t>
        </w:r>
        <w:r>
          <w:rPr>
            <w:noProof/>
          </w:rPr>
          <w:fldChar w:fldCharType="end"/>
        </w:r>
      </w:p>
    </w:sdtContent>
  </w:sdt>
  <w:p w:rsidR="003F0A72" w:rsidRDefault="003F0A7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061559"/>
      <w:docPartObj>
        <w:docPartGallery w:val="Page Numbers (Bottom of Page)"/>
        <w:docPartUnique/>
      </w:docPartObj>
    </w:sdtPr>
    <w:sdtEndPr>
      <w:rPr>
        <w:noProof/>
      </w:rPr>
    </w:sdtEndPr>
    <w:sdtContent>
      <w:p w:rsidR="003F0A72" w:rsidRDefault="00493550">
        <w:pPr>
          <w:pStyle w:val="Footer"/>
          <w:jc w:val="center"/>
        </w:pPr>
        <w:r>
          <w:fldChar w:fldCharType="begin"/>
        </w:r>
        <w:r>
          <w:instrText xml:space="preserve"> PAGE   \* MERGEFORMAT </w:instrText>
        </w:r>
        <w:r>
          <w:fldChar w:fldCharType="separate"/>
        </w:r>
        <w:r w:rsidR="0048699E">
          <w:rPr>
            <w:noProof/>
          </w:rPr>
          <w:t>2</w:t>
        </w:r>
        <w:r>
          <w:rPr>
            <w:noProof/>
          </w:rPr>
          <w:fldChar w:fldCharType="end"/>
        </w:r>
      </w:p>
    </w:sdtContent>
  </w:sdt>
  <w:p w:rsidR="003F0A72" w:rsidRDefault="003F0A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550" w:rsidRDefault="00493550">
      <w:pPr>
        <w:spacing w:after="0" w:line="240" w:lineRule="auto"/>
      </w:pPr>
      <w:r>
        <w:separator/>
      </w:r>
    </w:p>
  </w:footnote>
  <w:footnote w:type="continuationSeparator" w:id="0">
    <w:p w:rsidR="00493550" w:rsidRDefault="00493550">
      <w:pPr>
        <w:spacing w:after="0" w:line="240" w:lineRule="auto"/>
      </w:pPr>
      <w:r>
        <w:continuationSeparator/>
      </w:r>
    </w:p>
  </w:footnote>
  <w:footnote w:id="1">
    <w:p w:rsidR="003F0A72" w:rsidRDefault="00493550">
      <w:pPr>
        <w:pStyle w:val="FootnoteText"/>
        <w:tabs>
          <w:tab w:val="left" w:pos="284"/>
        </w:tabs>
        <w:ind w:left="284" w:hanging="284"/>
        <w:jc w:val="both"/>
        <w:rPr>
          <w:rFonts w:asciiTheme="majorBidi" w:hAnsiTheme="majorBidi" w:cstheme="majorBidi"/>
        </w:rPr>
      </w:pPr>
      <w:r>
        <w:rPr>
          <w:rStyle w:val="FootnoteReference"/>
          <w:rFonts w:ascii="Times New Roman" w:hAnsi="Times New Roman"/>
        </w:rPr>
        <w:footnoteRef/>
      </w:r>
      <w:r>
        <w:rPr>
          <w:rFonts w:asciiTheme="majorBidi" w:hAnsiTheme="majorBidi" w:cstheme="majorBidi"/>
        </w:rPr>
        <w:t xml:space="preserve"> </w:t>
      </w:r>
      <w:r>
        <w:tab/>
      </w:r>
      <w:r>
        <w:rPr>
          <w:rFonts w:asciiTheme="majorBidi" w:hAnsiTheme="majorBidi" w:cstheme="majorBidi"/>
        </w:rPr>
        <w:t>Pour être considéré comme un avis motivé tel que défini dans le protocole nº 2, un avis doit exposer les raisons pour lesquelles le parlement national estime qu’une proposition législative n’est pas conforme au princip</w:t>
      </w:r>
      <w:r>
        <w:rPr>
          <w:rFonts w:asciiTheme="majorBidi" w:hAnsiTheme="majorBidi" w:cstheme="majorBidi"/>
        </w:rPr>
        <w:t>e de subsidiarité et être adressé à la Commission dans un délai de huit semaines à compter de la transmission de la proposition législative aux parlements nationaux.</w:t>
      </w:r>
    </w:p>
  </w:footnote>
  <w:footnote w:id="2">
    <w:p w:rsidR="003F0A72" w:rsidRDefault="00493550">
      <w:pPr>
        <w:pStyle w:val="FootnoteText"/>
        <w:tabs>
          <w:tab w:val="left" w:pos="284"/>
        </w:tabs>
        <w:ind w:left="284" w:hanging="284"/>
        <w:jc w:val="both"/>
        <w:rPr>
          <w:rFonts w:asciiTheme="majorBidi" w:hAnsiTheme="majorBidi" w:cstheme="majorBidi"/>
          <w:b/>
        </w:rPr>
      </w:pPr>
      <w:r>
        <w:rPr>
          <w:rStyle w:val="FootnoteReference"/>
          <w:rFonts w:ascii="Times New Roman" w:hAnsi="Times New Roman"/>
        </w:rPr>
        <w:footnoteRef/>
      </w:r>
      <w:r>
        <w:rPr>
          <w:rFonts w:asciiTheme="majorBidi" w:hAnsiTheme="majorBidi" w:cstheme="majorBidi"/>
        </w:rPr>
        <w:t xml:space="preserve"> </w:t>
      </w:r>
      <w:r>
        <w:tab/>
      </w:r>
      <w:r>
        <w:rPr>
          <w:rFonts w:asciiTheme="majorBidi" w:hAnsiTheme="majorBidi" w:cstheme="majorBidi"/>
        </w:rPr>
        <w:t>En vertu du protocole nº 2, chaque parlement national dispose de deux voix; dans le cas</w:t>
      </w:r>
      <w:r>
        <w:rPr>
          <w:rFonts w:asciiTheme="majorBidi" w:hAnsiTheme="majorBidi" w:cstheme="majorBidi"/>
        </w:rPr>
        <w:t xml:space="preserve"> d’un système bicaméral, chaque chambre dispose d’une voix. Dans le cas où les avis motivés représentent au moins un tiers (un quart pour les propositions en vertu de l’article 76 du traité sur le fonctionnement de l’Union européenne) de l’ensemble des voi</w:t>
      </w:r>
      <w:r>
        <w:rPr>
          <w:rFonts w:asciiTheme="majorBidi" w:hAnsiTheme="majorBidi" w:cstheme="majorBidi"/>
        </w:rPr>
        <w:t>x attribuées aux parlements nationaux, le seuil du «carton jaune» est atteint, ce qui signifie que le projet d’acte législatif doit être réexaminé. Dix-neuf des 56 voix représentent un tiers de toutes les voix attribuées.</w:t>
      </w:r>
    </w:p>
  </w:footnote>
  <w:footnote w:id="3">
    <w:p w:rsidR="003F0A72" w:rsidRDefault="00493550">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 xml:space="preserve"> </w:t>
      </w:r>
      <w:r>
        <w:tab/>
      </w:r>
      <w:r>
        <w:rPr>
          <w:rFonts w:ascii="Times New Roman" w:hAnsi="Times New Roman"/>
        </w:rPr>
        <w:t xml:space="preserve">Les avis motivés du </w:t>
      </w:r>
      <w:r>
        <w:rPr>
          <w:rFonts w:ascii="Times New Roman" w:hAnsi="Times New Roman"/>
          <w:i/>
        </w:rPr>
        <w:t>Folketing</w:t>
      </w:r>
      <w:r>
        <w:rPr>
          <w:rFonts w:ascii="Times New Roman" w:hAnsi="Times New Roman"/>
        </w:rPr>
        <w:t xml:space="preserve"> d</w:t>
      </w:r>
      <w:r>
        <w:rPr>
          <w:rFonts w:ascii="Times New Roman" w:hAnsi="Times New Roman"/>
        </w:rPr>
        <w:t xml:space="preserve">anois, du </w:t>
      </w:r>
      <w:r>
        <w:rPr>
          <w:rFonts w:ascii="Times New Roman" w:hAnsi="Times New Roman"/>
          <w:i/>
        </w:rPr>
        <w:t>Dáil Éireann</w:t>
      </w:r>
      <w:r>
        <w:rPr>
          <w:rFonts w:ascii="Times New Roman" w:hAnsi="Times New Roman"/>
        </w:rPr>
        <w:t xml:space="preserve"> irlandais et du </w:t>
      </w:r>
      <w:r>
        <w:rPr>
          <w:rFonts w:ascii="Times New Roman" w:hAnsi="Times New Roman"/>
          <w:i/>
        </w:rPr>
        <w:t>Seanad Éireann</w:t>
      </w:r>
      <w:r>
        <w:rPr>
          <w:rFonts w:ascii="Times New Roman" w:hAnsi="Times New Roman"/>
        </w:rPr>
        <w:t xml:space="preserve"> irlandais portant sur ce document de la Commission concernaient également le document COM(2016) 685. L’avis motivé de la </w:t>
      </w:r>
      <w:r>
        <w:rPr>
          <w:rFonts w:ascii="Times New Roman" w:hAnsi="Times New Roman"/>
          <w:i/>
        </w:rPr>
        <w:t>Eerste Kamer</w:t>
      </w:r>
      <w:r>
        <w:rPr>
          <w:rFonts w:ascii="Times New Roman" w:hAnsi="Times New Roman"/>
        </w:rPr>
        <w:t xml:space="preserve"> néerlandaise concernait également les documents COM(2016) 685 et COM</w:t>
      </w:r>
      <w:r>
        <w:rPr>
          <w:rFonts w:ascii="Times New Roman" w:hAnsi="Times New Roman"/>
        </w:rPr>
        <w:t>(2016) 687.</w:t>
      </w:r>
    </w:p>
  </w:footnote>
  <w:footnote w:id="4">
    <w:p w:rsidR="003F0A72" w:rsidRDefault="00493550">
      <w:pPr>
        <w:pStyle w:val="FootnoteText"/>
        <w:tabs>
          <w:tab w:val="left" w:pos="284"/>
        </w:tabs>
        <w:ind w:left="284" w:hanging="284"/>
        <w:jc w:val="both"/>
      </w:pPr>
      <w:r>
        <w:rPr>
          <w:rStyle w:val="FootnoteReference"/>
          <w:rFonts w:ascii="Times New Roman" w:hAnsi="Times New Roman"/>
        </w:rPr>
        <w:footnoteRef/>
      </w:r>
      <w:r>
        <w:t xml:space="preserve"> </w:t>
      </w:r>
      <w:r>
        <w:tab/>
      </w:r>
      <w:r>
        <w:rPr>
          <w:rFonts w:ascii="Times New Roman" w:hAnsi="Times New Roman"/>
        </w:rPr>
        <w:t xml:space="preserve">Comme indiqué ci-dessus, cet avis motivé du </w:t>
      </w:r>
      <w:r>
        <w:rPr>
          <w:rFonts w:ascii="Times New Roman" w:hAnsi="Times New Roman"/>
          <w:i/>
        </w:rPr>
        <w:t>Folketing</w:t>
      </w:r>
      <w:r>
        <w:rPr>
          <w:rFonts w:ascii="Times New Roman" w:hAnsi="Times New Roman"/>
        </w:rPr>
        <w:t xml:space="preserve"> danois concernait à la fois les documents COM(2016) 683 et COM(2016) 685.</w:t>
      </w:r>
    </w:p>
  </w:footnote>
  <w:footnote w:id="5">
    <w:p w:rsidR="003F0A72" w:rsidRDefault="00493550">
      <w:pPr>
        <w:pStyle w:val="FootnoteText"/>
        <w:tabs>
          <w:tab w:val="left" w:pos="284"/>
        </w:tabs>
        <w:ind w:left="284" w:hanging="284"/>
        <w:jc w:val="both"/>
      </w:pPr>
      <w:r>
        <w:rPr>
          <w:rStyle w:val="FootnoteReference"/>
          <w:rFonts w:ascii="Times New Roman" w:hAnsi="Times New Roman"/>
        </w:rPr>
        <w:footnoteRef/>
      </w:r>
      <w:r>
        <w:t xml:space="preserve"> </w:t>
      </w:r>
      <w:r>
        <w:tab/>
      </w:r>
      <w:r>
        <w:rPr>
          <w:rFonts w:ascii="Times New Roman" w:hAnsi="Times New Roman"/>
        </w:rPr>
        <w:t xml:space="preserve">Comme indiqué ci-dessus, cet avis motivé du </w:t>
      </w:r>
      <w:r>
        <w:rPr>
          <w:rFonts w:ascii="Times New Roman" w:hAnsi="Times New Roman"/>
          <w:i/>
        </w:rPr>
        <w:t>Dáil Éireann</w:t>
      </w:r>
      <w:r>
        <w:rPr>
          <w:rFonts w:ascii="Times New Roman" w:hAnsi="Times New Roman"/>
        </w:rPr>
        <w:t xml:space="preserve"> irlandais concernait à la fois les documents COM(2016</w:t>
      </w:r>
      <w:r>
        <w:rPr>
          <w:rFonts w:ascii="Times New Roman" w:hAnsi="Times New Roman"/>
        </w:rPr>
        <w:t>) 683 et COM(2016) 685.</w:t>
      </w:r>
    </w:p>
  </w:footnote>
  <w:footnote w:id="6">
    <w:p w:rsidR="003F0A72" w:rsidRDefault="00493550">
      <w:pPr>
        <w:pStyle w:val="FootnoteText"/>
        <w:tabs>
          <w:tab w:val="left" w:pos="284"/>
        </w:tabs>
        <w:ind w:left="284" w:hanging="284"/>
        <w:jc w:val="both"/>
      </w:pPr>
      <w:r>
        <w:rPr>
          <w:rStyle w:val="FootnoteReference"/>
          <w:rFonts w:ascii="Times New Roman" w:hAnsi="Times New Roman"/>
        </w:rPr>
        <w:footnoteRef/>
      </w:r>
      <w:r>
        <w:t xml:space="preserve"> </w:t>
      </w:r>
      <w:r>
        <w:tab/>
      </w:r>
      <w:r>
        <w:rPr>
          <w:rFonts w:ascii="Times New Roman" w:hAnsi="Times New Roman"/>
        </w:rPr>
        <w:t xml:space="preserve">Comme indiqué ci-dessus, cet avis motivé du </w:t>
      </w:r>
      <w:r>
        <w:rPr>
          <w:rFonts w:ascii="Times New Roman" w:hAnsi="Times New Roman"/>
          <w:i/>
        </w:rPr>
        <w:t>Seanad Éireann</w:t>
      </w:r>
      <w:r>
        <w:rPr>
          <w:rFonts w:ascii="Times New Roman" w:hAnsi="Times New Roman"/>
        </w:rPr>
        <w:t xml:space="preserve"> irlandais concernait à la fois les documents COM(2016) 683 et COM(2016) 685.</w:t>
      </w:r>
    </w:p>
  </w:footnote>
  <w:footnote w:id="7">
    <w:p w:rsidR="003F0A72" w:rsidRDefault="00493550">
      <w:pPr>
        <w:pStyle w:val="FootnoteText"/>
        <w:tabs>
          <w:tab w:val="left" w:pos="284"/>
        </w:tabs>
        <w:ind w:left="284" w:hanging="284"/>
        <w:jc w:val="both"/>
      </w:pPr>
      <w:r>
        <w:rPr>
          <w:rStyle w:val="FootnoteReference"/>
          <w:rFonts w:ascii="Times New Roman" w:hAnsi="Times New Roman"/>
        </w:rPr>
        <w:footnoteRef/>
      </w:r>
      <w:r>
        <w:t xml:space="preserve"> </w:t>
      </w:r>
      <w:r>
        <w:tab/>
      </w:r>
      <w:r>
        <w:rPr>
          <w:rFonts w:ascii="Times New Roman" w:hAnsi="Times New Roman"/>
        </w:rPr>
        <w:t xml:space="preserve">Comme indiqué ci-dessus, cet avis motivé de la </w:t>
      </w:r>
      <w:r>
        <w:rPr>
          <w:rFonts w:ascii="Times New Roman" w:hAnsi="Times New Roman"/>
          <w:i/>
        </w:rPr>
        <w:t>Eerste Kamer</w:t>
      </w:r>
      <w:r>
        <w:rPr>
          <w:rFonts w:ascii="Times New Roman" w:hAnsi="Times New Roman"/>
        </w:rPr>
        <w:t xml:space="preserve"> néerlandaise concernait à la fois les documents COM(2016) 683, COM(2016) 685 et COM(2016) 687.</w:t>
      </w:r>
    </w:p>
  </w:footnote>
  <w:footnote w:id="8">
    <w:p w:rsidR="003F0A72" w:rsidRDefault="00493550">
      <w:pPr>
        <w:pStyle w:val="FootnoteText"/>
        <w:tabs>
          <w:tab w:val="left" w:pos="284"/>
        </w:tabs>
        <w:ind w:left="284" w:hanging="284"/>
        <w:jc w:val="both"/>
      </w:pPr>
      <w:r>
        <w:rPr>
          <w:rStyle w:val="FootnoteReference"/>
          <w:rFonts w:ascii="Times New Roman" w:hAnsi="Times New Roman"/>
        </w:rPr>
        <w:footnoteRef/>
      </w:r>
      <w:r>
        <w:t xml:space="preserve"> </w:t>
      </w:r>
      <w:r>
        <w:tab/>
      </w:r>
      <w:r>
        <w:rPr>
          <w:rFonts w:ascii="Times New Roman" w:hAnsi="Times New Roman"/>
        </w:rPr>
        <w:t xml:space="preserve">Les avis motivés du </w:t>
      </w:r>
      <w:r>
        <w:rPr>
          <w:rFonts w:ascii="Times New Roman" w:hAnsi="Times New Roman"/>
          <w:i/>
        </w:rPr>
        <w:t>Folketing</w:t>
      </w:r>
      <w:r>
        <w:rPr>
          <w:rFonts w:ascii="Times New Roman" w:hAnsi="Times New Roman"/>
        </w:rPr>
        <w:t xml:space="preserve"> danois, du </w:t>
      </w:r>
      <w:r>
        <w:rPr>
          <w:rFonts w:ascii="Times New Roman" w:hAnsi="Times New Roman"/>
          <w:i/>
        </w:rPr>
        <w:t>Dáil Éireann</w:t>
      </w:r>
      <w:r>
        <w:rPr>
          <w:rFonts w:ascii="Times New Roman" w:hAnsi="Times New Roman"/>
        </w:rPr>
        <w:t xml:space="preserve"> irlandais et du </w:t>
      </w:r>
      <w:r>
        <w:rPr>
          <w:rFonts w:ascii="Times New Roman" w:hAnsi="Times New Roman"/>
          <w:i/>
        </w:rPr>
        <w:t>Seanad Éireann</w:t>
      </w:r>
      <w:r>
        <w:rPr>
          <w:rFonts w:ascii="Times New Roman" w:hAnsi="Times New Roman"/>
        </w:rPr>
        <w:t xml:space="preserve"> irlandais portant sur ce document de la Commission concernaient égalemen</w:t>
      </w:r>
      <w:r>
        <w:rPr>
          <w:rFonts w:ascii="Times New Roman" w:hAnsi="Times New Roman"/>
        </w:rPr>
        <w:t xml:space="preserve">t le document COM(2016) 683. L’avis motivé de la </w:t>
      </w:r>
      <w:r>
        <w:rPr>
          <w:rFonts w:ascii="Times New Roman" w:hAnsi="Times New Roman"/>
          <w:i/>
        </w:rPr>
        <w:t>Eerste Kamer</w:t>
      </w:r>
      <w:r>
        <w:rPr>
          <w:rFonts w:ascii="Times New Roman" w:hAnsi="Times New Roman"/>
        </w:rPr>
        <w:t xml:space="preserve"> néerlandaise concernait également les documents COM(2016) 683 et COM(2016) 687.</w:t>
      </w:r>
    </w:p>
  </w:footnote>
  <w:footnote w:id="9">
    <w:p w:rsidR="003F0A72" w:rsidRDefault="00493550">
      <w:pPr>
        <w:pStyle w:val="FootnoteText"/>
        <w:tabs>
          <w:tab w:val="left" w:pos="284"/>
        </w:tabs>
        <w:ind w:left="284" w:hanging="284"/>
        <w:jc w:val="both"/>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Comme indiqué ci-dessus, cet avis motivé du </w:t>
      </w:r>
      <w:r>
        <w:rPr>
          <w:rFonts w:ascii="Times New Roman" w:hAnsi="Times New Roman"/>
          <w:i/>
        </w:rPr>
        <w:t>Folketing</w:t>
      </w:r>
      <w:r>
        <w:rPr>
          <w:rFonts w:ascii="Times New Roman" w:hAnsi="Times New Roman"/>
        </w:rPr>
        <w:t xml:space="preserve"> danois concernait à la fois les documents COM(2016) 683 e</w:t>
      </w:r>
      <w:r>
        <w:rPr>
          <w:rFonts w:ascii="Times New Roman" w:hAnsi="Times New Roman"/>
        </w:rPr>
        <w:t>t COM(2016) 685.</w:t>
      </w:r>
    </w:p>
  </w:footnote>
  <w:footnote w:id="10">
    <w:p w:rsidR="003F0A72" w:rsidRDefault="00493550">
      <w:pPr>
        <w:pStyle w:val="FootnoteText"/>
        <w:tabs>
          <w:tab w:val="left" w:pos="284"/>
        </w:tabs>
        <w:ind w:left="284" w:hanging="284"/>
        <w:jc w:val="both"/>
      </w:pPr>
      <w:r>
        <w:rPr>
          <w:rStyle w:val="FootnoteReference"/>
          <w:rFonts w:ascii="Times New Roman" w:hAnsi="Times New Roman"/>
        </w:rPr>
        <w:footnoteRef/>
      </w:r>
      <w:r>
        <w:t xml:space="preserve"> </w:t>
      </w:r>
      <w:r>
        <w:tab/>
      </w:r>
      <w:r>
        <w:rPr>
          <w:rFonts w:ascii="Times New Roman" w:hAnsi="Times New Roman"/>
        </w:rPr>
        <w:t xml:space="preserve">Comme indiqué ci-dessus, cet avis motivé du </w:t>
      </w:r>
      <w:r>
        <w:rPr>
          <w:rFonts w:ascii="Times New Roman" w:hAnsi="Times New Roman"/>
          <w:i/>
        </w:rPr>
        <w:t>Dáil Éireann</w:t>
      </w:r>
      <w:r>
        <w:rPr>
          <w:rFonts w:ascii="Times New Roman" w:hAnsi="Times New Roman"/>
        </w:rPr>
        <w:t xml:space="preserve"> irlandais concernait à la fois les documents COM(2016) 683 et COM(2016) 685.</w:t>
      </w:r>
    </w:p>
  </w:footnote>
  <w:footnote w:id="11">
    <w:p w:rsidR="003F0A72" w:rsidRDefault="00493550">
      <w:pPr>
        <w:pStyle w:val="FootnoteText"/>
        <w:tabs>
          <w:tab w:val="left" w:pos="284"/>
        </w:tabs>
        <w:ind w:left="284" w:hanging="284"/>
        <w:jc w:val="both"/>
      </w:pPr>
      <w:r>
        <w:rPr>
          <w:rStyle w:val="FootnoteReference"/>
          <w:rFonts w:ascii="Times New Roman" w:hAnsi="Times New Roman"/>
        </w:rPr>
        <w:footnoteRef/>
      </w:r>
      <w:r>
        <w:t xml:space="preserve"> </w:t>
      </w:r>
      <w:r>
        <w:tab/>
      </w:r>
      <w:r>
        <w:rPr>
          <w:rFonts w:ascii="Times New Roman" w:hAnsi="Times New Roman"/>
        </w:rPr>
        <w:t xml:space="preserve">Comme indiqué ci-dessus, cet avis motivé du </w:t>
      </w:r>
      <w:r>
        <w:rPr>
          <w:rFonts w:ascii="Times New Roman" w:hAnsi="Times New Roman"/>
          <w:i/>
        </w:rPr>
        <w:t>Seanad Éireann</w:t>
      </w:r>
      <w:r>
        <w:rPr>
          <w:rFonts w:ascii="Times New Roman" w:hAnsi="Times New Roman"/>
        </w:rPr>
        <w:t xml:space="preserve"> irlandais concernait à la fois les docum</w:t>
      </w:r>
      <w:r>
        <w:rPr>
          <w:rFonts w:ascii="Times New Roman" w:hAnsi="Times New Roman"/>
        </w:rPr>
        <w:t>ents COM(2016) 683 et COM(2016) 685.</w:t>
      </w:r>
    </w:p>
  </w:footnote>
  <w:footnote w:id="12">
    <w:p w:rsidR="003F0A72" w:rsidRDefault="00493550">
      <w:pPr>
        <w:pStyle w:val="FootnoteText"/>
        <w:tabs>
          <w:tab w:val="left" w:pos="284"/>
        </w:tabs>
        <w:ind w:left="284" w:hanging="284"/>
        <w:jc w:val="both"/>
      </w:pPr>
      <w:r>
        <w:rPr>
          <w:rStyle w:val="FootnoteReference"/>
          <w:rFonts w:ascii="Times New Roman" w:hAnsi="Times New Roman"/>
        </w:rPr>
        <w:footnoteRef/>
      </w:r>
      <w:r>
        <w:t xml:space="preserve"> </w:t>
      </w:r>
      <w:r>
        <w:tab/>
      </w:r>
      <w:r>
        <w:rPr>
          <w:rFonts w:ascii="Times New Roman" w:hAnsi="Times New Roman"/>
        </w:rPr>
        <w:t xml:space="preserve">Comme indiqué ci-dessus, cet avis motivé de la </w:t>
      </w:r>
      <w:r>
        <w:rPr>
          <w:rFonts w:ascii="Times New Roman" w:hAnsi="Times New Roman"/>
          <w:i/>
        </w:rPr>
        <w:t>Eerste Kamer</w:t>
      </w:r>
      <w:r>
        <w:rPr>
          <w:rFonts w:ascii="Times New Roman" w:hAnsi="Times New Roman"/>
        </w:rPr>
        <w:t xml:space="preserve"> néerlandaise concernait à la fois les documents COM(2016) 683, COM(2016) 685 et COM(2016) 687.</w:t>
      </w:r>
    </w:p>
  </w:footnote>
  <w:footnote w:id="13">
    <w:p w:rsidR="003F0A72" w:rsidRDefault="00493550">
      <w:pPr>
        <w:pStyle w:val="FootnoteText"/>
        <w:tabs>
          <w:tab w:val="left" w:pos="284"/>
        </w:tabs>
        <w:ind w:left="284" w:hanging="284"/>
        <w:jc w:val="both"/>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 xml:space="preserve">L’avis motivé du </w:t>
      </w:r>
      <w:r>
        <w:rPr>
          <w:rFonts w:ascii="Times New Roman" w:hAnsi="Times New Roman"/>
          <w:i/>
        </w:rPr>
        <w:t>Bundesrat</w:t>
      </w:r>
      <w:r>
        <w:rPr>
          <w:rFonts w:ascii="Times New Roman" w:hAnsi="Times New Roman"/>
        </w:rPr>
        <w:t xml:space="preserve"> autrichien portant sur ce docum</w:t>
      </w:r>
      <w:r>
        <w:rPr>
          <w:rFonts w:ascii="Times New Roman" w:hAnsi="Times New Roman"/>
        </w:rPr>
        <w:t>ent de la Commission concernait également le document COM(2016) 52.</w:t>
      </w:r>
    </w:p>
  </w:footnote>
  <w:footnote w:id="14">
    <w:p w:rsidR="003F0A72" w:rsidRDefault="00493550">
      <w:pPr>
        <w:pStyle w:val="FootnoteText"/>
        <w:tabs>
          <w:tab w:val="left" w:pos="284"/>
        </w:tabs>
        <w:ind w:left="284" w:hanging="284"/>
        <w:jc w:val="both"/>
      </w:pPr>
      <w:r>
        <w:rPr>
          <w:rStyle w:val="FootnoteReference"/>
          <w:rFonts w:ascii="Times New Roman" w:hAnsi="Times New Roman"/>
        </w:rPr>
        <w:footnoteRef/>
      </w:r>
      <w:r>
        <w:t xml:space="preserve"> </w:t>
      </w:r>
      <w:r>
        <w:tab/>
      </w:r>
      <w:r>
        <w:rPr>
          <w:rFonts w:ascii="Times New Roman" w:hAnsi="Times New Roman"/>
        </w:rPr>
        <w:t xml:space="preserve">Comme indiqué ci-dessus, cet avis motivé du </w:t>
      </w:r>
      <w:r>
        <w:rPr>
          <w:rFonts w:ascii="Times New Roman" w:hAnsi="Times New Roman"/>
          <w:i/>
        </w:rPr>
        <w:t>Bundesrat</w:t>
      </w:r>
      <w:r>
        <w:rPr>
          <w:rFonts w:ascii="Times New Roman" w:hAnsi="Times New Roman"/>
        </w:rPr>
        <w:t xml:space="preserve"> autrichien concernait à la fois les documents COM(2016) 52 et COM(2016) 53.</w:t>
      </w:r>
    </w:p>
  </w:footnote>
  <w:footnote w:id="15">
    <w:p w:rsidR="003F0A72" w:rsidRDefault="00493550">
      <w:pPr>
        <w:pStyle w:val="FootnoteText"/>
        <w:tabs>
          <w:tab w:val="left" w:pos="284"/>
        </w:tabs>
        <w:ind w:left="284" w:hanging="284"/>
        <w:jc w:val="both"/>
      </w:pPr>
      <w:r>
        <w:rPr>
          <w:rStyle w:val="FootnoteReference"/>
          <w:rFonts w:ascii="Times New Roman" w:hAnsi="Times New Roman"/>
        </w:rPr>
        <w:footnoteRef/>
      </w:r>
      <w:r>
        <w:t xml:space="preserve">  </w:t>
      </w:r>
      <w:r>
        <w:tab/>
      </w:r>
      <w:r>
        <w:rPr>
          <w:rFonts w:ascii="Times New Roman" w:hAnsi="Times New Roman"/>
        </w:rPr>
        <w:t xml:space="preserve">L’avis motivé de la </w:t>
      </w:r>
      <w:r>
        <w:rPr>
          <w:rFonts w:ascii="Times New Roman" w:hAnsi="Times New Roman"/>
          <w:i/>
        </w:rPr>
        <w:t>Eerste Kamer</w:t>
      </w:r>
      <w:r>
        <w:rPr>
          <w:rFonts w:ascii="Times New Roman" w:hAnsi="Times New Roman"/>
        </w:rPr>
        <w:t xml:space="preserve"> néerlandaise conce</w:t>
      </w:r>
      <w:r>
        <w:rPr>
          <w:rFonts w:ascii="Times New Roman" w:hAnsi="Times New Roman"/>
        </w:rPr>
        <w:t>rnait également les documents COM(2016) 683 et COM(2016) 685.</w:t>
      </w:r>
    </w:p>
  </w:footnote>
  <w:footnote w:id="16">
    <w:p w:rsidR="003F0A72" w:rsidRDefault="00493550">
      <w:pPr>
        <w:pStyle w:val="FootnoteText"/>
        <w:tabs>
          <w:tab w:val="left" w:pos="284"/>
        </w:tabs>
        <w:ind w:left="284" w:hanging="284"/>
        <w:jc w:val="both"/>
      </w:pPr>
      <w:r>
        <w:rPr>
          <w:rStyle w:val="FootnoteReference"/>
          <w:rFonts w:ascii="Times New Roman" w:hAnsi="Times New Roman"/>
        </w:rPr>
        <w:footnoteRef/>
      </w:r>
      <w:r>
        <w:t xml:space="preserve"> </w:t>
      </w:r>
      <w:r>
        <w:tab/>
      </w:r>
      <w:r>
        <w:rPr>
          <w:rFonts w:ascii="Times New Roman" w:hAnsi="Times New Roman"/>
        </w:rPr>
        <w:t xml:space="preserve">Comme indiqué ci-dessus, cet avis motivé de la </w:t>
      </w:r>
      <w:r>
        <w:rPr>
          <w:rFonts w:ascii="Times New Roman" w:hAnsi="Times New Roman"/>
          <w:i/>
        </w:rPr>
        <w:t>Eerste Kamer</w:t>
      </w:r>
      <w:r>
        <w:rPr>
          <w:rFonts w:ascii="Times New Roman" w:hAnsi="Times New Roman"/>
        </w:rPr>
        <w:t xml:space="preserve"> néerlandaise concernait à la fois les documents COM(2016) 683, COM(2016) 685 et COM(2016) 687.</w:t>
      </w:r>
    </w:p>
  </w:footnote>
  <w:footnote w:id="17">
    <w:p w:rsidR="003F0A72" w:rsidRDefault="00493550">
      <w:pPr>
        <w:pStyle w:val="FootnoteText"/>
        <w:tabs>
          <w:tab w:val="left" w:pos="284"/>
        </w:tabs>
        <w:ind w:left="284" w:hanging="284"/>
        <w:jc w:val="both"/>
      </w:pPr>
      <w:r>
        <w:rPr>
          <w:rStyle w:val="FootnoteReference"/>
          <w:rFonts w:ascii="Times New Roman" w:hAnsi="Times New Roman"/>
        </w:rPr>
        <w:footnoteRef/>
      </w:r>
      <w:r>
        <w:t xml:space="preserve"> </w:t>
      </w:r>
      <w:r>
        <w:rPr>
          <w:rFonts w:ascii="Times New Roman" w:hAnsi="Times New Roman"/>
        </w:rPr>
        <w:t xml:space="preserve">L’avis motivé du </w:t>
      </w:r>
      <w:r>
        <w:rPr>
          <w:rFonts w:ascii="Times New Roman" w:hAnsi="Times New Roman"/>
          <w:i/>
        </w:rPr>
        <w:t>Sénat</w:t>
      </w:r>
      <w:r>
        <w:rPr>
          <w:rFonts w:ascii="Times New Roman" w:hAnsi="Times New Roman"/>
        </w:rPr>
        <w:t xml:space="preserve"> français po</w:t>
      </w:r>
      <w:r>
        <w:rPr>
          <w:rFonts w:ascii="Times New Roman" w:hAnsi="Times New Roman"/>
        </w:rPr>
        <w:t>rtant sur ce document de la Commission concernait également les documents COM(2015) 594 et COM(2015) 596.</w:t>
      </w:r>
    </w:p>
  </w:footnote>
  <w:footnote w:id="18">
    <w:p w:rsidR="003F0A72" w:rsidRDefault="00493550">
      <w:pPr>
        <w:pStyle w:val="FootnoteText"/>
        <w:tabs>
          <w:tab w:val="left" w:pos="284"/>
        </w:tabs>
        <w:ind w:left="284" w:hanging="284"/>
        <w:jc w:val="both"/>
      </w:pPr>
      <w:r>
        <w:rPr>
          <w:rStyle w:val="FootnoteReference"/>
          <w:rFonts w:ascii="Times New Roman" w:hAnsi="Times New Roman"/>
        </w:rPr>
        <w:footnoteRef/>
      </w:r>
      <w:r>
        <w:t xml:space="preserve"> </w:t>
      </w:r>
      <w:r>
        <w:tab/>
      </w:r>
      <w:r>
        <w:rPr>
          <w:rFonts w:ascii="Times New Roman" w:hAnsi="Times New Roman"/>
        </w:rPr>
        <w:t xml:space="preserve">Comme indiqué ci-dessus, cet avis motivé du </w:t>
      </w:r>
      <w:r>
        <w:rPr>
          <w:rFonts w:ascii="Times New Roman" w:hAnsi="Times New Roman"/>
          <w:i/>
        </w:rPr>
        <w:t xml:space="preserve">Sénat </w:t>
      </w:r>
      <w:r>
        <w:rPr>
          <w:rFonts w:ascii="Times New Roman" w:hAnsi="Times New Roman"/>
        </w:rPr>
        <w:t>français concernait à la fois les documents COM(2015) 594, COM(2015) 595 et COM(2015) 596.</w:t>
      </w:r>
    </w:p>
  </w:footnote>
  <w:footnote w:id="19">
    <w:p w:rsidR="003F0A72" w:rsidRDefault="00493550">
      <w:pPr>
        <w:pStyle w:val="FootnoteText"/>
        <w:tabs>
          <w:tab w:val="left" w:pos="284"/>
        </w:tabs>
        <w:ind w:left="284" w:hanging="284"/>
        <w:jc w:val="both"/>
      </w:pPr>
      <w:r>
        <w:rPr>
          <w:rStyle w:val="FootnoteReference"/>
          <w:rFonts w:ascii="Times New Roman" w:hAnsi="Times New Roman"/>
        </w:rPr>
        <w:footnoteRef/>
      </w:r>
      <w:r>
        <w:t xml:space="preserve"> </w:t>
      </w:r>
      <w:r>
        <w:rPr>
          <w:rFonts w:ascii="Times New Roman" w:hAnsi="Times New Roman"/>
        </w:rPr>
        <w:t xml:space="preserve">L’avis motivé du </w:t>
      </w:r>
      <w:r>
        <w:rPr>
          <w:rFonts w:ascii="Times New Roman" w:hAnsi="Times New Roman"/>
          <w:i/>
        </w:rPr>
        <w:t>Sénat</w:t>
      </w:r>
      <w:r>
        <w:rPr>
          <w:rFonts w:ascii="Times New Roman" w:hAnsi="Times New Roman"/>
        </w:rPr>
        <w:t xml:space="preserve"> français portant sur ce document de la Commission concernait également les documents COM(2015) 595 et COM(2015) 596.</w:t>
      </w:r>
    </w:p>
  </w:footnote>
  <w:footnote w:id="20">
    <w:p w:rsidR="003F0A72" w:rsidRDefault="00493550">
      <w:pPr>
        <w:pStyle w:val="FootnoteText"/>
        <w:tabs>
          <w:tab w:val="left" w:pos="284"/>
        </w:tabs>
        <w:ind w:left="284" w:hanging="284"/>
        <w:jc w:val="both"/>
      </w:pPr>
      <w:r>
        <w:rPr>
          <w:rStyle w:val="FootnoteReference"/>
          <w:rFonts w:ascii="Times New Roman" w:hAnsi="Times New Roman"/>
        </w:rPr>
        <w:footnoteRef/>
      </w:r>
      <w:r>
        <w:t xml:space="preserve"> </w:t>
      </w:r>
      <w:r>
        <w:tab/>
      </w:r>
      <w:r>
        <w:rPr>
          <w:rFonts w:ascii="Times New Roman" w:hAnsi="Times New Roman"/>
        </w:rPr>
        <w:t xml:space="preserve">Comme indiqué ci-dessus, cet avis motivé du </w:t>
      </w:r>
      <w:r>
        <w:rPr>
          <w:rFonts w:ascii="Times New Roman" w:hAnsi="Times New Roman"/>
          <w:i/>
        </w:rPr>
        <w:t xml:space="preserve">Sénat </w:t>
      </w:r>
      <w:r>
        <w:rPr>
          <w:rFonts w:ascii="Times New Roman" w:hAnsi="Times New Roman"/>
        </w:rPr>
        <w:t xml:space="preserve">français concernait à la fois les documents COM(2015) 594, </w:t>
      </w:r>
      <w:r>
        <w:rPr>
          <w:rFonts w:ascii="Times New Roman" w:hAnsi="Times New Roman"/>
        </w:rPr>
        <w:t>COM(2015) 595 et COM(2015) 596.</w:t>
      </w:r>
    </w:p>
  </w:footnote>
  <w:footnote w:id="21">
    <w:p w:rsidR="003F0A72" w:rsidRDefault="00493550">
      <w:pPr>
        <w:pStyle w:val="FootnoteText"/>
        <w:tabs>
          <w:tab w:val="left" w:pos="284"/>
        </w:tabs>
        <w:ind w:left="284" w:hanging="284"/>
        <w:jc w:val="both"/>
      </w:pPr>
      <w:r>
        <w:rPr>
          <w:rStyle w:val="FootnoteReference"/>
          <w:rFonts w:ascii="Times New Roman" w:hAnsi="Times New Roman"/>
        </w:rPr>
        <w:footnoteRef/>
      </w:r>
      <w:r>
        <w:t xml:space="preserve"> </w:t>
      </w:r>
      <w:r>
        <w:rPr>
          <w:rFonts w:ascii="Times New Roman" w:hAnsi="Times New Roman"/>
        </w:rPr>
        <w:t xml:space="preserve">L’avis motivé du </w:t>
      </w:r>
      <w:r>
        <w:rPr>
          <w:rFonts w:ascii="Times New Roman" w:hAnsi="Times New Roman"/>
          <w:i/>
        </w:rPr>
        <w:t>Sénat</w:t>
      </w:r>
      <w:r>
        <w:rPr>
          <w:rFonts w:ascii="Times New Roman" w:hAnsi="Times New Roman"/>
        </w:rPr>
        <w:t xml:space="preserve"> français portant sur ce document de la Commission concernait également les documents COM(2015) 594 et COM(2015) 595.</w:t>
      </w:r>
    </w:p>
  </w:footnote>
  <w:footnote w:id="22">
    <w:p w:rsidR="003F0A72" w:rsidRDefault="00493550">
      <w:pPr>
        <w:pStyle w:val="FootnoteText"/>
        <w:tabs>
          <w:tab w:val="left" w:pos="284"/>
        </w:tabs>
        <w:ind w:left="284" w:hanging="284"/>
        <w:jc w:val="both"/>
      </w:pPr>
      <w:r>
        <w:rPr>
          <w:rStyle w:val="FootnoteReference"/>
          <w:rFonts w:ascii="Times New Roman" w:hAnsi="Times New Roman"/>
        </w:rPr>
        <w:footnoteRef/>
      </w:r>
      <w:r>
        <w:t xml:space="preserve"> </w:t>
      </w:r>
      <w:r>
        <w:tab/>
      </w:r>
      <w:r>
        <w:rPr>
          <w:rFonts w:ascii="Times New Roman" w:hAnsi="Times New Roman"/>
        </w:rPr>
        <w:t xml:space="preserve">Comme indiqué ci-dessus, cet avis motivé du </w:t>
      </w:r>
      <w:r>
        <w:rPr>
          <w:rFonts w:ascii="Times New Roman" w:hAnsi="Times New Roman"/>
          <w:i/>
        </w:rPr>
        <w:t xml:space="preserve">Sénat </w:t>
      </w:r>
      <w:r>
        <w:rPr>
          <w:rFonts w:ascii="Times New Roman" w:hAnsi="Times New Roman"/>
        </w:rPr>
        <w:t>français concernait à la fois</w:t>
      </w:r>
      <w:r>
        <w:rPr>
          <w:rFonts w:ascii="Times New Roman" w:hAnsi="Times New Roman"/>
        </w:rPr>
        <w:t xml:space="preserve"> les documents COM(2015) 594, COM(2015) 595 et COM(2015) 596.</w:t>
      </w:r>
    </w:p>
  </w:footnote>
  <w:footnote w:id="23">
    <w:p w:rsidR="003F0A72" w:rsidRDefault="00493550">
      <w:pPr>
        <w:pStyle w:val="FootnoteText"/>
        <w:tabs>
          <w:tab w:val="left" w:pos="284"/>
        </w:tabs>
        <w:ind w:left="284" w:hanging="284"/>
        <w:jc w:val="both"/>
      </w:pPr>
      <w:r>
        <w:rPr>
          <w:rStyle w:val="FootnoteReference"/>
          <w:rFonts w:ascii="Times New Roman" w:hAnsi="Times New Roman"/>
        </w:rPr>
        <w:footnoteRef/>
      </w:r>
      <w:r>
        <w:t xml:space="preserve"> </w:t>
      </w:r>
      <w:r>
        <w:rPr>
          <w:rFonts w:ascii="Times New Roman" w:hAnsi="Times New Roman"/>
        </w:rPr>
        <w:t xml:space="preserve">L’avis motivé du </w:t>
      </w:r>
      <w:r>
        <w:rPr>
          <w:rFonts w:ascii="Times New Roman" w:hAnsi="Times New Roman"/>
          <w:i/>
        </w:rPr>
        <w:t>Sénat</w:t>
      </w:r>
      <w:r>
        <w:rPr>
          <w:rFonts w:ascii="Times New Roman" w:hAnsi="Times New Roman"/>
        </w:rPr>
        <w:t xml:space="preserve"> français portant sur ce document de la Commission concernait également le document COM(2015) 635.</w:t>
      </w:r>
    </w:p>
  </w:footnote>
  <w:footnote w:id="24">
    <w:p w:rsidR="003F0A72" w:rsidRDefault="00493550">
      <w:pPr>
        <w:pStyle w:val="FootnoteText"/>
        <w:tabs>
          <w:tab w:val="left" w:pos="284"/>
        </w:tabs>
        <w:ind w:left="284" w:hanging="284"/>
        <w:jc w:val="both"/>
      </w:pPr>
      <w:r>
        <w:rPr>
          <w:rStyle w:val="FootnoteReference"/>
          <w:rFonts w:ascii="Times New Roman" w:hAnsi="Times New Roman"/>
        </w:rPr>
        <w:footnoteRef/>
      </w:r>
      <w:r>
        <w:t xml:space="preserve"> </w:t>
      </w:r>
      <w:r>
        <w:rPr>
          <w:rFonts w:ascii="Times New Roman" w:hAnsi="Times New Roman"/>
        </w:rPr>
        <w:t xml:space="preserve">Comme indiqué ci-dessus, cet avis motivé du </w:t>
      </w:r>
      <w:r>
        <w:rPr>
          <w:rFonts w:ascii="Times New Roman" w:hAnsi="Times New Roman"/>
          <w:i/>
        </w:rPr>
        <w:t>Sénat</w:t>
      </w:r>
      <w:r>
        <w:rPr>
          <w:rFonts w:ascii="Times New Roman" w:hAnsi="Times New Roman"/>
        </w:rPr>
        <w:t xml:space="preserve"> français concernait</w:t>
      </w:r>
      <w:r>
        <w:rPr>
          <w:rFonts w:ascii="Times New Roman" w:hAnsi="Times New Roman"/>
        </w:rPr>
        <w:t xml:space="preserve"> à la fois les documents COM(2015) 634 et COM(2015) 635.</w:t>
      </w:r>
    </w:p>
  </w:footnote>
  <w:footnote w:id="25">
    <w:p w:rsidR="003F0A72" w:rsidRDefault="00493550">
      <w:pPr>
        <w:pStyle w:val="FootnoteText"/>
        <w:tabs>
          <w:tab w:val="left" w:pos="284"/>
        </w:tabs>
        <w:ind w:left="284" w:hanging="284"/>
        <w:jc w:val="both"/>
      </w:pPr>
      <w:r>
        <w:rPr>
          <w:rStyle w:val="FootnoteReference"/>
          <w:rFonts w:ascii="Times New Roman" w:hAnsi="Times New Roman"/>
        </w:rPr>
        <w:footnoteRef/>
      </w:r>
      <w:r>
        <w:t xml:space="preserve"> </w:t>
      </w:r>
      <w:r>
        <w:rPr>
          <w:rFonts w:ascii="Times New Roman" w:hAnsi="Times New Roman"/>
        </w:rPr>
        <w:t xml:space="preserve">L’avis motivé du </w:t>
      </w:r>
      <w:r>
        <w:rPr>
          <w:rFonts w:ascii="Times New Roman" w:hAnsi="Times New Roman"/>
          <w:i/>
        </w:rPr>
        <w:t>Sénat</w:t>
      </w:r>
      <w:r>
        <w:rPr>
          <w:rFonts w:ascii="Times New Roman" w:hAnsi="Times New Roman"/>
        </w:rPr>
        <w:t xml:space="preserve"> français portant sur ce document de la Commission concernait également le document COM(2015) 634.</w:t>
      </w:r>
    </w:p>
  </w:footnote>
  <w:footnote w:id="26">
    <w:p w:rsidR="003F0A72" w:rsidRDefault="00493550">
      <w:pPr>
        <w:pStyle w:val="FootnoteText"/>
        <w:tabs>
          <w:tab w:val="left" w:pos="284"/>
        </w:tabs>
        <w:ind w:left="284" w:hanging="284"/>
        <w:jc w:val="both"/>
      </w:pPr>
      <w:r>
        <w:rPr>
          <w:rStyle w:val="FootnoteReference"/>
          <w:rFonts w:ascii="Times New Roman" w:hAnsi="Times New Roman"/>
        </w:rPr>
        <w:footnoteRef/>
      </w:r>
      <w:r>
        <w:t xml:space="preserve"> </w:t>
      </w:r>
      <w:r>
        <w:rPr>
          <w:rFonts w:ascii="Times New Roman" w:hAnsi="Times New Roman"/>
        </w:rPr>
        <w:t>Comme indiqué ci-dessus, cet avis motivé du Sénat français concernait à la</w:t>
      </w:r>
      <w:r>
        <w:rPr>
          <w:rFonts w:ascii="Times New Roman" w:hAnsi="Times New Roman"/>
        </w:rPr>
        <w:t xml:space="preserve"> fois les documents COM(2015) 634 et COM(2015) 635.</w:t>
      </w:r>
    </w:p>
  </w:footnote>
  <w:footnote w:id="27">
    <w:p w:rsidR="003F0A72" w:rsidRDefault="00493550">
      <w:pPr>
        <w:pStyle w:val="FootnoteText"/>
        <w:tabs>
          <w:tab w:val="left" w:pos="284"/>
        </w:tabs>
        <w:ind w:left="284" w:hanging="284"/>
        <w:jc w:val="both"/>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 xml:space="preserve">L’avis motivé du </w:t>
      </w:r>
      <w:r>
        <w:rPr>
          <w:rFonts w:ascii="Times New Roman" w:hAnsi="Times New Roman"/>
          <w:i/>
        </w:rPr>
        <w:t>Bundesrat</w:t>
      </w:r>
      <w:r>
        <w:rPr>
          <w:rFonts w:ascii="Times New Roman" w:hAnsi="Times New Roman"/>
        </w:rPr>
        <w:t xml:space="preserve"> autrichien portant sur ce document de la Commission concernait également le document COM(2016) 53.</w:t>
      </w:r>
    </w:p>
  </w:footnote>
  <w:footnote w:id="28">
    <w:p w:rsidR="003F0A72" w:rsidRDefault="00493550">
      <w:pPr>
        <w:pStyle w:val="FootnoteText"/>
        <w:tabs>
          <w:tab w:val="left" w:pos="284"/>
        </w:tabs>
        <w:ind w:left="284" w:hanging="284"/>
        <w:jc w:val="both"/>
      </w:pPr>
      <w:r>
        <w:rPr>
          <w:rStyle w:val="FootnoteReference"/>
          <w:rFonts w:ascii="Times New Roman" w:hAnsi="Times New Roman"/>
        </w:rPr>
        <w:footnoteRef/>
      </w:r>
      <w:r>
        <w:t xml:space="preserve"> </w:t>
      </w:r>
      <w:r>
        <w:tab/>
      </w:r>
      <w:r>
        <w:rPr>
          <w:rFonts w:ascii="Times New Roman" w:hAnsi="Times New Roman"/>
        </w:rPr>
        <w:t xml:space="preserve">Comme indiqué ci-dessus, cet avis motivé du </w:t>
      </w:r>
      <w:r>
        <w:rPr>
          <w:rFonts w:ascii="Times New Roman" w:hAnsi="Times New Roman"/>
          <w:i/>
        </w:rPr>
        <w:t>Bundesrat</w:t>
      </w:r>
      <w:r>
        <w:rPr>
          <w:rFonts w:ascii="Times New Roman" w:hAnsi="Times New Roman"/>
        </w:rPr>
        <w:t xml:space="preserve"> autrichien concern</w:t>
      </w:r>
      <w:r>
        <w:rPr>
          <w:rFonts w:ascii="Times New Roman" w:hAnsi="Times New Roman"/>
        </w:rPr>
        <w:t>ait à la fois les documents COM(2016) 52 et COM(2016) 53.</w:t>
      </w:r>
    </w:p>
  </w:footnote>
  <w:footnote w:id="29">
    <w:p w:rsidR="003F0A72" w:rsidRDefault="00493550">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t xml:space="preserve"> </w:t>
      </w:r>
      <w:r>
        <w:tab/>
      </w:r>
      <w:r>
        <w:rPr>
          <w:rFonts w:ascii="Times New Roman" w:hAnsi="Times New Roman"/>
        </w:rPr>
        <w:t xml:space="preserve">Ce nombre contient les avis motivés concernant plus d’un document de la Commission: </w:t>
      </w:r>
      <w:r>
        <w:rPr>
          <w:rFonts w:asciiTheme="majorBidi" w:hAnsiTheme="majorBidi" w:cstheme="majorBidi"/>
        </w:rPr>
        <w:t xml:space="preserve">un </w:t>
      </w:r>
      <w:r>
        <w:rPr>
          <w:rFonts w:ascii="Times New Roman" w:hAnsi="Times New Roman"/>
        </w:rPr>
        <w:t>avis motivé</w:t>
      </w:r>
      <w:r>
        <w:rPr>
          <w:rFonts w:asciiTheme="majorBidi" w:hAnsiTheme="majorBidi" w:cstheme="majorBidi"/>
        </w:rPr>
        <w:t xml:space="preserve"> du </w:t>
      </w:r>
      <w:r>
        <w:rPr>
          <w:rFonts w:asciiTheme="majorBidi" w:hAnsiTheme="majorBidi" w:cstheme="majorBidi"/>
          <w:i/>
        </w:rPr>
        <w:t>Sénat</w:t>
      </w:r>
      <w:r>
        <w:rPr>
          <w:rFonts w:asciiTheme="majorBidi" w:hAnsiTheme="majorBidi" w:cstheme="majorBidi"/>
        </w:rPr>
        <w:t xml:space="preserve"> français concernant à la fois les documents COM(2015) 594, </w:t>
      </w:r>
      <w:r>
        <w:rPr>
          <w:rFonts w:ascii="Times New Roman" w:hAnsi="Times New Roman"/>
        </w:rPr>
        <w:t>COM(2015) 595 et COM(2015) 5</w:t>
      </w:r>
      <w:r>
        <w:rPr>
          <w:rFonts w:ascii="Times New Roman" w:hAnsi="Times New Roman"/>
        </w:rPr>
        <w:t xml:space="preserve">96; un avis motivé du </w:t>
      </w:r>
      <w:r>
        <w:rPr>
          <w:rFonts w:ascii="Times New Roman" w:hAnsi="Times New Roman"/>
          <w:i/>
        </w:rPr>
        <w:t>Sénat</w:t>
      </w:r>
      <w:r>
        <w:rPr>
          <w:rFonts w:ascii="Times New Roman" w:hAnsi="Times New Roman"/>
        </w:rPr>
        <w:t xml:space="preserve"> français concernant à la fois les documents COM(2015) 634 et COM(2015) 635; un avis motivé du </w:t>
      </w:r>
      <w:r>
        <w:rPr>
          <w:rFonts w:ascii="Times New Roman" w:hAnsi="Times New Roman"/>
          <w:i/>
        </w:rPr>
        <w:t>Bundesrat</w:t>
      </w:r>
      <w:r>
        <w:rPr>
          <w:rFonts w:ascii="Times New Roman" w:hAnsi="Times New Roman"/>
        </w:rPr>
        <w:t xml:space="preserve"> autrichien concernant à la fois les documents COM(2016) 52 et COM(2016) 53; un avis motivé de la </w:t>
      </w:r>
      <w:r>
        <w:rPr>
          <w:rFonts w:ascii="Times New Roman" w:hAnsi="Times New Roman"/>
          <w:i/>
        </w:rPr>
        <w:t>Eerste</w:t>
      </w:r>
      <w:r>
        <w:rPr>
          <w:rFonts w:ascii="Times New Roman" w:hAnsi="Times New Roman"/>
        </w:rPr>
        <w:t xml:space="preserve"> </w:t>
      </w:r>
      <w:r>
        <w:rPr>
          <w:rFonts w:ascii="Times New Roman" w:hAnsi="Times New Roman"/>
          <w:i/>
        </w:rPr>
        <w:t>Kamer</w:t>
      </w:r>
      <w:r>
        <w:rPr>
          <w:rFonts w:ascii="Times New Roman" w:hAnsi="Times New Roman"/>
        </w:rPr>
        <w:t xml:space="preserve"> néerlandaise c</w:t>
      </w:r>
      <w:r>
        <w:rPr>
          <w:rFonts w:ascii="Times New Roman" w:hAnsi="Times New Roman"/>
        </w:rPr>
        <w:t xml:space="preserve">oncernant à la fois les documents COM(2016) 683, COM(2016) 685 et COM(2016) 687; un avis motivé du </w:t>
      </w:r>
      <w:r>
        <w:rPr>
          <w:rFonts w:ascii="Times New Roman" w:hAnsi="Times New Roman"/>
          <w:i/>
        </w:rPr>
        <w:t>Folketing</w:t>
      </w:r>
      <w:r>
        <w:rPr>
          <w:rFonts w:ascii="Times New Roman" w:hAnsi="Times New Roman"/>
        </w:rPr>
        <w:t xml:space="preserve"> danois concernant à la fois les documents COM(2016) 683 et COM(2016) 685; un avis motivé du </w:t>
      </w:r>
      <w:r>
        <w:rPr>
          <w:rFonts w:ascii="Times New Roman" w:hAnsi="Times New Roman"/>
          <w:i/>
        </w:rPr>
        <w:t>Dáil Éireann</w:t>
      </w:r>
      <w:r>
        <w:rPr>
          <w:rFonts w:ascii="Times New Roman" w:hAnsi="Times New Roman"/>
        </w:rPr>
        <w:t xml:space="preserve"> irlandais concernant à la fois les documen</w:t>
      </w:r>
      <w:r>
        <w:rPr>
          <w:rFonts w:ascii="Times New Roman" w:hAnsi="Times New Roman"/>
        </w:rPr>
        <w:t xml:space="preserve">ts COM(2016) 683 et COM(2016) 685 et un avis motivé du </w:t>
      </w:r>
      <w:r>
        <w:rPr>
          <w:rFonts w:ascii="Times New Roman" w:hAnsi="Times New Roman"/>
          <w:i/>
        </w:rPr>
        <w:t>Seanad Éireann</w:t>
      </w:r>
      <w:r>
        <w:rPr>
          <w:rFonts w:ascii="Times New Roman" w:hAnsi="Times New Roman"/>
        </w:rPr>
        <w:t xml:space="preserve"> irlandais concernant à la fois les documents COM(2016) 683 et COM(2016) 685.</w:t>
      </w:r>
    </w:p>
  </w:footnote>
  <w:footnote w:id="30">
    <w:p w:rsidR="003F0A72" w:rsidRDefault="00493550">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Pour calculer le nombre total d’avis motivés, la Commission compte le nombre d’avis motivés reçus. Les avis motivés concernant plus d’un document de la Commission comptent, par conséquent, pour un seul avis motivé.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99E" w:rsidRDefault="004869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99E" w:rsidRDefault="004869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99E" w:rsidRDefault="0048699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A72" w:rsidRDefault="003F0A7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A72" w:rsidRDefault="003F0A7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A72" w:rsidRDefault="003F0A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u"/>
    <w:docVar w:name="LW_ANNEX_NBR_FIRST" w:val="1"/>
    <w:docVar w:name="LW_ANNEX_NBR_LAST" w:val="1"/>
    <w:docVar w:name="LW_CONFIDENCE" w:val=" "/>
    <w:docVar w:name="LW_CONST_RESTREINT_UE" w:val="RESTREINT UE"/>
    <w:docVar w:name="LW_CORRIGENDUM" w:val="&lt;UNUSED&gt;"/>
    <w:docVar w:name="LW_COVERPAGE_GUID" w:val="F1CB4EAD3CB9425FBF5DCDEFF056DE72"/>
    <w:docVar w:name="LW_CROSSREFERENCE" w:val="&lt;UNUSED&gt;"/>
    <w:docVar w:name="LW_DocType" w:val="NORMAL"/>
    <w:docVar w:name="LW_EMISSION" w:val="30.6.2017"/>
    <w:docVar w:name="LW_EMISSION_ISODATE" w:val="2017-06-30"/>
    <w:docVar w:name="LW_EMISSION_LOCATION" w:val="BRX"/>
    <w:docVar w:name="LW_EMISSION_PREFIX" w:val="Bruxelles,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_x000b_RAPPORT ANNUEL 2016_x000b_SUR LA SUBSIDIARITÉ ET LA PROPORTIONNALITÉ_x000b_"/>
    <w:docVar w:name="LW_PART_NBR" w:val="1"/>
    <w:docVar w:name="LW_PART_NBR_TOTAL" w:val="1"/>
    <w:docVar w:name="LW_REF.INST.NEW" w:val="COM"/>
    <w:docVar w:name="LW_REF.INST.NEW_ADOPTED" w:val="final"/>
    <w:docVar w:name="LW_REF.INST.NEW_TEXT" w:val="(2017) 600"/>
    <w:docVar w:name="LW_REF.INTERNE" w:val="&lt;UNUSED&gt;"/>
    <w:docVar w:name="LW_SUPERTITRE" w:val="&lt;UNUSED&gt;"/>
    <w:docVar w:name="LW_TITRE.OBJ.CP" w:val="&lt;UNUSED&gt;"/>
    <w:docVar w:name="LW_TYPE.DOC.CP" w:val="ANNEXE_x000b_"/>
    <w:docVar w:name="LW_TYPEACTEPRINCIPAL.CP" w:val="RAPPORT DE LA COMMISSION"/>
  </w:docVars>
  <w:rsids>
    <w:rsidRoot w:val="003F0A72"/>
    <w:rsid w:val="003F0A72"/>
    <w:rsid w:val="0048699E"/>
    <w:rsid w:val="00493550"/>
    <w:rsid w:val="00757D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uiPriority w:val="99"/>
    <w:semiHidden/>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eastAsia="Times New Roman" w:hAnsi="Times New Roman" w:cs="Times New Roman"/>
      <w:noProof/>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eastAsia="Times New Roman" w:hAnsi="Times New Roman" w:cs="Times New Roman"/>
      <w:noProof/>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uiPriority w:val="99"/>
    <w:semiHidden/>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line="240" w:lineRule="auto"/>
      <w:ind w:left="-850" w:right="-850"/>
    </w:pPr>
    <w:rPr>
      <w:rFonts w:ascii="Times New Roman" w:eastAsia="Times New Roman" w:hAnsi="Times New Roman" w:cs="Times New Roman"/>
      <w:noProof/>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4"/>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after="120" w:line="240" w:lineRule="auto"/>
      <w:jc w:val="both"/>
    </w:pPr>
    <w:rPr>
      <w:rFonts w:ascii="Times New Roman" w:eastAsia="Times New Roman" w:hAnsi="Times New Roman" w:cs="Times New Roman"/>
      <w:noProof/>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80338">
      <w:bodyDiv w:val="1"/>
      <w:marLeft w:val="0"/>
      <w:marRight w:val="0"/>
      <w:marTop w:val="0"/>
      <w:marBottom w:val="0"/>
      <w:divBdr>
        <w:top w:val="none" w:sz="0" w:space="0" w:color="auto"/>
        <w:left w:val="none" w:sz="0" w:space="0" w:color="auto"/>
        <w:bottom w:val="none" w:sz="0" w:space="0" w:color="auto"/>
        <w:right w:val="none" w:sz="0" w:space="0" w:color="auto"/>
      </w:divBdr>
    </w:div>
    <w:div w:id="569581408">
      <w:bodyDiv w:val="1"/>
      <w:marLeft w:val="0"/>
      <w:marRight w:val="0"/>
      <w:marTop w:val="0"/>
      <w:marBottom w:val="0"/>
      <w:divBdr>
        <w:top w:val="none" w:sz="0" w:space="0" w:color="auto"/>
        <w:left w:val="none" w:sz="0" w:space="0" w:color="auto"/>
        <w:bottom w:val="none" w:sz="0" w:space="0" w:color="auto"/>
        <w:right w:val="none" w:sz="0" w:space="0" w:color="auto"/>
      </w:divBdr>
    </w:div>
    <w:div w:id="605314565">
      <w:bodyDiv w:val="1"/>
      <w:marLeft w:val="0"/>
      <w:marRight w:val="0"/>
      <w:marTop w:val="0"/>
      <w:marBottom w:val="0"/>
      <w:divBdr>
        <w:top w:val="none" w:sz="0" w:space="0" w:color="auto"/>
        <w:left w:val="none" w:sz="0" w:space="0" w:color="auto"/>
        <w:bottom w:val="none" w:sz="0" w:space="0" w:color="auto"/>
        <w:right w:val="none" w:sz="0" w:space="0" w:color="auto"/>
      </w:divBdr>
    </w:div>
    <w:div w:id="899171070">
      <w:bodyDiv w:val="1"/>
      <w:marLeft w:val="0"/>
      <w:marRight w:val="0"/>
      <w:marTop w:val="0"/>
      <w:marBottom w:val="0"/>
      <w:divBdr>
        <w:top w:val="none" w:sz="0" w:space="0" w:color="auto"/>
        <w:left w:val="none" w:sz="0" w:space="0" w:color="auto"/>
        <w:bottom w:val="none" w:sz="0" w:space="0" w:color="auto"/>
        <w:right w:val="none" w:sz="0" w:space="0" w:color="auto"/>
      </w:divBdr>
    </w:div>
    <w:div w:id="1318387899">
      <w:bodyDiv w:val="1"/>
      <w:marLeft w:val="0"/>
      <w:marRight w:val="0"/>
      <w:marTop w:val="0"/>
      <w:marBottom w:val="0"/>
      <w:divBdr>
        <w:top w:val="none" w:sz="0" w:space="0" w:color="auto"/>
        <w:left w:val="none" w:sz="0" w:space="0" w:color="auto"/>
        <w:bottom w:val="none" w:sz="0" w:space="0" w:color="auto"/>
        <w:right w:val="none" w:sz="0" w:space="0" w:color="auto"/>
      </w:divBdr>
    </w:div>
    <w:div w:id="1460762189">
      <w:bodyDiv w:val="1"/>
      <w:marLeft w:val="0"/>
      <w:marRight w:val="0"/>
      <w:marTop w:val="0"/>
      <w:marBottom w:val="0"/>
      <w:divBdr>
        <w:top w:val="none" w:sz="0" w:space="0" w:color="auto"/>
        <w:left w:val="none" w:sz="0" w:space="0" w:color="auto"/>
        <w:bottom w:val="none" w:sz="0" w:space="0" w:color="auto"/>
        <w:right w:val="none" w:sz="0" w:space="0" w:color="auto"/>
      </w:divBdr>
    </w:div>
    <w:div w:id="185264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4BE13-0589-4EA2-8F54-6F4CF9ACA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LENNERT Christoph (SG)</dc:creator>
  <cp:lastModifiedBy>LAGES CARVALHO Patrick (SG)</cp:lastModifiedBy>
  <cp:revision>15</cp:revision>
  <cp:lastPrinted>2017-06-30T07:37:00Z</cp:lastPrinted>
  <dcterms:created xsi:type="dcterms:W3CDTF">2017-06-09T13:10:00Z</dcterms:created>
  <dcterms:modified xsi:type="dcterms:W3CDTF">2017-06-30T07:41:00Z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DocStatus">
    <vt:lpwstr>Green</vt:lpwstr>
  </property>
</Properties>
</file>