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91A098F4A094289A7977CE2D32424AC" style="width:450pt;height:380.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134" w:right="1417" w:bottom="1134" w:left="1417" w:header="709" w:footer="709" w:gutter="0"/>
          <w:pgNumType w:start="2"/>
          <w:cols w:space="720"/>
          <w:docGrid w:linePitch="360"/>
        </w:sectPr>
      </w:pPr>
    </w:p>
    <w:p>
      <w:pPr>
        <w:spacing w:after="120"/>
        <w:jc w:val="center"/>
        <w:rPr>
          <w:b/>
          <w:noProof/>
          <w:u w:val="single"/>
        </w:rPr>
      </w:pPr>
      <w:bookmarkStart w:id="1" w:name="_GoBack"/>
      <w:bookmarkEnd w:id="1"/>
      <w:r>
        <w:rPr>
          <w:b/>
          <w:noProof/>
          <w:u w:val="single"/>
        </w:rPr>
        <w:lastRenderedPageBreak/>
        <w:t>Annexe 1</w:t>
      </w:r>
    </w:p>
    <w:p>
      <w:pPr>
        <w:jc w:val="center"/>
        <w:rPr>
          <w:b/>
          <w:noProof/>
        </w:rPr>
      </w:pPr>
      <w:r>
        <w:rPr>
          <w:b/>
          <w:noProof/>
        </w:rPr>
        <w:t>Nombre d’avis reçus par la Commission en 2016 par parlement national/chambre nationale (dialogue politique et mécanisme de contrôle de la subsidiarité)</w:t>
      </w:r>
    </w:p>
    <w:p>
      <w:pPr>
        <w:jc w:val="center"/>
        <w:rPr>
          <w:b/>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3251"/>
        <w:gridCol w:w="1694"/>
        <w:gridCol w:w="2434"/>
      </w:tblGrid>
      <w:tr>
        <w:trPr>
          <w:cantSplit/>
          <w:trHeight w:val="340"/>
          <w:tblHeader/>
        </w:trPr>
        <w:tc>
          <w:tcPr>
            <w:tcW w:w="1943" w:type="dxa"/>
            <w:shd w:val="clear" w:color="auto" w:fill="auto"/>
            <w:vAlign w:val="center"/>
          </w:tcPr>
          <w:p>
            <w:pPr>
              <w:spacing w:before="60" w:after="60"/>
              <w:jc w:val="center"/>
              <w:rPr>
                <w:rFonts w:eastAsia="Times New Roman" w:cs="Times New Roman"/>
                <w:b/>
                <w:bCs/>
                <w:noProof/>
                <w:color w:val="000000"/>
                <w:szCs w:val="24"/>
              </w:rPr>
            </w:pPr>
            <w:r>
              <w:rPr>
                <w:b/>
                <w:noProof/>
                <w:color w:val="000000"/>
              </w:rPr>
              <w:t>État membre</w:t>
            </w:r>
          </w:p>
        </w:tc>
        <w:tc>
          <w:tcPr>
            <w:tcW w:w="3251" w:type="dxa"/>
            <w:shd w:val="clear" w:color="auto" w:fill="auto"/>
            <w:vAlign w:val="center"/>
          </w:tcPr>
          <w:p>
            <w:pPr>
              <w:spacing w:before="60" w:after="60"/>
              <w:jc w:val="center"/>
              <w:rPr>
                <w:rFonts w:eastAsia="Times New Roman" w:cs="Times New Roman"/>
                <w:b/>
                <w:bCs/>
                <w:noProof/>
                <w:color w:val="000000"/>
                <w:szCs w:val="24"/>
              </w:rPr>
            </w:pPr>
            <w:r>
              <w:rPr>
                <w:b/>
                <w:noProof/>
                <w:color w:val="000000"/>
              </w:rPr>
              <w:t>Chambre</w:t>
            </w:r>
          </w:p>
        </w:tc>
        <w:tc>
          <w:tcPr>
            <w:tcW w:w="1694" w:type="dxa"/>
            <w:shd w:val="clear" w:color="auto" w:fill="auto"/>
            <w:vAlign w:val="center"/>
          </w:tcPr>
          <w:p>
            <w:pPr>
              <w:spacing w:before="60" w:after="60"/>
              <w:jc w:val="center"/>
              <w:rPr>
                <w:rFonts w:eastAsia="Times New Roman" w:cs="Times New Roman"/>
                <w:b/>
                <w:bCs/>
                <w:noProof/>
                <w:color w:val="000000"/>
                <w:szCs w:val="24"/>
              </w:rPr>
            </w:pPr>
            <w:r>
              <w:rPr>
                <w:b/>
                <w:noProof/>
                <w:color w:val="000000"/>
              </w:rPr>
              <w:t>Nombre total d’avis</w:t>
            </w:r>
            <w:r>
              <w:rPr>
                <w:rStyle w:val="FootnoteReference"/>
                <w:noProof/>
              </w:rPr>
              <w:footnoteReference w:id="1"/>
            </w:r>
          </w:p>
        </w:tc>
        <w:tc>
          <w:tcPr>
            <w:tcW w:w="2434" w:type="dxa"/>
            <w:shd w:val="clear" w:color="auto" w:fill="auto"/>
            <w:vAlign w:val="center"/>
          </w:tcPr>
          <w:p>
            <w:pPr>
              <w:spacing w:before="60" w:after="60"/>
              <w:jc w:val="center"/>
              <w:rPr>
                <w:rFonts w:eastAsia="Times New Roman" w:cs="Times New Roman"/>
                <w:b/>
                <w:bCs/>
                <w:noProof/>
                <w:color w:val="000000"/>
                <w:szCs w:val="24"/>
              </w:rPr>
            </w:pPr>
            <w:r>
              <w:rPr>
                <w:b/>
                <w:noProof/>
                <w:color w:val="000000"/>
              </w:rPr>
              <w:t>Dont avis motivés</w:t>
            </w:r>
          </w:p>
          <w:p>
            <w:pPr>
              <w:spacing w:before="60" w:after="60"/>
              <w:jc w:val="center"/>
              <w:rPr>
                <w:rFonts w:eastAsia="Times New Roman" w:cs="Times New Roman"/>
                <w:b/>
                <w:bCs/>
                <w:noProof/>
                <w:color w:val="000000"/>
                <w:szCs w:val="24"/>
              </w:rPr>
            </w:pPr>
            <w:r>
              <w:rPr>
                <w:b/>
                <w:noProof/>
                <w:sz w:val="22"/>
              </w:rPr>
              <w:t>(protocole nº 2)</w:t>
            </w:r>
            <w:r>
              <w:rPr>
                <w:rStyle w:val="FootnoteReference"/>
                <w:noProof/>
              </w:rPr>
              <w:footnoteReference w:id="2"/>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Italie</w:t>
            </w:r>
          </w:p>
        </w:tc>
        <w:tc>
          <w:tcPr>
            <w:tcW w:w="3251" w:type="dxa"/>
            <w:shd w:val="clear" w:color="auto" w:fill="auto"/>
            <w:vAlign w:val="center"/>
          </w:tcPr>
          <w:p>
            <w:pPr>
              <w:spacing w:before="60" w:after="60"/>
              <w:jc w:val="center"/>
              <w:rPr>
                <w:i/>
                <w:iCs/>
                <w:noProof/>
                <w:color w:val="000000"/>
                <w:szCs w:val="24"/>
              </w:rPr>
            </w:pPr>
            <w:r>
              <w:rPr>
                <w:i/>
                <w:noProof/>
                <w:color w:val="000000"/>
              </w:rPr>
              <w:t>Senato della Repubblica</w:t>
            </w:r>
          </w:p>
        </w:tc>
        <w:tc>
          <w:tcPr>
            <w:tcW w:w="1694" w:type="dxa"/>
            <w:shd w:val="clear" w:color="auto" w:fill="auto"/>
            <w:vAlign w:val="center"/>
          </w:tcPr>
          <w:p>
            <w:pPr>
              <w:spacing w:before="60" w:after="60"/>
              <w:jc w:val="center"/>
              <w:rPr>
                <w:noProof/>
                <w:color w:val="000000"/>
                <w:szCs w:val="24"/>
              </w:rPr>
            </w:pPr>
            <w:r>
              <w:rPr>
                <w:noProof/>
                <w:color w:val="000000"/>
              </w:rPr>
              <w:t>81</w:t>
            </w:r>
          </w:p>
        </w:tc>
        <w:tc>
          <w:tcPr>
            <w:tcW w:w="2434" w:type="dxa"/>
            <w:shd w:val="clear" w:color="auto" w:fill="auto"/>
            <w:vAlign w:val="center"/>
          </w:tcPr>
          <w:p>
            <w:pPr>
              <w:spacing w:before="60" w:after="60"/>
              <w:jc w:val="center"/>
              <w:rPr>
                <w:noProof/>
                <w:color w:val="000000"/>
                <w:szCs w:val="24"/>
              </w:rPr>
            </w:pPr>
            <w:r>
              <w:rPr>
                <w:noProof/>
                <w:color w:val="000000"/>
              </w:rPr>
              <w:t>3</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Roumanie</w:t>
            </w:r>
          </w:p>
        </w:tc>
        <w:tc>
          <w:tcPr>
            <w:tcW w:w="3251" w:type="dxa"/>
            <w:shd w:val="clear" w:color="auto" w:fill="auto"/>
            <w:vAlign w:val="center"/>
          </w:tcPr>
          <w:p>
            <w:pPr>
              <w:spacing w:before="60" w:after="60"/>
              <w:jc w:val="center"/>
              <w:rPr>
                <w:i/>
                <w:iCs/>
                <w:noProof/>
                <w:color w:val="000000"/>
                <w:szCs w:val="24"/>
              </w:rPr>
            </w:pPr>
            <w:r>
              <w:rPr>
                <w:i/>
                <w:noProof/>
                <w:color w:val="000000"/>
              </w:rPr>
              <w:t>Camera Deputaților</w:t>
            </w:r>
          </w:p>
        </w:tc>
        <w:tc>
          <w:tcPr>
            <w:tcW w:w="1694" w:type="dxa"/>
            <w:shd w:val="clear" w:color="auto" w:fill="auto"/>
            <w:vAlign w:val="center"/>
          </w:tcPr>
          <w:p>
            <w:pPr>
              <w:spacing w:before="60" w:after="60"/>
              <w:jc w:val="center"/>
              <w:rPr>
                <w:noProof/>
                <w:color w:val="000000"/>
                <w:szCs w:val="24"/>
              </w:rPr>
            </w:pPr>
            <w:r>
              <w:rPr>
                <w:noProof/>
                <w:color w:val="000000"/>
              </w:rPr>
              <w:t>70</w:t>
            </w:r>
          </w:p>
        </w:tc>
        <w:tc>
          <w:tcPr>
            <w:tcW w:w="2434" w:type="dxa"/>
            <w:shd w:val="clear" w:color="auto" w:fill="auto"/>
            <w:vAlign w:val="center"/>
          </w:tcPr>
          <w:p>
            <w:pPr>
              <w:spacing w:before="60" w:after="60"/>
              <w:jc w:val="center"/>
              <w:rPr>
                <w:noProof/>
                <w:color w:val="000000"/>
                <w:szCs w:val="24"/>
              </w:rPr>
            </w:pPr>
            <w:r>
              <w:rPr>
                <w:noProof/>
                <w:color w:val="000000"/>
              </w:rPr>
              <w:t>2</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Portugal</w:t>
            </w:r>
          </w:p>
        </w:tc>
        <w:tc>
          <w:tcPr>
            <w:tcW w:w="3251" w:type="dxa"/>
            <w:shd w:val="clear" w:color="auto" w:fill="auto"/>
            <w:vAlign w:val="center"/>
          </w:tcPr>
          <w:p>
            <w:pPr>
              <w:spacing w:before="60" w:after="60"/>
              <w:jc w:val="center"/>
              <w:rPr>
                <w:i/>
                <w:iCs/>
                <w:noProof/>
                <w:color w:val="000000"/>
                <w:szCs w:val="24"/>
              </w:rPr>
            </w:pPr>
            <w:r>
              <w:rPr>
                <w:i/>
                <w:noProof/>
                <w:color w:val="000000"/>
              </w:rPr>
              <w:t>Assembleia da Republica</w:t>
            </w:r>
          </w:p>
        </w:tc>
        <w:tc>
          <w:tcPr>
            <w:tcW w:w="1694" w:type="dxa"/>
            <w:shd w:val="clear" w:color="auto" w:fill="auto"/>
            <w:vAlign w:val="center"/>
          </w:tcPr>
          <w:p>
            <w:pPr>
              <w:spacing w:before="60" w:after="60"/>
              <w:jc w:val="center"/>
              <w:rPr>
                <w:noProof/>
                <w:color w:val="000000"/>
                <w:szCs w:val="24"/>
              </w:rPr>
            </w:pPr>
            <w:r>
              <w:rPr>
                <w:noProof/>
                <w:color w:val="000000"/>
              </w:rPr>
              <w:t>57</w:t>
            </w:r>
          </w:p>
        </w:tc>
        <w:tc>
          <w:tcPr>
            <w:tcW w:w="2434" w:type="dxa"/>
            <w:shd w:val="clear" w:color="auto" w:fill="auto"/>
            <w:vAlign w:val="center"/>
          </w:tcPr>
          <w:p>
            <w:pPr>
              <w:spacing w:before="60" w:after="60"/>
              <w:jc w:val="center"/>
              <w:rPr>
                <w:noProof/>
                <w:color w:val="000000"/>
                <w:szCs w:val="24"/>
              </w:rPr>
            </w:pPr>
            <w:r>
              <w:rPr>
                <w:noProof/>
                <w:color w:val="000000"/>
              </w:rPr>
              <w:t>1</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Allemagne</w:t>
            </w:r>
          </w:p>
        </w:tc>
        <w:tc>
          <w:tcPr>
            <w:tcW w:w="3251" w:type="dxa"/>
            <w:shd w:val="clear" w:color="auto" w:fill="auto"/>
            <w:vAlign w:val="center"/>
          </w:tcPr>
          <w:p>
            <w:pPr>
              <w:spacing w:before="60" w:after="60"/>
              <w:jc w:val="center"/>
              <w:rPr>
                <w:i/>
                <w:iCs/>
                <w:noProof/>
                <w:color w:val="000000"/>
                <w:szCs w:val="24"/>
              </w:rPr>
            </w:pPr>
            <w:r>
              <w:rPr>
                <w:i/>
                <w:noProof/>
                <w:color w:val="000000"/>
              </w:rPr>
              <w:t>Bundesrat</w:t>
            </w:r>
          </w:p>
        </w:tc>
        <w:tc>
          <w:tcPr>
            <w:tcW w:w="1694" w:type="dxa"/>
            <w:shd w:val="clear" w:color="auto" w:fill="auto"/>
            <w:vAlign w:val="center"/>
          </w:tcPr>
          <w:p>
            <w:pPr>
              <w:spacing w:before="60" w:after="60"/>
              <w:jc w:val="center"/>
              <w:rPr>
                <w:noProof/>
                <w:color w:val="000000"/>
                <w:szCs w:val="24"/>
              </w:rPr>
            </w:pPr>
            <w:r>
              <w:rPr>
                <w:noProof/>
                <w:color w:val="000000"/>
              </w:rPr>
              <w:t>47</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République tchèque</w:t>
            </w:r>
          </w:p>
        </w:tc>
        <w:tc>
          <w:tcPr>
            <w:tcW w:w="3251" w:type="dxa"/>
            <w:shd w:val="clear" w:color="auto" w:fill="auto"/>
            <w:vAlign w:val="center"/>
          </w:tcPr>
          <w:p>
            <w:pPr>
              <w:spacing w:before="60" w:after="60"/>
              <w:jc w:val="center"/>
              <w:rPr>
                <w:i/>
                <w:iCs/>
                <w:noProof/>
                <w:color w:val="000000"/>
                <w:szCs w:val="24"/>
              </w:rPr>
            </w:pPr>
            <w:r>
              <w:rPr>
                <w:i/>
                <w:noProof/>
                <w:color w:val="000000"/>
              </w:rPr>
              <w:t>Senát</w:t>
            </w:r>
          </w:p>
        </w:tc>
        <w:tc>
          <w:tcPr>
            <w:tcW w:w="1694" w:type="dxa"/>
            <w:shd w:val="clear" w:color="auto" w:fill="auto"/>
            <w:vAlign w:val="center"/>
          </w:tcPr>
          <w:p>
            <w:pPr>
              <w:spacing w:before="60" w:after="60"/>
              <w:jc w:val="center"/>
              <w:rPr>
                <w:noProof/>
                <w:color w:val="000000"/>
                <w:szCs w:val="24"/>
              </w:rPr>
            </w:pPr>
            <w:r>
              <w:rPr>
                <w:noProof/>
                <w:color w:val="000000"/>
              </w:rPr>
              <w:t>46</w:t>
            </w:r>
          </w:p>
        </w:tc>
        <w:tc>
          <w:tcPr>
            <w:tcW w:w="2434" w:type="dxa"/>
            <w:shd w:val="clear" w:color="auto" w:fill="auto"/>
            <w:vAlign w:val="center"/>
          </w:tcPr>
          <w:p>
            <w:pPr>
              <w:spacing w:before="60" w:after="60"/>
              <w:jc w:val="center"/>
              <w:rPr>
                <w:noProof/>
                <w:color w:val="000000"/>
                <w:szCs w:val="24"/>
              </w:rPr>
            </w:pPr>
            <w:r>
              <w:rPr>
                <w:noProof/>
                <w:color w:val="000000"/>
              </w:rPr>
              <w:t>3</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Roumanie</w:t>
            </w:r>
          </w:p>
        </w:tc>
        <w:tc>
          <w:tcPr>
            <w:tcW w:w="3251" w:type="dxa"/>
            <w:shd w:val="clear" w:color="auto" w:fill="auto"/>
            <w:vAlign w:val="center"/>
          </w:tcPr>
          <w:p>
            <w:pPr>
              <w:spacing w:before="60" w:after="60"/>
              <w:jc w:val="center"/>
              <w:rPr>
                <w:i/>
                <w:iCs/>
                <w:noProof/>
                <w:color w:val="000000"/>
                <w:szCs w:val="24"/>
              </w:rPr>
            </w:pPr>
            <w:r>
              <w:rPr>
                <w:i/>
                <w:noProof/>
                <w:color w:val="000000"/>
              </w:rPr>
              <w:t>Senat</w:t>
            </w:r>
          </w:p>
        </w:tc>
        <w:tc>
          <w:tcPr>
            <w:tcW w:w="1694" w:type="dxa"/>
            <w:shd w:val="clear" w:color="auto" w:fill="auto"/>
            <w:vAlign w:val="center"/>
          </w:tcPr>
          <w:p>
            <w:pPr>
              <w:spacing w:before="60" w:after="60"/>
              <w:jc w:val="center"/>
              <w:rPr>
                <w:noProof/>
                <w:color w:val="000000"/>
                <w:szCs w:val="24"/>
              </w:rPr>
            </w:pPr>
            <w:r>
              <w:rPr>
                <w:noProof/>
                <w:color w:val="000000"/>
              </w:rPr>
              <w:t>43</w:t>
            </w:r>
          </w:p>
        </w:tc>
        <w:tc>
          <w:tcPr>
            <w:tcW w:w="2434" w:type="dxa"/>
            <w:shd w:val="clear" w:color="auto" w:fill="auto"/>
            <w:vAlign w:val="center"/>
          </w:tcPr>
          <w:p>
            <w:pPr>
              <w:spacing w:before="60" w:after="60"/>
              <w:jc w:val="center"/>
              <w:rPr>
                <w:noProof/>
                <w:color w:val="000000"/>
                <w:szCs w:val="24"/>
              </w:rPr>
            </w:pPr>
            <w:r>
              <w:rPr>
                <w:noProof/>
                <w:color w:val="000000"/>
              </w:rPr>
              <w:t>1</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France</w:t>
            </w:r>
          </w:p>
        </w:tc>
        <w:tc>
          <w:tcPr>
            <w:tcW w:w="3251" w:type="dxa"/>
            <w:shd w:val="clear" w:color="auto" w:fill="auto"/>
            <w:vAlign w:val="center"/>
          </w:tcPr>
          <w:p>
            <w:pPr>
              <w:spacing w:before="60" w:after="60"/>
              <w:jc w:val="center"/>
              <w:rPr>
                <w:i/>
                <w:iCs/>
                <w:noProof/>
                <w:color w:val="000000"/>
                <w:szCs w:val="24"/>
              </w:rPr>
            </w:pPr>
            <w:r>
              <w:rPr>
                <w:noProof/>
                <w:color w:val="000000"/>
              </w:rPr>
              <w:t>Assemblée nationale</w:t>
            </w:r>
          </w:p>
        </w:tc>
        <w:tc>
          <w:tcPr>
            <w:tcW w:w="1694" w:type="dxa"/>
            <w:shd w:val="clear" w:color="auto" w:fill="auto"/>
            <w:vAlign w:val="center"/>
          </w:tcPr>
          <w:p>
            <w:pPr>
              <w:spacing w:before="60" w:after="60"/>
              <w:jc w:val="center"/>
              <w:rPr>
                <w:noProof/>
                <w:color w:val="000000"/>
                <w:szCs w:val="24"/>
              </w:rPr>
            </w:pPr>
            <w:r>
              <w:rPr>
                <w:noProof/>
                <w:color w:val="000000"/>
              </w:rPr>
              <w:t>33</w:t>
            </w:r>
          </w:p>
        </w:tc>
        <w:tc>
          <w:tcPr>
            <w:tcW w:w="2434" w:type="dxa"/>
            <w:shd w:val="clear" w:color="auto" w:fill="auto"/>
            <w:vAlign w:val="center"/>
          </w:tcPr>
          <w:p>
            <w:pPr>
              <w:spacing w:before="60" w:after="60"/>
              <w:jc w:val="center"/>
              <w:rPr>
                <w:noProof/>
                <w:color w:val="000000"/>
                <w:szCs w:val="24"/>
              </w:rPr>
            </w:pPr>
            <w:r>
              <w:rPr>
                <w:noProof/>
                <w:color w:val="000000"/>
              </w:rPr>
              <w:t>0</w:t>
            </w:r>
            <w:r>
              <w:rPr>
                <w:rStyle w:val="FootnoteReference"/>
                <w:noProof/>
                <w:color w:val="000000"/>
              </w:rPr>
              <w:footnoteReference w:id="3"/>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Italie</w:t>
            </w:r>
          </w:p>
        </w:tc>
        <w:tc>
          <w:tcPr>
            <w:tcW w:w="3251" w:type="dxa"/>
            <w:shd w:val="clear" w:color="auto" w:fill="auto"/>
            <w:vAlign w:val="center"/>
          </w:tcPr>
          <w:p>
            <w:pPr>
              <w:spacing w:before="60" w:after="60"/>
              <w:jc w:val="center"/>
              <w:rPr>
                <w:i/>
                <w:iCs/>
                <w:noProof/>
                <w:color w:val="000000"/>
                <w:szCs w:val="24"/>
              </w:rPr>
            </w:pPr>
            <w:r>
              <w:rPr>
                <w:i/>
                <w:noProof/>
                <w:color w:val="000000"/>
              </w:rPr>
              <w:t>Camera dei Deputati</w:t>
            </w:r>
          </w:p>
        </w:tc>
        <w:tc>
          <w:tcPr>
            <w:tcW w:w="1694" w:type="dxa"/>
            <w:shd w:val="clear" w:color="auto" w:fill="auto"/>
            <w:vAlign w:val="center"/>
          </w:tcPr>
          <w:p>
            <w:pPr>
              <w:spacing w:before="60" w:after="60"/>
              <w:jc w:val="center"/>
              <w:rPr>
                <w:noProof/>
                <w:color w:val="000000"/>
                <w:szCs w:val="24"/>
              </w:rPr>
            </w:pPr>
            <w:r>
              <w:rPr>
                <w:noProof/>
                <w:color w:val="000000"/>
              </w:rPr>
              <w:t>27</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France</w:t>
            </w:r>
          </w:p>
        </w:tc>
        <w:tc>
          <w:tcPr>
            <w:tcW w:w="3251" w:type="dxa"/>
            <w:shd w:val="clear" w:color="auto" w:fill="auto"/>
            <w:vAlign w:val="center"/>
          </w:tcPr>
          <w:p>
            <w:pPr>
              <w:spacing w:before="60" w:after="60"/>
              <w:jc w:val="center"/>
              <w:rPr>
                <w:i/>
                <w:iCs/>
                <w:noProof/>
                <w:color w:val="000000"/>
                <w:szCs w:val="24"/>
              </w:rPr>
            </w:pPr>
            <w:r>
              <w:rPr>
                <w:noProof/>
                <w:color w:val="000000"/>
              </w:rPr>
              <w:t>Sénat</w:t>
            </w:r>
          </w:p>
        </w:tc>
        <w:tc>
          <w:tcPr>
            <w:tcW w:w="1694" w:type="dxa"/>
            <w:shd w:val="clear" w:color="auto" w:fill="auto"/>
            <w:vAlign w:val="center"/>
          </w:tcPr>
          <w:p>
            <w:pPr>
              <w:spacing w:before="60" w:after="60"/>
              <w:jc w:val="center"/>
              <w:rPr>
                <w:noProof/>
                <w:color w:val="000000"/>
                <w:szCs w:val="24"/>
              </w:rPr>
            </w:pPr>
            <w:r>
              <w:rPr>
                <w:noProof/>
                <w:color w:val="000000"/>
              </w:rPr>
              <w:t>25</w:t>
            </w:r>
          </w:p>
        </w:tc>
        <w:tc>
          <w:tcPr>
            <w:tcW w:w="2434" w:type="dxa"/>
            <w:shd w:val="clear" w:color="auto" w:fill="auto"/>
            <w:vAlign w:val="center"/>
          </w:tcPr>
          <w:p>
            <w:pPr>
              <w:spacing w:before="60" w:after="60"/>
              <w:jc w:val="center"/>
              <w:rPr>
                <w:noProof/>
                <w:color w:val="000000"/>
                <w:szCs w:val="24"/>
              </w:rPr>
            </w:pPr>
            <w:r>
              <w:rPr>
                <w:noProof/>
                <w:color w:val="000000"/>
              </w:rPr>
              <w:t>3</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Suède</w:t>
            </w:r>
          </w:p>
        </w:tc>
        <w:tc>
          <w:tcPr>
            <w:tcW w:w="3251" w:type="dxa"/>
            <w:shd w:val="clear" w:color="auto" w:fill="auto"/>
            <w:vAlign w:val="center"/>
          </w:tcPr>
          <w:p>
            <w:pPr>
              <w:spacing w:before="60" w:after="60"/>
              <w:jc w:val="center"/>
              <w:rPr>
                <w:i/>
                <w:iCs/>
                <w:noProof/>
                <w:color w:val="000000"/>
                <w:szCs w:val="24"/>
              </w:rPr>
            </w:pPr>
            <w:r>
              <w:rPr>
                <w:i/>
                <w:noProof/>
                <w:color w:val="000000"/>
              </w:rPr>
              <w:t>Riksdag</w:t>
            </w:r>
          </w:p>
        </w:tc>
        <w:tc>
          <w:tcPr>
            <w:tcW w:w="1694" w:type="dxa"/>
            <w:shd w:val="clear" w:color="auto" w:fill="auto"/>
            <w:vAlign w:val="center"/>
          </w:tcPr>
          <w:p>
            <w:pPr>
              <w:spacing w:before="60" w:after="60"/>
              <w:jc w:val="center"/>
              <w:rPr>
                <w:noProof/>
                <w:color w:val="000000"/>
                <w:szCs w:val="24"/>
              </w:rPr>
            </w:pPr>
            <w:r>
              <w:rPr>
                <w:noProof/>
                <w:color w:val="000000"/>
              </w:rPr>
              <w:t>23</w:t>
            </w:r>
          </w:p>
        </w:tc>
        <w:tc>
          <w:tcPr>
            <w:tcW w:w="2434" w:type="dxa"/>
            <w:shd w:val="clear" w:color="auto" w:fill="auto"/>
            <w:vAlign w:val="center"/>
          </w:tcPr>
          <w:p>
            <w:pPr>
              <w:spacing w:before="60" w:after="60"/>
              <w:jc w:val="center"/>
              <w:rPr>
                <w:noProof/>
                <w:color w:val="000000"/>
                <w:szCs w:val="24"/>
              </w:rPr>
            </w:pPr>
            <w:r>
              <w:rPr>
                <w:noProof/>
                <w:color w:val="000000"/>
              </w:rPr>
              <w:t>12</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République tchèque</w:t>
            </w:r>
          </w:p>
        </w:tc>
        <w:tc>
          <w:tcPr>
            <w:tcW w:w="3251" w:type="dxa"/>
            <w:shd w:val="clear" w:color="auto" w:fill="auto"/>
            <w:vAlign w:val="center"/>
          </w:tcPr>
          <w:p>
            <w:pPr>
              <w:spacing w:before="60" w:after="60"/>
              <w:jc w:val="center"/>
              <w:rPr>
                <w:i/>
                <w:iCs/>
                <w:noProof/>
                <w:color w:val="000000"/>
                <w:szCs w:val="24"/>
              </w:rPr>
            </w:pPr>
            <w:r>
              <w:rPr>
                <w:i/>
                <w:noProof/>
                <w:color w:val="000000"/>
              </w:rPr>
              <w:t>Poslanecká sněmovna</w:t>
            </w:r>
          </w:p>
        </w:tc>
        <w:tc>
          <w:tcPr>
            <w:tcW w:w="1694" w:type="dxa"/>
            <w:shd w:val="clear" w:color="auto" w:fill="auto"/>
            <w:vAlign w:val="center"/>
          </w:tcPr>
          <w:p>
            <w:pPr>
              <w:spacing w:before="60" w:after="60"/>
              <w:jc w:val="center"/>
              <w:rPr>
                <w:noProof/>
                <w:color w:val="000000"/>
                <w:szCs w:val="24"/>
              </w:rPr>
            </w:pPr>
            <w:r>
              <w:rPr>
                <w:noProof/>
                <w:color w:val="000000"/>
              </w:rPr>
              <w:t>19</w:t>
            </w:r>
          </w:p>
        </w:tc>
        <w:tc>
          <w:tcPr>
            <w:tcW w:w="2434" w:type="dxa"/>
            <w:shd w:val="clear" w:color="auto" w:fill="auto"/>
            <w:vAlign w:val="center"/>
          </w:tcPr>
          <w:p>
            <w:pPr>
              <w:spacing w:before="60" w:after="60"/>
              <w:jc w:val="center"/>
              <w:rPr>
                <w:noProof/>
                <w:color w:val="000000"/>
                <w:szCs w:val="24"/>
              </w:rPr>
            </w:pPr>
            <w:r>
              <w:rPr>
                <w:noProof/>
                <w:color w:val="000000"/>
              </w:rPr>
              <w:t>4</w:t>
            </w:r>
          </w:p>
        </w:tc>
      </w:tr>
      <w:tr>
        <w:trPr>
          <w:cantSplit/>
          <w:trHeight w:val="340"/>
        </w:trPr>
        <w:tc>
          <w:tcPr>
            <w:tcW w:w="1943" w:type="dxa"/>
            <w:shd w:val="clear" w:color="auto" w:fill="auto"/>
            <w:vAlign w:val="center"/>
          </w:tcPr>
          <w:p>
            <w:pPr>
              <w:spacing w:before="60" w:after="60"/>
              <w:jc w:val="center"/>
              <w:rPr>
                <w:noProof/>
                <w:color w:val="000000"/>
              </w:rPr>
            </w:pPr>
            <w:r>
              <w:rPr>
                <w:noProof/>
                <w:color w:val="000000"/>
              </w:rPr>
              <w:t>Pologne</w:t>
            </w:r>
          </w:p>
        </w:tc>
        <w:tc>
          <w:tcPr>
            <w:tcW w:w="3251" w:type="dxa"/>
            <w:shd w:val="clear" w:color="auto" w:fill="auto"/>
            <w:vAlign w:val="center"/>
          </w:tcPr>
          <w:p>
            <w:pPr>
              <w:spacing w:before="60" w:after="60"/>
              <w:jc w:val="center"/>
              <w:rPr>
                <w:noProof/>
                <w:color w:val="000000"/>
              </w:rPr>
            </w:pPr>
            <w:r>
              <w:rPr>
                <w:i/>
                <w:noProof/>
                <w:color w:val="000000"/>
              </w:rPr>
              <w:t xml:space="preserve">Senat </w:t>
            </w:r>
          </w:p>
        </w:tc>
        <w:tc>
          <w:tcPr>
            <w:tcW w:w="1694" w:type="dxa"/>
            <w:shd w:val="clear" w:color="auto" w:fill="auto"/>
            <w:vAlign w:val="center"/>
          </w:tcPr>
          <w:p>
            <w:pPr>
              <w:spacing w:before="60" w:after="60"/>
              <w:jc w:val="center"/>
              <w:rPr>
                <w:noProof/>
                <w:color w:val="000000"/>
              </w:rPr>
            </w:pPr>
            <w:r>
              <w:rPr>
                <w:noProof/>
                <w:color w:val="000000"/>
              </w:rPr>
              <w:t>17</w:t>
            </w:r>
          </w:p>
        </w:tc>
        <w:tc>
          <w:tcPr>
            <w:tcW w:w="2434" w:type="dxa"/>
            <w:shd w:val="clear" w:color="auto" w:fill="auto"/>
            <w:vAlign w:val="center"/>
          </w:tcPr>
          <w:p>
            <w:pPr>
              <w:spacing w:before="60" w:after="60"/>
              <w:jc w:val="center"/>
              <w:rPr>
                <w:noProof/>
                <w:color w:val="000000"/>
              </w:rPr>
            </w:pPr>
            <w:r>
              <w:rPr>
                <w:noProof/>
                <w:color w:val="000000"/>
              </w:rPr>
              <w:t>2</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Royaume-Uni</w:t>
            </w:r>
          </w:p>
        </w:tc>
        <w:tc>
          <w:tcPr>
            <w:tcW w:w="3251" w:type="dxa"/>
            <w:shd w:val="clear" w:color="auto" w:fill="auto"/>
            <w:vAlign w:val="center"/>
          </w:tcPr>
          <w:p>
            <w:pPr>
              <w:spacing w:before="60" w:after="60"/>
              <w:jc w:val="center"/>
              <w:rPr>
                <w:noProof/>
                <w:color w:val="000000"/>
                <w:szCs w:val="24"/>
              </w:rPr>
            </w:pPr>
            <w:r>
              <w:rPr>
                <w:i/>
                <w:noProof/>
                <w:color w:val="000000"/>
              </w:rPr>
              <w:t>House of Lords</w:t>
            </w:r>
          </w:p>
        </w:tc>
        <w:tc>
          <w:tcPr>
            <w:tcW w:w="1694" w:type="dxa"/>
            <w:shd w:val="clear" w:color="auto" w:fill="auto"/>
            <w:vAlign w:val="center"/>
          </w:tcPr>
          <w:p>
            <w:pPr>
              <w:spacing w:before="60" w:after="60"/>
              <w:jc w:val="center"/>
              <w:rPr>
                <w:noProof/>
                <w:color w:val="000000"/>
                <w:szCs w:val="24"/>
              </w:rPr>
            </w:pPr>
            <w:r>
              <w:rPr>
                <w:noProof/>
                <w:color w:val="000000"/>
              </w:rPr>
              <w:t>17</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Espagne</w:t>
            </w:r>
          </w:p>
        </w:tc>
        <w:tc>
          <w:tcPr>
            <w:tcW w:w="3251" w:type="dxa"/>
            <w:shd w:val="clear" w:color="auto" w:fill="auto"/>
            <w:vAlign w:val="center"/>
          </w:tcPr>
          <w:p>
            <w:pPr>
              <w:spacing w:before="60" w:after="60"/>
              <w:jc w:val="center"/>
              <w:rPr>
                <w:i/>
                <w:iCs/>
                <w:noProof/>
                <w:color w:val="000000"/>
                <w:szCs w:val="24"/>
              </w:rPr>
            </w:pPr>
            <w:r>
              <w:rPr>
                <w:i/>
                <w:noProof/>
                <w:color w:val="000000"/>
              </w:rPr>
              <w:t>Cortes Generales</w:t>
            </w:r>
          </w:p>
        </w:tc>
        <w:tc>
          <w:tcPr>
            <w:tcW w:w="1694" w:type="dxa"/>
            <w:shd w:val="clear" w:color="auto" w:fill="auto"/>
            <w:vAlign w:val="center"/>
          </w:tcPr>
          <w:p>
            <w:pPr>
              <w:spacing w:before="60" w:after="60"/>
              <w:jc w:val="center"/>
              <w:rPr>
                <w:noProof/>
                <w:color w:val="000000"/>
                <w:szCs w:val="24"/>
              </w:rPr>
            </w:pPr>
            <w:r>
              <w:rPr>
                <w:noProof/>
                <w:color w:val="000000"/>
              </w:rPr>
              <w:t>13</w:t>
            </w:r>
            <w:r>
              <w:rPr>
                <w:rStyle w:val="FootnoteReference"/>
                <w:noProof/>
              </w:rPr>
              <w:footnoteReference w:id="4"/>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Autriche</w:t>
            </w:r>
          </w:p>
        </w:tc>
        <w:tc>
          <w:tcPr>
            <w:tcW w:w="3251" w:type="dxa"/>
            <w:shd w:val="clear" w:color="auto" w:fill="auto"/>
            <w:vAlign w:val="center"/>
          </w:tcPr>
          <w:p>
            <w:pPr>
              <w:spacing w:before="60" w:after="60"/>
              <w:jc w:val="center"/>
              <w:rPr>
                <w:i/>
                <w:iCs/>
                <w:noProof/>
                <w:color w:val="000000"/>
                <w:szCs w:val="24"/>
              </w:rPr>
            </w:pPr>
            <w:r>
              <w:rPr>
                <w:i/>
                <w:noProof/>
                <w:color w:val="000000"/>
              </w:rPr>
              <w:t>Bundesrat</w:t>
            </w:r>
          </w:p>
        </w:tc>
        <w:tc>
          <w:tcPr>
            <w:tcW w:w="1694" w:type="dxa"/>
            <w:shd w:val="clear" w:color="auto" w:fill="auto"/>
            <w:vAlign w:val="center"/>
          </w:tcPr>
          <w:p>
            <w:pPr>
              <w:spacing w:before="60" w:after="60"/>
              <w:jc w:val="center"/>
              <w:rPr>
                <w:noProof/>
                <w:color w:val="000000"/>
                <w:szCs w:val="24"/>
              </w:rPr>
            </w:pPr>
            <w:r>
              <w:rPr>
                <w:noProof/>
                <w:color w:val="000000"/>
              </w:rPr>
              <w:t>11</w:t>
            </w:r>
          </w:p>
        </w:tc>
        <w:tc>
          <w:tcPr>
            <w:tcW w:w="2434" w:type="dxa"/>
            <w:shd w:val="clear" w:color="auto" w:fill="auto"/>
            <w:vAlign w:val="center"/>
          </w:tcPr>
          <w:p>
            <w:pPr>
              <w:spacing w:before="60" w:after="60"/>
              <w:jc w:val="center"/>
              <w:rPr>
                <w:noProof/>
                <w:color w:val="000000"/>
                <w:szCs w:val="24"/>
              </w:rPr>
            </w:pPr>
            <w:r>
              <w:rPr>
                <w:noProof/>
                <w:color w:val="000000"/>
              </w:rPr>
              <w:t>4</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Pays-Bas</w:t>
            </w:r>
          </w:p>
        </w:tc>
        <w:tc>
          <w:tcPr>
            <w:tcW w:w="3251" w:type="dxa"/>
            <w:shd w:val="clear" w:color="auto" w:fill="auto"/>
            <w:vAlign w:val="center"/>
          </w:tcPr>
          <w:p>
            <w:pPr>
              <w:spacing w:before="60" w:after="60"/>
              <w:jc w:val="center"/>
              <w:rPr>
                <w:i/>
                <w:iCs/>
                <w:noProof/>
                <w:color w:val="000000"/>
                <w:szCs w:val="24"/>
              </w:rPr>
            </w:pPr>
            <w:r>
              <w:rPr>
                <w:i/>
                <w:noProof/>
                <w:color w:val="000000"/>
              </w:rPr>
              <w:t>Tweede Kamer</w:t>
            </w:r>
          </w:p>
        </w:tc>
        <w:tc>
          <w:tcPr>
            <w:tcW w:w="1694" w:type="dxa"/>
            <w:shd w:val="clear" w:color="auto" w:fill="auto"/>
            <w:vAlign w:val="center"/>
          </w:tcPr>
          <w:p>
            <w:pPr>
              <w:spacing w:before="60" w:after="60"/>
              <w:jc w:val="center"/>
              <w:rPr>
                <w:noProof/>
                <w:color w:val="000000"/>
                <w:szCs w:val="24"/>
              </w:rPr>
            </w:pPr>
            <w:r>
              <w:rPr>
                <w:noProof/>
                <w:color w:val="000000"/>
              </w:rPr>
              <w:t>8</w:t>
            </w:r>
          </w:p>
        </w:tc>
        <w:tc>
          <w:tcPr>
            <w:tcW w:w="2434" w:type="dxa"/>
            <w:shd w:val="clear" w:color="auto" w:fill="auto"/>
            <w:vAlign w:val="center"/>
          </w:tcPr>
          <w:p>
            <w:pPr>
              <w:spacing w:before="60" w:after="60"/>
              <w:jc w:val="center"/>
              <w:rPr>
                <w:noProof/>
                <w:color w:val="000000"/>
                <w:szCs w:val="24"/>
              </w:rPr>
            </w:pPr>
            <w:r>
              <w:rPr>
                <w:noProof/>
                <w:color w:val="000000"/>
              </w:rPr>
              <w:t>3</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Danemark</w:t>
            </w:r>
          </w:p>
        </w:tc>
        <w:tc>
          <w:tcPr>
            <w:tcW w:w="3251" w:type="dxa"/>
            <w:shd w:val="clear" w:color="auto" w:fill="auto"/>
            <w:vAlign w:val="center"/>
          </w:tcPr>
          <w:p>
            <w:pPr>
              <w:spacing w:before="60" w:after="60"/>
              <w:jc w:val="center"/>
              <w:rPr>
                <w:i/>
                <w:iCs/>
                <w:noProof/>
                <w:color w:val="000000"/>
                <w:szCs w:val="24"/>
              </w:rPr>
            </w:pPr>
            <w:r>
              <w:rPr>
                <w:i/>
                <w:noProof/>
                <w:color w:val="000000"/>
              </w:rPr>
              <w:t>Folketing</w:t>
            </w:r>
          </w:p>
        </w:tc>
        <w:tc>
          <w:tcPr>
            <w:tcW w:w="1694" w:type="dxa"/>
            <w:shd w:val="clear" w:color="auto" w:fill="auto"/>
            <w:vAlign w:val="center"/>
          </w:tcPr>
          <w:p>
            <w:pPr>
              <w:spacing w:before="60" w:after="60"/>
              <w:jc w:val="center"/>
              <w:rPr>
                <w:noProof/>
                <w:color w:val="000000"/>
                <w:szCs w:val="24"/>
              </w:rPr>
            </w:pPr>
            <w:r>
              <w:rPr>
                <w:noProof/>
                <w:color w:val="000000"/>
              </w:rPr>
              <w:t>7</w:t>
            </w:r>
          </w:p>
        </w:tc>
        <w:tc>
          <w:tcPr>
            <w:tcW w:w="2434" w:type="dxa"/>
            <w:shd w:val="clear" w:color="auto" w:fill="auto"/>
            <w:vAlign w:val="center"/>
          </w:tcPr>
          <w:p>
            <w:pPr>
              <w:spacing w:before="60" w:after="60"/>
              <w:jc w:val="center"/>
              <w:rPr>
                <w:noProof/>
                <w:color w:val="000000"/>
                <w:szCs w:val="24"/>
              </w:rPr>
            </w:pPr>
            <w:r>
              <w:rPr>
                <w:noProof/>
                <w:color w:val="000000"/>
              </w:rPr>
              <w:t>2</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Slovaquie</w:t>
            </w:r>
          </w:p>
        </w:tc>
        <w:tc>
          <w:tcPr>
            <w:tcW w:w="3251" w:type="dxa"/>
            <w:shd w:val="clear" w:color="auto" w:fill="auto"/>
            <w:vAlign w:val="center"/>
          </w:tcPr>
          <w:p>
            <w:pPr>
              <w:spacing w:before="60" w:after="60"/>
              <w:jc w:val="center"/>
              <w:rPr>
                <w:i/>
                <w:iCs/>
                <w:noProof/>
                <w:color w:val="000000"/>
                <w:szCs w:val="24"/>
              </w:rPr>
            </w:pPr>
            <w:r>
              <w:rPr>
                <w:i/>
                <w:noProof/>
                <w:color w:val="000000"/>
              </w:rPr>
              <w:t>Národná rada</w:t>
            </w:r>
          </w:p>
        </w:tc>
        <w:tc>
          <w:tcPr>
            <w:tcW w:w="1694" w:type="dxa"/>
            <w:shd w:val="clear" w:color="auto" w:fill="auto"/>
            <w:vAlign w:val="center"/>
          </w:tcPr>
          <w:p>
            <w:pPr>
              <w:spacing w:before="60" w:after="60"/>
              <w:jc w:val="center"/>
              <w:rPr>
                <w:noProof/>
                <w:color w:val="000000"/>
                <w:szCs w:val="24"/>
              </w:rPr>
            </w:pPr>
            <w:r>
              <w:rPr>
                <w:noProof/>
                <w:color w:val="000000"/>
              </w:rPr>
              <w:t>7</w:t>
            </w:r>
          </w:p>
        </w:tc>
        <w:tc>
          <w:tcPr>
            <w:tcW w:w="2434" w:type="dxa"/>
            <w:shd w:val="clear" w:color="auto" w:fill="auto"/>
            <w:vAlign w:val="center"/>
          </w:tcPr>
          <w:p>
            <w:pPr>
              <w:spacing w:before="60" w:after="60"/>
              <w:jc w:val="center"/>
              <w:rPr>
                <w:noProof/>
                <w:color w:val="000000"/>
                <w:szCs w:val="24"/>
              </w:rPr>
            </w:pPr>
            <w:r>
              <w:rPr>
                <w:noProof/>
                <w:color w:val="000000"/>
              </w:rPr>
              <w:t>2</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Lituanie</w:t>
            </w:r>
          </w:p>
        </w:tc>
        <w:tc>
          <w:tcPr>
            <w:tcW w:w="3251" w:type="dxa"/>
            <w:shd w:val="clear" w:color="auto" w:fill="auto"/>
            <w:vAlign w:val="center"/>
          </w:tcPr>
          <w:p>
            <w:pPr>
              <w:spacing w:before="60" w:after="60"/>
              <w:jc w:val="center"/>
              <w:rPr>
                <w:i/>
                <w:iCs/>
                <w:noProof/>
                <w:color w:val="000000"/>
                <w:szCs w:val="24"/>
              </w:rPr>
            </w:pPr>
            <w:r>
              <w:rPr>
                <w:i/>
                <w:noProof/>
                <w:color w:val="000000"/>
              </w:rPr>
              <w:t>Seimas</w:t>
            </w:r>
          </w:p>
        </w:tc>
        <w:tc>
          <w:tcPr>
            <w:tcW w:w="1694" w:type="dxa"/>
            <w:shd w:val="clear" w:color="auto" w:fill="auto"/>
            <w:vAlign w:val="center"/>
          </w:tcPr>
          <w:p>
            <w:pPr>
              <w:spacing w:before="60" w:after="60"/>
              <w:jc w:val="center"/>
              <w:rPr>
                <w:noProof/>
                <w:color w:val="000000"/>
                <w:szCs w:val="24"/>
              </w:rPr>
            </w:pPr>
            <w:r>
              <w:rPr>
                <w:noProof/>
                <w:color w:val="000000"/>
              </w:rPr>
              <w:t>7</w:t>
            </w:r>
          </w:p>
        </w:tc>
        <w:tc>
          <w:tcPr>
            <w:tcW w:w="2434" w:type="dxa"/>
            <w:shd w:val="clear" w:color="auto" w:fill="auto"/>
            <w:vAlign w:val="center"/>
          </w:tcPr>
          <w:p>
            <w:pPr>
              <w:spacing w:before="60" w:after="60"/>
              <w:jc w:val="center"/>
              <w:rPr>
                <w:noProof/>
                <w:color w:val="000000"/>
                <w:szCs w:val="24"/>
              </w:rPr>
            </w:pPr>
            <w:r>
              <w:rPr>
                <w:noProof/>
                <w:color w:val="000000"/>
              </w:rPr>
              <w:t>1</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Pays-Bas</w:t>
            </w:r>
          </w:p>
        </w:tc>
        <w:tc>
          <w:tcPr>
            <w:tcW w:w="3251" w:type="dxa"/>
            <w:shd w:val="clear" w:color="auto" w:fill="auto"/>
            <w:vAlign w:val="center"/>
          </w:tcPr>
          <w:p>
            <w:pPr>
              <w:spacing w:before="60" w:after="60"/>
              <w:jc w:val="center"/>
              <w:rPr>
                <w:i/>
                <w:iCs/>
                <w:noProof/>
                <w:color w:val="000000"/>
                <w:szCs w:val="24"/>
              </w:rPr>
            </w:pPr>
            <w:r>
              <w:rPr>
                <w:i/>
                <w:noProof/>
                <w:color w:val="000000"/>
              </w:rPr>
              <w:t>Eerste Kamer</w:t>
            </w:r>
          </w:p>
        </w:tc>
        <w:tc>
          <w:tcPr>
            <w:tcW w:w="1694" w:type="dxa"/>
            <w:shd w:val="clear" w:color="auto" w:fill="auto"/>
            <w:vAlign w:val="center"/>
          </w:tcPr>
          <w:p>
            <w:pPr>
              <w:spacing w:before="60" w:after="60"/>
              <w:jc w:val="center"/>
              <w:rPr>
                <w:noProof/>
                <w:color w:val="000000"/>
                <w:szCs w:val="24"/>
              </w:rPr>
            </w:pPr>
            <w:r>
              <w:rPr>
                <w:noProof/>
                <w:color w:val="000000"/>
              </w:rPr>
              <w:t>7</w:t>
            </w:r>
          </w:p>
        </w:tc>
        <w:tc>
          <w:tcPr>
            <w:tcW w:w="2434" w:type="dxa"/>
            <w:shd w:val="clear" w:color="auto" w:fill="auto"/>
            <w:vAlign w:val="center"/>
          </w:tcPr>
          <w:p>
            <w:pPr>
              <w:spacing w:before="60" w:after="60"/>
              <w:jc w:val="center"/>
              <w:rPr>
                <w:noProof/>
                <w:color w:val="000000"/>
                <w:szCs w:val="24"/>
              </w:rPr>
            </w:pPr>
            <w:r>
              <w:rPr>
                <w:noProof/>
                <w:color w:val="000000"/>
              </w:rPr>
              <w:t>1</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Malte</w:t>
            </w:r>
          </w:p>
        </w:tc>
        <w:tc>
          <w:tcPr>
            <w:tcW w:w="3251" w:type="dxa"/>
            <w:shd w:val="clear" w:color="auto" w:fill="auto"/>
            <w:vAlign w:val="center"/>
          </w:tcPr>
          <w:p>
            <w:pPr>
              <w:spacing w:before="60" w:after="60"/>
              <w:jc w:val="center"/>
              <w:rPr>
                <w:i/>
                <w:iCs/>
                <w:noProof/>
                <w:color w:val="000000"/>
                <w:szCs w:val="24"/>
              </w:rPr>
            </w:pPr>
            <w:r>
              <w:rPr>
                <w:i/>
                <w:noProof/>
                <w:color w:val="000000"/>
              </w:rPr>
              <w:t>Kamra tad-Deputati</w:t>
            </w:r>
          </w:p>
        </w:tc>
        <w:tc>
          <w:tcPr>
            <w:tcW w:w="1694" w:type="dxa"/>
            <w:shd w:val="clear" w:color="auto" w:fill="auto"/>
            <w:vAlign w:val="center"/>
          </w:tcPr>
          <w:p>
            <w:pPr>
              <w:spacing w:before="60" w:after="60"/>
              <w:jc w:val="center"/>
              <w:rPr>
                <w:noProof/>
                <w:color w:val="000000"/>
                <w:szCs w:val="24"/>
              </w:rPr>
            </w:pPr>
            <w:r>
              <w:rPr>
                <w:noProof/>
                <w:color w:val="000000"/>
              </w:rPr>
              <w:t>6</w:t>
            </w:r>
          </w:p>
        </w:tc>
        <w:tc>
          <w:tcPr>
            <w:tcW w:w="2434" w:type="dxa"/>
            <w:shd w:val="clear" w:color="auto" w:fill="auto"/>
            <w:vAlign w:val="center"/>
          </w:tcPr>
          <w:p>
            <w:pPr>
              <w:spacing w:before="60" w:after="60"/>
              <w:jc w:val="center"/>
              <w:rPr>
                <w:noProof/>
                <w:color w:val="000000"/>
                <w:szCs w:val="24"/>
              </w:rPr>
            </w:pPr>
            <w:r>
              <w:rPr>
                <w:noProof/>
                <w:color w:val="000000"/>
              </w:rPr>
              <w:t>5</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Bulgarie</w:t>
            </w:r>
          </w:p>
        </w:tc>
        <w:tc>
          <w:tcPr>
            <w:tcW w:w="3251" w:type="dxa"/>
            <w:shd w:val="clear" w:color="auto" w:fill="auto"/>
            <w:vAlign w:val="center"/>
          </w:tcPr>
          <w:p>
            <w:pPr>
              <w:spacing w:before="60" w:after="60"/>
              <w:jc w:val="center"/>
              <w:rPr>
                <w:i/>
                <w:iCs/>
                <w:noProof/>
                <w:color w:val="000000"/>
                <w:szCs w:val="24"/>
              </w:rPr>
            </w:pPr>
            <w:r>
              <w:rPr>
                <w:i/>
                <w:noProof/>
                <w:color w:val="000000"/>
              </w:rPr>
              <w:t>Narodno Sabranie</w:t>
            </w:r>
          </w:p>
        </w:tc>
        <w:tc>
          <w:tcPr>
            <w:tcW w:w="1694" w:type="dxa"/>
            <w:shd w:val="clear" w:color="auto" w:fill="auto"/>
            <w:vAlign w:val="center"/>
          </w:tcPr>
          <w:p>
            <w:pPr>
              <w:spacing w:before="60" w:after="60"/>
              <w:jc w:val="center"/>
              <w:rPr>
                <w:noProof/>
                <w:color w:val="000000"/>
                <w:szCs w:val="24"/>
              </w:rPr>
            </w:pPr>
            <w:r>
              <w:rPr>
                <w:noProof/>
                <w:color w:val="000000"/>
              </w:rPr>
              <w:t>6</w:t>
            </w:r>
          </w:p>
        </w:tc>
        <w:tc>
          <w:tcPr>
            <w:tcW w:w="2434" w:type="dxa"/>
            <w:shd w:val="clear" w:color="auto" w:fill="auto"/>
            <w:vAlign w:val="center"/>
          </w:tcPr>
          <w:p>
            <w:pPr>
              <w:spacing w:before="60" w:after="60"/>
              <w:jc w:val="center"/>
              <w:rPr>
                <w:noProof/>
                <w:color w:val="000000"/>
                <w:szCs w:val="24"/>
              </w:rPr>
            </w:pPr>
            <w:r>
              <w:rPr>
                <w:noProof/>
                <w:color w:val="000000"/>
              </w:rPr>
              <w:t>3</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Hongrie</w:t>
            </w:r>
          </w:p>
        </w:tc>
        <w:tc>
          <w:tcPr>
            <w:tcW w:w="3251" w:type="dxa"/>
            <w:shd w:val="clear" w:color="auto" w:fill="auto"/>
            <w:vAlign w:val="center"/>
          </w:tcPr>
          <w:p>
            <w:pPr>
              <w:spacing w:before="60" w:after="60"/>
              <w:jc w:val="center"/>
              <w:rPr>
                <w:i/>
                <w:iCs/>
                <w:noProof/>
                <w:color w:val="000000"/>
                <w:szCs w:val="24"/>
              </w:rPr>
            </w:pPr>
            <w:r>
              <w:rPr>
                <w:i/>
                <w:noProof/>
                <w:color w:val="000000"/>
              </w:rPr>
              <w:t>Országgyűlés</w:t>
            </w:r>
          </w:p>
        </w:tc>
        <w:tc>
          <w:tcPr>
            <w:tcW w:w="1694" w:type="dxa"/>
            <w:shd w:val="clear" w:color="auto" w:fill="auto"/>
            <w:vAlign w:val="center"/>
          </w:tcPr>
          <w:p>
            <w:pPr>
              <w:spacing w:before="60" w:after="60"/>
              <w:jc w:val="center"/>
              <w:rPr>
                <w:noProof/>
                <w:color w:val="000000"/>
                <w:szCs w:val="24"/>
              </w:rPr>
            </w:pPr>
            <w:r>
              <w:rPr>
                <w:noProof/>
                <w:color w:val="000000"/>
              </w:rPr>
              <w:t>6</w:t>
            </w:r>
          </w:p>
        </w:tc>
        <w:tc>
          <w:tcPr>
            <w:tcW w:w="2434" w:type="dxa"/>
            <w:shd w:val="clear" w:color="auto" w:fill="auto"/>
            <w:vAlign w:val="center"/>
          </w:tcPr>
          <w:p>
            <w:pPr>
              <w:spacing w:before="60" w:after="60"/>
              <w:jc w:val="center"/>
              <w:rPr>
                <w:noProof/>
                <w:color w:val="000000"/>
                <w:szCs w:val="24"/>
              </w:rPr>
            </w:pPr>
            <w:r>
              <w:rPr>
                <w:noProof/>
                <w:color w:val="000000"/>
              </w:rPr>
              <w:t>2</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Luxembourg</w:t>
            </w:r>
          </w:p>
        </w:tc>
        <w:tc>
          <w:tcPr>
            <w:tcW w:w="3251" w:type="dxa"/>
            <w:shd w:val="clear" w:color="auto" w:fill="auto"/>
            <w:vAlign w:val="center"/>
          </w:tcPr>
          <w:p>
            <w:pPr>
              <w:spacing w:before="60" w:after="60"/>
              <w:jc w:val="center"/>
              <w:rPr>
                <w:i/>
                <w:iCs/>
                <w:noProof/>
                <w:color w:val="000000"/>
                <w:szCs w:val="24"/>
              </w:rPr>
            </w:pPr>
            <w:r>
              <w:rPr>
                <w:noProof/>
                <w:color w:val="000000"/>
              </w:rPr>
              <w:t>Chambre des députés</w:t>
            </w:r>
          </w:p>
        </w:tc>
        <w:tc>
          <w:tcPr>
            <w:tcW w:w="1694" w:type="dxa"/>
            <w:shd w:val="clear" w:color="auto" w:fill="auto"/>
            <w:vAlign w:val="center"/>
          </w:tcPr>
          <w:p>
            <w:pPr>
              <w:spacing w:before="60" w:after="60"/>
              <w:jc w:val="center"/>
              <w:rPr>
                <w:noProof/>
                <w:color w:val="000000"/>
                <w:szCs w:val="24"/>
              </w:rPr>
            </w:pPr>
            <w:r>
              <w:rPr>
                <w:noProof/>
                <w:color w:val="000000"/>
              </w:rPr>
              <w:t>6</w:t>
            </w:r>
          </w:p>
        </w:tc>
        <w:tc>
          <w:tcPr>
            <w:tcW w:w="2434" w:type="dxa"/>
            <w:shd w:val="clear" w:color="auto" w:fill="auto"/>
            <w:vAlign w:val="center"/>
          </w:tcPr>
          <w:p>
            <w:pPr>
              <w:spacing w:before="60" w:after="60"/>
              <w:jc w:val="center"/>
              <w:rPr>
                <w:noProof/>
                <w:color w:val="000000"/>
                <w:szCs w:val="24"/>
              </w:rPr>
            </w:pPr>
            <w:r>
              <w:rPr>
                <w:noProof/>
                <w:color w:val="000000"/>
              </w:rPr>
              <w:t>2</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Allemagne</w:t>
            </w:r>
          </w:p>
        </w:tc>
        <w:tc>
          <w:tcPr>
            <w:tcW w:w="3251" w:type="dxa"/>
            <w:shd w:val="clear" w:color="auto" w:fill="auto"/>
            <w:vAlign w:val="center"/>
          </w:tcPr>
          <w:p>
            <w:pPr>
              <w:spacing w:before="60" w:after="60"/>
              <w:jc w:val="center"/>
              <w:rPr>
                <w:i/>
                <w:iCs/>
                <w:noProof/>
                <w:color w:val="000000"/>
                <w:szCs w:val="24"/>
              </w:rPr>
            </w:pPr>
            <w:r>
              <w:rPr>
                <w:i/>
                <w:noProof/>
                <w:color w:val="000000"/>
              </w:rPr>
              <w:t>Bundestag</w:t>
            </w:r>
          </w:p>
        </w:tc>
        <w:tc>
          <w:tcPr>
            <w:tcW w:w="1694" w:type="dxa"/>
            <w:shd w:val="clear" w:color="auto" w:fill="auto"/>
            <w:vAlign w:val="center"/>
          </w:tcPr>
          <w:p>
            <w:pPr>
              <w:spacing w:before="60" w:after="60"/>
              <w:jc w:val="center"/>
              <w:rPr>
                <w:noProof/>
                <w:color w:val="000000"/>
                <w:szCs w:val="24"/>
              </w:rPr>
            </w:pPr>
            <w:r>
              <w:rPr>
                <w:noProof/>
                <w:color w:val="000000"/>
              </w:rPr>
              <w:t>5</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Pologne</w:t>
            </w:r>
          </w:p>
        </w:tc>
        <w:tc>
          <w:tcPr>
            <w:tcW w:w="3251" w:type="dxa"/>
            <w:shd w:val="clear" w:color="auto" w:fill="auto"/>
            <w:vAlign w:val="center"/>
          </w:tcPr>
          <w:p>
            <w:pPr>
              <w:spacing w:before="60" w:after="60"/>
              <w:jc w:val="center"/>
              <w:rPr>
                <w:i/>
                <w:iCs/>
                <w:noProof/>
                <w:color w:val="000000"/>
                <w:szCs w:val="24"/>
              </w:rPr>
            </w:pPr>
            <w:r>
              <w:rPr>
                <w:i/>
                <w:noProof/>
                <w:color w:val="000000"/>
              </w:rPr>
              <w:t xml:space="preserve">Sejm </w:t>
            </w:r>
          </w:p>
        </w:tc>
        <w:tc>
          <w:tcPr>
            <w:tcW w:w="1694" w:type="dxa"/>
            <w:shd w:val="clear" w:color="auto" w:fill="auto"/>
            <w:vAlign w:val="center"/>
          </w:tcPr>
          <w:p>
            <w:pPr>
              <w:spacing w:before="60" w:after="60"/>
              <w:jc w:val="center"/>
              <w:rPr>
                <w:noProof/>
                <w:color w:val="000000"/>
                <w:szCs w:val="24"/>
              </w:rPr>
            </w:pPr>
            <w:r>
              <w:rPr>
                <w:noProof/>
                <w:color w:val="000000"/>
              </w:rPr>
              <w:t>4</w:t>
            </w:r>
          </w:p>
        </w:tc>
        <w:tc>
          <w:tcPr>
            <w:tcW w:w="2434" w:type="dxa"/>
            <w:shd w:val="clear" w:color="auto" w:fill="auto"/>
            <w:vAlign w:val="center"/>
          </w:tcPr>
          <w:p>
            <w:pPr>
              <w:spacing w:before="60" w:after="60"/>
              <w:jc w:val="center"/>
              <w:rPr>
                <w:noProof/>
                <w:color w:val="000000"/>
                <w:szCs w:val="24"/>
              </w:rPr>
            </w:pPr>
            <w:r>
              <w:rPr>
                <w:noProof/>
                <w:color w:val="000000"/>
              </w:rPr>
              <w:t>2</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Lettonie</w:t>
            </w:r>
          </w:p>
        </w:tc>
        <w:tc>
          <w:tcPr>
            <w:tcW w:w="3251" w:type="dxa"/>
            <w:shd w:val="clear" w:color="auto" w:fill="auto"/>
            <w:vAlign w:val="center"/>
          </w:tcPr>
          <w:p>
            <w:pPr>
              <w:spacing w:before="60" w:after="60"/>
              <w:jc w:val="center"/>
              <w:rPr>
                <w:i/>
                <w:iCs/>
                <w:noProof/>
                <w:color w:val="000000"/>
                <w:szCs w:val="24"/>
              </w:rPr>
            </w:pPr>
            <w:r>
              <w:rPr>
                <w:i/>
                <w:noProof/>
                <w:color w:val="000000"/>
              </w:rPr>
              <w:t>Saeima</w:t>
            </w:r>
          </w:p>
        </w:tc>
        <w:tc>
          <w:tcPr>
            <w:tcW w:w="1694" w:type="dxa"/>
            <w:shd w:val="clear" w:color="auto" w:fill="auto"/>
            <w:vAlign w:val="center"/>
          </w:tcPr>
          <w:p>
            <w:pPr>
              <w:spacing w:before="60" w:after="60"/>
              <w:jc w:val="center"/>
              <w:rPr>
                <w:noProof/>
                <w:color w:val="000000"/>
                <w:szCs w:val="24"/>
              </w:rPr>
            </w:pPr>
            <w:r>
              <w:rPr>
                <w:noProof/>
                <w:color w:val="000000"/>
              </w:rPr>
              <w:t>4</w:t>
            </w:r>
          </w:p>
        </w:tc>
        <w:tc>
          <w:tcPr>
            <w:tcW w:w="2434" w:type="dxa"/>
            <w:shd w:val="clear" w:color="auto" w:fill="auto"/>
            <w:vAlign w:val="center"/>
          </w:tcPr>
          <w:p>
            <w:pPr>
              <w:spacing w:before="60" w:after="60"/>
              <w:jc w:val="center"/>
              <w:rPr>
                <w:noProof/>
                <w:color w:val="000000"/>
                <w:szCs w:val="24"/>
              </w:rPr>
            </w:pPr>
            <w:r>
              <w:rPr>
                <w:noProof/>
                <w:color w:val="000000"/>
              </w:rPr>
              <w:t>1</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Chypre</w:t>
            </w:r>
          </w:p>
        </w:tc>
        <w:tc>
          <w:tcPr>
            <w:tcW w:w="3251" w:type="dxa"/>
            <w:shd w:val="clear" w:color="auto" w:fill="auto"/>
            <w:vAlign w:val="center"/>
          </w:tcPr>
          <w:p>
            <w:pPr>
              <w:spacing w:before="60" w:after="60"/>
              <w:jc w:val="center"/>
              <w:rPr>
                <w:i/>
                <w:iCs/>
                <w:noProof/>
                <w:color w:val="000000"/>
                <w:szCs w:val="24"/>
              </w:rPr>
            </w:pPr>
            <w:r>
              <w:rPr>
                <w:i/>
                <w:noProof/>
                <w:color w:val="000000"/>
              </w:rPr>
              <w:t>Vouli ton Antiprosopon</w:t>
            </w:r>
          </w:p>
        </w:tc>
        <w:tc>
          <w:tcPr>
            <w:tcW w:w="1694" w:type="dxa"/>
            <w:shd w:val="clear" w:color="auto" w:fill="auto"/>
            <w:vAlign w:val="center"/>
          </w:tcPr>
          <w:p>
            <w:pPr>
              <w:spacing w:before="60" w:after="60"/>
              <w:jc w:val="center"/>
              <w:rPr>
                <w:noProof/>
                <w:color w:val="000000"/>
                <w:szCs w:val="24"/>
              </w:rPr>
            </w:pPr>
            <w:r>
              <w:rPr>
                <w:noProof/>
                <w:color w:val="000000"/>
              </w:rPr>
              <w:t>4</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Royaume-Uni</w:t>
            </w:r>
          </w:p>
        </w:tc>
        <w:tc>
          <w:tcPr>
            <w:tcW w:w="3251" w:type="dxa"/>
            <w:shd w:val="clear" w:color="auto" w:fill="auto"/>
            <w:vAlign w:val="center"/>
          </w:tcPr>
          <w:p>
            <w:pPr>
              <w:spacing w:before="60" w:after="60"/>
              <w:jc w:val="center"/>
              <w:rPr>
                <w:noProof/>
                <w:color w:val="000000"/>
                <w:szCs w:val="24"/>
              </w:rPr>
            </w:pPr>
            <w:r>
              <w:rPr>
                <w:i/>
                <w:noProof/>
                <w:color w:val="000000"/>
              </w:rPr>
              <w:t>House of Commons</w:t>
            </w:r>
          </w:p>
        </w:tc>
        <w:tc>
          <w:tcPr>
            <w:tcW w:w="1694" w:type="dxa"/>
            <w:shd w:val="clear" w:color="auto" w:fill="auto"/>
            <w:vAlign w:val="center"/>
          </w:tcPr>
          <w:p>
            <w:pPr>
              <w:spacing w:before="60" w:after="60"/>
              <w:jc w:val="center"/>
              <w:rPr>
                <w:noProof/>
                <w:color w:val="000000"/>
                <w:szCs w:val="24"/>
              </w:rPr>
            </w:pPr>
            <w:r>
              <w:rPr>
                <w:noProof/>
                <w:color w:val="000000"/>
              </w:rPr>
              <w:t>3</w:t>
            </w:r>
          </w:p>
        </w:tc>
        <w:tc>
          <w:tcPr>
            <w:tcW w:w="2434" w:type="dxa"/>
            <w:shd w:val="clear" w:color="auto" w:fill="auto"/>
            <w:vAlign w:val="center"/>
          </w:tcPr>
          <w:p>
            <w:pPr>
              <w:spacing w:before="60" w:after="60"/>
              <w:jc w:val="center"/>
              <w:rPr>
                <w:noProof/>
                <w:color w:val="000000"/>
                <w:szCs w:val="24"/>
              </w:rPr>
            </w:pPr>
            <w:r>
              <w:rPr>
                <w:noProof/>
                <w:color w:val="000000"/>
              </w:rPr>
              <w:t>1</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Irlande</w:t>
            </w:r>
          </w:p>
        </w:tc>
        <w:tc>
          <w:tcPr>
            <w:tcW w:w="3251" w:type="dxa"/>
            <w:shd w:val="clear" w:color="auto" w:fill="auto"/>
            <w:vAlign w:val="center"/>
          </w:tcPr>
          <w:p>
            <w:pPr>
              <w:spacing w:before="60" w:after="60"/>
              <w:jc w:val="center"/>
              <w:rPr>
                <w:iCs/>
                <w:noProof/>
                <w:color w:val="000000"/>
                <w:szCs w:val="24"/>
              </w:rPr>
            </w:pPr>
            <w:r>
              <w:rPr>
                <w:i/>
                <w:noProof/>
                <w:color w:val="000000"/>
              </w:rPr>
              <w:t>Houses of the</w:t>
            </w:r>
            <w:r>
              <w:rPr>
                <w:noProof/>
                <w:color w:val="000000"/>
              </w:rPr>
              <w:t xml:space="preserve"> </w:t>
            </w:r>
            <w:r>
              <w:rPr>
                <w:i/>
                <w:noProof/>
                <w:color w:val="000000"/>
              </w:rPr>
              <w:t>Oireachtas</w:t>
            </w:r>
          </w:p>
        </w:tc>
        <w:tc>
          <w:tcPr>
            <w:tcW w:w="1694" w:type="dxa"/>
            <w:shd w:val="clear" w:color="auto" w:fill="auto"/>
            <w:vAlign w:val="center"/>
          </w:tcPr>
          <w:p>
            <w:pPr>
              <w:spacing w:before="60" w:after="60"/>
              <w:jc w:val="center"/>
              <w:rPr>
                <w:noProof/>
                <w:color w:val="000000"/>
                <w:szCs w:val="24"/>
                <w:highlight w:val="yellow"/>
              </w:rPr>
            </w:pPr>
            <w:r>
              <w:rPr>
                <w:noProof/>
                <w:color w:val="000000"/>
              </w:rPr>
              <w:t>3</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rPr>
            </w:pPr>
            <w:r>
              <w:rPr>
                <w:noProof/>
                <w:color w:val="000000"/>
              </w:rPr>
              <w:t>Irlande</w:t>
            </w:r>
          </w:p>
        </w:tc>
        <w:tc>
          <w:tcPr>
            <w:tcW w:w="3251" w:type="dxa"/>
            <w:shd w:val="clear" w:color="auto" w:fill="auto"/>
            <w:vAlign w:val="center"/>
          </w:tcPr>
          <w:p>
            <w:pPr>
              <w:spacing w:before="60" w:after="60"/>
              <w:jc w:val="center"/>
              <w:rPr>
                <w:i/>
                <w:noProof/>
                <w:color w:val="000000"/>
              </w:rPr>
            </w:pPr>
            <w:r>
              <w:rPr>
                <w:i/>
                <w:noProof/>
                <w:color w:val="000000"/>
              </w:rPr>
              <w:t>Dáil Éireann</w:t>
            </w:r>
          </w:p>
        </w:tc>
        <w:tc>
          <w:tcPr>
            <w:tcW w:w="1694" w:type="dxa"/>
            <w:shd w:val="clear" w:color="auto" w:fill="auto"/>
            <w:vAlign w:val="center"/>
          </w:tcPr>
          <w:p>
            <w:pPr>
              <w:spacing w:before="60" w:after="60"/>
              <w:jc w:val="center"/>
              <w:rPr>
                <w:noProof/>
                <w:color w:val="000000"/>
                <w:szCs w:val="24"/>
              </w:rPr>
            </w:pPr>
            <w:r>
              <w:rPr>
                <w:noProof/>
                <w:color w:val="000000"/>
              </w:rPr>
              <w:t>2</w:t>
            </w:r>
          </w:p>
        </w:tc>
        <w:tc>
          <w:tcPr>
            <w:tcW w:w="2434" w:type="dxa"/>
            <w:shd w:val="clear" w:color="auto" w:fill="auto"/>
            <w:vAlign w:val="center"/>
          </w:tcPr>
          <w:p>
            <w:pPr>
              <w:spacing w:before="60" w:after="60"/>
              <w:jc w:val="center"/>
              <w:rPr>
                <w:noProof/>
                <w:color w:val="000000"/>
                <w:szCs w:val="24"/>
              </w:rPr>
            </w:pPr>
            <w:r>
              <w:rPr>
                <w:noProof/>
                <w:color w:val="000000"/>
              </w:rPr>
              <w:t>2</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Croatie</w:t>
            </w:r>
          </w:p>
        </w:tc>
        <w:tc>
          <w:tcPr>
            <w:tcW w:w="3251" w:type="dxa"/>
            <w:shd w:val="clear" w:color="auto" w:fill="auto"/>
            <w:vAlign w:val="center"/>
          </w:tcPr>
          <w:p>
            <w:pPr>
              <w:spacing w:before="60" w:after="60"/>
              <w:jc w:val="center"/>
              <w:rPr>
                <w:i/>
                <w:iCs/>
                <w:noProof/>
                <w:color w:val="000000"/>
                <w:szCs w:val="24"/>
              </w:rPr>
            </w:pPr>
            <w:r>
              <w:rPr>
                <w:i/>
                <w:noProof/>
                <w:color w:val="000000"/>
              </w:rPr>
              <w:t>Hrvatski sabor</w:t>
            </w:r>
          </w:p>
        </w:tc>
        <w:tc>
          <w:tcPr>
            <w:tcW w:w="1694" w:type="dxa"/>
            <w:shd w:val="clear" w:color="auto" w:fill="auto"/>
            <w:vAlign w:val="center"/>
          </w:tcPr>
          <w:p>
            <w:pPr>
              <w:spacing w:before="60" w:after="60"/>
              <w:jc w:val="center"/>
              <w:rPr>
                <w:noProof/>
                <w:color w:val="000000"/>
                <w:szCs w:val="24"/>
              </w:rPr>
            </w:pPr>
            <w:r>
              <w:rPr>
                <w:noProof/>
                <w:color w:val="000000"/>
              </w:rPr>
              <w:t>2</w:t>
            </w:r>
          </w:p>
        </w:tc>
        <w:tc>
          <w:tcPr>
            <w:tcW w:w="2434" w:type="dxa"/>
            <w:shd w:val="clear" w:color="auto" w:fill="auto"/>
            <w:vAlign w:val="center"/>
          </w:tcPr>
          <w:p>
            <w:pPr>
              <w:spacing w:before="60" w:after="60"/>
              <w:jc w:val="center"/>
              <w:rPr>
                <w:noProof/>
                <w:color w:val="000000"/>
                <w:szCs w:val="24"/>
              </w:rPr>
            </w:pPr>
            <w:r>
              <w:rPr>
                <w:noProof/>
                <w:color w:val="000000"/>
              </w:rPr>
              <w:t>1</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Estonie</w:t>
            </w:r>
          </w:p>
        </w:tc>
        <w:tc>
          <w:tcPr>
            <w:tcW w:w="3251" w:type="dxa"/>
            <w:shd w:val="clear" w:color="auto" w:fill="auto"/>
            <w:vAlign w:val="center"/>
          </w:tcPr>
          <w:p>
            <w:pPr>
              <w:spacing w:before="60" w:after="60"/>
              <w:jc w:val="center"/>
              <w:rPr>
                <w:i/>
                <w:iCs/>
                <w:noProof/>
                <w:color w:val="000000"/>
                <w:szCs w:val="24"/>
              </w:rPr>
            </w:pPr>
            <w:r>
              <w:rPr>
                <w:i/>
                <w:noProof/>
                <w:color w:val="000000"/>
              </w:rPr>
              <w:t>Riigikogu</w:t>
            </w:r>
          </w:p>
        </w:tc>
        <w:tc>
          <w:tcPr>
            <w:tcW w:w="1694" w:type="dxa"/>
            <w:shd w:val="clear" w:color="auto" w:fill="auto"/>
            <w:vAlign w:val="center"/>
          </w:tcPr>
          <w:p>
            <w:pPr>
              <w:spacing w:before="60" w:after="60"/>
              <w:jc w:val="center"/>
              <w:rPr>
                <w:noProof/>
                <w:color w:val="000000"/>
                <w:szCs w:val="24"/>
              </w:rPr>
            </w:pPr>
            <w:r>
              <w:rPr>
                <w:noProof/>
                <w:color w:val="000000"/>
              </w:rPr>
              <w:t>1</w:t>
            </w:r>
          </w:p>
        </w:tc>
        <w:tc>
          <w:tcPr>
            <w:tcW w:w="2434" w:type="dxa"/>
            <w:shd w:val="clear" w:color="auto" w:fill="auto"/>
            <w:vAlign w:val="center"/>
          </w:tcPr>
          <w:p>
            <w:pPr>
              <w:spacing w:before="60" w:after="60"/>
              <w:jc w:val="center"/>
              <w:rPr>
                <w:noProof/>
                <w:color w:val="000000"/>
                <w:szCs w:val="24"/>
              </w:rPr>
            </w:pPr>
            <w:r>
              <w:rPr>
                <w:noProof/>
                <w:color w:val="000000"/>
              </w:rPr>
              <w:t>1</w:t>
            </w:r>
          </w:p>
        </w:tc>
      </w:tr>
      <w:tr>
        <w:trPr>
          <w:cantSplit/>
          <w:trHeight w:val="340"/>
        </w:trPr>
        <w:tc>
          <w:tcPr>
            <w:tcW w:w="1943" w:type="dxa"/>
            <w:shd w:val="clear" w:color="auto" w:fill="auto"/>
            <w:vAlign w:val="center"/>
          </w:tcPr>
          <w:p>
            <w:pPr>
              <w:spacing w:before="60" w:after="60"/>
              <w:jc w:val="center"/>
              <w:rPr>
                <w:noProof/>
                <w:color w:val="000000"/>
              </w:rPr>
            </w:pPr>
            <w:r>
              <w:rPr>
                <w:noProof/>
                <w:color w:val="000000"/>
              </w:rPr>
              <w:t>Irlande</w:t>
            </w:r>
          </w:p>
        </w:tc>
        <w:tc>
          <w:tcPr>
            <w:tcW w:w="3251" w:type="dxa"/>
            <w:shd w:val="clear" w:color="auto" w:fill="auto"/>
            <w:vAlign w:val="center"/>
          </w:tcPr>
          <w:p>
            <w:pPr>
              <w:spacing w:before="60" w:after="60"/>
              <w:jc w:val="center"/>
              <w:rPr>
                <w:i/>
                <w:iCs/>
                <w:noProof/>
                <w:color w:val="000000"/>
              </w:rPr>
            </w:pPr>
            <w:r>
              <w:rPr>
                <w:i/>
                <w:noProof/>
                <w:color w:val="000000"/>
              </w:rPr>
              <w:t>Seanad Éireann</w:t>
            </w:r>
          </w:p>
        </w:tc>
        <w:tc>
          <w:tcPr>
            <w:tcW w:w="1694" w:type="dxa"/>
            <w:shd w:val="clear" w:color="auto" w:fill="auto"/>
            <w:vAlign w:val="center"/>
          </w:tcPr>
          <w:p>
            <w:pPr>
              <w:spacing w:before="60" w:after="60"/>
              <w:jc w:val="center"/>
              <w:rPr>
                <w:noProof/>
                <w:color w:val="000000"/>
              </w:rPr>
            </w:pPr>
            <w:r>
              <w:rPr>
                <w:noProof/>
                <w:color w:val="000000"/>
              </w:rPr>
              <w:t>1</w:t>
            </w:r>
          </w:p>
        </w:tc>
        <w:tc>
          <w:tcPr>
            <w:tcW w:w="2434" w:type="dxa"/>
            <w:shd w:val="clear" w:color="auto" w:fill="auto"/>
            <w:vAlign w:val="center"/>
          </w:tcPr>
          <w:p>
            <w:pPr>
              <w:spacing w:before="60" w:after="60"/>
              <w:jc w:val="center"/>
              <w:rPr>
                <w:noProof/>
                <w:color w:val="000000"/>
              </w:rPr>
            </w:pPr>
            <w:r>
              <w:rPr>
                <w:noProof/>
                <w:color w:val="000000"/>
              </w:rPr>
              <w:t>1</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Autriche</w:t>
            </w:r>
          </w:p>
        </w:tc>
        <w:tc>
          <w:tcPr>
            <w:tcW w:w="3251" w:type="dxa"/>
            <w:shd w:val="clear" w:color="auto" w:fill="auto"/>
            <w:vAlign w:val="center"/>
          </w:tcPr>
          <w:p>
            <w:pPr>
              <w:spacing w:before="60" w:after="60"/>
              <w:jc w:val="center"/>
              <w:rPr>
                <w:i/>
                <w:iCs/>
                <w:noProof/>
                <w:color w:val="000000"/>
                <w:szCs w:val="24"/>
              </w:rPr>
            </w:pPr>
            <w:r>
              <w:rPr>
                <w:i/>
                <w:noProof/>
                <w:color w:val="000000"/>
              </w:rPr>
              <w:t>Nationalrat</w:t>
            </w:r>
          </w:p>
        </w:tc>
        <w:tc>
          <w:tcPr>
            <w:tcW w:w="1694" w:type="dxa"/>
            <w:shd w:val="clear" w:color="auto" w:fill="auto"/>
            <w:vAlign w:val="center"/>
          </w:tcPr>
          <w:p>
            <w:pPr>
              <w:spacing w:before="60" w:after="60"/>
              <w:jc w:val="center"/>
              <w:rPr>
                <w:noProof/>
                <w:color w:val="000000"/>
                <w:szCs w:val="24"/>
              </w:rPr>
            </w:pPr>
            <w:r>
              <w:rPr>
                <w:noProof/>
                <w:color w:val="000000"/>
              </w:rPr>
              <w:t>1</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Grèce</w:t>
            </w:r>
          </w:p>
        </w:tc>
        <w:tc>
          <w:tcPr>
            <w:tcW w:w="3251" w:type="dxa"/>
            <w:shd w:val="clear" w:color="auto" w:fill="auto"/>
            <w:vAlign w:val="center"/>
          </w:tcPr>
          <w:p>
            <w:pPr>
              <w:spacing w:before="60" w:after="60"/>
              <w:jc w:val="center"/>
              <w:rPr>
                <w:i/>
                <w:iCs/>
                <w:noProof/>
                <w:color w:val="000000"/>
                <w:szCs w:val="24"/>
              </w:rPr>
            </w:pPr>
            <w:r>
              <w:rPr>
                <w:i/>
                <w:noProof/>
                <w:color w:val="000000"/>
              </w:rPr>
              <w:t>Vouli ton Ellinon</w:t>
            </w:r>
          </w:p>
        </w:tc>
        <w:tc>
          <w:tcPr>
            <w:tcW w:w="1694" w:type="dxa"/>
            <w:shd w:val="clear" w:color="auto" w:fill="auto"/>
            <w:vAlign w:val="center"/>
          </w:tcPr>
          <w:p>
            <w:pPr>
              <w:spacing w:before="60" w:after="60"/>
              <w:jc w:val="center"/>
              <w:rPr>
                <w:noProof/>
                <w:color w:val="000000"/>
                <w:szCs w:val="24"/>
              </w:rPr>
            </w:pPr>
            <w:r>
              <w:rPr>
                <w:noProof/>
                <w:color w:val="000000"/>
              </w:rPr>
              <w:t>1</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Belgique</w:t>
            </w:r>
          </w:p>
        </w:tc>
        <w:tc>
          <w:tcPr>
            <w:tcW w:w="3251" w:type="dxa"/>
            <w:shd w:val="clear" w:color="auto" w:fill="auto"/>
            <w:vAlign w:val="center"/>
          </w:tcPr>
          <w:p>
            <w:pPr>
              <w:spacing w:before="60" w:after="60"/>
              <w:jc w:val="center"/>
              <w:rPr>
                <w:i/>
                <w:iCs/>
                <w:noProof/>
                <w:color w:val="000000"/>
                <w:szCs w:val="24"/>
              </w:rPr>
            </w:pPr>
            <w:r>
              <w:rPr>
                <w:noProof/>
                <w:color w:val="000000"/>
              </w:rPr>
              <w:t>Sénat de Belgique/</w:t>
            </w:r>
            <w:r>
              <w:rPr>
                <w:i/>
                <w:noProof/>
                <w:color w:val="000000"/>
              </w:rPr>
              <w:t>Belgische Senaat</w:t>
            </w:r>
          </w:p>
        </w:tc>
        <w:tc>
          <w:tcPr>
            <w:tcW w:w="1694" w:type="dxa"/>
            <w:shd w:val="clear" w:color="auto" w:fill="auto"/>
            <w:vAlign w:val="center"/>
          </w:tcPr>
          <w:p>
            <w:pPr>
              <w:spacing w:before="60" w:after="60"/>
              <w:jc w:val="center"/>
              <w:rPr>
                <w:noProof/>
                <w:color w:val="000000"/>
                <w:szCs w:val="24"/>
              </w:rPr>
            </w:pPr>
            <w:r>
              <w:rPr>
                <w:noProof/>
                <w:color w:val="000000"/>
              </w:rPr>
              <w:t>0</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Belgique</w:t>
            </w:r>
          </w:p>
        </w:tc>
        <w:tc>
          <w:tcPr>
            <w:tcW w:w="3251" w:type="dxa"/>
            <w:shd w:val="clear" w:color="auto" w:fill="auto"/>
            <w:vAlign w:val="center"/>
          </w:tcPr>
          <w:p>
            <w:pPr>
              <w:spacing w:before="60" w:after="60"/>
              <w:jc w:val="center"/>
              <w:rPr>
                <w:i/>
                <w:iCs/>
                <w:noProof/>
                <w:color w:val="000000"/>
                <w:szCs w:val="24"/>
                <w:lang w:val="nl-NL"/>
              </w:rPr>
            </w:pPr>
            <w:r>
              <w:rPr>
                <w:noProof/>
                <w:color w:val="000000"/>
                <w:lang w:val="nl-NL"/>
              </w:rPr>
              <w:t>Chambre des représentants</w:t>
            </w:r>
            <w:r>
              <w:rPr>
                <w:i/>
                <w:noProof/>
                <w:color w:val="000000"/>
                <w:lang w:val="nl-NL"/>
              </w:rPr>
              <w:t xml:space="preserve"> / Kamer van volksvertegenwoordigers</w:t>
            </w:r>
          </w:p>
        </w:tc>
        <w:tc>
          <w:tcPr>
            <w:tcW w:w="1694" w:type="dxa"/>
            <w:shd w:val="clear" w:color="auto" w:fill="auto"/>
            <w:vAlign w:val="center"/>
          </w:tcPr>
          <w:p>
            <w:pPr>
              <w:spacing w:before="60" w:after="60"/>
              <w:jc w:val="center"/>
              <w:rPr>
                <w:noProof/>
                <w:color w:val="000000"/>
                <w:szCs w:val="24"/>
              </w:rPr>
            </w:pPr>
            <w:r>
              <w:rPr>
                <w:noProof/>
                <w:color w:val="000000"/>
              </w:rPr>
              <w:t>0</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Finlande</w:t>
            </w:r>
          </w:p>
        </w:tc>
        <w:tc>
          <w:tcPr>
            <w:tcW w:w="3251" w:type="dxa"/>
            <w:shd w:val="clear" w:color="auto" w:fill="auto"/>
            <w:vAlign w:val="center"/>
          </w:tcPr>
          <w:p>
            <w:pPr>
              <w:spacing w:before="60" w:after="60"/>
              <w:jc w:val="center"/>
              <w:rPr>
                <w:i/>
                <w:iCs/>
                <w:noProof/>
                <w:color w:val="000000"/>
                <w:szCs w:val="24"/>
              </w:rPr>
            </w:pPr>
            <w:r>
              <w:rPr>
                <w:i/>
                <w:noProof/>
                <w:color w:val="000000"/>
              </w:rPr>
              <w:t>Eduskunta</w:t>
            </w:r>
          </w:p>
        </w:tc>
        <w:tc>
          <w:tcPr>
            <w:tcW w:w="1694" w:type="dxa"/>
            <w:shd w:val="clear" w:color="auto" w:fill="auto"/>
            <w:vAlign w:val="center"/>
          </w:tcPr>
          <w:p>
            <w:pPr>
              <w:spacing w:before="60" w:after="60"/>
              <w:jc w:val="center"/>
              <w:rPr>
                <w:noProof/>
                <w:color w:val="000000"/>
                <w:szCs w:val="24"/>
              </w:rPr>
            </w:pPr>
            <w:r>
              <w:rPr>
                <w:noProof/>
                <w:color w:val="000000"/>
              </w:rPr>
              <w:t>0</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Slovénie</w:t>
            </w:r>
          </w:p>
        </w:tc>
        <w:tc>
          <w:tcPr>
            <w:tcW w:w="3251" w:type="dxa"/>
            <w:shd w:val="clear" w:color="auto" w:fill="auto"/>
            <w:vAlign w:val="center"/>
          </w:tcPr>
          <w:p>
            <w:pPr>
              <w:spacing w:before="60" w:after="60"/>
              <w:jc w:val="center"/>
              <w:rPr>
                <w:i/>
                <w:iCs/>
                <w:noProof/>
                <w:color w:val="000000"/>
                <w:szCs w:val="24"/>
              </w:rPr>
            </w:pPr>
            <w:r>
              <w:rPr>
                <w:i/>
                <w:noProof/>
                <w:color w:val="000000"/>
              </w:rPr>
              <w:t>Državni zbor</w:t>
            </w:r>
          </w:p>
        </w:tc>
        <w:tc>
          <w:tcPr>
            <w:tcW w:w="1694" w:type="dxa"/>
            <w:shd w:val="clear" w:color="auto" w:fill="auto"/>
            <w:vAlign w:val="center"/>
          </w:tcPr>
          <w:p>
            <w:pPr>
              <w:spacing w:before="60" w:after="60"/>
              <w:jc w:val="center"/>
              <w:rPr>
                <w:noProof/>
                <w:color w:val="000000"/>
                <w:szCs w:val="24"/>
              </w:rPr>
            </w:pPr>
            <w:r>
              <w:rPr>
                <w:noProof/>
                <w:color w:val="000000"/>
              </w:rPr>
              <w:t>0</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1943" w:type="dxa"/>
            <w:shd w:val="clear" w:color="auto" w:fill="auto"/>
            <w:vAlign w:val="center"/>
          </w:tcPr>
          <w:p>
            <w:pPr>
              <w:spacing w:before="60" w:after="60"/>
              <w:jc w:val="center"/>
              <w:rPr>
                <w:noProof/>
                <w:color w:val="000000"/>
                <w:szCs w:val="24"/>
              </w:rPr>
            </w:pPr>
            <w:r>
              <w:rPr>
                <w:noProof/>
                <w:color w:val="000000"/>
              </w:rPr>
              <w:t>Slovénie</w:t>
            </w:r>
          </w:p>
        </w:tc>
        <w:tc>
          <w:tcPr>
            <w:tcW w:w="3251" w:type="dxa"/>
            <w:shd w:val="clear" w:color="auto" w:fill="auto"/>
            <w:vAlign w:val="center"/>
          </w:tcPr>
          <w:p>
            <w:pPr>
              <w:spacing w:before="60" w:after="60"/>
              <w:jc w:val="center"/>
              <w:rPr>
                <w:i/>
                <w:iCs/>
                <w:noProof/>
                <w:color w:val="000000"/>
                <w:szCs w:val="24"/>
              </w:rPr>
            </w:pPr>
            <w:r>
              <w:rPr>
                <w:i/>
                <w:noProof/>
                <w:color w:val="000000"/>
              </w:rPr>
              <w:t>Državni svet</w:t>
            </w:r>
          </w:p>
        </w:tc>
        <w:tc>
          <w:tcPr>
            <w:tcW w:w="1694" w:type="dxa"/>
            <w:shd w:val="clear" w:color="auto" w:fill="auto"/>
            <w:vAlign w:val="center"/>
          </w:tcPr>
          <w:p>
            <w:pPr>
              <w:spacing w:before="60" w:after="60"/>
              <w:jc w:val="center"/>
              <w:rPr>
                <w:noProof/>
                <w:color w:val="000000"/>
                <w:szCs w:val="24"/>
              </w:rPr>
            </w:pPr>
            <w:r>
              <w:rPr>
                <w:noProof/>
                <w:color w:val="000000"/>
              </w:rPr>
              <w:t>0</w:t>
            </w:r>
          </w:p>
        </w:tc>
        <w:tc>
          <w:tcPr>
            <w:tcW w:w="2434" w:type="dxa"/>
            <w:shd w:val="clear" w:color="auto" w:fill="auto"/>
            <w:vAlign w:val="center"/>
          </w:tcPr>
          <w:p>
            <w:pPr>
              <w:spacing w:before="60" w:after="60"/>
              <w:jc w:val="center"/>
              <w:rPr>
                <w:noProof/>
                <w:color w:val="000000"/>
                <w:szCs w:val="24"/>
              </w:rPr>
            </w:pPr>
            <w:r>
              <w:rPr>
                <w:noProof/>
                <w:color w:val="000000"/>
              </w:rPr>
              <w:t>0</w:t>
            </w:r>
          </w:p>
        </w:tc>
      </w:tr>
      <w:tr>
        <w:trPr>
          <w:cantSplit/>
          <w:trHeight w:val="340"/>
        </w:trPr>
        <w:tc>
          <w:tcPr>
            <w:tcW w:w="5194" w:type="dxa"/>
            <w:gridSpan w:val="2"/>
            <w:shd w:val="clear" w:color="auto" w:fill="auto"/>
            <w:vAlign w:val="center"/>
          </w:tcPr>
          <w:p>
            <w:pPr>
              <w:spacing w:before="60" w:after="60"/>
              <w:jc w:val="center"/>
              <w:rPr>
                <w:b/>
                <w:noProof/>
              </w:rPr>
            </w:pPr>
            <w:r>
              <w:rPr>
                <w:b/>
                <w:noProof/>
              </w:rPr>
              <w:t>TOTAL</w:t>
            </w:r>
          </w:p>
        </w:tc>
        <w:tc>
          <w:tcPr>
            <w:tcW w:w="1694" w:type="dxa"/>
            <w:shd w:val="clear" w:color="auto" w:fill="auto"/>
            <w:vAlign w:val="center"/>
          </w:tcPr>
          <w:p>
            <w:pPr>
              <w:spacing w:before="60" w:after="60"/>
              <w:jc w:val="center"/>
              <w:rPr>
                <w:b/>
                <w:noProof/>
              </w:rPr>
            </w:pPr>
            <w:r>
              <w:rPr>
                <w:b/>
                <w:noProof/>
              </w:rPr>
              <w:t>620</w:t>
            </w:r>
          </w:p>
        </w:tc>
        <w:tc>
          <w:tcPr>
            <w:tcW w:w="2434" w:type="dxa"/>
            <w:shd w:val="clear" w:color="auto" w:fill="auto"/>
            <w:vAlign w:val="center"/>
          </w:tcPr>
          <w:p>
            <w:pPr>
              <w:spacing w:before="60" w:after="60"/>
              <w:jc w:val="center"/>
              <w:rPr>
                <w:b/>
                <w:noProof/>
              </w:rPr>
            </w:pPr>
            <w:r>
              <w:rPr>
                <w:b/>
                <w:noProof/>
              </w:rPr>
              <w:t>65</w:t>
            </w:r>
          </w:p>
        </w:tc>
      </w:tr>
    </w:tbl>
    <w:p>
      <w:pPr>
        <w:rPr>
          <w:b/>
          <w:noProof/>
          <w:u w:val="single"/>
        </w:rPr>
      </w:pPr>
    </w:p>
    <w:p>
      <w:pPr>
        <w:jc w:val="center"/>
        <w:rPr>
          <w:b/>
          <w:noProof/>
          <w:u w:val="single"/>
        </w:rPr>
      </w:pPr>
    </w:p>
    <w:p>
      <w:pPr>
        <w:jc w:val="center"/>
        <w:rPr>
          <w:b/>
          <w:noProof/>
          <w:u w:val="single"/>
        </w:rPr>
      </w:pPr>
    </w:p>
    <w:p>
      <w:pPr>
        <w:jc w:val="center"/>
        <w:rPr>
          <w:b/>
          <w:noProof/>
          <w:u w:val="single"/>
        </w:rPr>
      </w:pPr>
    </w:p>
    <w:p>
      <w:pPr>
        <w:jc w:val="center"/>
        <w:rPr>
          <w:b/>
          <w:noProof/>
          <w:u w:val="single"/>
        </w:rPr>
      </w:pPr>
      <w:r>
        <w:rPr>
          <w:b/>
          <w:noProof/>
          <w:u w:val="single"/>
        </w:rPr>
        <w:t>Annexe 2</w:t>
      </w:r>
    </w:p>
    <w:p>
      <w:pPr>
        <w:jc w:val="center"/>
        <w:rPr>
          <w:b/>
          <w:noProof/>
        </w:rPr>
      </w:pPr>
      <w:r>
        <w:rPr>
          <w:b/>
          <w:noProof/>
        </w:rPr>
        <w:t>Documents de la Commission à l’origine du plus grand nombre d’avis</w:t>
      </w:r>
      <w:r>
        <w:rPr>
          <w:rStyle w:val="FootnoteReference"/>
          <w:noProof/>
        </w:rPr>
        <w:footnoteReference w:id="5"/>
      </w:r>
      <w:r>
        <w:rPr>
          <w:b/>
          <w:noProof/>
        </w:rPr>
        <w:t xml:space="preserve"> reçus par la Commission en 2016 (dialogue politique et mécanisme de contrôle de la subsidiarité)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143"/>
        <w:gridCol w:w="2904"/>
        <w:gridCol w:w="1180"/>
        <w:gridCol w:w="1340"/>
      </w:tblGrid>
      <w:tr>
        <w:trPr>
          <w:cantSplit/>
          <w:trHeight w:val="397"/>
          <w:tblHeader/>
        </w:trPr>
        <w:tc>
          <w:tcPr>
            <w:tcW w:w="0" w:type="auto"/>
            <w:tcBorders>
              <w:top w:val="single" w:sz="4" w:space="0" w:color="auto"/>
              <w:left w:val="single" w:sz="4" w:space="0" w:color="auto"/>
            </w:tcBorders>
            <w:shd w:val="clear" w:color="auto" w:fill="auto"/>
          </w:tcPr>
          <w:p>
            <w:pPr>
              <w:spacing w:after="0"/>
              <w:rPr>
                <w:b/>
                <w:noProof/>
              </w:rPr>
            </w:pPr>
          </w:p>
        </w:tc>
        <w:tc>
          <w:tcPr>
            <w:tcW w:w="0" w:type="auto"/>
            <w:shd w:val="clear" w:color="auto" w:fill="auto"/>
          </w:tcPr>
          <w:p>
            <w:pPr>
              <w:spacing w:after="0"/>
              <w:jc w:val="center"/>
              <w:rPr>
                <w:b/>
                <w:noProof/>
                <w:sz w:val="16"/>
                <w:szCs w:val="16"/>
              </w:rPr>
            </w:pPr>
          </w:p>
          <w:p>
            <w:pPr>
              <w:spacing w:after="0"/>
              <w:jc w:val="center"/>
              <w:rPr>
                <w:b/>
                <w:noProof/>
                <w:sz w:val="4"/>
                <w:szCs w:val="4"/>
              </w:rPr>
            </w:pPr>
          </w:p>
          <w:p>
            <w:pPr>
              <w:spacing w:after="0"/>
              <w:jc w:val="center"/>
              <w:rPr>
                <w:b/>
                <w:noProof/>
                <w:sz w:val="4"/>
                <w:szCs w:val="4"/>
              </w:rPr>
            </w:pPr>
          </w:p>
          <w:p>
            <w:pPr>
              <w:spacing w:after="0"/>
              <w:jc w:val="center"/>
              <w:rPr>
                <w:b/>
                <w:noProof/>
                <w:sz w:val="4"/>
                <w:szCs w:val="4"/>
              </w:rPr>
            </w:pPr>
          </w:p>
          <w:p>
            <w:pPr>
              <w:spacing w:after="0"/>
              <w:jc w:val="center"/>
              <w:rPr>
                <w:b/>
                <w:noProof/>
                <w:sz w:val="4"/>
                <w:szCs w:val="4"/>
              </w:rPr>
            </w:pPr>
          </w:p>
          <w:p>
            <w:pPr>
              <w:spacing w:after="0"/>
              <w:jc w:val="center"/>
              <w:rPr>
                <w:b/>
                <w:noProof/>
                <w:sz w:val="4"/>
                <w:szCs w:val="4"/>
              </w:rPr>
            </w:pPr>
          </w:p>
          <w:p>
            <w:pPr>
              <w:spacing w:after="0"/>
              <w:jc w:val="center"/>
              <w:rPr>
                <w:b/>
                <w:noProof/>
                <w:sz w:val="4"/>
                <w:szCs w:val="4"/>
              </w:rPr>
            </w:pPr>
          </w:p>
          <w:p>
            <w:pPr>
              <w:spacing w:after="0"/>
              <w:jc w:val="center"/>
              <w:rPr>
                <w:b/>
                <w:noProof/>
              </w:rPr>
            </w:pPr>
            <w:r>
              <w:rPr>
                <w:b/>
                <w:noProof/>
              </w:rPr>
              <w:t>Document de la Commission</w:t>
            </w:r>
          </w:p>
        </w:tc>
        <w:tc>
          <w:tcPr>
            <w:tcW w:w="2904" w:type="dxa"/>
            <w:shd w:val="clear" w:color="auto" w:fill="auto"/>
          </w:tcPr>
          <w:p>
            <w:pPr>
              <w:spacing w:after="0"/>
              <w:ind w:left="720" w:hanging="720"/>
              <w:jc w:val="center"/>
              <w:rPr>
                <w:b/>
                <w:noProof/>
              </w:rPr>
            </w:pPr>
          </w:p>
          <w:p>
            <w:pPr>
              <w:spacing w:after="0"/>
              <w:ind w:left="720" w:hanging="720"/>
              <w:jc w:val="center"/>
              <w:rPr>
                <w:b/>
                <w:noProof/>
              </w:rPr>
            </w:pPr>
          </w:p>
          <w:p>
            <w:pPr>
              <w:spacing w:after="0"/>
              <w:ind w:left="720" w:hanging="720"/>
              <w:jc w:val="center"/>
              <w:rPr>
                <w:b/>
                <w:noProof/>
              </w:rPr>
            </w:pPr>
            <w:r>
              <w:rPr>
                <w:b/>
                <w:noProof/>
              </w:rPr>
              <w:t>Intitulé</w:t>
            </w:r>
          </w:p>
        </w:tc>
        <w:tc>
          <w:tcPr>
            <w:tcW w:w="1180" w:type="dxa"/>
            <w:shd w:val="clear" w:color="auto" w:fill="auto"/>
          </w:tcPr>
          <w:p>
            <w:pPr>
              <w:spacing w:after="0"/>
              <w:jc w:val="center"/>
              <w:rPr>
                <w:b/>
                <w:noProof/>
                <w:sz w:val="4"/>
                <w:szCs w:val="4"/>
              </w:rPr>
            </w:pPr>
          </w:p>
          <w:p>
            <w:pPr>
              <w:spacing w:after="0"/>
              <w:jc w:val="center"/>
              <w:rPr>
                <w:b/>
                <w:noProof/>
                <w:sz w:val="4"/>
                <w:szCs w:val="4"/>
              </w:rPr>
            </w:pPr>
          </w:p>
          <w:p>
            <w:pPr>
              <w:spacing w:after="0"/>
              <w:jc w:val="center"/>
              <w:rPr>
                <w:b/>
                <w:noProof/>
                <w:sz w:val="4"/>
                <w:szCs w:val="4"/>
              </w:rPr>
            </w:pPr>
          </w:p>
          <w:p>
            <w:pPr>
              <w:spacing w:after="0"/>
              <w:jc w:val="center"/>
              <w:rPr>
                <w:b/>
                <w:noProof/>
              </w:rPr>
            </w:pPr>
            <w:r>
              <w:rPr>
                <w:b/>
                <w:noProof/>
              </w:rPr>
              <w:t>Nombre total d’avis</w:t>
            </w:r>
            <w:r>
              <w:rPr>
                <w:rStyle w:val="FootnoteReference"/>
                <w:noProof/>
              </w:rPr>
              <w:footnoteReference w:id="6"/>
            </w:r>
          </w:p>
        </w:tc>
        <w:tc>
          <w:tcPr>
            <w:tcW w:w="1340" w:type="dxa"/>
            <w:shd w:val="clear" w:color="auto" w:fill="auto"/>
          </w:tcPr>
          <w:p>
            <w:pPr>
              <w:spacing w:after="0"/>
              <w:jc w:val="center"/>
              <w:rPr>
                <w:b/>
                <w:noProof/>
              </w:rPr>
            </w:pPr>
            <w:r>
              <w:rPr>
                <w:b/>
                <w:noProof/>
              </w:rPr>
              <w:t>Dont avis motivés (protocole nº 2)</w:t>
            </w:r>
            <w:r>
              <w:rPr>
                <w:rStyle w:val="FootnoteReference"/>
                <w:noProof/>
              </w:rPr>
              <w:footnoteReference w:id="7"/>
            </w:r>
          </w:p>
        </w:tc>
      </w:tr>
      <w:tr>
        <w:trPr>
          <w:cantSplit/>
          <w:trHeight w:val="397"/>
        </w:trPr>
        <w:tc>
          <w:tcPr>
            <w:tcW w:w="0" w:type="auto"/>
            <w:shd w:val="clear" w:color="auto" w:fill="auto"/>
          </w:tcPr>
          <w:p>
            <w:pPr>
              <w:spacing w:after="0"/>
              <w:rPr>
                <w:rFonts w:cs="Times New Roman"/>
                <w:noProof/>
                <w:sz w:val="22"/>
              </w:rPr>
            </w:pPr>
            <w:r>
              <w:rPr>
                <w:noProof/>
                <w:sz w:val="22"/>
              </w:rPr>
              <w:t>1</w:t>
            </w:r>
          </w:p>
        </w:tc>
        <w:tc>
          <w:tcPr>
            <w:tcW w:w="0" w:type="auto"/>
            <w:shd w:val="clear" w:color="auto" w:fill="auto"/>
          </w:tcPr>
          <w:p>
            <w:pPr>
              <w:spacing w:after="0"/>
              <w:rPr>
                <w:rFonts w:cs="Times New Roman"/>
                <w:noProof/>
                <w:color w:val="000000"/>
                <w:sz w:val="22"/>
              </w:rPr>
            </w:pPr>
            <w:r>
              <w:rPr>
                <w:noProof/>
                <w:color w:val="000000"/>
                <w:sz w:val="22"/>
              </w:rPr>
              <w:t>COM(2015) 610</w:t>
            </w:r>
          </w:p>
        </w:tc>
        <w:tc>
          <w:tcPr>
            <w:tcW w:w="2904" w:type="dxa"/>
            <w:shd w:val="clear" w:color="auto" w:fill="auto"/>
          </w:tcPr>
          <w:p>
            <w:pPr>
              <w:spacing w:after="0"/>
              <w:rPr>
                <w:rFonts w:cs="Times New Roman"/>
                <w:noProof/>
                <w:color w:val="000000"/>
                <w:sz w:val="22"/>
              </w:rPr>
            </w:pPr>
            <w:r>
              <w:rPr>
                <w:noProof/>
                <w:color w:val="000000"/>
                <w:sz w:val="22"/>
              </w:rPr>
              <w:t>Communication sur le programme de travail de la Commission pour 2016: l’heure n’est plus à une gestion conventionnelle.</w:t>
            </w:r>
          </w:p>
        </w:tc>
        <w:tc>
          <w:tcPr>
            <w:tcW w:w="1180" w:type="dxa"/>
            <w:shd w:val="clear" w:color="auto" w:fill="auto"/>
          </w:tcPr>
          <w:p>
            <w:pPr>
              <w:spacing w:after="0"/>
              <w:rPr>
                <w:rFonts w:cs="Times New Roman"/>
                <w:noProof/>
                <w:color w:val="000000"/>
                <w:sz w:val="22"/>
              </w:rPr>
            </w:pPr>
            <w:r>
              <w:rPr>
                <w:noProof/>
                <w:color w:val="000000"/>
                <w:sz w:val="22"/>
              </w:rPr>
              <w:t>25</w:t>
            </w:r>
          </w:p>
        </w:tc>
        <w:tc>
          <w:tcPr>
            <w:tcW w:w="1340" w:type="dxa"/>
            <w:shd w:val="clear" w:color="auto" w:fill="auto"/>
          </w:tcPr>
          <w:p>
            <w:pPr>
              <w:spacing w:after="0"/>
              <w:rPr>
                <w:rFonts w:cs="Times New Roman"/>
                <w:noProof/>
                <w:sz w:val="22"/>
              </w:rPr>
            </w:pPr>
            <w:r>
              <w:rPr>
                <w:noProof/>
                <w:sz w:val="22"/>
              </w:rPr>
              <w:t>0</w:t>
            </w:r>
          </w:p>
        </w:tc>
      </w:tr>
      <w:tr>
        <w:trPr>
          <w:cantSplit/>
          <w:trHeight w:val="397"/>
        </w:trPr>
        <w:tc>
          <w:tcPr>
            <w:tcW w:w="0" w:type="auto"/>
            <w:shd w:val="clear" w:color="auto" w:fill="auto"/>
          </w:tcPr>
          <w:p>
            <w:pPr>
              <w:spacing w:after="0"/>
              <w:rPr>
                <w:rFonts w:cs="Times New Roman"/>
                <w:noProof/>
                <w:sz w:val="22"/>
              </w:rPr>
            </w:pPr>
            <w:r>
              <w:rPr>
                <w:noProof/>
                <w:sz w:val="22"/>
              </w:rPr>
              <w:t>2</w:t>
            </w:r>
          </w:p>
        </w:tc>
        <w:tc>
          <w:tcPr>
            <w:tcW w:w="0" w:type="auto"/>
            <w:shd w:val="clear" w:color="auto" w:fill="auto"/>
          </w:tcPr>
          <w:p>
            <w:pPr>
              <w:spacing w:after="0"/>
              <w:rPr>
                <w:rFonts w:cs="Times New Roman"/>
                <w:noProof/>
                <w:color w:val="000000"/>
                <w:sz w:val="22"/>
              </w:rPr>
            </w:pPr>
            <w:r>
              <w:rPr>
                <w:noProof/>
                <w:color w:val="000000"/>
                <w:sz w:val="22"/>
              </w:rPr>
              <w:t>COM(2016) 128</w:t>
            </w:r>
          </w:p>
        </w:tc>
        <w:tc>
          <w:tcPr>
            <w:tcW w:w="2904" w:type="dxa"/>
            <w:shd w:val="clear" w:color="auto" w:fill="auto"/>
          </w:tcPr>
          <w:p>
            <w:pPr>
              <w:spacing w:after="0"/>
              <w:rPr>
                <w:rFonts w:cs="Times New Roman"/>
                <w:noProof/>
                <w:color w:val="000000"/>
                <w:sz w:val="22"/>
              </w:rPr>
            </w:pPr>
            <w:r>
              <w:rPr>
                <w:noProof/>
                <w:color w:val="000000"/>
                <w:sz w:val="22"/>
              </w:rPr>
              <w:t>Proposition de directive modifiant la directive 96/71/CE du Parlement européen et du Conseil du 16 décembre 1996 concernant le détachement de travailleurs effectué dans le cadre d’une prestation de services</w:t>
            </w:r>
          </w:p>
        </w:tc>
        <w:tc>
          <w:tcPr>
            <w:tcW w:w="1180" w:type="dxa"/>
            <w:shd w:val="clear" w:color="auto" w:fill="auto"/>
          </w:tcPr>
          <w:p>
            <w:pPr>
              <w:spacing w:after="0"/>
              <w:rPr>
                <w:rFonts w:cs="Times New Roman"/>
                <w:noProof/>
                <w:color w:val="000000"/>
                <w:sz w:val="22"/>
              </w:rPr>
            </w:pPr>
            <w:r>
              <w:rPr>
                <w:noProof/>
                <w:color w:val="000000"/>
                <w:sz w:val="22"/>
              </w:rPr>
              <w:t>23</w:t>
            </w:r>
          </w:p>
        </w:tc>
        <w:tc>
          <w:tcPr>
            <w:tcW w:w="1340" w:type="dxa"/>
            <w:shd w:val="clear" w:color="auto" w:fill="auto"/>
          </w:tcPr>
          <w:p>
            <w:pPr>
              <w:spacing w:after="0"/>
              <w:rPr>
                <w:rFonts w:cs="Times New Roman"/>
                <w:noProof/>
                <w:sz w:val="22"/>
              </w:rPr>
            </w:pPr>
            <w:r>
              <w:rPr>
                <w:noProof/>
                <w:sz w:val="22"/>
              </w:rPr>
              <w:t>14</w:t>
            </w:r>
          </w:p>
        </w:tc>
      </w:tr>
      <w:tr>
        <w:trPr>
          <w:cantSplit/>
          <w:trHeight w:val="397"/>
        </w:trPr>
        <w:tc>
          <w:tcPr>
            <w:tcW w:w="0" w:type="auto"/>
            <w:shd w:val="clear" w:color="auto" w:fill="auto"/>
          </w:tcPr>
          <w:p>
            <w:pPr>
              <w:spacing w:after="0"/>
              <w:rPr>
                <w:rFonts w:cs="Times New Roman"/>
                <w:noProof/>
                <w:sz w:val="22"/>
              </w:rPr>
            </w:pPr>
            <w:r>
              <w:rPr>
                <w:noProof/>
                <w:sz w:val="22"/>
              </w:rPr>
              <w:t>3</w:t>
            </w:r>
          </w:p>
        </w:tc>
        <w:tc>
          <w:tcPr>
            <w:tcW w:w="0" w:type="auto"/>
            <w:shd w:val="clear" w:color="auto" w:fill="auto"/>
          </w:tcPr>
          <w:p>
            <w:pPr>
              <w:spacing w:after="0"/>
              <w:rPr>
                <w:rFonts w:cs="Times New Roman"/>
                <w:noProof/>
                <w:color w:val="000000"/>
                <w:sz w:val="22"/>
              </w:rPr>
            </w:pPr>
            <w:r>
              <w:rPr>
                <w:noProof/>
                <w:color w:val="000000"/>
                <w:sz w:val="22"/>
              </w:rPr>
              <w:t>COM(2016) 270</w:t>
            </w:r>
          </w:p>
        </w:tc>
        <w:tc>
          <w:tcPr>
            <w:tcW w:w="2904" w:type="dxa"/>
            <w:shd w:val="clear" w:color="auto" w:fill="auto"/>
          </w:tcPr>
          <w:p>
            <w:pPr>
              <w:spacing w:after="0"/>
              <w:rPr>
                <w:rFonts w:cs="Times New Roman"/>
                <w:noProof/>
                <w:color w:val="000000"/>
                <w:sz w:val="22"/>
              </w:rPr>
            </w:pPr>
            <w:r>
              <w:rPr>
                <w:noProof/>
                <w:color w:val="000000"/>
                <w:sz w:val="22"/>
              </w:rPr>
              <w:t>Proposition de règlement établissant les critères et mécanismes de détermination de l’État membre responsable de l’examen d’une demande de protection internationale introduite dans l’un des États membres par un ressortissant de pays tiers ou un apatride (refonte)</w:t>
            </w:r>
          </w:p>
        </w:tc>
        <w:tc>
          <w:tcPr>
            <w:tcW w:w="1180" w:type="dxa"/>
            <w:shd w:val="clear" w:color="auto" w:fill="auto"/>
          </w:tcPr>
          <w:p>
            <w:pPr>
              <w:spacing w:after="0"/>
              <w:rPr>
                <w:rFonts w:cs="Times New Roman"/>
                <w:noProof/>
                <w:color w:val="000000"/>
                <w:sz w:val="22"/>
              </w:rPr>
            </w:pPr>
            <w:r>
              <w:rPr>
                <w:noProof/>
                <w:color w:val="000000"/>
                <w:sz w:val="22"/>
              </w:rPr>
              <w:t>14</w:t>
            </w:r>
            <w:r>
              <w:rPr>
                <w:rStyle w:val="FootnoteReference"/>
                <w:noProof/>
                <w:color w:val="000000"/>
                <w:sz w:val="22"/>
              </w:rPr>
              <w:footnoteReference w:id="8"/>
            </w:r>
          </w:p>
        </w:tc>
        <w:tc>
          <w:tcPr>
            <w:tcW w:w="1340" w:type="dxa"/>
            <w:shd w:val="clear" w:color="auto" w:fill="auto"/>
          </w:tcPr>
          <w:p>
            <w:pPr>
              <w:spacing w:after="0"/>
              <w:rPr>
                <w:rFonts w:cs="Times New Roman"/>
                <w:noProof/>
                <w:sz w:val="22"/>
              </w:rPr>
            </w:pPr>
            <w:r>
              <w:rPr>
                <w:noProof/>
                <w:sz w:val="22"/>
              </w:rPr>
              <w:t>8</w:t>
            </w:r>
          </w:p>
        </w:tc>
      </w:tr>
      <w:tr>
        <w:trPr>
          <w:cantSplit/>
          <w:trHeight w:val="397"/>
        </w:trPr>
        <w:tc>
          <w:tcPr>
            <w:tcW w:w="0" w:type="auto"/>
            <w:shd w:val="clear" w:color="auto" w:fill="auto"/>
          </w:tcPr>
          <w:p>
            <w:pPr>
              <w:spacing w:after="0"/>
              <w:rPr>
                <w:rFonts w:cs="Times New Roman"/>
                <w:noProof/>
                <w:sz w:val="22"/>
              </w:rPr>
            </w:pPr>
            <w:r>
              <w:rPr>
                <w:noProof/>
                <w:sz w:val="22"/>
              </w:rPr>
              <w:t>4</w:t>
            </w:r>
          </w:p>
        </w:tc>
        <w:tc>
          <w:tcPr>
            <w:tcW w:w="0" w:type="auto"/>
            <w:shd w:val="clear" w:color="auto" w:fill="auto"/>
          </w:tcPr>
          <w:p>
            <w:pPr>
              <w:spacing w:after="0"/>
              <w:rPr>
                <w:rFonts w:cs="Times New Roman"/>
                <w:noProof/>
                <w:color w:val="000000"/>
                <w:sz w:val="22"/>
              </w:rPr>
            </w:pPr>
            <w:r>
              <w:rPr>
                <w:noProof/>
                <w:color w:val="000000"/>
                <w:sz w:val="22"/>
              </w:rPr>
              <w:t>COM(2015) 635</w:t>
            </w:r>
          </w:p>
        </w:tc>
        <w:tc>
          <w:tcPr>
            <w:tcW w:w="2904" w:type="dxa"/>
            <w:shd w:val="clear" w:color="auto" w:fill="auto"/>
          </w:tcPr>
          <w:p>
            <w:pPr>
              <w:spacing w:after="0"/>
              <w:rPr>
                <w:rFonts w:cs="Times New Roman"/>
                <w:noProof/>
                <w:color w:val="000000"/>
                <w:sz w:val="22"/>
              </w:rPr>
            </w:pPr>
            <w:r>
              <w:rPr>
                <w:noProof/>
                <w:color w:val="000000"/>
                <w:sz w:val="22"/>
              </w:rPr>
              <w:t>Proposition de directive du Parlement européen et du Conseil concernant certains aspects des contrats de ventes en ligne et de toute autre vente à distance de biens</w:t>
            </w:r>
          </w:p>
        </w:tc>
        <w:tc>
          <w:tcPr>
            <w:tcW w:w="1180" w:type="dxa"/>
            <w:shd w:val="clear" w:color="auto" w:fill="auto"/>
          </w:tcPr>
          <w:p>
            <w:pPr>
              <w:spacing w:after="0"/>
              <w:rPr>
                <w:rFonts w:cs="Times New Roman"/>
                <w:noProof/>
                <w:color w:val="000000"/>
                <w:sz w:val="22"/>
              </w:rPr>
            </w:pPr>
            <w:r>
              <w:rPr>
                <w:noProof/>
                <w:color w:val="000000"/>
                <w:sz w:val="22"/>
              </w:rPr>
              <w:t>12</w:t>
            </w:r>
            <w:r>
              <w:rPr>
                <w:rStyle w:val="FootnoteReference"/>
                <w:noProof/>
                <w:color w:val="000000"/>
                <w:sz w:val="22"/>
              </w:rPr>
              <w:footnoteReference w:id="9"/>
            </w:r>
          </w:p>
        </w:tc>
        <w:tc>
          <w:tcPr>
            <w:tcW w:w="1340" w:type="dxa"/>
            <w:shd w:val="clear" w:color="auto" w:fill="auto"/>
          </w:tcPr>
          <w:p>
            <w:pPr>
              <w:spacing w:after="0"/>
              <w:rPr>
                <w:rFonts w:cs="Times New Roman"/>
                <w:noProof/>
                <w:sz w:val="22"/>
              </w:rPr>
            </w:pPr>
            <w:r>
              <w:rPr>
                <w:noProof/>
                <w:sz w:val="22"/>
              </w:rPr>
              <w:t>1</w:t>
            </w:r>
          </w:p>
        </w:tc>
      </w:tr>
      <w:tr>
        <w:trPr>
          <w:cantSplit/>
          <w:trHeight w:val="397"/>
        </w:trPr>
        <w:tc>
          <w:tcPr>
            <w:tcW w:w="0" w:type="auto"/>
            <w:shd w:val="clear" w:color="auto" w:fill="auto"/>
          </w:tcPr>
          <w:p>
            <w:pPr>
              <w:spacing w:after="0"/>
              <w:rPr>
                <w:rFonts w:cs="Times New Roman"/>
                <w:noProof/>
                <w:sz w:val="22"/>
              </w:rPr>
            </w:pPr>
            <w:r>
              <w:rPr>
                <w:noProof/>
                <w:sz w:val="22"/>
              </w:rPr>
              <w:t>5</w:t>
            </w:r>
          </w:p>
        </w:tc>
        <w:tc>
          <w:tcPr>
            <w:tcW w:w="0" w:type="auto"/>
            <w:shd w:val="clear" w:color="auto" w:fill="auto"/>
          </w:tcPr>
          <w:p>
            <w:pPr>
              <w:spacing w:after="0"/>
              <w:rPr>
                <w:rFonts w:cs="Times New Roman"/>
                <w:noProof/>
                <w:color w:val="000000"/>
                <w:sz w:val="22"/>
              </w:rPr>
            </w:pPr>
            <w:r>
              <w:rPr>
                <w:noProof/>
                <w:color w:val="000000"/>
                <w:sz w:val="22"/>
              </w:rPr>
              <w:t>COM(2016) 683</w:t>
            </w:r>
          </w:p>
        </w:tc>
        <w:tc>
          <w:tcPr>
            <w:tcW w:w="2904" w:type="dxa"/>
            <w:shd w:val="clear" w:color="auto" w:fill="auto"/>
          </w:tcPr>
          <w:p>
            <w:pPr>
              <w:spacing w:after="0"/>
              <w:rPr>
                <w:rFonts w:cs="Times New Roman"/>
                <w:noProof/>
                <w:color w:val="000000"/>
                <w:sz w:val="22"/>
              </w:rPr>
            </w:pPr>
            <w:r>
              <w:rPr>
                <w:noProof/>
                <w:color w:val="000000"/>
                <w:sz w:val="22"/>
              </w:rPr>
              <w:t>Proposition de directive du Conseil concernant une assiette commune consolidée pour l’impôt sur les sociétés (ACCIS)</w:t>
            </w:r>
          </w:p>
        </w:tc>
        <w:tc>
          <w:tcPr>
            <w:tcW w:w="1180" w:type="dxa"/>
            <w:shd w:val="clear" w:color="auto" w:fill="auto"/>
          </w:tcPr>
          <w:p>
            <w:pPr>
              <w:spacing w:after="0"/>
              <w:rPr>
                <w:rFonts w:cs="Times New Roman"/>
                <w:noProof/>
                <w:color w:val="000000"/>
                <w:sz w:val="22"/>
              </w:rPr>
            </w:pPr>
            <w:r>
              <w:rPr>
                <w:noProof/>
                <w:color w:val="000000"/>
                <w:sz w:val="22"/>
              </w:rPr>
              <w:t>11</w:t>
            </w:r>
            <w:r>
              <w:rPr>
                <w:rStyle w:val="FootnoteReference"/>
                <w:noProof/>
                <w:color w:val="000000"/>
                <w:sz w:val="22"/>
              </w:rPr>
              <w:footnoteReference w:id="10"/>
            </w:r>
          </w:p>
        </w:tc>
        <w:tc>
          <w:tcPr>
            <w:tcW w:w="1340" w:type="dxa"/>
            <w:shd w:val="clear" w:color="auto" w:fill="auto"/>
          </w:tcPr>
          <w:p>
            <w:pPr>
              <w:spacing w:after="0"/>
              <w:rPr>
                <w:rFonts w:cs="Times New Roman"/>
                <w:noProof/>
                <w:sz w:val="22"/>
              </w:rPr>
            </w:pPr>
            <w:r>
              <w:rPr>
                <w:noProof/>
                <w:sz w:val="22"/>
              </w:rPr>
              <w:t>8</w:t>
            </w:r>
          </w:p>
        </w:tc>
      </w:tr>
      <w:tr>
        <w:trPr>
          <w:cantSplit/>
          <w:trHeight w:val="397"/>
        </w:trPr>
        <w:tc>
          <w:tcPr>
            <w:tcW w:w="0" w:type="auto"/>
            <w:shd w:val="clear" w:color="auto" w:fill="auto"/>
          </w:tcPr>
          <w:p>
            <w:pPr>
              <w:spacing w:after="0"/>
              <w:rPr>
                <w:rFonts w:cs="Times New Roman"/>
                <w:noProof/>
                <w:sz w:val="22"/>
              </w:rPr>
            </w:pPr>
            <w:r>
              <w:rPr>
                <w:noProof/>
                <w:sz w:val="22"/>
              </w:rPr>
              <w:t>6</w:t>
            </w:r>
          </w:p>
        </w:tc>
        <w:tc>
          <w:tcPr>
            <w:tcW w:w="0" w:type="auto"/>
            <w:shd w:val="clear" w:color="auto" w:fill="auto"/>
          </w:tcPr>
          <w:p>
            <w:pPr>
              <w:spacing w:after="0"/>
              <w:rPr>
                <w:rFonts w:cs="Times New Roman"/>
                <w:noProof/>
                <w:color w:val="000000"/>
                <w:sz w:val="22"/>
              </w:rPr>
            </w:pPr>
            <w:r>
              <w:rPr>
                <w:noProof/>
                <w:color w:val="000000"/>
                <w:sz w:val="22"/>
              </w:rPr>
              <w:t>COM(2016) 685</w:t>
            </w:r>
          </w:p>
        </w:tc>
        <w:tc>
          <w:tcPr>
            <w:tcW w:w="2904" w:type="dxa"/>
            <w:shd w:val="clear" w:color="auto" w:fill="auto"/>
          </w:tcPr>
          <w:p>
            <w:pPr>
              <w:spacing w:after="0"/>
              <w:rPr>
                <w:rFonts w:cs="Times New Roman"/>
                <w:noProof/>
                <w:color w:val="000000"/>
                <w:sz w:val="22"/>
              </w:rPr>
            </w:pPr>
            <w:r>
              <w:rPr>
                <w:noProof/>
                <w:color w:val="000000"/>
                <w:sz w:val="22"/>
              </w:rPr>
              <w:t>Proposition de directive du Conseil concernant une assiette commune pour l’impôt sur les sociétés</w:t>
            </w:r>
          </w:p>
        </w:tc>
        <w:tc>
          <w:tcPr>
            <w:tcW w:w="1180" w:type="dxa"/>
            <w:shd w:val="clear" w:color="auto" w:fill="auto"/>
          </w:tcPr>
          <w:p>
            <w:pPr>
              <w:spacing w:after="0"/>
              <w:rPr>
                <w:rFonts w:cs="Times New Roman"/>
                <w:noProof/>
                <w:color w:val="000000"/>
                <w:sz w:val="22"/>
              </w:rPr>
            </w:pPr>
            <w:r>
              <w:rPr>
                <w:noProof/>
                <w:color w:val="000000"/>
                <w:sz w:val="22"/>
              </w:rPr>
              <w:t>11</w:t>
            </w:r>
            <w:r>
              <w:rPr>
                <w:rStyle w:val="FootnoteReference"/>
                <w:noProof/>
                <w:color w:val="000000"/>
                <w:sz w:val="22"/>
              </w:rPr>
              <w:footnoteReference w:id="11"/>
            </w:r>
          </w:p>
        </w:tc>
        <w:tc>
          <w:tcPr>
            <w:tcW w:w="1340" w:type="dxa"/>
            <w:shd w:val="clear" w:color="auto" w:fill="auto"/>
          </w:tcPr>
          <w:p>
            <w:pPr>
              <w:spacing w:after="0"/>
              <w:rPr>
                <w:rFonts w:cs="Times New Roman"/>
                <w:noProof/>
                <w:sz w:val="22"/>
              </w:rPr>
            </w:pPr>
            <w:r>
              <w:rPr>
                <w:noProof/>
                <w:sz w:val="22"/>
              </w:rPr>
              <w:t>8</w:t>
            </w:r>
          </w:p>
        </w:tc>
      </w:tr>
      <w:tr>
        <w:trPr>
          <w:cantSplit/>
          <w:trHeight w:val="397"/>
        </w:trPr>
        <w:tc>
          <w:tcPr>
            <w:tcW w:w="0" w:type="auto"/>
            <w:shd w:val="clear" w:color="auto" w:fill="auto"/>
          </w:tcPr>
          <w:p>
            <w:pPr>
              <w:spacing w:after="0"/>
              <w:rPr>
                <w:rFonts w:cs="Times New Roman"/>
                <w:noProof/>
                <w:sz w:val="22"/>
              </w:rPr>
            </w:pPr>
            <w:r>
              <w:rPr>
                <w:noProof/>
                <w:sz w:val="22"/>
              </w:rPr>
              <w:t>7</w:t>
            </w:r>
          </w:p>
        </w:tc>
        <w:tc>
          <w:tcPr>
            <w:tcW w:w="0" w:type="auto"/>
            <w:shd w:val="clear" w:color="auto" w:fill="auto"/>
          </w:tcPr>
          <w:p>
            <w:pPr>
              <w:spacing w:after="0"/>
              <w:rPr>
                <w:rFonts w:cs="Times New Roman"/>
                <w:noProof/>
                <w:color w:val="000000"/>
                <w:sz w:val="22"/>
              </w:rPr>
            </w:pPr>
            <w:r>
              <w:rPr>
                <w:noProof/>
                <w:color w:val="000000"/>
                <w:sz w:val="22"/>
              </w:rPr>
              <w:t>COM(2015) 634</w:t>
            </w:r>
          </w:p>
        </w:tc>
        <w:tc>
          <w:tcPr>
            <w:tcW w:w="2904" w:type="dxa"/>
            <w:shd w:val="clear" w:color="auto" w:fill="auto"/>
          </w:tcPr>
          <w:p>
            <w:pPr>
              <w:spacing w:after="0"/>
              <w:rPr>
                <w:rFonts w:cs="Times New Roman"/>
                <w:noProof/>
                <w:color w:val="000000"/>
                <w:sz w:val="22"/>
              </w:rPr>
            </w:pPr>
            <w:r>
              <w:rPr>
                <w:noProof/>
                <w:color w:val="000000"/>
                <w:sz w:val="22"/>
              </w:rPr>
              <w:t>Proposition de directive concernant certains aspects des contrats de fourniture de contenu numérique</w:t>
            </w:r>
          </w:p>
        </w:tc>
        <w:tc>
          <w:tcPr>
            <w:tcW w:w="1180" w:type="dxa"/>
            <w:shd w:val="clear" w:color="auto" w:fill="auto"/>
          </w:tcPr>
          <w:p>
            <w:pPr>
              <w:spacing w:after="0"/>
              <w:rPr>
                <w:rFonts w:cs="Times New Roman"/>
                <w:noProof/>
                <w:color w:val="000000"/>
                <w:sz w:val="22"/>
              </w:rPr>
            </w:pPr>
            <w:r>
              <w:rPr>
                <w:noProof/>
                <w:color w:val="000000"/>
                <w:sz w:val="22"/>
              </w:rPr>
              <w:t>11</w:t>
            </w:r>
            <w:r>
              <w:rPr>
                <w:rStyle w:val="FootnoteReference"/>
                <w:noProof/>
                <w:color w:val="000000"/>
                <w:sz w:val="22"/>
              </w:rPr>
              <w:footnoteReference w:id="12"/>
            </w:r>
          </w:p>
        </w:tc>
        <w:tc>
          <w:tcPr>
            <w:tcW w:w="1340" w:type="dxa"/>
            <w:shd w:val="clear" w:color="auto" w:fill="auto"/>
          </w:tcPr>
          <w:p>
            <w:pPr>
              <w:spacing w:after="0"/>
              <w:rPr>
                <w:rFonts w:cs="Times New Roman"/>
                <w:noProof/>
                <w:sz w:val="22"/>
              </w:rPr>
            </w:pPr>
            <w:r>
              <w:rPr>
                <w:noProof/>
                <w:sz w:val="22"/>
              </w:rPr>
              <w:t>1</w:t>
            </w:r>
          </w:p>
        </w:tc>
      </w:tr>
      <w:tr>
        <w:trPr>
          <w:cantSplit/>
          <w:trHeight w:val="397"/>
        </w:trPr>
        <w:tc>
          <w:tcPr>
            <w:tcW w:w="0" w:type="auto"/>
            <w:shd w:val="clear" w:color="auto" w:fill="auto"/>
          </w:tcPr>
          <w:p>
            <w:pPr>
              <w:spacing w:after="0"/>
              <w:rPr>
                <w:rFonts w:cs="Times New Roman"/>
                <w:noProof/>
                <w:sz w:val="22"/>
              </w:rPr>
            </w:pPr>
            <w:r>
              <w:rPr>
                <w:noProof/>
                <w:sz w:val="22"/>
              </w:rPr>
              <w:t>8</w:t>
            </w:r>
          </w:p>
        </w:tc>
        <w:tc>
          <w:tcPr>
            <w:tcW w:w="0" w:type="auto"/>
            <w:shd w:val="clear" w:color="auto" w:fill="auto"/>
          </w:tcPr>
          <w:p>
            <w:pPr>
              <w:spacing w:after="0"/>
              <w:rPr>
                <w:rFonts w:cs="Times New Roman"/>
                <w:noProof/>
                <w:color w:val="000000"/>
                <w:sz w:val="22"/>
              </w:rPr>
            </w:pPr>
            <w:r>
              <w:rPr>
                <w:noProof/>
                <w:color w:val="000000"/>
                <w:sz w:val="22"/>
              </w:rPr>
              <w:t>COM(2016) 52</w:t>
            </w:r>
          </w:p>
        </w:tc>
        <w:tc>
          <w:tcPr>
            <w:tcW w:w="2904" w:type="dxa"/>
            <w:shd w:val="clear" w:color="auto" w:fill="auto"/>
          </w:tcPr>
          <w:p>
            <w:pPr>
              <w:spacing w:after="0"/>
              <w:rPr>
                <w:rFonts w:cs="Times New Roman"/>
                <w:noProof/>
                <w:color w:val="000000"/>
                <w:sz w:val="22"/>
              </w:rPr>
            </w:pPr>
            <w:r>
              <w:rPr>
                <w:noProof/>
                <w:color w:val="000000"/>
                <w:sz w:val="22"/>
              </w:rPr>
              <w:t>Proposition de règlement concernant des mesures visant à garantir la sécurité de l’approvisionnement en gaz et abrogeant le règlement (UE) nº 994/2010</w:t>
            </w:r>
          </w:p>
        </w:tc>
        <w:tc>
          <w:tcPr>
            <w:tcW w:w="1180" w:type="dxa"/>
            <w:shd w:val="clear" w:color="auto" w:fill="auto"/>
          </w:tcPr>
          <w:p>
            <w:pPr>
              <w:spacing w:after="0"/>
              <w:rPr>
                <w:rFonts w:cs="Times New Roman"/>
                <w:noProof/>
                <w:color w:val="000000"/>
                <w:sz w:val="22"/>
              </w:rPr>
            </w:pPr>
            <w:r>
              <w:rPr>
                <w:noProof/>
                <w:color w:val="000000"/>
                <w:sz w:val="22"/>
              </w:rPr>
              <w:t>11</w:t>
            </w:r>
            <w:r>
              <w:rPr>
                <w:rStyle w:val="FootnoteReference"/>
                <w:noProof/>
                <w:color w:val="000000"/>
                <w:sz w:val="22"/>
              </w:rPr>
              <w:footnoteReference w:id="13"/>
            </w:r>
          </w:p>
        </w:tc>
        <w:tc>
          <w:tcPr>
            <w:tcW w:w="1340" w:type="dxa"/>
            <w:shd w:val="clear" w:color="auto" w:fill="auto"/>
          </w:tcPr>
          <w:p>
            <w:pPr>
              <w:spacing w:after="0"/>
              <w:rPr>
                <w:rFonts w:cs="Times New Roman"/>
                <w:noProof/>
                <w:sz w:val="22"/>
              </w:rPr>
            </w:pPr>
            <w:r>
              <w:rPr>
                <w:noProof/>
                <w:sz w:val="22"/>
              </w:rPr>
              <w:t>1</w:t>
            </w:r>
          </w:p>
        </w:tc>
      </w:tr>
      <w:tr>
        <w:trPr>
          <w:cantSplit/>
          <w:trHeight w:val="397"/>
        </w:trPr>
        <w:tc>
          <w:tcPr>
            <w:tcW w:w="0" w:type="auto"/>
            <w:shd w:val="clear" w:color="auto" w:fill="auto"/>
          </w:tcPr>
          <w:p>
            <w:pPr>
              <w:spacing w:after="0"/>
              <w:rPr>
                <w:rFonts w:cs="Times New Roman"/>
                <w:noProof/>
                <w:sz w:val="22"/>
              </w:rPr>
            </w:pPr>
            <w:r>
              <w:rPr>
                <w:noProof/>
                <w:sz w:val="22"/>
              </w:rPr>
              <w:t>9</w:t>
            </w:r>
          </w:p>
        </w:tc>
        <w:tc>
          <w:tcPr>
            <w:tcW w:w="0" w:type="auto"/>
            <w:shd w:val="clear" w:color="auto" w:fill="auto"/>
          </w:tcPr>
          <w:p>
            <w:pPr>
              <w:spacing w:after="0"/>
              <w:rPr>
                <w:rFonts w:cs="Times New Roman"/>
                <w:noProof/>
                <w:color w:val="000000"/>
                <w:sz w:val="22"/>
              </w:rPr>
            </w:pPr>
            <w:r>
              <w:rPr>
                <w:noProof/>
                <w:color w:val="000000"/>
                <w:sz w:val="22"/>
              </w:rPr>
              <w:t>COM(2016) 53</w:t>
            </w:r>
          </w:p>
        </w:tc>
        <w:tc>
          <w:tcPr>
            <w:tcW w:w="2904" w:type="dxa"/>
            <w:shd w:val="clear" w:color="auto" w:fill="auto"/>
          </w:tcPr>
          <w:p>
            <w:pPr>
              <w:spacing w:after="0"/>
              <w:rPr>
                <w:rFonts w:cs="Times New Roman"/>
                <w:noProof/>
                <w:color w:val="000000"/>
                <w:sz w:val="22"/>
              </w:rPr>
            </w:pPr>
            <w:r>
              <w:rPr>
                <w:noProof/>
                <w:color w:val="000000"/>
                <w:sz w:val="22"/>
              </w:rPr>
              <w:t>Proposition de décision établissant un mécanisme d’échange d’informations en ce qui concerne les accords intergouvernementaux et les instruments non contraignants conclus entre des États membres et des pays tiers dans le domaine de l’énergie, et abrogeant la décision nº 994/2012/UE</w:t>
            </w:r>
          </w:p>
        </w:tc>
        <w:tc>
          <w:tcPr>
            <w:tcW w:w="1180" w:type="dxa"/>
            <w:shd w:val="clear" w:color="auto" w:fill="auto"/>
          </w:tcPr>
          <w:p>
            <w:pPr>
              <w:spacing w:after="0"/>
              <w:rPr>
                <w:rFonts w:cs="Times New Roman"/>
                <w:noProof/>
                <w:color w:val="000000"/>
                <w:sz w:val="22"/>
              </w:rPr>
            </w:pPr>
            <w:r>
              <w:rPr>
                <w:noProof/>
                <w:color w:val="000000"/>
                <w:sz w:val="22"/>
              </w:rPr>
              <w:t>10</w:t>
            </w:r>
            <w:r>
              <w:rPr>
                <w:rStyle w:val="FootnoteReference"/>
                <w:noProof/>
                <w:color w:val="000000"/>
                <w:sz w:val="22"/>
              </w:rPr>
              <w:footnoteReference w:id="14"/>
            </w:r>
          </w:p>
        </w:tc>
        <w:tc>
          <w:tcPr>
            <w:tcW w:w="1340" w:type="dxa"/>
            <w:shd w:val="clear" w:color="auto" w:fill="auto"/>
          </w:tcPr>
          <w:p>
            <w:pPr>
              <w:spacing w:after="0"/>
              <w:rPr>
                <w:rFonts w:cs="Times New Roman"/>
                <w:noProof/>
                <w:sz w:val="22"/>
              </w:rPr>
            </w:pPr>
            <w:r>
              <w:rPr>
                <w:noProof/>
                <w:sz w:val="22"/>
              </w:rPr>
              <w:t>4</w:t>
            </w:r>
          </w:p>
        </w:tc>
      </w:tr>
      <w:tr>
        <w:trPr>
          <w:cantSplit/>
          <w:trHeight w:val="397"/>
        </w:trPr>
        <w:tc>
          <w:tcPr>
            <w:tcW w:w="0" w:type="auto"/>
            <w:shd w:val="clear" w:color="auto" w:fill="auto"/>
          </w:tcPr>
          <w:p>
            <w:pPr>
              <w:spacing w:after="0"/>
              <w:rPr>
                <w:rFonts w:cs="Times New Roman"/>
                <w:noProof/>
                <w:sz w:val="22"/>
              </w:rPr>
            </w:pPr>
            <w:r>
              <w:rPr>
                <w:noProof/>
                <w:sz w:val="22"/>
              </w:rPr>
              <w:t>10</w:t>
            </w:r>
          </w:p>
        </w:tc>
        <w:tc>
          <w:tcPr>
            <w:tcW w:w="0" w:type="auto"/>
            <w:shd w:val="clear" w:color="auto" w:fill="auto"/>
          </w:tcPr>
          <w:p>
            <w:pPr>
              <w:spacing w:after="0"/>
              <w:rPr>
                <w:rFonts w:cs="Times New Roman"/>
                <w:noProof/>
                <w:color w:val="000000"/>
                <w:sz w:val="22"/>
              </w:rPr>
            </w:pPr>
            <w:r>
              <w:rPr>
                <w:noProof/>
                <w:color w:val="000000"/>
                <w:sz w:val="22"/>
              </w:rPr>
              <w:t>COM(2015) 750</w:t>
            </w:r>
          </w:p>
        </w:tc>
        <w:tc>
          <w:tcPr>
            <w:tcW w:w="2904" w:type="dxa"/>
            <w:shd w:val="clear" w:color="auto" w:fill="auto"/>
          </w:tcPr>
          <w:p>
            <w:pPr>
              <w:spacing w:after="0"/>
              <w:rPr>
                <w:rFonts w:cs="Times New Roman"/>
                <w:noProof/>
                <w:color w:val="000000"/>
                <w:sz w:val="22"/>
              </w:rPr>
            </w:pPr>
            <w:r>
              <w:rPr>
                <w:noProof/>
                <w:color w:val="000000"/>
                <w:sz w:val="22"/>
              </w:rPr>
              <w:t>Proposition de directive modifiant la directive 91/477/CEE du Conseil relative au contrôle de l’acquisition et de la détention d’armes</w:t>
            </w:r>
          </w:p>
        </w:tc>
        <w:tc>
          <w:tcPr>
            <w:tcW w:w="1180" w:type="dxa"/>
            <w:shd w:val="clear" w:color="auto" w:fill="auto"/>
          </w:tcPr>
          <w:p>
            <w:pPr>
              <w:spacing w:after="0"/>
              <w:rPr>
                <w:rFonts w:cs="Times New Roman"/>
                <w:noProof/>
                <w:color w:val="000000"/>
                <w:sz w:val="22"/>
              </w:rPr>
            </w:pPr>
            <w:r>
              <w:rPr>
                <w:noProof/>
                <w:color w:val="000000"/>
                <w:sz w:val="22"/>
              </w:rPr>
              <w:t>10</w:t>
            </w:r>
            <w:r>
              <w:rPr>
                <w:rStyle w:val="FootnoteReference"/>
                <w:noProof/>
                <w:color w:val="000000"/>
                <w:sz w:val="22"/>
              </w:rPr>
              <w:footnoteReference w:id="15"/>
            </w:r>
          </w:p>
        </w:tc>
        <w:tc>
          <w:tcPr>
            <w:tcW w:w="1340" w:type="dxa"/>
            <w:shd w:val="clear" w:color="auto" w:fill="auto"/>
          </w:tcPr>
          <w:p>
            <w:pPr>
              <w:spacing w:after="0"/>
              <w:rPr>
                <w:rFonts w:cs="Times New Roman"/>
                <w:noProof/>
                <w:sz w:val="22"/>
              </w:rPr>
            </w:pPr>
            <w:r>
              <w:rPr>
                <w:noProof/>
                <w:sz w:val="22"/>
              </w:rPr>
              <w:t>1</w:t>
            </w:r>
          </w:p>
        </w:tc>
      </w:tr>
      <w:tr>
        <w:trPr>
          <w:cantSplit/>
          <w:trHeight w:val="397"/>
        </w:trPr>
        <w:tc>
          <w:tcPr>
            <w:tcW w:w="0" w:type="auto"/>
            <w:shd w:val="clear" w:color="auto" w:fill="auto"/>
          </w:tcPr>
          <w:p>
            <w:pPr>
              <w:spacing w:after="0"/>
              <w:rPr>
                <w:rFonts w:cs="Times New Roman"/>
                <w:noProof/>
                <w:sz w:val="22"/>
              </w:rPr>
            </w:pPr>
            <w:r>
              <w:rPr>
                <w:noProof/>
                <w:sz w:val="22"/>
              </w:rPr>
              <w:t>11</w:t>
            </w:r>
          </w:p>
        </w:tc>
        <w:tc>
          <w:tcPr>
            <w:tcW w:w="0" w:type="auto"/>
            <w:shd w:val="clear" w:color="auto" w:fill="auto"/>
          </w:tcPr>
          <w:p>
            <w:pPr>
              <w:spacing w:after="0"/>
              <w:rPr>
                <w:rFonts w:cs="Times New Roman"/>
                <w:noProof/>
                <w:color w:val="000000"/>
                <w:sz w:val="22"/>
              </w:rPr>
            </w:pPr>
            <w:r>
              <w:rPr>
                <w:noProof/>
                <w:color w:val="000000"/>
                <w:sz w:val="22"/>
              </w:rPr>
              <w:t>COM(2015) 671</w:t>
            </w:r>
          </w:p>
        </w:tc>
        <w:tc>
          <w:tcPr>
            <w:tcW w:w="2904" w:type="dxa"/>
            <w:shd w:val="clear" w:color="auto" w:fill="auto"/>
          </w:tcPr>
          <w:p>
            <w:pPr>
              <w:spacing w:after="0"/>
              <w:rPr>
                <w:rFonts w:cs="Times New Roman"/>
                <w:noProof/>
                <w:color w:val="000000"/>
                <w:sz w:val="22"/>
              </w:rPr>
            </w:pPr>
            <w:r>
              <w:rPr>
                <w:noProof/>
                <w:color w:val="000000"/>
                <w:sz w:val="22"/>
              </w:rPr>
              <w:t>Proposition de règlement relatif au corps européen de garde-frontières et de garde-côtes et abrogeant le règlement (CE) nº 2007/2004, le règlement (CE) nº 863/2007 et la décision 2005/267/CE du Conseil</w:t>
            </w:r>
          </w:p>
        </w:tc>
        <w:tc>
          <w:tcPr>
            <w:tcW w:w="1180" w:type="dxa"/>
            <w:shd w:val="clear" w:color="auto" w:fill="auto"/>
          </w:tcPr>
          <w:p>
            <w:pPr>
              <w:spacing w:after="0"/>
              <w:rPr>
                <w:rFonts w:cs="Times New Roman"/>
                <w:noProof/>
                <w:color w:val="000000"/>
                <w:sz w:val="22"/>
              </w:rPr>
            </w:pPr>
            <w:r>
              <w:rPr>
                <w:noProof/>
                <w:color w:val="000000"/>
                <w:sz w:val="22"/>
              </w:rPr>
              <w:t>10</w:t>
            </w:r>
            <w:r>
              <w:rPr>
                <w:rStyle w:val="FootnoteReference"/>
                <w:noProof/>
                <w:color w:val="000000"/>
                <w:sz w:val="22"/>
              </w:rPr>
              <w:footnoteReference w:id="16"/>
            </w:r>
          </w:p>
        </w:tc>
        <w:tc>
          <w:tcPr>
            <w:tcW w:w="1340" w:type="dxa"/>
            <w:shd w:val="clear" w:color="auto" w:fill="auto"/>
          </w:tcPr>
          <w:p>
            <w:pPr>
              <w:spacing w:after="0"/>
              <w:rPr>
                <w:rFonts w:cs="Times New Roman"/>
                <w:noProof/>
                <w:sz w:val="22"/>
              </w:rPr>
            </w:pPr>
            <w:r>
              <w:rPr>
                <w:noProof/>
                <w:sz w:val="22"/>
              </w:rPr>
              <w:t>0</w:t>
            </w:r>
          </w:p>
        </w:tc>
      </w:tr>
      <w:tr>
        <w:trPr>
          <w:cantSplit/>
          <w:trHeight w:val="397"/>
        </w:trPr>
        <w:tc>
          <w:tcPr>
            <w:tcW w:w="0" w:type="auto"/>
            <w:shd w:val="clear" w:color="auto" w:fill="auto"/>
          </w:tcPr>
          <w:p>
            <w:pPr>
              <w:spacing w:after="0"/>
              <w:rPr>
                <w:rFonts w:cs="Times New Roman"/>
                <w:noProof/>
                <w:sz w:val="22"/>
              </w:rPr>
            </w:pPr>
            <w:r>
              <w:rPr>
                <w:noProof/>
                <w:sz w:val="22"/>
              </w:rPr>
              <w:t>12</w:t>
            </w:r>
          </w:p>
        </w:tc>
        <w:tc>
          <w:tcPr>
            <w:tcW w:w="0" w:type="auto"/>
            <w:shd w:val="clear" w:color="auto" w:fill="auto"/>
          </w:tcPr>
          <w:p>
            <w:pPr>
              <w:spacing w:after="0"/>
              <w:rPr>
                <w:rFonts w:cs="Times New Roman"/>
                <w:noProof/>
                <w:color w:val="000000"/>
                <w:sz w:val="22"/>
              </w:rPr>
            </w:pPr>
            <w:r>
              <w:rPr>
                <w:noProof/>
                <w:color w:val="000000"/>
                <w:sz w:val="22"/>
              </w:rPr>
              <w:t>COM(2016) 378</w:t>
            </w:r>
          </w:p>
        </w:tc>
        <w:tc>
          <w:tcPr>
            <w:tcW w:w="2904" w:type="dxa"/>
            <w:shd w:val="clear" w:color="auto" w:fill="auto"/>
          </w:tcPr>
          <w:p>
            <w:pPr>
              <w:spacing w:after="0"/>
              <w:rPr>
                <w:rFonts w:cs="Times New Roman"/>
                <w:noProof/>
                <w:color w:val="000000"/>
                <w:sz w:val="22"/>
              </w:rPr>
            </w:pPr>
            <w:r>
              <w:rPr>
                <w:noProof/>
                <w:color w:val="000000"/>
                <w:sz w:val="22"/>
              </w:rPr>
              <w:t>Proposition de directive établissant les conditions d’entrée et de séjour des ressortissants de pays tiers aux fins d’un emploi nécessitant des compétences élevées</w:t>
            </w:r>
          </w:p>
        </w:tc>
        <w:tc>
          <w:tcPr>
            <w:tcW w:w="1180" w:type="dxa"/>
            <w:shd w:val="clear" w:color="auto" w:fill="auto"/>
          </w:tcPr>
          <w:p>
            <w:pPr>
              <w:spacing w:after="0"/>
              <w:rPr>
                <w:rFonts w:cs="Times New Roman"/>
                <w:noProof/>
                <w:color w:val="000000"/>
                <w:sz w:val="22"/>
              </w:rPr>
            </w:pPr>
            <w:r>
              <w:rPr>
                <w:noProof/>
                <w:color w:val="000000"/>
                <w:sz w:val="22"/>
              </w:rPr>
              <w:t>9</w:t>
            </w:r>
          </w:p>
        </w:tc>
        <w:tc>
          <w:tcPr>
            <w:tcW w:w="1340" w:type="dxa"/>
            <w:shd w:val="clear" w:color="auto" w:fill="auto"/>
          </w:tcPr>
          <w:p>
            <w:pPr>
              <w:spacing w:after="0"/>
              <w:rPr>
                <w:rFonts w:cs="Times New Roman"/>
                <w:noProof/>
                <w:sz w:val="22"/>
              </w:rPr>
            </w:pPr>
            <w:r>
              <w:rPr>
                <w:noProof/>
                <w:sz w:val="22"/>
              </w:rPr>
              <w:t>3</w:t>
            </w:r>
          </w:p>
        </w:tc>
      </w:tr>
      <w:tr>
        <w:trPr>
          <w:cantSplit/>
          <w:trHeight w:val="397"/>
        </w:trPr>
        <w:tc>
          <w:tcPr>
            <w:tcW w:w="0" w:type="auto"/>
            <w:shd w:val="clear" w:color="auto" w:fill="auto"/>
          </w:tcPr>
          <w:p>
            <w:pPr>
              <w:spacing w:after="0"/>
              <w:rPr>
                <w:rFonts w:cs="Times New Roman"/>
                <w:noProof/>
                <w:sz w:val="22"/>
              </w:rPr>
            </w:pPr>
            <w:r>
              <w:rPr>
                <w:noProof/>
                <w:sz w:val="22"/>
              </w:rPr>
              <w:t>13</w:t>
            </w:r>
          </w:p>
        </w:tc>
        <w:tc>
          <w:tcPr>
            <w:tcW w:w="0" w:type="auto"/>
            <w:shd w:val="clear" w:color="auto" w:fill="auto"/>
          </w:tcPr>
          <w:p>
            <w:pPr>
              <w:spacing w:after="0"/>
              <w:rPr>
                <w:rFonts w:cs="Times New Roman"/>
                <w:noProof/>
                <w:color w:val="000000"/>
                <w:sz w:val="22"/>
              </w:rPr>
            </w:pPr>
            <w:r>
              <w:rPr>
                <w:noProof/>
                <w:color w:val="000000"/>
                <w:sz w:val="22"/>
              </w:rPr>
              <w:t>COM(2015) 595</w:t>
            </w:r>
          </w:p>
        </w:tc>
        <w:tc>
          <w:tcPr>
            <w:tcW w:w="2904" w:type="dxa"/>
            <w:shd w:val="clear" w:color="auto" w:fill="auto"/>
          </w:tcPr>
          <w:p>
            <w:pPr>
              <w:spacing w:after="0"/>
              <w:rPr>
                <w:rFonts w:cs="Times New Roman"/>
                <w:noProof/>
                <w:color w:val="000000"/>
                <w:sz w:val="22"/>
              </w:rPr>
            </w:pPr>
            <w:r>
              <w:rPr>
                <w:noProof/>
                <w:color w:val="000000"/>
                <w:sz w:val="22"/>
              </w:rPr>
              <w:t>Proposition de directive modifiant la directive 2008/98/CE relative aux déchets</w:t>
            </w:r>
          </w:p>
        </w:tc>
        <w:tc>
          <w:tcPr>
            <w:tcW w:w="1180" w:type="dxa"/>
            <w:shd w:val="clear" w:color="auto" w:fill="auto"/>
          </w:tcPr>
          <w:p>
            <w:pPr>
              <w:spacing w:after="0"/>
              <w:rPr>
                <w:rFonts w:cs="Times New Roman"/>
                <w:noProof/>
                <w:color w:val="000000"/>
                <w:sz w:val="22"/>
              </w:rPr>
            </w:pPr>
            <w:r>
              <w:rPr>
                <w:noProof/>
                <w:color w:val="000000"/>
                <w:sz w:val="22"/>
              </w:rPr>
              <w:t>9</w:t>
            </w:r>
            <w:r>
              <w:rPr>
                <w:rStyle w:val="FootnoteReference"/>
                <w:noProof/>
                <w:color w:val="000000"/>
                <w:sz w:val="22"/>
              </w:rPr>
              <w:footnoteReference w:id="17"/>
            </w:r>
          </w:p>
        </w:tc>
        <w:tc>
          <w:tcPr>
            <w:tcW w:w="1340" w:type="dxa"/>
            <w:shd w:val="clear" w:color="auto" w:fill="auto"/>
          </w:tcPr>
          <w:p>
            <w:pPr>
              <w:spacing w:after="0"/>
              <w:rPr>
                <w:rFonts w:cs="Times New Roman"/>
                <w:noProof/>
                <w:sz w:val="22"/>
              </w:rPr>
            </w:pPr>
            <w:r>
              <w:rPr>
                <w:noProof/>
                <w:sz w:val="22"/>
              </w:rPr>
              <w:t>2</w:t>
            </w:r>
          </w:p>
        </w:tc>
      </w:tr>
      <w:tr>
        <w:trPr>
          <w:cantSplit/>
          <w:trHeight w:val="397"/>
        </w:trPr>
        <w:tc>
          <w:tcPr>
            <w:tcW w:w="0" w:type="auto"/>
            <w:shd w:val="clear" w:color="auto" w:fill="auto"/>
          </w:tcPr>
          <w:p>
            <w:pPr>
              <w:spacing w:after="0"/>
              <w:rPr>
                <w:rFonts w:cs="Times New Roman"/>
                <w:noProof/>
                <w:sz w:val="22"/>
              </w:rPr>
            </w:pPr>
            <w:r>
              <w:rPr>
                <w:noProof/>
                <w:sz w:val="22"/>
              </w:rPr>
              <w:t>14</w:t>
            </w:r>
          </w:p>
        </w:tc>
        <w:tc>
          <w:tcPr>
            <w:tcW w:w="0" w:type="auto"/>
            <w:shd w:val="clear" w:color="auto" w:fill="auto"/>
          </w:tcPr>
          <w:p>
            <w:pPr>
              <w:spacing w:after="0"/>
              <w:rPr>
                <w:rFonts w:cs="Times New Roman"/>
                <w:noProof/>
                <w:color w:val="000000"/>
                <w:sz w:val="22"/>
              </w:rPr>
            </w:pPr>
            <w:r>
              <w:rPr>
                <w:noProof/>
                <w:color w:val="000000"/>
                <w:sz w:val="22"/>
              </w:rPr>
              <w:t>COM(2015) 625</w:t>
            </w:r>
          </w:p>
        </w:tc>
        <w:tc>
          <w:tcPr>
            <w:tcW w:w="2904" w:type="dxa"/>
            <w:shd w:val="clear" w:color="auto" w:fill="auto"/>
          </w:tcPr>
          <w:p>
            <w:pPr>
              <w:spacing w:after="0"/>
              <w:rPr>
                <w:rFonts w:cs="Times New Roman"/>
                <w:noProof/>
                <w:color w:val="000000"/>
                <w:sz w:val="22"/>
              </w:rPr>
            </w:pPr>
            <w:r>
              <w:rPr>
                <w:noProof/>
                <w:color w:val="000000"/>
                <w:sz w:val="22"/>
              </w:rPr>
              <w:t>Proposition de directive relative à la lutte contre le terrorisme et remplaçant la décision-cadre 2002/475/JAI du Conseil relative à la lutte contre le terrorisme</w:t>
            </w:r>
          </w:p>
        </w:tc>
        <w:tc>
          <w:tcPr>
            <w:tcW w:w="1180" w:type="dxa"/>
            <w:shd w:val="clear" w:color="auto" w:fill="auto"/>
          </w:tcPr>
          <w:p>
            <w:pPr>
              <w:spacing w:after="0"/>
              <w:rPr>
                <w:rFonts w:cs="Times New Roman"/>
                <w:noProof/>
                <w:color w:val="000000"/>
                <w:sz w:val="22"/>
              </w:rPr>
            </w:pPr>
            <w:r>
              <w:rPr>
                <w:noProof/>
                <w:color w:val="000000"/>
                <w:sz w:val="22"/>
              </w:rPr>
              <w:t>9</w:t>
            </w:r>
            <w:r>
              <w:rPr>
                <w:rStyle w:val="FootnoteReference"/>
                <w:noProof/>
                <w:color w:val="000000"/>
                <w:sz w:val="22"/>
              </w:rPr>
              <w:footnoteReference w:id="18"/>
            </w:r>
          </w:p>
        </w:tc>
        <w:tc>
          <w:tcPr>
            <w:tcW w:w="1340" w:type="dxa"/>
            <w:shd w:val="clear" w:color="auto" w:fill="auto"/>
          </w:tcPr>
          <w:p>
            <w:pPr>
              <w:spacing w:after="0"/>
              <w:rPr>
                <w:rFonts w:cs="Times New Roman"/>
                <w:noProof/>
                <w:sz w:val="22"/>
              </w:rPr>
            </w:pPr>
            <w:r>
              <w:rPr>
                <w:noProof/>
                <w:sz w:val="22"/>
              </w:rPr>
              <w:t>0</w:t>
            </w:r>
          </w:p>
        </w:tc>
      </w:tr>
      <w:tr>
        <w:trPr>
          <w:cantSplit/>
          <w:trHeight w:val="397"/>
        </w:trPr>
        <w:tc>
          <w:tcPr>
            <w:tcW w:w="0" w:type="auto"/>
            <w:shd w:val="clear" w:color="auto" w:fill="auto"/>
          </w:tcPr>
          <w:p>
            <w:pPr>
              <w:spacing w:after="0"/>
              <w:rPr>
                <w:rFonts w:cs="Times New Roman"/>
                <w:noProof/>
                <w:sz w:val="22"/>
              </w:rPr>
            </w:pPr>
            <w:r>
              <w:rPr>
                <w:noProof/>
                <w:sz w:val="22"/>
              </w:rPr>
              <w:t>15</w:t>
            </w:r>
          </w:p>
        </w:tc>
        <w:tc>
          <w:tcPr>
            <w:tcW w:w="0" w:type="auto"/>
            <w:shd w:val="clear" w:color="auto" w:fill="auto"/>
          </w:tcPr>
          <w:p>
            <w:pPr>
              <w:spacing w:after="0"/>
              <w:rPr>
                <w:rFonts w:cs="Times New Roman"/>
                <w:noProof/>
                <w:color w:val="000000"/>
                <w:sz w:val="22"/>
              </w:rPr>
            </w:pPr>
            <w:r>
              <w:rPr>
                <w:noProof/>
                <w:color w:val="000000"/>
                <w:sz w:val="22"/>
              </w:rPr>
              <w:t>COM(2015) 596</w:t>
            </w:r>
          </w:p>
        </w:tc>
        <w:tc>
          <w:tcPr>
            <w:tcW w:w="2904" w:type="dxa"/>
            <w:shd w:val="clear" w:color="auto" w:fill="auto"/>
          </w:tcPr>
          <w:p>
            <w:pPr>
              <w:spacing w:after="0"/>
              <w:rPr>
                <w:rFonts w:cs="Times New Roman"/>
                <w:noProof/>
                <w:color w:val="000000"/>
                <w:sz w:val="22"/>
              </w:rPr>
            </w:pPr>
            <w:r>
              <w:rPr>
                <w:noProof/>
                <w:color w:val="000000"/>
                <w:sz w:val="22"/>
              </w:rPr>
              <w:t>Proposition de directive modifiant la directive 94/62/CE relative aux emballages et aux déchets d’emballages</w:t>
            </w:r>
          </w:p>
        </w:tc>
        <w:tc>
          <w:tcPr>
            <w:tcW w:w="1180" w:type="dxa"/>
            <w:shd w:val="clear" w:color="auto" w:fill="auto"/>
          </w:tcPr>
          <w:p>
            <w:pPr>
              <w:spacing w:after="0"/>
              <w:rPr>
                <w:rFonts w:cs="Times New Roman"/>
                <w:noProof/>
                <w:color w:val="000000"/>
                <w:sz w:val="22"/>
              </w:rPr>
            </w:pPr>
            <w:r>
              <w:rPr>
                <w:noProof/>
                <w:color w:val="000000"/>
                <w:sz w:val="22"/>
              </w:rPr>
              <w:t>8</w:t>
            </w:r>
            <w:r>
              <w:rPr>
                <w:rStyle w:val="FootnoteReference"/>
                <w:noProof/>
                <w:color w:val="000000"/>
                <w:sz w:val="22"/>
              </w:rPr>
              <w:footnoteReference w:id="19"/>
            </w:r>
          </w:p>
        </w:tc>
        <w:tc>
          <w:tcPr>
            <w:tcW w:w="1340" w:type="dxa"/>
            <w:shd w:val="clear" w:color="auto" w:fill="auto"/>
          </w:tcPr>
          <w:p>
            <w:pPr>
              <w:spacing w:after="0"/>
              <w:rPr>
                <w:rFonts w:cs="Times New Roman"/>
                <w:noProof/>
                <w:sz w:val="22"/>
              </w:rPr>
            </w:pPr>
            <w:r>
              <w:rPr>
                <w:noProof/>
                <w:sz w:val="22"/>
              </w:rPr>
              <w:t>1</w:t>
            </w:r>
          </w:p>
        </w:tc>
      </w:tr>
      <w:tr>
        <w:trPr>
          <w:cantSplit/>
          <w:trHeight w:val="397"/>
        </w:trPr>
        <w:tc>
          <w:tcPr>
            <w:tcW w:w="0" w:type="auto"/>
            <w:shd w:val="clear" w:color="auto" w:fill="auto"/>
          </w:tcPr>
          <w:p>
            <w:pPr>
              <w:spacing w:after="0"/>
              <w:rPr>
                <w:rFonts w:cs="Times New Roman"/>
                <w:noProof/>
                <w:sz w:val="22"/>
              </w:rPr>
            </w:pPr>
            <w:r>
              <w:rPr>
                <w:noProof/>
                <w:sz w:val="22"/>
              </w:rPr>
              <w:t>16</w:t>
            </w:r>
          </w:p>
        </w:tc>
        <w:tc>
          <w:tcPr>
            <w:tcW w:w="0" w:type="auto"/>
            <w:shd w:val="clear" w:color="auto" w:fill="auto"/>
          </w:tcPr>
          <w:p>
            <w:pPr>
              <w:spacing w:after="0"/>
              <w:rPr>
                <w:rFonts w:cs="Times New Roman"/>
                <w:noProof/>
                <w:color w:val="000000"/>
                <w:sz w:val="22"/>
              </w:rPr>
            </w:pPr>
            <w:r>
              <w:rPr>
                <w:noProof/>
                <w:color w:val="000000"/>
                <w:sz w:val="22"/>
              </w:rPr>
              <w:t>COM(2016) 271</w:t>
            </w:r>
          </w:p>
        </w:tc>
        <w:tc>
          <w:tcPr>
            <w:tcW w:w="2904" w:type="dxa"/>
            <w:shd w:val="clear" w:color="auto" w:fill="auto"/>
          </w:tcPr>
          <w:p>
            <w:pPr>
              <w:spacing w:after="0"/>
              <w:rPr>
                <w:rFonts w:cs="Times New Roman"/>
                <w:noProof/>
                <w:color w:val="000000"/>
                <w:sz w:val="22"/>
              </w:rPr>
            </w:pPr>
            <w:r>
              <w:rPr>
                <w:noProof/>
                <w:color w:val="000000"/>
                <w:sz w:val="22"/>
              </w:rPr>
              <w:t>Proposition de règlement relatif à l’Agence de l’Union européenne pour l’asile et abrogeant le règlement (UE) nº 439/2010</w:t>
            </w:r>
          </w:p>
        </w:tc>
        <w:tc>
          <w:tcPr>
            <w:tcW w:w="1180" w:type="dxa"/>
            <w:shd w:val="clear" w:color="auto" w:fill="auto"/>
          </w:tcPr>
          <w:p>
            <w:pPr>
              <w:spacing w:after="0"/>
              <w:rPr>
                <w:rFonts w:cs="Times New Roman"/>
                <w:noProof/>
                <w:color w:val="000000"/>
                <w:sz w:val="22"/>
              </w:rPr>
            </w:pPr>
            <w:r>
              <w:rPr>
                <w:noProof/>
                <w:color w:val="000000"/>
                <w:sz w:val="22"/>
              </w:rPr>
              <w:t>8</w:t>
            </w:r>
            <w:r>
              <w:rPr>
                <w:rStyle w:val="FootnoteReference"/>
                <w:noProof/>
                <w:color w:val="000000"/>
                <w:sz w:val="22"/>
              </w:rPr>
              <w:footnoteReference w:id="20"/>
            </w:r>
          </w:p>
        </w:tc>
        <w:tc>
          <w:tcPr>
            <w:tcW w:w="1340" w:type="dxa"/>
            <w:shd w:val="clear" w:color="auto" w:fill="auto"/>
          </w:tcPr>
          <w:p>
            <w:pPr>
              <w:spacing w:after="0"/>
              <w:rPr>
                <w:rFonts w:cs="Times New Roman"/>
                <w:noProof/>
                <w:sz w:val="22"/>
              </w:rPr>
            </w:pPr>
            <w:r>
              <w:rPr>
                <w:noProof/>
                <w:sz w:val="22"/>
              </w:rPr>
              <w:t>0</w:t>
            </w:r>
          </w:p>
        </w:tc>
      </w:tr>
    </w:tbl>
    <w:p>
      <w:pPr>
        <w:spacing w:after="0" w:line="240" w:lineRule="auto"/>
        <w:rPr>
          <w:noProof/>
        </w:rPr>
      </w:pPr>
    </w:p>
    <w:p>
      <w:pPr>
        <w:rPr>
          <w:b/>
          <w:noProof/>
          <w:u w:val="single"/>
        </w:rPr>
      </w:pPr>
    </w:p>
    <w:p>
      <w:pPr>
        <w:rPr>
          <w:b/>
          <w:noProof/>
          <w:u w:val="single"/>
        </w:rPr>
      </w:pPr>
      <w:r>
        <w:rPr>
          <w:noProof/>
        </w:rPr>
        <w:br w:type="page"/>
      </w:r>
    </w:p>
    <w:p>
      <w:pPr>
        <w:spacing w:line="240" w:lineRule="auto"/>
        <w:jc w:val="center"/>
        <w:rPr>
          <w:b/>
          <w:noProof/>
          <w:u w:val="single"/>
        </w:rPr>
      </w:pPr>
      <w:r>
        <w:rPr>
          <w:b/>
          <w:noProof/>
          <w:u w:val="single"/>
        </w:rPr>
        <w:t>Annexe 3</w:t>
      </w:r>
    </w:p>
    <w:p>
      <w:pPr>
        <w:spacing w:line="240" w:lineRule="auto"/>
        <w:jc w:val="center"/>
        <w:rPr>
          <w:b/>
          <w:noProof/>
        </w:rPr>
      </w:pPr>
      <w:r>
        <w:rPr>
          <w:b/>
          <w:noProof/>
        </w:rPr>
        <w:t>Nombre d’avis reçus par la Commission en 2016 par service chef de file de la Commission (dialogue politique et mécanisme de contrôle de la subsidiarité)</w:t>
      </w:r>
    </w:p>
    <w:tbl>
      <w:tblPr>
        <w:tblStyle w:val="TableGrid"/>
        <w:tblW w:w="0" w:type="auto"/>
        <w:tblLook w:val="04A0" w:firstRow="1" w:lastRow="0" w:firstColumn="1" w:lastColumn="0" w:noHBand="0" w:noVBand="1"/>
      </w:tblPr>
      <w:tblGrid>
        <w:gridCol w:w="7100"/>
        <w:gridCol w:w="2142"/>
      </w:tblGrid>
      <w:tr>
        <w:trPr>
          <w:trHeight w:val="340"/>
        </w:trPr>
        <w:tc>
          <w:tcPr>
            <w:tcW w:w="0" w:type="auto"/>
            <w:vAlign w:val="center"/>
          </w:tcPr>
          <w:p>
            <w:pPr>
              <w:jc w:val="center"/>
              <w:rPr>
                <w:rFonts w:cs="Times New Roman"/>
                <w:b/>
                <w:noProof/>
              </w:rPr>
            </w:pPr>
            <w:r>
              <w:rPr>
                <w:b/>
                <w:noProof/>
              </w:rPr>
              <w:t>Service chef de file de la Commission</w:t>
            </w:r>
          </w:p>
        </w:tc>
        <w:tc>
          <w:tcPr>
            <w:tcW w:w="2302" w:type="dxa"/>
            <w:vAlign w:val="center"/>
          </w:tcPr>
          <w:p>
            <w:pPr>
              <w:jc w:val="center"/>
              <w:rPr>
                <w:rFonts w:cs="Times New Roman"/>
                <w:b/>
                <w:noProof/>
              </w:rPr>
            </w:pPr>
            <w:r>
              <w:rPr>
                <w:b/>
                <w:noProof/>
              </w:rPr>
              <w:t>Nombre total d’avis</w:t>
            </w:r>
            <w:r>
              <w:rPr>
                <w:rStyle w:val="FootnoteReference"/>
                <w:noProof/>
              </w:rPr>
              <w:footnoteReference w:id="21"/>
            </w:r>
          </w:p>
        </w:tc>
      </w:tr>
      <w:tr>
        <w:trPr>
          <w:trHeight w:val="340"/>
        </w:trPr>
        <w:tc>
          <w:tcPr>
            <w:tcW w:w="0" w:type="auto"/>
            <w:noWrap/>
            <w:vAlign w:val="center"/>
            <w:hideMark/>
          </w:tcPr>
          <w:p>
            <w:pPr>
              <w:rPr>
                <w:rFonts w:cs="Times New Roman"/>
                <w:noProof/>
                <w:color w:val="000000"/>
              </w:rPr>
            </w:pPr>
            <w:r>
              <w:rPr>
                <w:noProof/>
                <w:color w:val="000000"/>
              </w:rPr>
              <w:t>DG Migration et affaires intérieures</w:t>
            </w:r>
          </w:p>
        </w:tc>
        <w:tc>
          <w:tcPr>
            <w:tcW w:w="2302" w:type="dxa"/>
            <w:noWrap/>
            <w:vAlign w:val="center"/>
            <w:hideMark/>
          </w:tcPr>
          <w:p>
            <w:pPr>
              <w:jc w:val="center"/>
              <w:rPr>
                <w:rFonts w:cs="Times New Roman"/>
                <w:noProof/>
                <w:color w:val="000000"/>
              </w:rPr>
            </w:pPr>
            <w:r>
              <w:rPr>
                <w:noProof/>
                <w:color w:val="000000"/>
              </w:rPr>
              <w:t>113</w:t>
            </w:r>
          </w:p>
        </w:tc>
      </w:tr>
      <w:tr>
        <w:trPr>
          <w:trHeight w:val="340"/>
        </w:trPr>
        <w:tc>
          <w:tcPr>
            <w:tcW w:w="0" w:type="auto"/>
            <w:noWrap/>
            <w:vAlign w:val="center"/>
            <w:hideMark/>
          </w:tcPr>
          <w:p>
            <w:pPr>
              <w:rPr>
                <w:rFonts w:cs="Times New Roman"/>
                <w:noProof/>
                <w:color w:val="000000"/>
              </w:rPr>
            </w:pPr>
            <w:r>
              <w:rPr>
                <w:noProof/>
                <w:color w:val="000000"/>
              </w:rPr>
              <w:t>Secrétariat général</w:t>
            </w:r>
          </w:p>
        </w:tc>
        <w:tc>
          <w:tcPr>
            <w:tcW w:w="2302" w:type="dxa"/>
            <w:noWrap/>
            <w:vAlign w:val="center"/>
            <w:hideMark/>
          </w:tcPr>
          <w:p>
            <w:pPr>
              <w:jc w:val="center"/>
              <w:rPr>
                <w:rFonts w:cs="Times New Roman"/>
                <w:noProof/>
                <w:color w:val="000000"/>
              </w:rPr>
            </w:pPr>
            <w:r>
              <w:rPr>
                <w:noProof/>
                <w:color w:val="000000"/>
              </w:rPr>
              <w:t>59</w:t>
            </w:r>
          </w:p>
        </w:tc>
      </w:tr>
      <w:tr>
        <w:trPr>
          <w:trHeight w:val="340"/>
        </w:trPr>
        <w:tc>
          <w:tcPr>
            <w:tcW w:w="0" w:type="auto"/>
            <w:noWrap/>
            <w:vAlign w:val="center"/>
            <w:hideMark/>
          </w:tcPr>
          <w:p>
            <w:pPr>
              <w:rPr>
                <w:rFonts w:cs="Times New Roman"/>
                <w:noProof/>
                <w:color w:val="000000"/>
              </w:rPr>
            </w:pPr>
            <w:r>
              <w:rPr>
                <w:noProof/>
                <w:color w:val="000000"/>
              </w:rPr>
              <w:t>DG Réseaux de communication, contenu et technologies</w:t>
            </w:r>
          </w:p>
        </w:tc>
        <w:tc>
          <w:tcPr>
            <w:tcW w:w="2302" w:type="dxa"/>
            <w:noWrap/>
            <w:vAlign w:val="center"/>
            <w:hideMark/>
          </w:tcPr>
          <w:p>
            <w:pPr>
              <w:jc w:val="center"/>
              <w:rPr>
                <w:rFonts w:cs="Times New Roman"/>
                <w:noProof/>
                <w:color w:val="000000"/>
              </w:rPr>
            </w:pPr>
            <w:r>
              <w:rPr>
                <w:noProof/>
                <w:color w:val="000000"/>
              </w:rPr>
              <w:t>58</w:t>
            </w:r>
          </w:p>
        </w:tc>
      </w:tr>
      <w:tr>
        <w:trPr>
          <w:trHeight w:val="340"/>
        </w:trPr>
        <w:tc>
          <w:tcPr>
            <w:tcW w:w="0" w:type="auto"/>
            <w:noWrap/>
            <w:vAlign w:val="center"/>
            <w:hideMark/>
          </w:tcPr>
          <w:p>
            <w:pPr>
              <w:rPr>
                <w:rFonts w:cs="Times New Roman"/>
                <w:noProof/>
                <w:color w:val="000000"/>
              </w:rPr>
            </w:pPr>
            <w:r>
              <w:rPr>
                <w:noProof/>
                <w:color w:val="000000"/>
              </w:rPr>
              <w:t>DG Justice et consommateurs</w:t>
            </w:r>
          </w:p>
        </w:tc>
        <w:tc>
          <w:tcPr>
            <w:tcW w:w="2302" w:type="dxa"/>
            <w:noWrap/>
            <w:vAlign w:val="center"/>
            <w:hideMark/>
          </w:tcPr>
          <w:p>
            <w:pPr>
              <w:jc w:val="center"/>
              <w:rPr>
                <w:rFonts w:cs="Times New Roman"/>
                <w:noProof/>
                <w:color w:val="000000"/>
              </w:rPr>
            </w:pPr>
            <w:r>
              <w:rPr>
                <w:noProof/>
                <w:color w:val="000000"/>
              </w:rPr>
              <w:t>49</w:t>
            </w:r>
          </w:p>
        </w:tc>
      </w:tr>
      <w:tr>
        <w:trPr>
          <w:trHeight w:val="340"/>
        </w:trPr>
        <w:tc>
          <w:tcPr>
            <w:tcW w:w="0" w:type="auto"/>
            <w:noWrap/>
            <w:vAlign w:val="center"/>
            <w:hideMark/>
          </w:tcPr>
          <w:p>
            <w:pPr>
              <w:rPr>
                <w:rFonts w:cs="Times New Roman"/>
                <w:noProof/>
                <w:color w:val="000000"/>
              </w:rPr>
            </w:pPr>
            <w:r>
              <w:rPr>
                <w:noProof/>
                <w:color w:val="000000"/>
              </w:rPr>
              <w:t>DG Fiscalité et union douanière</w:t>
            </w:r>
          </w:p>
        </w:tc>
        <w:tc>
          <w:tcPr>
            <w:tcW w:w="2302" w:type="dxa"/>
            <w:noWrap/>
            <w:vAlign w:val="center"/>
            <w:hideMark/>
          </w:tcPr>
          <w:p>
            <w:pPr>
              <w:jc w:val="center"/>
              <w:rPr>
                <w:rFonts w:cs="Times New Roman"/>
                <w:noProof/>
                <w:color w:val="000000"/>
              </w:rPr>
            </w:pPr>
            <w:r>
              <w:rPr>
                <w:noProof/>
                <w:color w:val="000000"/>
              </w:rPr>
              <w:t>46</w:t>
            </w:r>
          </w:p>
        </w:tc>
      </w:tr>
      <w:tr>
        <w:trPr>
          <w:trHeight w:val="340"/>
        </w:trPr>
        <w:tc>
          <w:tcPr>
            <w:tcW w:w="0" w:type="auto"/>
            <w:noWrap/>
            <w:vAlign w:val="center"/>
            <w:hideMark/>
          </w:tcPr>
          <w:p>
            <w:pPr>
              <w:rPr>
                <w:rFonts w:cs="Times New Roman"/>
                <w:noProof/>
                <w:color w:val="000000"/>
              </w:rPr>
            </w:pPr>
            <w:r>
              <w:rPr>
                <w:noProof/>
                <w:color w:val="000000"/>
              </w:rPr>
              <w:t>DG Emploi, affaires sociales et inclusion</w:t>
            </w:r>
          </w:p>
        </w:tc>
        <w:tc>
          <w:tcPr>
            <w:tcW w:w="2302" w:type="dxa"/>
            <w:noWrap/>
            <w:vAlign w:val="center"/>
            <w:hideMark/>
          </w:tcPr>
          <w:p>
            <w:pPr>
              <w:jc w:val="center"/>
              <w:rPr>
                <w:rFonts w:cs="Times New Roman"/>
                <w:noProof/>
                <w:color w:val="000000"/>
              </w:rPr>
            </w:pPr>
            <w:r>
              <w:rPr>
                <w:noProof/>
                <w:color w:val="000000"/>
              </w:rPr>
              <w:t>45</w:t>
            </w:r>
          </w:p>
        </w:tc>
      </w:tr>
      <w:tr>
        <w:trPr>
          <w:trHeight w:val="340"/>
        </w:trPr>
        <w:tc>
          <w:tcPr>
            <w:tcW w:w="0" w:type="auto"/>
            <w:noWrap/>
            <w:vAlign w:val="center"/>
          </w:tcPr>
          <w:p>
            <w:pPr>
              <w:rPr>
                <w:rFonts w:cs="Times New Roman"/>
                <w:noProof/>
                <w:color w:val="000000"/>
              </w:rPr>
            </w:pPr>
            <w:r>
              <w:rPr>
                <w:noProof/>
                <w:color w:val="000000"/>
              </w:rPr>
              <w:t>DG Marché intérieur, industrie, entrepreneuriat et PME</w:t>
            </w:r>
          </w:p>
        </w:tc>
        <w:tc>
          <w:tcPr>
            <w:tcW w:w="2302" w:type="dxa"/>
            <w:noWrap/>
            <w:vAlign w:val="center"/>
          </w:tcPr>
          <w:p>
            <w:pPr>
              <w:jc w:val="center"/>
              <w:rPr>
                <w:rFonts w:cs="Times New Roman"/>
                <w:noProof/>
                <w:color w:val="000000"/>
              </w:rPr>
            </w:pPr>
            <w:r>
              <w:rPr>
                <w:noProof/>
                <w:color w:val="000000"/>
              </w:rPr>
              <w:t>41</w:t>
            </w:r>
          </w:p>
        </w:tc>
      </w:tr>
      <w:tr>
        <w:trPr>
          <w:trHeight w:val="340"/>
        </w:trPr>
        <w:tc>
          <w:tcPr>
            <w:tcW w:w="0" w:type="auto"/>
            <w:noWrap/>
            <w:vAlign w:val="center"/>
            <w:hideMark/>
          </w:tcPr>
          <w:p>
            <w:pPr>
              <w:rPr>
                <w:rFonts w:cs="Times New Roman"/>
                <w:noProof/>
                <w:color w:val="000000"/>
              </w:rPr>
            </w:pPr>
            <w:r>
              <w:rPr>
                <w:noProof/>
                <w:color w:val="000000"/>
              </w:rPr>
              <w:t>DG Stabilité financière, services financiers et union des marchés des capitaux</w:t>
            </w:r>
          </w:p>
        </w:tc>
        <w:tc>
          <w:tcPr>
            <w:tcW w:w="2302" w:type="dxa"/>
            <w:noWrap/>
            <w:vAlign w:val="center"/>
            <w:hideMark/>
          </w:tcPr>
          <w:p>
            <w:pPr>
              <w:jc w:val="center"/>
              <w:rPr>
                <w:rFonts w:cs="Times New Roman"/>
                <w:noProof/>
                <w:color w:val="000000"/>
              </w:rPr>
            </w:pPr>
            <w:r>
              <w:rPr>
                <w:noProof/>
                <w:color w:val="000000"/>
              </w:rPr>
              <w:t>34</w:t>
            </w:r>
          </w:p>
        </w:tc>
      </w:tr>
      <w:tr>
        <w:trPr>
          <w:trHeight w:val="340"/>
        </w:trPr>
        <w:tc>
          <w:tcPr>
            <w:tcW w:w="0" w:type="auto"/>
            <w:noWrap/>
            <w:vAlign w:val="center"/>
            <w:hideMark/>
          </w:tcPr>
          <w:p>
            <w:pPr>
              <w:rPr>
                <w:rFonts w:cs="Times New Roman"/>
                <w:noProof/>
                <w:color w:val="000000"/>
              </w:rPr>
            </w:pPr>
            <w:r>
              <w:rPr>
                <w:noProof/>
                <w:color w:val="000000"/>
              </w:rPr>
              <w:t>DG Énergie</w:t>
            </w:r>
          </w:p>
        </w:tc>
        <w:tc>
          <w:tcPr>
            <w:tcW w:w="2302" w:type="dxa"/>
            <w:noWrap/>
            <w:vAlign w:val="center"/>
            <w:hideMark/>
          </w:tcPr>
          <w:p>
            <w:pPr>
              <w:jc w:val="center"/>
              <w:rPr>
                <w:rFonts w:cs="Times New Roman"/>
                <w:noProof/>
                <w:color w:val="000000"/>
              </w:rPr>
            </w:pPr>
            <w:r>
              <w:rPr>
                <w:noProof/>
                <w:color w:val="000000"/>
              </w:rPr>
              <w:t>32</w:t>
            </w:r>
          </w:p>
        </w:tc>
      </w:tr>
      <w:tr>
        <w:trPr>
          <w:trHeight w:val="340"/>
        </w:trPr>
        <w:tc>
          <w:tcPr>
            <w:tcW w:w="0" w:type="auto"/>
            <w:noWrap/>
            <w:vAlign w:val="center"/>
            <w:hideMark/>
          </w:tcPr>
          <w:p>
            <w:pPr>
              <w:rPr>
                <w:rFonts w:cs="Times New Roman"/>
                <w:noProof/>
                <w:color w:val="000000"/>
              </w:rPr>
            </w:pPr>
            <w:r>
              <w:rPr>
                <w:noProof/>
                <w:color w:val="000000"/>
              </w:rPr>
              <w:t>DG Mobilité et transports</w:t>
            </w:r>
          </w:p>
        </w:tc>
        <w:tc>
          <w:tcPr>
            <w:tcW w:w="2302" w:type="dxa"/>
            <w:noWrap/>
            <w:vAlign w:val="center"/>
            <w:hideMark/>
          </w:tcPr>
          <w:p>
            <w:pPr>
              <w:jc w:val="center"/>
              <w:rPr>
                <w:rFonts w:cs="Times New Roman"/>
                <w:noProof/>
                <w:color w:val="000000"/>
              </w:rPr>
            </w:pPr>
            <w:r>
              <w:rPr>
                <w:noProof/>
                <w:color w:val="000000"/>
              </w:rPr>
              <w:t>25</w:t>
            </w:r>
          </w:p>
        </w:tc>
      </w:tr>
      <w:tr>
        <w:trPr>
          <w:trHeight w:val="340"/>
        </w:trPr>
        <w:tc>
          <w:tcPr>
            <w:tcW w:w="0" w:type="auto"/>
            <w:noWrap/>
            <w:vAlign w:val="center"/>
            <w:hideMark/>
          </w:tcPr>
          <w:p>
            <w:pPr>
              <w:rPr>
                <w:rFonts w:cs="Times New Roman"/>
                <w:noProof/>
                <w:color w:val="000000"/>
              </w:rPr>
            </w:pPr>
            <w:r>
              <w:rPr>
                <w:noProof/>
                <w:color w:val="000000"/>
              </w:rPr>
              <w:t>DG Environnement</w:t>
            </w:r>
          </w:p>
        </w:tc>
        <w:tc>
          <w:tcPr>
            <w:tcW w:w="2302" w:type="dxa"/>
            <w:noWrap/>
            <w:vAlign w:val="center"/>
            <w:hideMark/>
          </w:tcPr>
          <w:p>
            <w:pPr>
              <w:jc w:val="center"/>
              <w:rPr>
                <w:rFonts w:cs="Times New Roman"/>
                <w:noProof/>
                <w:color w:val="000000"/>
              </w:rPr>
            </w:pPr>
            <w:r>
              <w:rPr>
                <w:noProof/>
                <w:color w:val="000000"/>
              </w:rPr>
              <w:t>21</w:t>
            </w:r>
          </w:p>
        </w:tc>
      </w:tr>
      <w:tr>
        <w:trPr>
          <w:trHeight w:val="340"/>
        </w:trPr>
        <w:tc>
          <w:tcPr>
            <w:tcW w:w="0" w:type="auto"/>
            <w:noWrap/>
            <w:vAlign w:val="center"/>
            <w:hideMark/>
          </w:tcPr>
          <w:p>
            <w:pPr>
              <w:rPr>
                <w:rFonts w:cs="Times New Roman"/>
                <w:noProof/>
                <w:color w:val="000000"/>
              </w:rPr>
            </w:pPr>
            <w:r>
              <w:rPr>
                <w:noProof/>
                <w:color w:val="000000"/>
              </w:rPr>
              <w:t>Service européen pour l’action extérieure</w:t>
            </w:r>
            <w:r>
              <w:rPr>
                <w:rStyle w:val="FootnoteReference"/>
                <w:noProof/>
                <w:color w:val="000000"/>
              </w:rPr>
              <w:footnoteReference w:id="22"/>
            </w:r>
          </w:p>
        </w:tc>
        <w:tc>
          <w:tcPr>
            <w:tcW w:w="2302" w:type="dxa"/>
            <w:noWrap/>
            <w:vAlign w:val="center"/>
            <w:hideMark/>
          </w:tcPr>
          <w:p>
            <w:pPr>
              <w:jc w:val="center"/>
              <w:rPr>
                <w:rFonts w:cs="Times New Roman"/>
                <w:noProof/>
                <w:color w:val="000000"/>
              </w:rPr>
            </w:pPr>
            <w:r>
              <w:rPr>
                <w:noProof/>
                <w:color w:val="000000"/>
              </w:rPr>
              <w:t>14</w:t>
            </w:r>
          </w:p>
        </w:tc>
      </w:tr>
      <w:tr>
        <w:trPr>
          <w:trHeight w:val="340"/>
        </w:trPr>
        <w:tc>
          <w:tcPr>
            <w:tcW w:w="0" w:type="auto"/>
            <w:noWrap/>
            <w:vAlign w:val="center"/>
            <w:hideMark/>
          </w:tcPr>
          <w:p>
            <w:pPr>
              <w:rPr>
                <w:rFonts w:cs="Times New Roman"/>
                <w:noProof/>
                <w:color w:val="000000"/>
              </w:rPr>
            </w:pPr>
            <w:r>
              <w:rPr>
                <w:noProof/>
                <w:color w:val="000000"/>
              </w:rPr>
              <w:t>DG Affaires économiques et financières</w:t>
            </w:r>
          </w:p>
        </w:tc>
        <w:tc>
          <w:tcPr>
            <w:tcW w:w="2302" w:type="dxa"/>
            <w:noWrap/>
            <w:vAlign w:val="center"/>
            <w:hideMark/>
          </w:tcPr>
          <w:p>
            <w:pPr>
              <w:jc w:val="center"/>
              <w:rPr>
                <w:rFonts w:cs="Times New Roman"/>
                <w:noProof/>
                <w:color w:val="000000"/>
              </w:rPr>
            </w:pPr>
            <w:r>
              <w:rPr>
                <w:noProof/>
                <w:color w:val="000000"/>
              </w:rPr>
              <w:t>13</w:t>
            </w:r>
          </w:p>
        </w:tc>
      </w:tr>
      <w:tr>
        <w:trPr>
          <w:trHeight w:val="340"/>
        </w:trPr>
        <w:tc>
          <w:tcPr>
            <w:tcW w:w="0" w:type="auto"/>
            <w:noWrap/>
            <w:vAlign w:val="center"/>
            <w:hideMark/>
          </w:tcPr>
          <w:p>
            <w:pPr>
              <w:rPr>
                <w:rFonts w:cs="Times New Roman"/>
                <w:noProof/>
                <w:color w:val="000000"/>
              </w:rPr>
            </w:pPr>
            <w:r>
              <w:rPr>
                <w:noProof/>
                <w:color w:val="000000"/>
              </w:rPr>
              <w:t>DG Action pour le climat</w:t>
            </w:r>
          </w:p>
        </w:tc>
        <w:tc>
          <w:tcPr>
            <w:tcW w:w="2302" w:type="dxa"/>
            <w:noWrap/>
            <w:vAlign w:val="center"/>
            <w:hideMark/>
          </w:tcPr>
          <w:p>
            <w:pPr>
              <w:jc w:val="center"/>
              <w:rPr>
                <w:rFonts w:cs="Times New Roman"/>
                <w:noProof/>
                <w:color w:val="000000"/>
              </w:rPr>
            </w:pPr>
            <w:r>
              <w:rPr>
                <w:noProof/>
                <w:color w:val="000000"/>
              </w:rPr>
              <w:t>12</w:t>
            </w:r>
          </w:p>
        </w:tc>
      </w:tr>
      <w:tr>
        <w:trPr>
          <w:trHeight w:val="340"/>
        </w:trPr>
        <w:tc>
          <w:tcPr>
            <w:tcW w:w="0" w:type="auto"/>
            <w:noWrap/>
            <w:vAlign w:val="center"/>
            <w:hideMark/>
          </w:tcPr>
          <w:p>
            <w:pPr>
              <w:rPr>
                <w:rFonts w:cs="Times New Roman"/>
                <w:noProof/>
                <w:color w:val="000000"/>
              </w:rPr>
            </w:pPr>
            <w:r>
              <w:rPr>
                <w:noProof/>
                <w:color w:val="000000"/>
              </w:rPr>
              <w:t>DG Agriculture et développement rural</w:t>
            </w:r>
          </w:p>
        </w:tc>
        <w:tc>
          <w:tcPr>
            <w:tcW w:w="2302" w:type="dxa"/>
            <w:noWrap/>
            <w:vAlign w:val="center"/>
            <w:hideMark/>
          </w:tcPr>
          <w:p>
            <w:pPr>
              <w:jc w:val="center"/>
              <w:rPr>
                <w:rFonts w:cs="Times New Roman"/>
                <w:noProof/>
                <w:color w:val="000000"/>
              </w:rPr>
            </w:pPr>
            <w:r>
              <w:rPr>
                <w:noProof/>
                <w:color w:val="000000"/>
              </w:rPr>
              <w:t>8</w:t>
            </w:r>
          </w:p>
        </w:tc>
      </w:tr>
      <w:tr>
        <w:trPr>
          <w:trHeight w:val="340"/>
        </w:trPr>
        <w:tc>
          <w:tcPr>
            <w:tcW w:w="0" w:type="auto"/>
            <w:noWrap/>
            <w:vAlign w:val="center"/>
            <w:hideMark/>
          </w:tcPr>
          <w:p>
            <w:pPr>
              <w:rPr>
                <w:rFonts w:cs="Times New Roman"/>
                <w:noProof/>
                <w:color w:val="000000"/>
              </w:rPr>
            </w:pPr>
            <w:r>
              <w:rPr>
                <w:noProof/>
                <w:color w:val="000000"/>
              </w:rPr>
              <w:t>DG Commerce</w:t>
            </w:r>
          </w:p>
        </w:tc>
        <w:tc>
          <w:tcPr>
            <w:tcW w:w="2302" w:type="dxa"/>
            <w:noWrap/>
            <w:vAlign w:val="center"/>
            <w:hideMark/>
          </w:tcPr>
          <w:p>
            <w:pPr>
              <w:jc w:val="center"/>
              <w:rPr>
                <w:rFonts w:cs="Times New Roman"/>
                <w:noProof/>
                <w:color w:val="000000"/>
              </w:rPr>
            </w:pPr>
            <w:r>
              <w:rPr>
                <w:noProof/>
                <w:color w:val="000000"/>
              </w:rPr>
              <w:t>7</w:t>
            </w:r>
          </w:p>
        </w:tc>
      </w:tr>
      <w:tr>
        <w:trPr>
          <w:trHeight w:val="340"/>
        </w:trPr>
        <w:tc>
          <w:tcPr>
            <w:tcW w:w="0" w:type="auto"/>
            <w:noWrap/>
            <w:vAlign w:val="center"/>
            <w:hideMark/>
          </w:tcPr>
          <w:p>
            <w:pPr>
              <w:jc w:val="both"/>
              <w:rPr>
                <w:rFonts w:cs="Times New Roman"/>
                <w:noProof/>
                <w:color w:val="000000"/>
              </w:rPr>
            </w:pPr>
            <w:r>
              <w:rPr>
                <w:noProof/>
                <w:color w:val="000000"/>
              </w:rPr>
              <w:t>DG Eurostat – Statistiques européennes</w:t>
            </w:r>
          </w:p>
        </w:tc>
        <w:tc>
          <w:tcPr>
            <w:tcW w:w="2302" w:type="dxa"/>
            <w:noWrap/>
            <w:vAlign w:val="center"/>
            <w:hideMark/>
          </w:tcPr>
          <w:p>
            <w:pPr>
              <w:jc w:val="center"/>
              <w:rPr>
                <w:rFonts w:cs="Times New Roman"/>
                <w:noProof/>
                <w:color w:val="000000"/>
              </w:rPr>
            </w:pPr>
            <w:r>
              <w:rPr>
                <w:noProof/>
                <w:color w:val="000000"/>
              </w:rPr>
              <w:t>6</w:t>
            </w:r>
          </w:p>
        </w:tc>
      </w:tr>
      <w:tr>
        <w:trPr>
          <w:trHeight w:val="340"/>
        </w:trPr>
        <w:tc>
          <w:tcPr>
            <w:tcW w:w="0" w:type="auto"/>
            <w:noWrap/>
            <w:vAlign w:val="center"/>
            <w:hideMark/>
          </w:tcPr>
          <w:p>
            <w:pPr>
              <w:rPr>
                <w:rFonts w:cs="Times New Roman"/>
                <w:noProof/>
                <w:color w:val="000000"/>
              </w:rPr>
            </w:pPr>
            <w:r>
              <w:rPr>
                <w:noProof/>
                <w:color w:val="000000"/>
              </w:rPr>
              <w:t>DG Éducation, jeunesse, sport et culture</w:t>
            </w:r>
          </w:p>
        </w:tc>
        <w:tc>
          <w:tcPr>
            <w:tcW w:w="2302" w:type="dxa"/>
            <w:noWrap/>
            <w:vAlign w:val="center"/>
            <w:hideMark/>
          </w:tcPr>
          <w:p>
            <w:pPr>
              <w:jc w:val="center"/>
              <w:rPr>
                <w:rFonts w:cs="Times New Roman"/>
                <w:noProof/>
                <w:color w:val="000000"/>
              </w:rPr>
            </w:pPr>
            <w:r>
              <w:rPr>
                <w:noProof/>
                <w:color w:val="000000"/>
              </w:rPr>
              <w:t>6</w:t>
            </w:r>
          </w:p>
        </w:tc>
      </w:tr>
      <w:tr>
        <w:trPr>
          <w:trHeight w:val="340"/>
        </w:trPr>
        <w:tc>
          <w:tcPr>
            <w:tcW w:w="0" w:type="auto"/>
            <w:noWrap/>
            <w:vAlign w:val="center"/>
            <w:hideMark/>
          </w:tcPr>
          <w:p>
            <w:pPr>
              <w:rPr>
                <w:rFonts w:cs="Times New Roman"/>
                <w:noProof/>
                <w:color w:val="000000"/>
              </w:rPr>
            </w:pPr>
            <w:r>
              <w:rPr>
                <w:noProof/>
                <w:color w:val="000000"/>
              </w:rPr>
              <w:t>DG Voisinage et négociations d’élargissement</w:t>
            </w:r>
          </w:p>
        </w:tc>
        <w:tc>
          <w:tcPr>
            <w:tcW w:w="2302" w:type="dxa"/>
            <w:noWrap/>
            <w:vAlign w:val="center"/>
            <w:hideMark/>
          </w:tcPr>
          <w:p>
            <w:pPr>
              <w:jc w:val="center"/>
              <w:rPr>
                <w:rFonts w:cs="Times New Roman"/>
                <w:noProof/>
                <w:color w:val="000000"/>
              </w:rPr>
            </w:pPr>
            <w:r>
              <w:rPr>
                <w:noProof/>
                <w:color w:val="000000"/>
              </w:rPr>
              <w:t>4</w:t>
            </w:r>
          </w:p>
        </w:tc>
      </w:tr>
      <w:tr>
        <w:trPr>
          <w:trHeight w:val="340"/>
        </w:trPr>
        <w:tc>
          <w:tcPr>
            <w:tcW w:w="0" w:type="auto"/>
            <w:noWrap/>
            <w:vAlign w:val="center"/>
          </w:tcPr>
          <w:p>
            <w:pPr>
              <w:rPr>
                <w:rFonts w:cs="Times New Roman"/>
                <w:noProof/>
                <w:color w:val="000000"/>
              </w:rPr>
            </w:pPr>
            <w:r>
              <w:rPr>
                <w:noProof/>
                <w:color w:val="000000"/>
              </w:rPr>
              <w:t>DG Budget</w:t>
            </w:r>
          </w:p>
        </w:tc>
        <w:tc>
          <w:tcPr>
            <w:tcW w:w="2302" w:type="dxa"/>
            <w:noWrap/>
            <w:vAlign w:val="center"/>
          </w:tcPr>
          <w:p>
            <w:pPr>
              <w:jc w:val="center"/>
              <w:rPr>
                <w:rFonts w:cs="Times New Roman"/>
                <w:noProof/>
                <w:color w:val="000000"/>
              </w:rPr>
            </w:pPr>
            <w:r>
              <w:rPr>
                <w:noProof/>
                <w:color w:val="000000"/>
              </w:rPr>
              <w:t>3</w:t>
            </w:r>
          </w:p>
        </w:tc>
      </w:tr>
      <w:tr>
        <w:trPr>
          <w:trHeight w:val="340"/>
        </w:trPr>
        <w:tc>
          <w:tcPr>
            <w:tcW w:w="0" w:type="auto"/>
            <w:noWrap/>
            <w:vAlign w:val="center"/>
            <w:hideMark/>
          </w:tcPr>
          <w:p>
            <w:pPr>
              <w:rPr>
                <w:rFonts w:cs="Times New Roman"/>
                <w:noProof/>
                <w:color w:val="000000"/>
              </w:rPr>
            </w:pPr>
            <w:r>
              <w:rPr>
                <w:noProof/>
                <w:color w:val="000000"/>
              </w:rPr>
              <w:t>DG Santé et sécurité alimentaire</w:t>
            </w:r>
          </w:p>
        </w:tc>
        <w:tc>
          <w:tcPr>
            <w:tcW w:w="2302" w:type="dxa"/>
            <w:noWrap/>
            <w:vAlign w:val="center"/>
            <w:hideMark/>
          </w:tcPr>
          <w:p>
            <w:pPr>
              <w:jc w:val="center"/>
              <w:rPr>
                <w:rFonts w:cs="Times New Roman"/>
                <w:noProof/>
                <w:color w:val="000000"/>
              </w:rPr>
            </w:pPr>
            <w:r>
              <w:rPr>
                <w:noProof/>
                <w:color w:val="000000"/>
              </w:rPr>
              <w:t>3</w:t>
            </w:r>
          </w:p>
        </w:tc>
      </w:tr>
      <w:tr>
        <w:trPr>
          <w:trHeight w:val="340"/>
        </w:trPr>
        <w:tc>
          <w:tcPr>
            <w:tcW w:w="0" w:type="auto"/>
            <w:noWrap/>
            <w:vAlign w:val="center"/>
            <w:hideMark/>
          </w:tcPr>
          <w:p>
            <w:pPr>
              <w:rPr>
                <w:rFonts w:cs="Times New Roman"/>
                <w:noProof/>
                <w:color w:val="000000"/>
              </w:rPr>
            </w:pPr>
            <w:r>
              <w:rPr>
                <w:noProof/>
                <w:color w:val="000000"/>
              </w:rPr>
              <w:t>DG Affaires maritimes et pêche</w:t>
            </w:r>
          </w:p>
        </w:tc>
        <w:tc>
          <w:tcPr>
            <w:tcW w:w="2302" w:type="dxa"/>
            <w:noWrap/>
            <w:vAlign w:val="center"/>
            <w:hideMark/>
          </w:tcPr>
          <w:p>
            <w:pPr>
              <w:jc w:val="center"/>
              <w:rPr>
                <w:rFonts w:cs="Times New Roman"/>
                <w:noProof/>
                <w:color w:val="000000"/>
              </w:rPr>
            </w:pPr>
            <w:r>
              <w:rPr>
                <w:noProof/>
                <w:color w:val="000000"/>
              </w:rPr>
              <w:t>3</w:t>
            </w:r>
          </w:p>
        </w:tc>
      </w:tr>
      <w:tr>
        <w:trPr>
          <w:trHeight w:val="340"/>
        </w:trPr>
        <w:tc>
          <w:tcPr>
            <w:tcW w:w="0" w:type="auto"/>
            <w:noWrap/>
            <w:vAlign w:val="center"/>
          </w:tcPr>
          <w:p>
            <w:pPr>
              <w:rPr>
                <w:rFonts w:cs="Times New Roman"/>
                <w:noProof/>
                <w:color w:val="000000"/>
              </w:rPr>
            </w:pPr>
            <w:r>
              <w:rPr>
                <w:noProof/>
                <w:color w:val="000000"/>
              </w:rPr>
              <w:t xml:space="preserve">DG Recherche et innovation </w:t>
            </w:r>
          </w:p>
        </w:tc>
        <w:tc>
          <w:tcPr>
            <w:tcW w:w="2302" w:type="dxa"/>
            <w:noWrap/>
            <w:vAlign w:val="center"/>
          </w:tcPr>
          <w:p>
            <w:pPr>
              <w:jc w:val="center"/>
              <w:rPr>
                <w:rFonts w:cs="Times New Roman"/>
                <w:noProof/>
                <w:color w:val="000000"/>
              </w:rPr>
            </w:pPr>
            <w:r>
              <w:rPr>
                <w:noProof/>
                <w:color w:val="000000"/>
              </w:rPr>
              <w:t>3</w:t>
            </w:r>
          </w:p>
        </w:tc>
      </w:tr>
      <w:tr>
        <w:trPr>
          <w:trHeight w:val="340"/>
        </w:trPr>
        <w:tc>
          <w:tcPr>
            <w:tcW w:w="0" w:type="auto"/>
            <w:noWrap/>
            <w:vAlign w:val="center"/>
            <w:hideMark/>
          </w:tcPr>
          <w:p>
            <w:pPr>
              <w:rPr>
                <w:rFonts w:cs="Times New Roman"/>
                <w:noProof/>
                <w:color w:val="000000"/>
              </w:rPr>
            </w:pPr>
            <w:r>
              <w:rPr>
                <w:noProof/>
                <w:color w:val="000000"/>
              </w:rPr>
              <w:t>Service des instruments de politique étrangère</w:t>
            </w:r>
          </w:p>
        </w:tc>
        <w:tc>
          <w:tcPr>
            <w:tcW w:w="2302" w:type="dxa"/>
            <w:noWrap/>
            <w:vAlign w:val="center"/>
            <w:hideMark/>
          </w:tcPr>
          <w:p>
            <w:pPr>
              <w:jc w:val="center"/>
              <w:rPr>
                <w:rFonts w:cs="Times New Roman"/>
                <w:noProof/>
                <w:color w:val="000000"/>
              </w:rPr>
            </w:pPr>
            <w:r>
              <w:rPr>
                <w:noProof/>
                <w:color w:val="000000"/>
              </w:rPr>
              <w:t>3</w:t>
            </w:r>
          </w:p>
        </w:tc>
      </w:tr>
      <w:tr>
        <w:trPr>
          <w:trHeight w:val="340"/>
        </w:trPr>
        <w:tc>
          <w:tcPr>
            <w:tcW w:w="0" w:type="auto"/>
            <w:noWrap/>
            <w:vAlign w:val="center"/>
            <w:hideMark/>
          </w:tcPr>
          <w:p>
            <w:pPr>
              <w:rPr>
                <w:rFonts w:cs="Times New Roman"/>
                <w:noProof/>
                <w:color w:val="000000"/>
              </w:rPr>
            </w:pPr>
            <w:r>
              <w:rPr>
                <w:noProof/>
                <w:color w:val="000000"/>
              </w:rPr>
              <w:t xml:space="preserve">DG Concurrence </w:t>
            </w:r>
          </w:p>
        </w:tc>
        <w:tc>
          <w:tcPr>
            <w:tcW w:w="2302" w:type="dxa"/>
            <w:noWrap/>
            <w:vAlign w:val="center"/>
            <w:hideMark/>
          </w:tcPr>
          <w:p>
            <w:pPr>
              <w:jc w:val="center"/>
              <w:rPr>
                <w:rFonts w:cs="Times New Roman"/>
                <w:noProof/>
                <w:color w:val="000000"/>
              </w:rPr>
            </w:pPr>
            <w:r>
              <w:rPr>
                <w:noProof/>
                <w:color w:val="000000"/>
              </w:rPr>
              <w:t>1</w:t>
            </w:r>
          </w:p>
        </w:tc>
      </w:tr>
      <w:tr>
        <w:trPr>
          <w:trHeight w:val="340"/>
        </w:trPr>
        <w:tc>
          <w:tcPr>
            <w:tcW w:w="0" w:type="auto"/>
            <w:noWrap/>
            <w:vAlign w:val="center"/>
            <w:hideMark/>
          </w:tcPr>
          <w:p>
            <w:pPr>
              <w:rPr>
                <w:rFonts w:cs="Times New Roman"/>
                <w:noProof/>
                <w:color w:val="000000"/>
              </w:rPr>
            </w:pPr>
            <w:r>
              <w:rPr>
                <w:noProof/>
                <w:color w:val="000000"/>
              </w:rPr>
              <w:t>DG Protection civile et opérations d’aide humanitaire européennes</w:t>
            </w:r>
          </w:p>
        </w:tc>
        <w:tc>
          <w:tcPr>
            <w:tcW w:w="2302" w:type="dxa"/>
            <w:noWrap/>
            <w:vAlign w:val="center"/>
            <w:hideMark/>
          </w:tcPr>
          <w:p>
            <w:pPr>
              <w:jc w:val="center"/>
              <w:rPr>
                <w:rFonts w:cs="Times New Roman"/>
                <w:noProof/>
                <w:color w:val="000000"/>
              </w:rPr>
            </w:pPr>
            <w:r>
              <w:rPr>
                <w:noProof/>
                <w:color w:val="000000"/>
              </w:rPr>
              <w:t>1</w:t>
            </w:r>
          </w:p>
        </w:tc>
      </w:tr>
      <w:tr>
        <w:trPr>
          <w:trHeight w:val="340"/>
        </w:trPr>
        <w:tc>
          <w:tcPr>
            <w:tcW w:w="0" w:type="auto"/>
            <w:noWrap/>
            <w:vAlign w:val="center"/>
            <w:hideMark/>
          </w:tcPr>
          <w:p>
            <w:pPr>
              <w:rPr>
                <w:rFonts w:cs="Times New Roman"/>
                <w:noProof/>
                <w:color w:val="000000"/>
              </w:rPr>
            </w:pPr>
            <w:r>
              <w:rPr>
                <w:noProof/>
                <w:color w:val="000000"/>
              </w:rPr>
              <w:t>DG Coopération internationale et développement</w:t>
            </w:r>
          </w:p>
        </w:tc>
        <w:tc>
          <w:tcPr>
            <w:tcW w:w="2302" w:type="dxa"/>
            <w:noWrap/>
            <w:vAlign w:val="center"/>
            <w:hideMark/>
          </w:tcPr>
          <w:p>
            <w:pPr>
              <w:jc w:val="center"/>
              <w:rPr>
                <w:rFonts w:cs="Times New Roman"/>
                <w:noProof/>
                <w:color w:val="000000"/>
              </w:rPr>
            </w:pPr>
            <w:r>
              <w:rPr>
                <w:noProof/>
                <w:color w:val="000000"/>
              </w:rPr>
              <w:t>1</w:t>
            </w:r>
          </w:p>
        </w:tc>
      </w:tr>
      <w:tr>
        <w:trPr>
          <w:trHeight w:val="340"/>
        </w:trPr>
        <w:tc>
          <w:tcPr>
            <w:tcW w:w="0" w:type="auto"/>
            <w:noWrap/>
            <w:vAlign w:val="center"/>
            <w:hideMark/>
          </w:tcPr>
          <w:p>
            <w:pPr>
              <w:rPr>
                <w:rFonts w:cs="Times New Roman"/>
                <w:noProof/>
                <w:color w:val="000000"/>
              </w:rPr>
            </w:pPr>
            <w:r>
              <w:rPr>
                <w:noProof/>
                <w:color w:val="000000"/>
              </w:rPr>
              <w:t>DG Politique régionale et urbaine</w:t>
            </w:r>
          </w:p>
        </w:tc>
        <w:tc>
          <w:tcPr>
            <w:tcW w:w="2302" w:type="dxa"/>
            <w:noWrap/>
            <w:vAlign w:val="center"/>
            <w:hideMark/>
          </w:tcPr>
          <w:p>
            <w:pPr>
              <w:jc w:val="center"/>
              <w:rPr>
                <w:rFonts w:cs="Times New Roman"/>
                <w:noProof/>
                <w:color w:val="000000"/>
              </w:rPr>
            </w:pPr>
            <w:r>
              <w:rPr>
                <w:noProof/>
                <w:color w:val="000000"/>
              </w:rPr>
              <w:t>1</w:t>
            </w:r>
          </w:p>
        </w:tc>
      </w:tr>
      <w:tr>
        <w:trPr>
          <w:trHeight w:val="340"/>
        </w:trPr>
        <w:tc>
          <w:tcPr>
            <w:tcW w:w="0" w:type="auto"/>
            <w:vAlign w:val="center"/>
          </w:tcPr>
          <w:p>
            <w:pPr>
              <w:rPr>
                <w:rFonts w:cs="Times New Roman"/>
                <w:noProof/>
              </w:rPr>
            </w:pPr>
            <w:r>
              <w:rPr>
                <w:noProof/>
              </w:rPr>
              <w:t>TOTAL</w:t>
            </w:r>
          </w:p>
        </w:tc>
        <w:tc>
          <w:tcPr>
            <w:tcW w:w="2302" w:type="dxa"/>
            <w:vAlign w:val="center"/>
          </w:tcPr>
          <w:p>
            <w:pPr>
              <w:jc w:val="center"/>
              <w:rPr>
                <w:rFonts w:cs="Times New Roman"/>
                <w:b/>
                <w:noProof/>
              </w:rPr>
            </w:pPr>
            <w:r>
              <w:rPr>
                <w:b/>
                <w:noProof/>
              </w:rPr>
              <w:t>612</w:t>
            </w:r>
            <w:r>
              <w:rPr>
                <w:rStyle w:val="FootnoteReference"/>
                <w:noProof/>
              </w:rPr>
              <w:footnoteReference w:id="23"/>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pgMar w:top="1440" w:right="1440" w:bottom="1276" w:left="1440" w:header="426"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381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pPr>
      <w:r>
        <w:rPr>
          <w:rStyle w:val="FootnoteReference"/>
        </w:rPr>
        <w:footnoteRef/>
      </w:r>
      <w:r>
        <w:t xml:space="preserve"> </w:t>
      </w:r>
      <w:r>
        <w:tab/>
        <w:t>Ce nombre inclut à la fois les avis et les avis motivés reçus des parlements nationaux.</w:t>
      </w:r>
    </w:p>
  </w:footnote>
  <w:footnote w:id="2">
    <w:p>
      <w:pPr>
        <w:pStyle w:val="FootnoteText"/>
        <w:ind w:left="284" w:hanging="284"/>
        <w:jc w:val="both"/>
      </w:pPr>
      <w:r>
        <w:rPr>
          <w:rStyle w:val="FootnoteReference"/>
        </w:rPr>
        <w:footnoteRef/>
      </w:r>
      <w:r>
        <w:t xml:space="preserve"> </w:t>
      </w:r>
      <w:r>
        <w:tab/>
        <w:t>Pour être considéré comme un avis motivé conformément à la définition qui en est donnée dans le protocole nº 2, un avis doit clairement mentionner une violation du principe de subsidiarité et être adressé à la Commission dans un délai de huit semaines à compter de la date de transmission de la proposition législative aux parlements nationaux.</w:t>
      </w:r>
    </w:p>
  </w:footnote>
  <w:footnote w:id="3">
    <w:p>
      <w:pPr>
        <w:pStyle w:val="FootnoteText"/>
        <w:ind w:left="284" w:hanging="284"/>
        <w:jc w:val="both"/>
      </w:pPr>
      <w:r>
        <w:rPr>
          <w:rStyle w:val="FootnoteReference"/>
        </w:rPr>
        <w:footnoteRef/>
      </w:r>
      <w:r>
        <w:t xml:space="preserve"> </w:t>
      </w:r>
      <w:r>
        <w:tab/>
        <w:t>L’Assemblée nationale française a émis un avis mentionnant une violation du principe de subsidiarité. Cet avis a toutefois été envoyé plus de huit semaines après la transmission par la Commission de la proposition législative aux parlements nationaux.</w:t>
      </w:r>
    </w:p>
  </w:footnote>
  <w:footnote w:id="4">
    <w:p>
      <w:pPr>
        <w:pStyle w:val="FootnoteText"/>
        <w:tabs>
          <w:tab w:val="left" w:pos="284"/>
        </w:tabs>
        <w:ind w:left="284" w:hanging="284"/>
        <w:jc w:val="both"/>
        <w:rPr>
          <w:highlight w:val="yellow"/>
        </w:rPr>
      </w:pPr>
      <w:r>
        <w:rPr>
          <w:rStyle w:val="FootnoteReference"/>
        </w:rPr>
        <w:footnoteRef/>
      </w:r>
      <w:r>
        <w:t xml:space="preserve"> </w:t>
      </w:r>
      <w:r>
        <w:tab/>
        <w:t xml:space="preserve">Comptabilisés comme treize avis de deux chambres. </w:t>
      </w:r>
    </w:p>
  </w:footnote>
  <w:footnote w:id="5">
    <w:p>
      <w:pPr>
        <w:pStyle w:val="FootnoteText"/>
        <w:tabs>
          <w:tab w:val="left" w:pos="284"/>
        </w:tabs>
        <w:ind w:left="284" w:hanging="284"/>
        <w:jc w:val="both"/>
      </w:pPr>
      <w:r>
        <w:rPr>
          <w:rStyle w:val="FootnoteReference"/>
        </w:rPr>
        <w:footnoteRef/>
      </w:r>
      <w:r>
        <w:t xml:space="preserve"> </w:t>
      </w:r>
      <w:r>
        <w:tab/>
        <w:t>Le tableau classe tous les documents de la Commission pour lesquels au moins huit avis ont été reçus.</w:t>
      </w:r>
    </w:p>
  </w:footnote>
  <w:footnote w:id="6">
    <w:p>
      <w:pPr>
        <w:pStyle w:val="FootnoteText"/>
        <w:ind w:left="284" w:hanging="284"/>
        <w:jc w:val="both"/>
      </w:pPr>
      <w:r>
        <w:rPr>
          <w:rStyle w:val="FootnoteReference"/>
        </w:rPr>
        <w:footnoteRef/>
      </w:r>
      <w:r>
        <w:t xml:space="preserve"> </w:t>
      </w:r>
      <w:r>
        <w:tab/>
        <w:t>Ce nombre inclut à la fois les avis et les avis motivés reçus des parlements nationaux.</w:t>
      </w:r>
    </w:p>
  </w:footnote>
  <w:footnote w:id="7">
    <w:p>
      <w:pPr>
        <w:pStyle w:val="FootnoteText"/>
        <w:tabs>
          <w:tab w:val="left" w:pos="284"/>
        </w:tabs>
        <w:ind w:left="284" w:hanging="284"/>
        <w:jc w:val="both"/>
      </w:pPr>
      <w:r>
        <w:rPr>
          <w:rStyle w:val="FootnoteReference"/>
        </w:rPr>
        <w:footnoteRef/>
      </w:r>
      <w:r>
        <w:t xml:space="preserve"> </w:t>
      </w:r>
      <w:r>
        <w:tab/>
        <w:t>Pour être considéré comme un avis motivé conformément à la définition qui en est donnée dans le protocole nº 2, un avis doit clairement mentionner une violation du principe de subsidiarité et être adressé à la Commission dans un délai de huit semaines à compter de la date de transmission de la proposition législative aux parlements nationaux.</w:t>
      </w:r>
    </w:p>
  </w:footnote>
  <w:footnote w:id="8">
    <w:p>
      <w:pPr>
        <w:pStyle w:val="FootnoteText"/>
        <w:ind w:left="284" w:hanging="284"/>
        <w:jc w:val="both"/>
      </w:pPr>
      <w:r>
        <w:rPr>
          <w:rStyle w:val="FootnoteReference"/>
        </w:rPr>
        <w:footnoteRef/>
      </w:r>
      <w:r>
        <w:t xml:space="preserve"> </w:t>
      </w:r>
      <w:r>
        <w:tab/>
        <w:t xml:space="preserve">L’un des avis portant sur ce document de la Commission, envoyé par la </w:t>
      </w:r>
      <w:r>
        <w:rPr>
          <w:i/>
        </w:rPr>
        <w:t>Poslanecká sněmovna</w:t>
      </w:r>
      <w:r>
        <w:t xml:space="preserve"> tchèque, concernait à la fois les documents COM(2016) 270, COM(2016) 271 et COM(2016) 272. Un avis, envoyé par l’</w:t>
      </w:r>
      <w:r>
        <w:rPr>
          <w:i/>
        </w:rPr>
        <w:t>Assembleia da República</w:t>
      </w:r>
      <w:r>
        <w:t xml:space="preserve"> portugaise, concernait à la fois les documents COM(2016) 197, COM(2016) 270, COM(2016) 271 et COM(2016) 272.</w:t>
      </w:r>
    </w:p>
  </w:footnote>
  <w:footnote w:id="9">
    <w:p>
      <w:pPr>
        <w:pStyle w:val="FootnoteText"/>
        <w:ind w:left="284" w:hanging="284"/>
        <w:jc w:val="both"/>
      </w:pPr>
      <w:r>
        <w:rPr>
          <w:rStyle w:val="FootnoteReference"/>
        </w:rPr>
        <w:footnoteRef/>
      </w:r>
      <w:r>
        <w:t xml:space="preserve"> </w:t>
      </w:r>
      <w:r>
        <w:tab/>
        <w:t xml:space="preserve">Six avis, du </w:t>
      </w:r>
      <w:r>
        <w:rPr>
          <w:i/>
        </w:rPr>
        <w:t>Senát</w:t>
      </w:r>
      <w:r>
        <w:t xml:space="preserve"> tchèque, du Sénat français, de la Chambre des députés luxembourgeoise, du </w:t>
      </w:r>
      <w:r>
        <w:rPr>
          <w:i/>
        </w:rPr>
        <w:t>Bundesrat</w:t>
      </w:r>
      <w:r>
        <w:t xml:space="preserve"> autrichien, de l’</w:t>
      </w:r>
      <w:r>
        <w:rPr>
          <w:i/>
        </w:rPr>
        <w:t>Assembleia da República</w:t>
      </w:r>
      <w:r>
        <w:t xml:space="preserve"> portugaise et du </w:t>
      </w:r>
      <w:r>
        <w:rPr>
          <w:i/>
        </w:rPr>
        <w:t>Senat</w:t>
      </w:r>
      <w:r>
        <w:t xml:space="preserve"> roumain, concernaient à la fois les documents COM(2015) 634 et COM(2015) 635. La </w:t>
      </w:r>
      <w:r>
        <w:rPr>
          <w:i/>
        </w:rPr>
        <w:t>Eerste Kamer</w:t>
      </w:r>
      <w:r>
        <w:t xml:space="preserve"> néerlandaise a envoyé deux avis qui concernaient tous deux à la fois les documents COM(2015) 633, COM(2015) 634 et COM(2015) 635.</w:t>
      </w:r>
    </w:p>
  </w:footnote>
  <w:footnote w:id="10">
    <w:p>
      <w:pPr>
        <w:pStyle w:val="FootnoteText"/>
        <w:ind w:left="284" w:hanging="284"/>
        <w:jc w:val="both"/>
      </w:pPr>
      <w:r>
        <w:rPr>
          <w:rStyle w:val="FootnoteReference"/>
        </w:rPr>
        <w:footnoteRef/>
      </w:r>
      <w:r>
        <w:t xml:space="preserve"> </w:t>
      </w:r>
      <w:r>
        <w:tab/>
        <w:t xml:space="preserve">Huit avis, du </w:t>
      </w:r>
      <w:r>
        <w:rPr>
          <w:i/>
        </w:rPr>
        <w:t xml:space="preserve"> Folketing</w:t>
      </w:r>
      <w:r>
        <w:t xml:space="preserve"> danois, du </w:t>
      </w:r>
      <w:r>
        <w:rPr>
          <w:i/>
        </w:rPr>
        <w:t>Dáil Éireann</w:t>
      </w:r>
      <w:r>
        <w:t xml:space="preserve"> irlandais, du</w:t>
      </w:r>
      <w:r>
        <w:rPr>
          <w:i/>
        </w:rPr>
        <w:t xml:space="preserve"> Seanad Éireann</w:t>
      </w:r>
      <w:r>
        <w:t xml:space="preserve"> irlandais, des </w:t>
      </w:r>
      <w:r>
        <w:rPr>
          <w:i/>
        </w:rPr>
        <w:t>Cortes Generales</w:t>
      </w:r>
      <w:r>
        <w:t xml:space="preserve"> espagnoles, de la Chambre des députés luxembourgeoise, de la </w:t>
      </w:r>
      <w:r>
        <w:rPr>
          <w:i/>
        </w:rPr>
        <w:t>Kamra tad-Deputati</w:t>
      </w:r>
      <w:r>
        <w:t xml:space="preserve"> maltaise, de la </w:t>
      </w:r>
      <w:r>
        <w:rPr>
          <w:i/>
        </w:rPr>
        <w:t xml:space="preserve">Tweede Kamer </w:t>
      </w:r>
      <w:r>
        <w:t>néerlandaise et de l’</w:t>
      </w:r>
      <w:r>
        <w:rPr>
          <w:i/>
        </w:rPr>
        <w:t>Assembleia da República</w:t>
      </w:r>
      <w:r>
        <w:t xml:space="preserve"> portugaise, concernaient à la fois les documents COM(2016) 683 et COM(2016) 685. Un avis, envoyé par la </w:t>
      </w:r>
      <w:r>
        <w:rPr>
          <w:i/>
        </w:rPr>
        <w:t>Eerste Kamer</w:t>
      </w:r>
      <w:r>
        <w:t xml:space="preserve"> néerlandaise, concernait à la fois les documents COM(2016) 683, COM(2016) 685 et COM(2016) 687.</w:t>
      </w:r>
    </w:p>
  </w:footnote>
  <w:footnote w:id="11">
    <w:p>
      <w:pPr>
        <w:pStyle w:val="FootnoteText"/>
        <w:ind w:left="284" w:hanging="284"/>
        <w:jc w:val="both"/>
      </w:pPr>
      <w:r>
        <w:rPr>
          <w:rStyle w:val="FootnoteReference"/>
        </w:rPr>
        <w:footnoteRef/>
      </w:r>
      <w:r>
        <w:t xml:space="preserve"> </w:t>
      </w:r>
      <w:r>
        <w:tab/>
        <w:t xml:space="preserve">Huit avis, du </w:t>
      </w:r>
      <w:r>
        <w:rPr>
          <w:i/>
        </w:rPr>
        <w:t xml:space="preserve"> Folketing</w:t>
      </w:r>
      <w:r>
        <w:t xml:space="preserve"> danois, du </w:t>
      </w:r>
      <w:r>
        <w:rPr>
          <w:i/>
        </w:rPr>
        <w:t>Dáil Éireann</w:t>
      </w:r>
      <w:r>
        <w:t xml:space="preserve"> irlandais, du</w:t>
      </w:r>
      <w:r>
        <w:rPr>
          <w:i/>
        </w:rPr>
        <w:t xml:space="preserve"> Seanad Éireann</w:t>
      </w:r>
      <w:r>
        <w:t xml:space="preserve"> irlandais, des </w:t>
      </w:r>
      <w:r>
        <w:rPr>
          <w:i/>
        </w:rPr>
        <w:t>Cortes Generales</w:t>
      </w:r>
      <w:r>
        <w:t xml:space="preserve"> espagnoles, de la Chambre des députés luxembourgeoise, de la </w:t>
      </w:r>
      <w:r>
        <w:rPr>
          <w:i/>
        </w:rPr>
        <w:t>Kamra tad-Deputati</w:t>
      </w:r>
      <w:r>
        <w:t xml:space="preserve"> maltaise, de la </w:t>
      </w:r>
      <w:r>
        <w:rPr>
          <w:i/>
        </w:rPr>
        <w:t>Tweede Kamer</w:t>
      </w:r>
      <w:r>
        <w:t xml:space="preserve"> néerlandaise et de l’</w:t>
      </w:r>
      <w:r>
        <w:rPr>
          <w:i/>
        </w:rPr>
        <w:t>Assembleia da República</w:t>
      </w:r>
      <w:r>
        <w:t xml:space="preserve"> portugaise, concernaient à la fois les documents COM(2016) 683 et COM(2016) 685. Un avis, envoyé par la </w:t>
      </w:r>
      <w:r>
        <w:rPr>
          <w:i/>
        </w:rPr>
        <w:t>Eerste Kamer</w:t>
      </w:r>
      <w:r>
        <w:t xml:space="preserve"> néerlandaise, concernait à la fois les documents COM(2016) 683, COM(2016) 685 et COM(2016) 687.</w:t>
      </w:r>
    </w:p>
  </w:footnote>
  <w:footnote w:id="12">
    <w:p>
      <w:pPr>
        <w:pStyle w:val="FootnoteText"/>
        <w:ind w:left="284" w:hanging="284"/>
        <w:jc w:val="both"/>
      </w:pPr>
      <w:r>
        <w:rPr>
          <w:rStyle w:val="FootnoteReference"/>
        </w:rPr>
        <w:footnoteRef/>
      </w:r>
      <w:r>
        <w:t xml:space="preserve"> </w:t>
      </w:r>
      <w:r>
        <w:tab/>
        <w:t xml:space="preserve">Un avis, envoyé par la </w:t>
      </w:r>
      <w:r>
        <w:rPr>
          <w:i/>
        </w:rPr>
        <w:t>Camera dei Deputati</w:t>
      </w:r>
      <w:r>
        <w:t xml:space="preserve"> italienne, concernait à la fois les documents COM(2015) 633 et COM(2015) 634. Six avis, du </w:t>
      </w:r>
      <w:r>
        <w:rPr>
          <w:i/>
        </w:rPr>
        <w:t>Senát</w:t>
      </w:r>
      <w:r>
        <w:t xml:space="preserve"> tchèque, du Sénat français, de la Chambre des députés luxembourgeoise, du </w:t>
      </w:r>
      <w:r>
        <w:rPr>
          <w:i/>
        </w:rPr>
        <w:t>Bundesrat</w:t>
      </w:r>
      <w:r>
        <w:t xml:space="preserve"> autrichien, de l’</w:t>
      </w:r>
      <w:r>
        <w:rPr>
          <w:i/>
        </w:rPr>
        <w:t>Assembleia da República</w:t>
      </w:r>
      <w:r>
        <w:t xml:space="preserve"> portugaise et du </w:t>
      </w:r>
      <w:r>
        <w:rPr>
          <w:i/>
        </w:rPr>
        <w:t>Senat</w:t>
      </w:r>
      <w:r>
        <w:t xml:space="preserve"> roumain, concernaient à la fois les documents COM(2015) 634 et COM(2015) 635. La </w:t>
      </w:r>
      <w:r>
        <w:rPr>
          <w:i/>
        </w:rPr>
        <w:t>Eerste Kamer</w:t>
      </w:r>
      <w:r>
        <w:t xml:space="preserve"> néerlandaise a envoyé deux avis qui concernaient tous deux à la fois les documents COM(2015) 633, COM(2015) 634 et COM(2015) 635.</w:t>
      </w:r>
    </w:p>
  </w:footnote>
  <w:footnote w:id="13">
    <w:p>
      <w:pPr>
        <w:pStyle w:val="FootnoteText"/>
        <w:ind w:left="284" w:hanging="284"/>
        <w:jc w:val="both"/>
      </w:pPr>
      <w:r>
        <w:rPr>
          <w:rStyle w:val="FootnoteReference"/>
        </w:rPr>
        <w:footnoteRef/>
      </w:r>
      <w:r>
        <w:t xml:space="preserve"> </w:t>
      </w:r>
      <w:r>
        <w:tab/>
        <w:t xml:space="preserve">Deux avis, du </w:t>
      </w:r>
      <w:r>
        <w:rPr>
          <w:i/>
        </w:rPr>
        <w:t>Bundesrat</w:t>
      </w:r>
      <w:r>
        <w:t xml:space="preserve"> autrichien et de l’Assemblée nationale française, concernaient à la fois les documents COM(2016) 52 et COM(2016) 53. Deux avis, du </w:t>
      </w:r>
      <w:r>
        <w:rPr>
          <w:i/>
        </w:rPr>
        <w:t>Senát</w:t>
      </w:r>
      <w:r>
        <w:t xml:space="preserve"> et de la </w:t>
      </w:r>
      <w:r>
        <w:rPr>
          <w:i/>
        </w:rPr>
        <w:t>Poslanecká sněmovna</w:t>
      </w:r>
      <w:r>
        <w:t xml:space="preserve"> tchèques, concernaient à la fois les documents COM(2016) 49, COM(2016) 51, COM(2016) 52 et COM(2016) 53. </w:t>
      </w:r>
    </w:p>
  </w:footnote>
  <w:footnote w:id="14">
    <w:p>
      <w:pPr>
        <w:pStyle w:val="FootnoteText"/>
        <w:ind w:left="284" w:hanging="284"/>
        <w:jc w:val="both"/>
      </w:pPr>
      <w:r>
        <w:rPr>
          <w:rStyle w:val="FootnoteReference"/>
        </w:rPr>
        <w:footnoteRef/>
      </w:r>
      <w:r>
        <w:t xml:space="preserve"> </w:t>
      </w:r>
      <w:r>
        <w:tab/>
        <w:t xml:space="preserve">Deux avis, de l’Assemblée nationale française et du </w:t>
      </w:r>
      <w:r>
        <w:rPr>
          <w:i/>
        </w:rPr>
        <w:t>Bundesrat</w:t>
      </w:r>
      <w:r>
        <w:t xml:space="preserve"> autrichien, concernaient à la fois les documents COM(2016) 52 et COM(2016) 53. Deux avis, du </w:t>
      </w:r>
      <w:r>
        <w:rPr>
          <w:i/>
        </w:rPr>
        <w:t>Senát</w:t>
      </w:r>
      <w:r>
        <w:t xml:space="preserve"> et de la </w:t>
      </w:r>
      <w:r>
        <w:rPr>
          <w:i/>
        </w:rPr>
        <w:t>Poslanecká sněmovna</w:t>
      </w:r>
      <w:r>
        <w:t xml:space="preserve"> tchèques, concernaient à la fois les documents COM(2016) 49, COM(2016) 51, COM(2016) 52 et COM(2016) 53.</w:t>
      </w:r>
    </w:p>
  </w:footnote>
  <w:footnote w:id="15">
    <w:p>
      <w:pPr>
        <w:pStyle w:val="FootnoteText"/>
        <w:ind w:left="284" w:hanging="284"/>
        <w:jc w:val="both"/>
      </w:pPr>
      <w:r>
        <w:rPr>
          <w:rStyle w:val="FootnoteReference"/>
        </w:rPr>
        <w:footnoteRef/>
      </w:r>
      <w:r>
        <w:t xml:space="preserve"> </w:t>
      </w:r>
      <w:r>
        <w:tab/>
        <w:t xml:space="preserve">Un avis, du </w:t>
      </w:r>
      <w:r>
        <w:rPr>
          <w:i/>
        </w:rPr>
        <w:t>Senát</w:t>
      </w:r>
      <w:r>
        <w:t xml:space="preserve"> tchèque, concernait à la fois les documents COM(2015) 750 et COM(2015) 624. </w:t>
      </w:r>
    </w:p>
  </w:footnote>
  <w:footnote w:id="16">
    <w:p>
      <w:pPr>
        <w:pStyle w:val="FootnoteText"/>
        <w:ind w:left="284" w:hanging="284"/>
        <w:jc w:val="both"/>
      </w:pPr>
      <w:r>
        <w:rPr>
          <w:rStyle w:val="FootnoteReference"/>
        </w:rPr>
        <w:footnoteRef/>
      </w:r>
      <w:r>
        <w:t xml:space="preserve"> </w:t>
      </w:r>
      <w:r>
        <w:tab/>
        <w:t xml:space="preserve">Un avis, de la </w:t>
      </w:r>
      <w:r>
        <w:rPr>
          <w:i/>
        </w:rPr>
        <w:t>Camera Deputaților</w:t>
      </w:r>
      <w:r>
        <w:t xml:space="preserve"> roumaine, concernait à la fois les documents COM(2015) 671 et COM(2015) 673.</w:t>
      </w:r>
    </w:p>
  </w:footnote>
  <w:footnote w:id="17">
    <w:p>
      <w:pPr>
        <w:pStyle w:val="FootnoteText"/>
        <w:ind w:left="284" w:hanging="284"/>
        <w:jc w:val="both"/>
      </w:pPr>
      <w:r>
        <w:rPr>
          <w:rStyle w:val="FootnoteReference"/>
        </w:rPr>
        <w:footnoteRef/>
      </w:r>
      <w:r>
        <w:t xml:space="preserve"> </w:t>
      </w:r>
      <w:r>
        <w:tab/>
        <w:t xml:space="preserve">Un avis, de l’Assemblée nationale française, concernait à la fois les documents COM(2015) 593, COM(2015) 594, COM(2015) 595 et COM(2015) 596. Trois avis, du </w:t>
      </w:r>
      <w:r>
        <w:rPr>
          <w:i/>
        </w:rPr>
        <w:t>Senát</w:t>
      </w:r>
      <w:r>
        <w:t xml:space="preserve"> tchèque, du </w:t>
      </w:r>
      <w:r>
        <w:rPr>
          <w:i/>
        </w:rPr>
        <w:t>Senato della Repubblica</w:t>
      </w:r>
      <w:r>
        <w:t xml:space="preserve"> italien et du </w:t>
      </w:r>
      <w:r>
        <w:rPr>
          <w:i/>
        </w:rPr>
        <w:t>Senat</w:t>
      </w:r>
      <w:r>
        <w:t xml:space="preserve"> roumain, concernaient à la fois les documents COM(2015) 593, COM(2015) 594, COM(2015) 595, COM(2015) 596 et COM(2015) 614. Deux avis, du Sénat français et du </w:t>
      </w:r>
      <w:r>
        <w:rPr>
          <w:i/>
        </w:rPr>
        <w:t>Senat</w:t>
      </w:r>
      <w:r>
        <w:t xml:space="preserve"> polonais, concernaient à la fois les documents COM(2015) 594, COM(2015) 595 et COM(2015) 596. Un avis, du </w:t>
      </w:r>
      <w:r>
        <w:rPr>
          <w:i/>
        </w:rPr>
        <w:t>Folketing</w:t>
      </w:r>
      <w:r>
        <w:t xml:space="preserve"> danois, concernait à la fois les documents COM(2015) 595 et COM(2015) 596.</w:t>
      </w:r>
    </w:p>
  </w:footnote>
  <w:footnote w:id="18">
    <w:p>
      <w:pPr>
        <w:pStyle w:val="FootnoteText"/>
        <w:ind w:left="284" w:hanging="284"/>
        <w:jc w:val="both"/>
      </w:pPr>
      <w:r>
        <w:rPr>
          <w:rStyle w:val="FootnoteReference"/>
        </w:rPr>
        <w:footnoteRef/>
      </w:r>
      <w:r>
        <w:t xml:space="preserve"> </w:t>
      </w:r>
      <w:r>
        <w:tab/>
        <w:t>Un avis, de l’Assemblée nationale française, concernait à la fois les documents COM(2013) 534, COM(2015) 185, COM(2015) 624 et COM(2015) 625.</w:t>
      </w:r>
    </w:p>
  </w:footnote>
  <w:footnote w:id="19">
    <w:p>
      <w:pPr>
        <w:pStyle w:val="FootnoteText"/>
        <w:ind w:left="284" w:hanging="284"/>
        <w:jc w:val="both"/>
      </w:pPr>
      <w:r>
        <w:rPr>
          <w:rStyle w:val="FootnoteReference"/>
        </w:rPr>
        <w:footnoteRef/>
      </w:r>
      <w:r>
        <w:t xml:space="preserve"> </w:t>
      </w:r>
      <w:r>
        <w:tab/>
        <w:t xml:space="preserve">Un avis, de l’Assemblée nationale française, concernait à la fois les documents COM(2015) 593, COM(2015) 594, COM(2015) 595 et COM(2015) 596. Trois avis, du </w:t>
      </w:r>
      <w:r>
        <w:rPr>
          <w:i/>
        </w:rPr>
        <w:t>Senát</w:t>
      </w:r>
      <w:r>
        <w:t xml:space="preserve"> tchèque, du </w:t>
      </w:r>
      <w:r>
        <w:rPr>
          <w:i/>
        </w:rPr>
        <w:t>Senato della Repubblica</w:t>
      </w:r>
      <w:r>
        <w:t xml:space="preserve"> italien et du </w:t>
      </w:r>
      <w:r>
        <w:rPr>
          <w:i/>
        </w:rPr>
        <w:t>Senat</w:t>
      </w:r>
      <w:r>
        <w:t xml:space="preserve"> roumain, concernaient à la fois les documents COM(2015) 593, COM(2015) 594, COM(2015) 595, COM(2015) 596 et COM(2015) 614. Deux avis, du Sénat français et du </w:t>
      </w:r>
      <w:r>
        <w:rPr>
          <w:i/>
        </w:rPr>
        <w:t>Senat</w:t>
      </w:r>
      <w:r>
        <w:t xml:space="preserve"> polonais, concernaient à la fois les documents COM(2015) 594, COM(2015) 595 et COM(2015) 596. Un avis, du </w:t>
      </w:r>
      <w:r>
        <w:rPr>
          <w:i/>
        </w:rPr>
        <w:t>Folketing</w:t>
      </w:r>
      <w:r>
        <w:t xml:space="preserve"> danois, concernait à la fois les documents COM(2015) 595 et COM(2015) 596.</w:t>
      </w:r>
    </w:p>
  </w:footnote>
  <w:footnote w:id="20">
    <w:p>
      <w:pPr>
        <w:pStyle w:val="FootnoteText"/>
        <w:ind w:left="284" w:hanging="284"/>
        <w:jc w:val="both"/>
      </w:pPr>
      <w:r>
        <w:rPr>
          <w:rStyle w:val="FootnoteReference"/>
        </w:rPr>
        <w:footnoteRef/>
      </w:r>
      <w:r>
        <w:rPr>
          <w:lang w:val="pt-PT"/>
        </w:rPr>
        <w:t xml:space="preserve"> </w:t>
      </w:r>
      <w:r>
        <w:rPr>
          <w:lang w:val="pt-PT"/>
        </w:rPr>
        <w:tab/>
        <w:t>Un avis, de l’</w:t>
      </w:r>
      <w:r>
        <w:rPr>
          <w:i/>
          <w:lang w:val="pt-PT"/>
        </w:rPr>
        <w:t>Assembleia da República</w:t>
      </w:r>
      <w:r>
        <w:rPr>
          <w:lang w:val="pt-PT"/>
        </w:rPr>
        <w:t xml:space="preserve"> portugaise, concernait à la fois les documents COM(2016) 197, COM(2016) 270, COM(2016) 271 et COM(2016) 272. </w:t>
      </w:r>
      <w:r>
        <w:t xml:space="preserve">Un avis, de la </w:t>
      </w:r>
      <w:r>
        <w:rPr>
          <w:i/>
        </w:rPr>
        <w:t>Poslanecká sněmovna</w:t>
      </w:r>
      <w:r>
        <w:t xml:space="preserve"> tchèque, concernait à la fois les documents COM(2016) 270, COM(2016) 271 et COM(2016) 272. </w:t>
      </w:r>
    </w:p>
  </w:footnote>
  <w:footnote w:id="21">
    <w:p>
      <w:pPr>
        <w:pStyle w:val="FootnoteText"/>
        <w:tabs>
          <w:tab w:val="left" w:pos="284"/>
        </w:tabs>
        <w:ind w:left="284" w:hanging="284"/>
        <w:jc w:val="both"/>
      </w:pPr>
      <w:r>
        <w:rPr>
          <w:rStyle w:val="FootnoteReference"/>
        </w:rPr>
        <w:footnoteRef/>
      </w:r>
      <w:r>
        <w:t xml:space="preserve"> </w:t>
      </w:r>
      <w:r>
        <w:tab/>
        <w:t>Ce nombre inclut à la fois les avis et les avis motivés reçus des  parlements nationaux.</w:t>
      </w:r>
    </w:p>
  </w:footnote>
  <w:footnote w:id="22">
    <w:p>
      <w:pPr>
        <w:pStyle w:val="FootnoteText"/>
        <w:tabs>
          <w:tab w:val="left" w:pos="284"/>
        </w:tabs>
        <w:ind w:left="284" w:hanging="284"/>
        <w:jc w:val="both"/>
      </w:pPr>
      <w:r>
        <w:rPr>
          <w:rStyle w:val="FootnoteReference"/>
        </w:rPr>
        <w:footnoteRef/>
      </w:r>
      <w:r>
        <w:t xml:space="preserve"> </w:t>
      </w:r>
      <w:r>
        <w:tab/>
        <w:t>Le SEAE n’est pas un service de la Commission mais un organe indépendant.</w:t>
      </w:r>
    </w:p>
  </w:footnote>
  <w:footnote w:id="23">
    <w:p>
      <w:pPr>
        <w:pStyle w:val="FootnoteText"/>
        <w:ind w:left="284" w:hanging="284"/>
        <w:jc w:val="both"/>
      </w:pPr>
      <w:r>
        <w:rPr>
          <w:rStyle w:val="FootnoteReference"/>
        </w:rPr>
        <w:footnoteRef/>
      </w:r>
      <w:r>
        <w:t xml:space="preserve"> </w:t>
      </w:r>
      <w:r>
        <w:tab/>
        <w:t xml:space="preserve">Un avis d’initiative de l’Assemblée nationale française et sept avis d’initiative de la </w:t>
      </w:r>
      <w:r>
        <w:rPr>
          <w:i/>
        </w:rPr>
        <w:t>House of Lords</w:t>
      </w:r>
      <w:r>
        <w:t xml:space="preserve"> britannique ont été envoyés uniquement à titre d’information sans être attribués à un service de la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1"/>
    <w:docVar w:name="LW_ANNEX_NBR_LAST" w:val="3"/>
    <w:docVar w:name="LW_CONFIDENCE" w:val=" "/>
    <w:docVar w:name="LW_CONST_RESTREINT_UE" w:val="RESTREINT UE"/>
    <w:docVar w:name="LW_CORRIGENDUM" w:val="&lt;UNUSED&gt;"/>
    <w:docVar w:name="LW_COVERPAGE_GUID" w:val="B91A098F4A094289A7977CE2D32424AC"/>
    <w:docVar w:name="LW_CROSSREFERENCE" w:val="&lt;UNUSED&gt;"/>
    <w:docVar w:name="LW_DocType" w:val="NORMAL"/>
    <w:docVar w:name="LW_EMISSION" w:val="30.6.2017"/>
    <w:docVar w:name="LW_EMISSION_ISODATE" w:val="2017-06-3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apport annuel 2016_x000b_sur les relations entre la Commission européenne et les parlements nationaux"/>
    <w:docVar w:name="LW_PART_NBR" w:val="&lt;UNUSED&gt;"/>
    <w:docVar w:name="LW_PART_NBR_TOTAL" w:val="&lt;UNUSED&gt;"/>
    <w:docVar w:name="LW_REF.INST.NEW" w:val="COM"/>
    <w:docVar w:name="LW_REF.INST.NEW_ADOPTED" w:val="final"/>
    <w:docVar w:name="LW_REF.INST.NEW_TEXT" w:val="(2017) 601"/>
    <w:docVar w:name="LW_REF.INTERNE" w:val="&lt;UNUSED&gt;"/>
    <w:docVar w:name="LW_SUPERTITRE" w:val="&lt;UNUSED&gt;"/>
    <w:docVar w:name="LW_TITRE.OBJ.CP" w:val="&lt;UNUSED&gt;"/>
    <w:docVar w:name="LW_TYPE.DOC.CP" w:val="ANNEXES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noProof/>
    </w:rPr>
  </w:style>
  <w:style w:type="character" w:customStyle="1" w:styleId="FooterCoverPageChar">
    <w:name w:val="Footer Cover Page Char"/>
    <w:basedOn w:val="DefaultParagraphFont"/>
    <w:link w:val="FooterCoverPage"/>
    <w:rPr>
      <w:rFonts w:ascii="Times New Roman" w:hAnsi="Times New Roman"/>
      <w:noProof/>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noProof/>
    </w:rPr>
  </w:style>
  <w:style w:type="character" w:customStyle="1" w:styleId="HeaderCoverPageChar">
    <w:name w:val="Header Cover Page Char"/>
    <w:basedOn w:val="DefaultParagraphFont"/>
    <w:link w:val="HeaderCoverPage"/>
    <w:rPr>
      <w:rFonts w:ascii="Times New Roman" w:hAnsi="Times New Roman"/>
      <w:noProof/>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noProof/>
    </w:rPr>
  </w:style>
  <w:style w:type="character" w:customStyle="1" w:styleId="FooterCoverPageChar">
    <w:name w:val="Footer Cover Page Char"/>
    <w:basedOn w:val="DefaultParagraphFont"/>
    <w:link w:val="FooterCoverPage"/>
    <w:rPr>
      <w:rFonts w:ascii="Times New Roman" w:hAnsi="Times New Roman"/>
      <w:noProof/>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noProof/>
    </w:rPr>
  </w:style>
  <w:style w:type="character" w:customStyle="1" w:styleId="HeaderCoverPageChar">
    <w:name w:val="Header Cover Page Char"/>
    <w:basedOn w:val="DefaultParagraphFont"/>
    <w:link w:val="HeaderCoverPage"/>
    <w:rPr>
      <w:rFonts w:ascii="Times New Roman" w:hAnsi="Times New Roman"/>
      <w:noProof/>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BCB7-0E8B-4F96-8770-FE32A269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943</Words>
  <Characters>5013</Characters>
  <Application>Microsoft Office Word</Application>
  <DocSecurity>0</DocSecurity>
  <Lines>501</Lines>
  <Paragraphs>372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 Aive (SG)</dc:creator>
  <cp:lastModifiedBy>DIGIT/A3</cp:lastModifiedBy>
  <cp:revision>7</cp:revision>
  <cp:lastPrinted>2017-06-02T13:09:00Z</cp:lastPrinted>
  <dcterms:created xsi:type="dcterms:W3CDTF">2017-06-29T16:06:00Z</dcterms:created>
  <dcterms:modified xsi:type="dcterms:W3CDTF">2017-06-30T07:28:00Z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3</vt:lpwstr>
  </property>
  <property fmtid="{D5CDD505-2E9C-101B-9397-08002B2CF9AE}" pid="4" name="Part">
    <vt:lpwstr>&lt;UNUSED&gt;</vt:lpwstr>
  </property>
  <property fmtid="{D5CDD505-2E9C-101B-9397-08002B2CF9AE}" pid="5" name="Total parts">
    <vt:lpwstr>&lt;UNUSED&gt;</vt:lpwstr>
  </property>
  <property fmtid="{D5CDD505-2E9C-101B-9397-08002B2CF9AE}" pid="6" name="Classification">
    <vt:lpwstr> </vt:lpwstr>
  </property>
  <property fmtid="{D5CDD505-2E9C-101B-9397-08002B2CF9AE}" pid="7" name="DocStatus">
    <vt:lpwstr>Green</vt:lpwstr>
  </property>
</Properties>
</file>