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alt="C8B4EA625CCB4BBDABF360F4B1B8E102" style="width:450.35pt;height:338.95pt">
            <v:imagedata r:id="rId9" o:title=""/>
          </v:shape>
        </w:pict>
      </w:r>
    </w:p>
    <w:p>
      <w:pPr>
        <w:rPr>
          <w:noProof/>
        </w:rPr>
        <w:sectPr>
          <w:footerReference w:type="default" r:id="rId10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Exposdesmotifs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ОБЯСНИТЕЛЕН МЕМОРАНДУМ</w:t>
      </w:r>
    </w:p>
    <w:p>
      <w:pPr>
        <w:pStyle w:val="Point0"/>
        <w:rPr>
          <w:noProof/>
        </w:rPr>
      </w:pPr>
      <w:r>
        <w:rPr>
          <w:noProof/>
        </w:rPr>
        <w:t>(1)</w:t>
      </w:r>
      <w:r>
        <w:rPr>
          <w:noProof/>
        </w:rPr>
        <w:tab/>
        <w:t>В контекста на Европа на гражданите Комисията отдава голямо значение на опростяването и яснотата на правото на Съюза с оглед по-голямата му разбираемост и достъпност за гражданите, на които по този начин осигурява широки възможности да упражняват предоставените им специфични права.</w:t>
      </w:r>
    </w:p>
    <w:p>
      <w:pPr>
        <w:pStyle w:val="Text1"/>
        <w:rPr>
          <w:noProof/>
        </w:rPr>
      </w:pPr>
      <w:r>
        <w:rPr>
          <w:noProof/>
        </w:rPr>
        <w:t>Тази цел не може да бъде постигната, докато съществуват множество разпоредби, които след като са били изменяни неколкократно и често съществено, продължават да се намират отчасти в първоначалния акт, отчасти в последващите го изменящи актове. Необходимо е проучване и сравнение на голям брой актове, за да се установи кои са действащите разпоредби.</w:t>
      </w:r>
    </w:p>
    <w:p>
      <w:pPr>
        <w:pStyle w:val="Text1"/>
        <w:rPr>
          <w:noProof/>
        </w:rPr>
      </w:pPr>
      <w:r>
        <w:rPr>
          <w:noProof/>
        </w:rPr>
        <w:t>Поради това кодификацията на разпоредби, претърпели чести изменения, е от съществено значение за яснотата и прозрачността на правото.</w:t>
      </w:r>
    </w:p>
    <w:p>
      <w:pPr>
        <w:pStyle w:val="Point0"/>
        <w:rPr>
          <w:noProof/>
        </w:rPr>
      </w:pPr>
      <w:r>
        <w:rPr>
          <w:noProof/>
        </w:rPr>
        <w:t>(2)</w:t>
      </w:r>
      <w:r>
        <w:rPr>
          <w:noProof/>
        </w:rPr>
        <w:tab/>
        <w:t>На 1 април 1987 г. Комисията реши</w:t>
      </w:r>
      <w:r>
        <w:rPr>
          <w:rStyle w:val="FootnoteReference"/>
          <w:noProof/>
        </w:rPr>
        <w:footnoteReference w:id="1"/>
      </w:r>
      <w:r>
        <w:rPr>
          <w:noProof/>
        </w:rPr>
        <w:t xml:space="preserve"> да инструктира своите служби да извършват кодификация на всички актове най-късно след десетото им изменение, като подчерта, че това е минимално изискване и че в интерес на яснотата и разбираемостта на разпоредбите, службите следва да положат усилия да кодифицират текстовете, за които са отговорни, в още по-кратки срокове.</w:t>
      </w:r>
    </w:p>
    <w:p>
      <w:pPr>
        <w:pStyle w:val="Point0"/>
        <w:rPr>
          <w:noProof/>
        </w:rPr>
      </w:pPr>
      <w:r>
        <w:rPr>
          <w:noProof/>
        </w:rPr>
        <w:t>(3)</w:t>
      </w:r>
      <w:r>
        <w:rPr>
          <w:noProof/>
        </w:rPr>
        <w:tab/>
        <w:t>Заключенията на Председателството на Европейския съвет в Единбург (от</w:t>
      </w:r>
      <w:r>
        <w:rPr>
          <w:noProof/>
          <w:lang w:val="en-GB"/>
        </w:rPr>
        <w:t> </w:t>
      </w:r>
      <w:r>
        <w:rPr>
          <w:noProof/>
        </w:rPr>
        <w:t>декември 1992 г.) потвърдиха това</w:t>
      </w:r>
      <w:r>
        <w:rPr>
          <w:rStyle w:val="FootnoteReference"/>
          <w:noProof/>
        </w:rPr>
        <w:footnoteReference w:id="2"/>
      </w:r>
      <w:r>
        <w:rPr>
          <w:noProof/>
        </w:rPr>
        <w:t>, като в тях беше подчертано значението на кодификацията, която осигурява правна сигурност по отношение на правото, приложимо към даден момент по даден въпрос.</w:t>
      </w:r>
    </w:p>
    <w:p>
      <w:pPr>
        <w:pStyle w:val="Text1"/>
        <w:rPr>
          <w:noProof/>
        </w:rPr>
      </w:pPr>
      <w:r>
        <w:rPr>
          <w:noProof/>
        </w:rPr>
        <w:t>Кодификацията трябва да се извършва при стриктно спазване на обичайния процес за приемане на актове на Съюза.</w:t>
      </w:r>
    </w:p>
    <w:p>
      <w:pPr>
        <w:pStyle w:val="Point0"/>
        <w:rPr>
          <w:noProof/>
        </w:rPr>
      </w:pPr>
      <w:r>
        <w:rPr>
          <w:noProof/>
        </w:rPr>
        <w:t>(4)</w:t>
      </w:r>
      <w:r>
        <w:rPr>
          <w:noProof/>
        </w:rPr>
        <w:tab/>
        <w:t>Целта на настоящото предложение е да се извърши кодификация на Регламент</w:t>
      </w:r>
      <w:r>
        <w:rPr>
          <w:noProof/>
          <w:lang w:val="en-GB"/>
        </w:rPr>
        <w:t> </w:t>
      </w:r>
      <w:r>
        <w:rPr>
          <w:noProof/>
        </w:rPr>
        <w:t>(ЕО) № 91/2003 на Съвета от 16 декември 2002 година относно статистиката за железопътния транспорт</w:t>
      </w:r>
      <w:r>
        <w:rPr>
          <w:rStyle w:val="FootnoteReference"/>
          <w:noProof/>
        </w:rPr>
        <w:footnoteReference w:id="3"/>
      </w:r>
      <w:r>
        <w:rPr>
          <w:noProof/>
        </w:rPr>
        <w:t>. Новият регламент ще замести различните актове, които са инкорпорирани в него</w:t>
      </w:r>
      <w:r>
        <w:rPr>
          <w:rStyle w:val="FootnoteReference"/>
          <w:noProof/>
        </w:rPr>
        <w:footnoteReference w:id="4"/>
      </w:r>
      <w:r>
        <w:rPr>
          <w:noProof/>
        </w:rPr>
        <w:t>, като запази напълно съдържанието на кодифицираните актове. Едновременно с това е подходящо също да се въведе изменение по същество в член 4, параграф 5 от посочения регламент. Поради тази причина предложението е представено под формата на преработен текст.</w:t>
      </w:r>
    </w:p>
    <w:p>
      <w:pPr>
        <w:pStyle w:val="Point0"/>
        <w:rPr>
          <w:noProof/>
        </w:rPr>
      </w:pPr>
      <w:r>
        <w:rPr>
          <w:noProof/>
        </w:rPr>
        <w:t>(5)</w:t>
      </w:r>
      <w:r>
        <w:rPr>
          <w:noProof/>
        </w:rPr>
        <w:tab/>
        <w:t>Настоящото предложение за преработка беше изработено на основата на предварителна консолидация на текста, на 24 официални езика, на Регламент</w:t>
      </w:r>
      <w:r>
        <w:rPr>
          <w:noProof/>
          <w:lang w:val="en-GB"/>
        </w:rPr>
        <w:t> </w:t>
      </w:r>
      <w:r>
        <w:rPr>
          <w:noProof/>
        </w:rPr>
        <w:t xml:space="preserve">(ЕО) № 91/2003 и изменящите го актове, с помощта на информационна система от Службата за публикации на Европейския съюз. При промяна на номерацията на членовете съответствието между старата и новата номерация е посочено в таблица на съответствието, която се съдържа в приложение </w:t>
      </w:r>
      <w:r>
        <w:rPr>
          <w:noProof/>
          <w:lang w:val="fr-BE"/>
        </w:rPr>
        <w:t>X</w:t>
      </w:r>
      <w:r>
        <w:rPr>
          <w:noProof/>
        </w:rPr>
        <w:t xml:space="preserve"> към преработения регламент.</w:t>
      </w:r>
    </w:p>
    <w:p>
      <w:pPr>
        <w:rPr>
          <w:noProof/>
        </w:rPr>
        <w:sectPr>
          <w:footerReference w:type="default" r:id="rId11"/>
          <w:footerReference w:type="first" r:id="rId12"/>
          <w:pgSz w:w="11907" w:h="16839"/>
          <w:pgMar w:top="1134" w:right="1417" w:bottom="1134" w:left="1417" w:header="709" w:footer="709" w:gutter="0"/>
          <w:cols w:space="708"/>
          <w:docGrid w:linePitch="360"/>
        </w:sectPr>
      </w:pPr>
    </w:p>
    <w:p>
      <w:pPr>
        <w:pStyle w:val="CRSeparator"/>
        <w:rPr>
          <w:noProof/>
          <w:lang w:val="bg-BG"/>
        </w:rPr>
      </w:pPr>
    </w:p>
    <w:p>
      <w:pPr>
        <w:pStyle w:val="CRReference"/>
        <w:rPr>
          <w:noProof/>
          <w:lang w:val="bg-BG"/>
        </w:rPr>
      </w:pPr>
      <w:r>
        <w:rPr>
          <w:noProof/>
        </w:rPr>
        <w:fldChar w:fldCharType="begin"/>
      </w:r>
      <w:r>
        <w:rPr>
          <w:noProof/>
          <w:lang w:val="bg-BG"/>
        </w:rPr>
        <w:instrText xml:space="preserve"> </w:instrText>
      </w:r>
      <w:r>
        <w:rPr>
          <w:noProof/>
          <w:lang w:val="en-GB"/>
        </w:rPr>
        <w:instrText>QUOTE</w:instrText>
      </w:r>
      <w:r>
        <w:rPr>
          <w:noProof/>
          <w:lang w:val="bg-BG"/>
        </w:rPr>
        <w:instrText xml:space="preserve"> "</w:instrText>
      </w:r>
      <w:r>
        <w:rPr>
          <w:rStyle w:val="CRMarker"/>
          <w:noProof/>
          <w:lang w:val="bg-BG"/>
        </w:rPr>
        <w:instrText>ê</w:instrText>
      </w:r>
      <w:r>
        <w:rPr>
          <w:noProof/>
          <w:lang w:val="bg-BG"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  <w:lang w:val="bg-BG"/>
        </w:rPr>
        <w:t>ê</w:t>
      </w:r>
      <w:r>
        <w:rPr>
          <w:noProof/>
        </w:rPr>
        <w:fldChar w:fldCharType="end"/>
      </w:r>
      <w:r>
        <w:rPr>
          <w:noProof/>
          <w:lang w:val="en-GB"/>
        </w:rPr>
        <w:t> </w:t>
      </w:r>
      <w:r>
        <w:rPr>
          <w:noProof/>
          <w:lang w:val="bg-BG"/>
        </w:rPr>
        <w:t>91/2003 (адаптиран)</w:t>
      </w:r>
    </w:p>
    <w:p>
      <w:pPr>
        <w:pStyle w:val="Rfrenceinterinstitutionnelle"/>
        <w:rPr>
          <w:noProof/>
        </w:rPr>
      </w:pPr>
      <w:r>
        <w:rPr>
          <w:noProof/>
        </w:rPr>
        <w:t>2017/0146 (COD)</w:t>
      </w:r>
    </w:p>
    <w:p>
      <w:pPr>
        <w:pStyle w:val="Statut"/>
        <w:rPr>
          <w:noProof/>
        </w:rPr>
      </w:pPr>
      <w:r>
        <w:rPr>
          <w:noProof/>
        </w:rPr>
        <w:t>Предложение за</w:t>
      </w:r>
    </w:p>
    <w:p>
      <w:pPr>
        <w:pStyle w:val="Typedudocument"/>
        <w:rPr>
          <w:noProof/>
        </w:rPr>
      </w:pPr>
      <w:r>
        <w:rPr>
          <w:noProof/>
        </w:rPr>
        <w:t>РЕГЛАМЕНТ НА ЕВРОПЕЙСКИЯ ПАРЛАМЕНТ И НА СЪВЕТА</w:t>
      </w:r>
    </w:p>
    <w:p>
      <w:pPr>
        <w:pStyle w:val="Titreobjet"/>
        <w:rPr>
          <w:noProof/>
        </w:rPr>
      </w:pPr>
      <w:r>
        <w:rPr>
          <w:noProof/>
        </w:rPr>
        <w:t>относно статистиката за железопътния транспорт (преработен текст)</w:t>
      </w:r>
    </w:p>
    <w:p>
      <w:pPr>
        <w:pStyle w:val="Institutionquiagit"/>
        <w:rPr>
          <w:noProof/>
        </w:rPr>
      </w:pPr>
      <w:r>
        <w:rPr>
          <w:noProof/>
        </w:rPr>
        <w:t>ЕВРОПЕЙСКИЯТ ПАРЛАМЕНТ И СЪВЕТЪТ НА ЕВРОПЕЙСКИЯ СЪЮЗ,</w:t>
      </w:r>
    </w:p>
    <w:p>
      <w:pPr>
        <w:rPr>
          <w:noProof/>
        </w:rPr>
      </w:pPr>
      <w:r>
        <w:rPr>
          <w:noProof/>
        </w:rPr>
        <w:t>като взеха предвид Договора за функционирането на Европейския съюз, и по-специално член</w:t>
      </w:r>
      <w:r>
        <w:rPr>
          <w:noProof/>
          <w:lang w:val="en-GB"/>
        </w:rPr>
        <w:t> </w:t>
      </w:r>
      <w:r>
        <w:rPr>
          <w:noProof/>
        </w:rPr>
        <w:fldChar w:fldCharType="begin"/>
      </w:r>
      <w:r>
        <w:rPr>
          <w:noProof/>
        </w:rPr>
        <w:instrText xml:space="preserve"> QUOTE "</w:instrText>
      </w:r>
      <w:r>
        <w:rPr>
          <w:rStyle w:val="CRMarker"/>
          <w:noProof/>
        </w:rPr>
        <w:instrText>Ö</w:instrText>
      </w:r>
      <w:r>
        <w:rPr>
          <w:noProof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</w:rPr>
        <w:t>Ö</w:t>
      </w:r>
      <w:r>
        <w:rPr>
          <w:noProof/>
        </w:rPr>
        <w:fldChar w:fldCharType="end"/>
      </w:r>
      <w:r>
        <w:rPr>
          <w:noProof/>
        </w:rPr>
        <w:t> 338, параграф 1 </w:t>
      </w:r>
      <w:r>
        <w:rPr>
          <w:noProof/>
        </w:rPr>
        <w:fldChar w:fldCharType="begin"/>
      </w:r>
      <w:r>
        <w:rPr>
          <w:noProof/>
        </w:rPr>
        <w:instrText xml:space="preserve"> QUOTE "</w:instrText>
      </w:r>
      <w:r>
        <w:rPr>
          <w:rStyle w:val="CRMarker"/>
          <w:noProof/>
        </w:rPr>
        <w:instrText>Õ</w:instrText>
      </w:r>
      <w:r>
        <w:rPr>
          <w:noProof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</w:rPr>
        <w:t>Õ</w:t>
      </w:r>
      <w:r>
        <w:rPr>
          <w:noProof/>
        </w:rPr>
        <w:fldChar w:fldCharType="end"/>
      </w:r>
      <w:r>
        <w:rPr>
          <w:noProof/>
        </w:rPr>
        <w:t xml:space="preserve"> от него,</w:t>
      </w:r>
    </w:p>
    <w:p>
      <w:pPr>
        <w:rPr>
          <w:noProof/>
        </w:rPr>
      </w:pPr>
      <w:r>
        <w:rPr>
          <w:noProof/>
        </w:rPr>
        <w:t>като взеха предвид предложението на Европейската комисия,</w:t>
      </w:r>
    </w:p>
    <w:p>
      <w:pPr>
        <w:rPr>
          <w:noProof/>
        </w:rPr>
      </w:pPr>
      <w:r>
        <w:rPr>
          <w:noProof/>
        </w:rPr>
        <w:t>след предаване на проекта на законодателния акт на националните парламенти,</w:t>
      </w:r>
    </w:p>
    <w:p>
      <w:pPr>
        <w:rPr>
          <w:noProof/>
        </w:rPr>
      </w:pPr>
      <w:r>
        <w:rPr>
          <w:noProof/>
        </w:rPr>
        <w:t>като взеха предвид становището на Европейския икономически и социален комитет</w:t>
      </w:r>
      <w:r>
        <w:rPr>
          <w:rStyle w:val="FootnoteReference"/>
          <w:noProof/>
        </w:rPr>
        <w:footnoteReference w:id="5"/>
      </w:r>
      <w:r>
        <w:rPr>
          <w:noProof/>
        </w:rPr>
        <w:t xml:space="preserve">, </w:t>
      </w:r>
    </w:p>
    <w:p>
      <w:pPr>
        <w:rPr>
          <w:noProof/>
        </w:rPr>
      </w:pPr>
      <w:r>
        <w:rPr>
          <w:noProof/>
        </w:rPr>
        <w:t>в съответствие с обикновената законодателна процедура,</w:t>
      </w:r>
    </w:p>
    <w:p>
      <w:pPr>
        <w:rPr>
          <w:noProof/>
        </w:rPr>
      </w:pPr>
      <w:r>
        <w:rPr>
          <w:noProof/>
        </w:rPr>
        <w:t>като имат предвид, че:</w:t>
      </w:r>
    </w:p>
    <w:p>
      <w:pPr>
        <w:pStyle w:val="CRSeparator"/>
        <w:rPr>
          <w:noProof/>
          <w:lang w:val="bg-BG"/>
        </w:rPr>
      </w:pPr>
    </w:p>
    <w:p>
      <w:pPr>
        <w:pStyle w:val="CRReference"/>
        <w:rPr>
          <w:noProof/>
          <w:highlight w:val="lightGray"/>
          <w:lang w:val="bg-BG"/>
        </w:rPr>
      </w:pPr>
      <w:r>
        <w:rPr>
          <w:noProof/>
          <w:highlight w:val="lightGray"/>
        </w:rPr>
        <w:fldChar w:fldCharType="begin"/>
      </w:r>
      <w:r>
        <w:rPr>
          <w:noProof/>
          <w:highlight w:val="lightGray"/>
          <w:lang w:val="bg-BG"/>
        </w:rPr>
        <w:instrText xml:space="preserve"> </w:instrText>
      </w:r>
      <w:r>
        <w:rPr>
          <w:noProof/>
          <w:highlight w:val="lightGray"/>
          <w:lang w:val="en-GB"/>
        </w:rPr>
        <w:instrText>QUOTE</w:instrText>
      </w:r>
      <w:r>
        <w:rPr>
          <w:noProof/>
          <w:highlight w:val="lightGray"/>
          <w:lang w:val="bg-BG"/>
        </w:rPr>
        <w:instrText xml:space="preserve"> "</w:instrText>
      </w:r>
      <w:r>
        <w:rPr>
          <w:rStyle w:val="CRMarker"/>
          <w:noProof/>
          <w:highlight w:val="lightGray"/>
          <w:lang w:val="bg-BG"/>
        </w:rPr>
        <w:instrText>ò</w:instrText>
      </w:r>
      <w:r>
        <w:rPr>
          <w:noProof/>
          <w:highlight w:val="lightGray"/>
          <w:lang w:val="bg-BG"/>
        </w:rPr>
        <w:instrText xml:space="preserve">" </w:instrText>
      </w:r>
      <w:r>
        <w:rPr>
          <w:noProof/>
          <w:highlight w:val="lightGray"/>
        </w:rPr>
        <w:fldChar w:fldCharType="separate"/>
      </w:r>
      <w:r>
        <w:rPr>
          <w:rStyle w:val="CRMarker"/>
          <w:noProof/>
          <w:highlight w:val="lightGray"/>
          <w:lang w:val="bg-BG"/>
        </w:rPr>
        <w:t>ò</w:t>
      </w:r>
      <w:r>
        <w:rPr>
          <w:noProof/>
          <w:highlight w:val="lightGray"/>
        </w:rPr>
        <w:fldChar w:fldCharType="end"/>
      </w:r>
      <w:r>
        <w:rPr>
          <w:noProof/>
          <w:highlight w:val="lightGray"/>
          <w:lang w:val="en-GB"/>
        </w:rPr>
        <w:t> </w:t>
      </w:r>
      <w:r>
        <w:rPr>
          <w:noProof/>
          <w:highlight w:val="lightGray"/>
          <w:lang w:val="bg-BG"/>
        </w:rPr>
        <w:t>нов</w:t>
      </w:r>
    </w:p>
    <w:p>
      <w:pPr>
        <w:pStyle w:val="ManualConsidrant"/>
        <w:rPr>
          <w:noProof/>
          <w:highlight w:val="lightGray"/>
        </w:rPr>
      </w:pPr>
      <w:r>
        <w:rPr>
          <w:highlight w:val="lightGray"/>
        </w:rPr>
        <w:t>(1)</w:t>
      </w:r>
      <w:r>
        <w:rPr>
          <w:highlight w:val="lightGray"/>
        </w:rPr>
        <w:tab/>
      </w:r>
      <w:r>
        <w:rPr>
          <w:noProof/>
          <w:highlight w:val="lightGray"/>
        </w:rPr>
        <w:t>Регламент (ЕО) № 91/2003 на Европейския парламент и на Съвета</w:t>
      </w:r>
      <w:r>
        <w:rPr>
          <w:rStyle w:val="FootnoteReference"/>
          <w:noProof/>
          <w:highlight w:val="lightGray"/>
          <w:lang w:val="en-GB"/>
        </w:rPr>
        <w:footnoteReference w:id="6"/>
      </w:r>
      <w:r>
        <w:rPr>
          <w:noProof/>
          <w:highlight w:val="lightGray"/>
        </w:rPr>
        <w:t xml:space="preserve"> е бил неколкократно и съществено изменян</w:t>
      </w:r>
      <w:r>
        <w:rPr>
          <w:rStyle w:val="FootnoteReference"/>
          <w:noProof/>
          <w:highlight w:val="lightGray"/>
          <w:lang w:val="en-GB"/>
        </w:rPr>
        <w:footnoteReference w:id="7"/>
      </w:r>
      <w:r>
        <w:rPr>
          <w:noProof/>
          <w:highlight w:val="lightGray"/>
        </w:rPr>
        <w:t>. Поради необходимостта от по-нататъшни изменения и с оглед постигане на яснота, посоченият регламент следва да бъде преработен.</w:t>
      </w:r>
    </w:p>
    <w:p>
      <w:pPr>
        <w:pStyle w:val="CRSeparator"/>
        <w:rPr>
          <w:noProof/>
          <w:lang w:val="bg-BG"/>
        </w:rPr>
      </w:pPr>
    </w:p>
    <w:p>
      <w:pPr>
        <w:pStyle w:val="CRReference"/>
        <w:rPr>
          <w:noProof/>
          <w:lang w:val="bg-BG"/>
        </w:rPr>
      </w:pPr>
      <w:r>
        <w:rPr>
          <w:noProof/>
        </w:rPr>
        <w:fldChar w:fldCharType="begin"/>
      </w:r>
      <w:r>
        <w:rPr>
          <w:noProof/>
        </w:rPr>
        <w:instrText xml:space="preserve"> QUOTE "</w:instrText>
      </w:r>
      <w:r>
        <w:rPr>
          <w:rStyle w:val="CRMarker"/>
          <w:noProof/>
        </w:rPr>
        <w:instrText>ê</w:instrText>
      </w:r>
      <w:r>
        <w:rPr>
          <w:noProof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</w:rPr>
        <w:t>ê</w:t>
      </w:r>
      <w:r>
        <w:rPr>
          <w:noProof/>
        </w:rPr>
        <w:fldChar w:fldCharType="end"/>
      </w:r>
      <w:r>
        <w:rPr>
          <w:noProof/>
        </w:rPr>
        <w:t> 91/2003</w:t>
      </w:r>
      <w:r>
        <w:rPr>
          <w:noProof/>
          <w:lang w:val="bg-BG"/>
        </w:rPr>
        <w:t>,</w:t>
      </w:r>
      <w:r>
        <w:rPr>
          <w:noProof/>
        </w:rPr>
        <w:t xml:space="preserve"> съображение 1</w:t>
      </w:r>
      <w:r>
        <w:rPr>
          <w:noProof/>
          <w:lang w:val="bg-BG"/>
        </w:rPr>
        <w:t xml:space="preserve"> </w:t>
      </w:r>
      <w:r>
        <w:rPr>
          <w:noProof/>
        </w:rPr>
        <w:t>(адаптиран)</w:t>
      </w:r>
    </w:p>
    <w:p>
      <w:pPr>
        <w:pStyle w:val="ManualConsidrant"/>
        <w:rPr>
          <w:noProof/>
        </w:rPr>
      </w:pPr>
      <w:r>
        <w:t>(2)</w:t>
      </w:r>
      <w:r>
        <w:tab/>
      </w:r>
      <w:r>
        <w:rPr>
          <w:noProof/>
        </w:rPr>
        <w:t xml:space="preserve">Железниците са важна част от транспортната мрежа на </w:t>
      </w:r>
      <w:r>
        <w:rPr>
          <w:noProof/>
        </w:rPr>
        <w:fldChar w:fldCharType="begin"/>
      </w:r>
      <w:r>
        <w:rPr>
          <w:noProof/>
        </w:rPr>
        <w:instrText xml:space="preserve"> QUOTE "</w:instrText>
      </w:r>
      <w:r>
        <w:rPr>
          <w:rStyle w:val="CRMarker"/>
          <w:noProof/>
        </w:rPr>
        <w:instrText>Ö</w:instrText>
      </w:r>
      <w:r>
        <w:rPr>
          <w:noProof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</w:rPr>
        <w:t>Ö</w:t>
      </w:r>
      <w:r>
        <w:rPr>
          <w:noProof/>
        </w:rPr>
        <w:fldChar w:fldCharType="end"/>
      </w:r>
      <w:r>
        <w:rPr>
          <w:noProof/>
        </w:rPr>
        <w:t> Съюза </w:t>
      </w:r>
      <w:r>
        <w:rPr>
          <w:noProof/>
        </w:rPr>
        <w:fldChar w:fldCharType="begin"/>
      </w:r>
      <w:r>
        <w:rPr>
          <w:noProof/>
        </w:rPr>
        <w:instrText xml:space="preserve"> QUOTE "</w:instrText>
      </w:r>
      <w:r>
        <w:rPr>
          <w:rStyle w:val="CRMarker"/>
          <w:noProof/>
        </w:rPr>
        <w:instrText>Õ</w:instrText>
      </w:r>
      <w:r>
        <w:rPr>
          <w:noProof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</w:rPr>
        <w:t>Õ</w:t>
      </w:r>
      <w:r>
        <w:rPr>
          <w:noProof/>
        </w:rPr>
        <w:fldChar w:fldCharType="end"/>
      </w:r>
      <w:r>
        <w:rPr>
          <w:noProof/>
        </w:rPr>
        <w:t>.</w:t>
      </w:r>
    </w:p>
    <w:p>
      <w:pPr>
        <w:pStyle w:val="CRSeparator"/>
        <w:rPr>
          <w:noProof/>
          <w:lang w:val="bg-BG"/>
        </w:rPr>
      </w:pPr>
    </w:p>
    <w:p>
      <w:pPr>
        <w:pStyle w:val="CRReference"/>
        <w:rPr>
          <w:noProof/>
          <w:lang w:val="bg-BG"/>
        </w:rPr>
      </w:pPr>
      <w:r>
        <w:rPr>
          <w:noProof/>
        </w:rPr>
        <w:fldChar w:fldCharType="begin"/>
      </w:r>
      <w:r>
        <w:rPr>
          <w:noProof/>
        </w:rPr>
        <w:instrText xml:space="preserve"> QUOTE "</w:instrText>
      </w:r>
      <w:r>
        <w:rPr>
          <w:rStyle w:val="CRMarker"/>
          <w:noProof/>
        </w:rPr>
        <w:instrText>ê</w:instrText>
      </w:r>
      <w:r>
        <w:rPr>
          <w:noProof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</w:rPr>
        <w:t>ê</w:t>
      </w:r>
      <w:r>
        <w:rPr>
          <w:noProof/>
        </w:rPr>
        <w:fldChar w:fldCharType="end"/>
      </w:r>
      <w:r>
        <w:rPr>
          <w:noProof/>
        </w:rPr>
        <w:t> 2016/2032</w:t>
      </w:r>
      <w:r>
        <w:rPr>
          <w:noProof/>
          <w:lang w:val="bg-BG"/>
        </w:rPr>
        <w:t>,</w:t>
      </w:r>
      <w:r>
        <w:rPr>
          <w:noProof/>
        </w:rPr>
        <w:t xml:space="preserve"> съображение 2</w:t>
      </w:r>
      <w:r>
        <w:rPr>
          <w:noProof/>
          <w:lang w:val="bg-BG"/>
        </w:rPr>
        <w:t xml:space="preserve"> </w:t>
      </w:r>
    </w:p>
    <w:p>
      <w:pPr>
        <w:pStyle w:val="ManualConsidrant"/>
        <w:rPr>
          <w:noProof/>
        </w:rPr>
      </w:pPr>
      <w:r>
        <w:t>(3)</w:t>
      </w:r>
      <w:r>
        <w:tab/>
      </w:r>
      <w:r>
        <w:rPr>
          <w:noProof/>
        </w:rPr>
        <w:t>Статистиката относно транспорта на товари и пътници по релси е необходима, защото дава възможност на Комисията да следи и да разработи обща транспортна политика, както и транспортните елементи на политиката относно регионите и относно трансевропейските мрежи.</w:t>
      </w:r>
    </w:p>
    <w:p>
      <w:pPr>
        <w:pStyle w:val="CRSeparator"/>
        <w:rPr>
          <w:noProof/>
          <w:lang w:val="bg-BG"/>
        </w:rPr>
      </w:pPr>
    </w:p>
    <w:p>
      <w:pPr>
        <w:pStyle w:val="CRReference"/>
        <w:rPr>
          <w:noProof/>
        </w:rPr>
      </w:pPr>
      <w:r>
        <w:rPr>
          <w:noProof/>
        </w:rPr>
        <w:fldChar w:fldCharType="begin"/>
      </w:r>
      <w:r>
        <w:rPr>
          <w:noProof/>
        </w:rPr>
        <w:instrText xml:space="preserve"> QUOTE "</w:instrText>
      </w:r>
      <w:r>
        <w:rPr>
          <w:rStyle w:val="CRMarker"/>
          <w:noProof/>
        </w:rPr>
        <w:instrText>ê</w:instrText>
      </w:r>
      <w:r>
        <w:rPr>
          <w:noProof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</w:rPr>
        <w:t>ê</w:t>
      </w:r>
      <w:r>
        <w:rPr>
          <w:noProof/>
        </w:rPr>
        <w:fldChar w:fldCharType="end"/>
      </w:r>
      <w:r>
        <w:rPr>
          <w:noProof/>
        </w:rPr>
        <w:t> 2016/2032</w:t>
      </w:r>
      <w:r>
        <w:rPr>
          <w:noProof/>
          <w:lang w:val="bg-BG"/>
        </w:rPr>
        <w:t>,</w:t>
      </w:r>
      <w:r>
        <w:rPr>
          <w:noProof/>
        </w:rPr>
        <w:t xml:space="preserve"> съображение 3</w:t>
      </w:r>
    </w:p>
    <w:p>
      <w:pPr>
        <w:pStyle w:val="ManualConsidrant"/>
        <w:rPr>
          <w:noProof/>
          <w:lang w:val="fr-FR"/>
        </w:rPr>
      </w:pPr>
      <w:r>
        <w:t>(4)</w:t>
      </w:r>
      <w:r>
        <w:tab/>
      </w:r>
      <w:r>
        <w:rPr>
          <w:noProof/>
          <w:lang w:val="fr-FR"/>
        </w:rPr>
        <w:t>Статистиката относно железопътната безопасност е необходима и с цел Комисията да подготви и да следи действията на равнището на Съюза в областта на транспортната безопасност. Агенцията за железопътен транспорт на Европейския съюз събира данни за произшествия съгласно приложение I към Директива 2004/49/ЕО на Европейския парламент и на Съвета</w:t>
      </w:r>
      <w:r>
        <w:rPr>
          <w:rStyle w:val="FootnoteReference"/>
          <w:noProof/>
          <w:lang w:val="fr-FR"/>
        </w:rPr>
        <w:footnoteReference w:id="8"/>
      </w:r>
      <w:r>
        <w:rPr>
          <w:noProof/>
          <w:lang w:val="fr-FR"/>
        </w:rPr>
        <w:t xml:space="preserve"> по отношение на общите показатели за безопасност и общите методи за изчисляване на разходите при произшествие.</w:t>
      </w:r>
    </w:p>
    <w:p>
      <w:pPr>
        <w:pStyle w:val="CRSeparator"/>
        <w:rPr>
          <w:noProof/>
        </w:rPr>
      </w:pPr>
    </w:p>
    <w:p>
      <w:pPr>
        <w:pStyle w:val="CRReference"/>
        <w:rPr>
          <w:noProof/>
        </w:rPr>
      </w:pPr>
      <w:r>
        <w:rPr>
          <w:noProof/>
        </w:rPr>
        <w:fldChar w:fldCharType="begin"/>
      </w:r>
      <w:r>
        <w:rPr>
          <w:noProof/>
        </w:rPr>
        <w:instrText xml:space="preserve"> QUOTE "</w:instrText>
      </w:r>
      <w:r>
        <w:rPr>
          <w:rStyle w:val="CRMarker"/>
          <w:noProof/>
        </w:rPr>
        <w:instrText>ê</w:instrText>
      </w:r>
      <w:r>
        <w:rPr>
          <w:noProof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</w:rPr>
        <w:t>ê</w:t>
      </w:r>
      <w:r>
        <w:rPr>
          <w:noProof/>
        </w:rPr>
        <w:fldChar w:fldCharType="end"/>
      </w:r>
      <w:r>
        <w:rPr>
          <w:noProof/>
        </w:rPr>
        <w:t> 91/2003</w:t>
      </w:r>
      <w:r>
        <w:rPr>
          <w:noProof/>
          <w:lang w:val="bg-BG"/>
        </w:rPr>
        <w:t>,</w:t>
      </w:r>
      <w:r>
        <w:rPr>
          <w:noProof/>
        </w:rPr>
        <w:t xml:space="preserve"> съображение 4 (адаптиран)</w:t>
      </w:r>
    </w:p>
    <w:p>
      <w:pPr>
        <w:pStyle w:val="ManualConsidrant"/>
        <w:rPr>
          <w:noProof/>
          <w:lang w:val="fr-FR"/>
        </w:rPr>
      </w:pPr>
      <w:r>
        <w:t>(5)</w:t>
      </w:r>
      <w:r>
        <w:tab/>
      </w:r>
      <w:r>
        <w:rPr>
          <w:noProof/>
          <w:lang w:val="fr-FR"/>
        </w:rPr>
        <w:t xml:space="preserve">Статистически данни на </w:t>
      </w:r>
      <w:r>
        <w:rPr>
          <w:noProof/>
        </w:rPr>
        <w:fldChar w:fldCharType="begin"/>
      </w:r>
      <w:r>
        <w:rPr>
          <w:noProof/>
        </w:rPr>
        <w:instrText xml:space="preserve"> QUOTE "</w:instrText>
      </w:r>
      <w:r>
        <w:rPr>
          <w:rStyle w:val="CRMarker"/>
          <w:noProof/>
        </w:rPr>
        <w:instrText>Ö</w:instrText>
      </w:r>
      <w:r>
        <w:rPr>
          <w:noProof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</w:rPr>
        <w:t>Ö</w:t>
      </w:r>
      <w:r>
        <w:rPr>
          <w:noProof/>
        </w:rPr>
        <w:fldChar w:fldCharType="end"/>
      </w:r>
      <w:r>
        <w:rPr>
          <w:noProof/>
        </w:rPr>
        <w:t> нивото на Съюза </w:t>
      </w:r>
      <w:r>
        <w:rPr>
          <w:noProof/>
        </w:rPr>
        <w:fldChar w:fldCharType="begin"/>
      </w:r>
      <w:r>
        <w:rPr>
          <w:noProof/>
        </w:rPr>
        <w:instrText xml:space="preserve"> QUOTE "</w:instrText>
      </w:r>
      <w:r>
        <w:rPr>
          <w:rStyle w:val="CRMarker"/>
          <w:noProof/>
        </w:rPr>
        <w:instrText>Õ</w:instrText>
      </w:r>
      <w:r>
        <w:rPr>
          <w:noProof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</w:rPr>
        <w:t>Õ</w:t>
      </w:r>
      <w:r>
        <w:rPr>
          <w:noProof/>
        </w:rPr>
        <w:fldChar w:fldCharType="end"/>
      </w:r>
      <w:r>
        <w:rPr>
          <w:noProof/>
          <w:lang w:val="fr-FR"/>
        </w:rPr>
        <w:t xml:space="preserve"> за железопътния транспорт се изискват също, за да се изпълнят задачите на мониторинга, предвиден в член </w:t>
      </w:r>
      <w:r>
        <w:rPr>
          <w:noProof/>
        </w:rPr>
        <w:t>15</w:t>
      </w:r>
      <w:r>
        <w:rPr>
          <w:noProof/>
          <w:lang w:val="fr-FR"/>
        </w:rPr>
        <w:t xml:space="preserve"> от Директива 2012/34/ЕС на Европейския парламент и на Съвета</w:t>
      </w:r>
      <w:r>
        <w:rPr>
          <w:rStyle w:val="FootnoteReference"/>
          <w:noProof/>
        </w:rPr>
        <w:footnoteReference w:id="9"/>
      </w:r>
      <w:r>
        <w:rPr>
          <w:noProof/>
          <w:lang w:val="fr-FR"/>
        </w:rPr>
        <w:t>.</w:t>
      </w:r>
    </w:p>
    <w:p>
      <w:pPr>
        <w:pStyle w:val="CRSeparator"/>
        <w:rPr>
          <w:noProof/>
        </w:rPr>
      </w:pPr>
    </w:p>
    <w:p>
      <w:pPr>
        <w:pStyle w:val="CRReference"/>
        <w:rPr>
          <w:noProof/>
        </w:rPr>
      </w:pPr>
      <w:r>
        <w:rPr>
          <w:noProof/>
        </w:rPr>
        <w:fldChar w:fldCharType="begin"/>
      </w:r>
      <w:r>
        <w:rPr>
          <w:noProof/>
        </w:rPr>
        <w:instrText xml:space="preserve"> QUOTE "</w:instrText>
      </w:r>
      <w:r>
        <w:rPr>
          <w:rStyle w:val="CRMarker"/>
          <w:noProof/>
        </w:rPr>
        <w:instrText>ê</w:instrText>
      </w:r>
      <w:r>
        <w:rPr>
          <w:noProof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</w:rPr>
        <w:t>ê</w:t>
      </w:r>
      <w:r>
        <w:rPr>
          <w:noProof/>
        </w:rPr>
        <w:fldChar w:fldCharType="end"/>
      </w:r>
      <w:r>
        <w:rPr>
          <w:noProof/>
        </w:rPr>
        <w:t> 91/2003</w:t>
      </w:r>
      <w:r>
        <w:rPr>
          <w:noProof/>
          <w:lang w:val="bg-BG"/>
        </w:rPr>
        <w:t>,</w:t>
      </w:r>
      <w:r>
        <w:rPr>
          <w:noProof/>
        </w:rPr>
        <w:t xml:space="preserve"> съображение 5 (адаптиран)</w:t>
      </w:r>
    </w:p>
    <w:p>
      <w:pPr>
        <w:pStyle w:val="ManualConsidrant"/>
        <w:rPr>
          <w:noProof/>
          <w:lang w:val="fr-FR"/>
        </w:rPr>
      </w:pPr>
      <w:r>
        <w:t>(6)</w:t>
      </w:r>
      <w:r>
        <w:tab/>
      </w:r>
      <w:r>
        <w:rPr>
          <w:noProof/>
          <w:lang w:val="fr-FR"/>
        </w:rPr>
        <w:t xml:space="preserve">Статистическите данни на </w:t>
      </w:r>
      <w:r>
        <w:rPr>
          <w:noProof/>
        </w:rPr>
        <w:fldChar w:fldCharType="begin"/>
      </w:r>
      <w:r>
        <w:rPr>
          <w:noProof/>
        </w:rPr>
        <w:instrText xml:space="preserve"> QUOTE "</w:instrText>
      </w:r>
      <w:r>
        <w:rPr>
          <w:rStyle w:val="CRMarker"/>
          <w:noProof/>
        </w:rPr>
        <w:instrText>Ö</w:instrText>
      </w:r>
      <w:r>
        <w:rPr>
          <w:noProof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</w:rPr>
        <w:t>Ö</w:t>
      </w:r>
      <w:r>
        <w:rPr>
          <w:noProof/>
        </w:rPr>
        <w:fldChar w:fldCharType="end"/>
      </w:r>
      <w:r>
        <w:rPr>
          <w:noProof/>
        </w:rPr>
        <w:t> нивото на Съюза </w:t>
      </w:r>
      <w:r>
        <w:rPr>
          <w:noProof/>
        </w:rPr>
        <w:fldChar w:fldCharType="begin"/>
      </w:r>
      <w:r>
        <w:rPr>
          <w:noProof/>
        </w:rPr>
        <w:instrText xml:space="preserve"> QUOTE "</w:instrText>
      </w:r>
      <w:r>
        <w:rPr>
          <w:rStyle w:val="CRMarker"/>
          <w:noProof/>
        </w:rPr>
        <w:instrText>Õ</w:instrText>
      </w:r>
      <w:r>
        <w:rPr>
          <w:noProof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</w:rPr>
        <w:t>Õ</w:t>
      </w:r>
      <w:r>
        <w:rPr>
          <w:noProof/>
        </w:rPr>
        <w:fldChar w:fldCharType="end"/>
      </w:r>
      <w:r>
        <w:rPr>
          <w:noProof/>
          <w:lang w:val="fr-FR"/>
        </w:rPr>
        <w:t xml:space="preserve"> за всички видове транспорт би следвало да се събират съгласно общи концепции и стандарти с цел постигането на най-пълна практически възможна съвместимост между видовете транспорт.</w:t>
      </w:r>
    </w:p>
    <w:p>
      <w:pPr>
        <w:pStyle w:val="CRSeparator"/>
        <w:rPr>
          <w:noProof/>
        </w:rPr>
      </w:pPr>
    </w:p>
    <w:p>
      <w:pPr>
        <w:pStyle w:val="CRReference"/>
        <w:rPr>
          <w:noProof/>
        </w:rPr>
      </w:pPr>
      <w:r>
        <w:rPr>
          <w:noProof/>
        </w:rPr>
        <w:fldChar w:fldCharType="begin"/>
      </w:r>
      <w:r>
        <w:rPr>
          <w:noProof/>
        </w:rPr>
        <w:instrText xml:space="preserve"> QUOTE "</w:instrText>
      </w:r>
      <w:r>
        <w:rPr>
          <w:rStyle w:val="CRMarker"/>
          <w:noProof/>
        </w:rPr>
        <w:instrText>ê</w:instrText>
      </w:r>
      <w:r>
        <w:rPr>
          <w:noProof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</w:rPr>
        <w:t>ê</w:t>
      </w:r>
      <w:r>
        <w:rPr>
          <w:noProof/>
        </w:rPr>
        <w:fldChar w:fldCharType="end"/>
      </w:r>
      <w:r>
        <w:rPr>
          <w:noProof/>
        </w:rPr>
        <w:t> 2016/2032</w:t>
      </w:r>
      <w:r>
        <w:rPr>
          <w:noProof/>
          <w:lang w:val="bg-BG"/>
        </w:rPr>
        <w:t>,</w:t>
      </w:r>
      <w:r>
        <w:rPr>
          <w:noProof/>
        </w:rPr>
        <w:t xml:space="preserve"> съображение 4</w:t>
      </w:r>
    </w:p>
    <w:p>
      <w:pPr>
        <w:pStyle w:val="ManualConsidrant"/>
        <w:rPr>
          <w:noProof/>
          <w:lang w:val="fr-FR"/>
        </w:rPr>
      </w:pPr>
      <w:r>
        <w:t>(7)</w:t>
      </w:r>
      <w:r>
        <w:tab/>
      </w:r>
      <w:r>
        <w:rPr>
          <w:noProof/>
          <w:lang w:val="fr-FR"/>
        </w:rPr>
        <w:t>Важно е да се избягва дублирането на работата и да се оптимизира използването на наличната информация, която дава възможност да бъде използвана за статистически цели. За тази цел и за осигуряването на гражданите на Съюза и на други заинтересовани страни с леснодостъпна и полезна информация относно безопасността на железопътния транспорт и оперативната съвместимост на железопътната система, включително железопътната инфраструктура, между службите на Комисията и имащите отношение образувания, включително на международно равнище, следва да се сключат подходящи споразумения за сътрудничество относно статистическите дейности.</w:t>
      </w:r>
    </w:p>
    <w:p>
      <w:pPr>
        <w:pStyle w:val="CRSeparator"/>
        <w:rPr>
          <w:noProof/>
        </w:rPr>
      </w:pPr>
    </w:p>
    <w:p>
      <w:pPr>
        <w:pStyle w:val="CRReference"/>
        <w:rPr>
          <w:noProof/>
        </w:rPr>
      </w:pPr>
      <w:r>
        <w:rPr>
          <w:noProof/>
        </w:rPr>
        <w:fldChar w:fldCharType="begin"/>
      </w:r>
      <w:r>
        <w:rPr>
          <w:noProof/>
        </w:rPr>
        <w:instrText xml:space="preserve"> QUOTE "</w:instrText>
      </w:r>
      <w:r>
        <w:rPr>
          <w:rStyle w:val="CRMarker"/>
          <w:noProof/>
        </w:rPr>
        <w:instrText>ê</w:instrText>
      </w:r>
      <w:r>
        <w:rPr>
          <w:noProof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</w:rPr>
        <w:t>ê</w:t>
      </w:r>
      <w:r>
        <w:rPr>
          <w:noProof/>
        </w:rPr>
        <w:fldChar w:fldCharType="end"/>
      </w:r>
      <w:r>
        <w:rPr>
          <w:noProof/>
        </w:rPr>
        <w:t> 2016/2032</w:t>
      </w:r>
      <w:r>
        <w:rPr>
          <w:noProof/>
          <w:lang w:val="bg-BG"/>
        </w:rPr>
        <w:t>,</w:t>
      </w:r>
      <w:r>
        <w:rPr>
          <w:noProof/>
        </w:rPr>
        <w:t xml:space="preserve"> съображение 6</w:t>
      </w:r>
    </w:p>
    <w:p>
      <w:pPr>
        <w:pStyle w:val="ManualConsidrant"/>
        <w:rPr>
          <w:noProof/>
          <w:lang w:val="fr-FR"/>
        </w:rPr>
      </w:pPr>
      <w:r>
        <w:t>(8)</w:t>
      </w:r>
      <w:r>
        <w:tab/>
      </w:r>
      <w:r>
        <w:rPr>
          <w:noProof/>
          <w:lang w:val="fr-FR"/>
        </w:rPr>
        <w:t>При изготвянето на европейската статистика следва да се търси баланс между нуждите на ползвателите и тежестта върху респондентите.</w:t>
      </w:r>
    </w:p>
    <w:p>
      <w:pPr>
        <w:pStyle w:val="CRSeparator"/>
        <w:rPr>
          <w:noProof/>
        </w:rPr>
      </w:pPr>
    </w:p>
    <w:p>
      <w:pPr>
        <w:pStyle w:val="CRReference"/>
        <w:rPr>
          <w:noProof/>
        </w:rPr>
      </w:pPr>
      <w:r>
        <w:rPr>
          <w:noProof/>
        </w:rPr>
        <w:fldChar w:fldCharType="begin"/>
      </w:r>
      <w:r>
        <w:rPr>
          <w:noProof/>
        </w:rPr>
        <w:instrText xml:space="preserve"> QUOTE "</w:instrText>
      </w:r>
      <w:r>
        <w:rPr>
          <w:rStyle w:val="CRMarker"/>
          <w:noProof/>
        </w:rPr>
        <w:instrText>ê</w:instrText>
      </w:r>
      <w:r>
        <w:rPr>
          <w:noProof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</w:rPr>
        <w:t>ê</w:t>
      </w:r>
      <w:r>
        <w:rPr>
          <w:noProof/>
        </w:rPr>
        <w:fldChar w:fldCharType="end"/>
      </w:r>
      <w:r>
        <w:rPr>
          <w:noProof/>
        </w:rPr>
        <w:t> 2016/2032</w:t>
      </w:r>
      <w:r>
        <w:rPr>
          <w:noProof/>
          <w:lang w:val="bg-BG"/>
        </w:rPr>
        <w:t>,</w:t>
      </w:r>
      <w:r>
        <w:rPr>
          <w:noProof/>
        </w:rPr>
        <w:t xml:space="preserve"> съображение 8</w:t>
      </w:r>
    </w:p>
    <w:p>
      <w:pPr>
        <w:pStyle w:val="ManualConsidrant"/>
        <w:rPr>
          <w:noProof/>
          <w:lang w:val="fr-FR"/>
        </w:rPr>
      </w:pPr>
      <w:r>
        <w:t>(9)</w:t>
      </w:r>
      <w:r>
        <w:tab/>
      </w:r>
      <w:r>
        <w:rPr>
          <w:noProof/>
          <w:lang w:val="fr-FR"/>
        </w:rPr>
        <w:t xml:space="preserve">В доклада си до Европейския парламент и до Съвета за своя натрупан опит при прилагането на Регламент (ЕО) № 91/2003 Комисията посочва факта, че дългосрочните тенденции вероятно ще доведат до отпадане или опростяване на данните, които вече са събрани съгласно посочения регламент, както и че целта е съкращаване на срока за предаване на годишните данни относно пътниците, използващи железопътен транспорт. Комисията следва да продължава периодично да предоставя доклади относно прилагането на </w:t>
      </w:r>
      <w:r>
        <w:rPr>
          <w:noProof/>
        </w:rPr>
        <w:t>настоящия</w:t>
      </w:r>
      <w:r>
        <w:rPr>
          <w:noProof/>
          <w:lang w:val="fr-FR"/>
        </w:rPr>
        <w:t xml:space="preserve"> регламент.</w:t>
      </w:r>
    </w:p>
    <w:p>
      <w:pPr>
        <w:pStyle w:val="CRSeparator"/>
        <w:rPr>
          <w:noProof/>
        </w:rPr>
      </w:pPr>
    </w:p>
    <w:p>
      <w:pPr>
        <w:pStyle w:val="CRReference"/>
        <w:rPr>
          <w:noProof/>
        </w:rPr>
      </w:pPr>
      <w:r>
        <w:rPr>
          <w:noProof/>
        </w:rPr>
        <w:fldChar w:fldCharType="begin"/>
      </w:r>
      <w:r>
        <w:rPr>
          <w:noProof/>
        </w:rPr>
        <w:instrText xml:space="preserve"> QUOTE "</w:instrText>
      </w:r>
      <w:r>
        <w:rPr>
          <w:rStyle w:val="CRMarker"/>
          <w:noProof/>
        </w:rPr>
        <w:instrText>ê</w:instrText>
      </w:r>
      <w:r>
        <w:rPr>
          <w:noProof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</w:rPr>
        <w:t>ê</w:t>
      </w:r>
      <w:r>
        <w:rPr>
          <w:noProof/>
        </w:rPr>
        <w:fldChar w:fldCharType="end"/>
      </w:r>
      <w:r>
        <w:rPr>
          <w:noProof/>
        </w:rPr>
        <w:t> 91/2003</w:t>
      </w:r>
      <w:r>
        <w:rPr>
          <w:noProof/>
          <w:lang w:val="bg-BG"/>
        </w:rPr>
        <w:t>,</w:t>
      </w:r>
      <w:r>
        <w:rPr>
          <w:noProof/>
        </w:rPr>
        <w:t xml:space="preserve"> съображение 7</w:t>
      </w:r>
    </w:p>
    <w:p>
      <w:pPr>
        <w:pStyle w:val="ManualConsidrant"/>
        <w:rPr>
          <w:noProof/>
          <w:lang w:val="fr-FR"/>
        </w:rPr>
      </w:pPr>
      <w:r>
        <w:t>(10)</w:t>
      </w:r>
      <w:r>
        <w:tab/>
      </w:r>
      <w:r>
        <w:rPr>
          <w:noProof/>
          <w:lang w:val="fr-FR"/>
        </w:rPr>
        <w:t>Съвместното съществуване на държавни и частни железопътни предприятия на търговския железопътен пазар изисква изрична спецификация на статистическата информация, която трябва да се предоставя от всички железопътни предприятия и се разпространява от Евростат.</w:t>
      </w:r>
    </w:p>
    <w:p>
      <w:pPr>
        <w:pStyle w:val="CRSeparator"/>
        <w:rPr>
          <w:noProof/>
        </w:rPr>
      </w:pPr>
    </w:p>
    <w:p>
      <w:pPr>
        <w:pStyle w:val="CRReference"/>
        <w:pBdr>
          <w:bottom w:val="single" w:sz="4" w:space="0" w:color="auto"/>
        </w:pBdr>
        <w:rPr>
          <w:noProof/>
        </w:rPr>
      </w:pPr>
      <w:r>
        <w:rPr>
          <w:noProof/>
        </w:rPr>
        <w:fldChar w:fldCharType="begin"/>
      </w:r>
      <w:r>
        <w:rPr>
          <w:noProof/>
        </w:rPr>
        <w:instrText xml:space="preserve"> QUOTE "</w:instrText>
      </w:r>
      <w:r>
        <w:rPr>
          <w:rStyle w:val="CRMarker"/>
          <w:noProof/>
        </w:rPr>
        <w:instrText>ê</w:instrText>
      </w:r>
      <w:r>
        <w:rPr>
          <w:noProof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</w:rPr>
        <w:t>ê</w:t>
      </w:r>
      <w:r>
        <w:rPr>
          <w:noProof/>
        </w:rPr>
        <w:fldChar w:fldCharType="end"/>
      </w:r>
      <w:r>
        <w:rPr>
          <w:noProof/>
        </w:rPr>
        <w:t> 91/2003</w:t>
      </w:r>
      <w:r>
        <w:rPr>
          <w:noProof/>
          <w:lang w:val="bg-BG"/>
        </w:rPr>
        <w:t>,</w:t>
      </w:r>
      <w:r>
        <w:rPr>
          <w:noProof/>
        </w:rPr>
        <w:t xml:space="preserve"> съображение 8 (адаптиран)</w:t>
      </w:r>
    </w:p>
    <w:p>
      <w:pPr>
        <w:pStyle w:val="ManualConsidrant"/>
        <w:rPr>
          <w:noProof/>
          <w:lang w:val="fr-FR"/>
        </w:rPr>
      </w:pPr>
      <w:r>
        <w:t>(11)</w:t>
      </w:r>
      <w:r>
        <w:tab/>
      </w:r>
      <w:r>
        <w:rPr>
          <w:noProof/>
          <w:lang w:val="fr-FR"/>
        </w:rPr>
        <w:t xml:space="preserve">В съответствие с принципа на субсидиарността, определен в член 5 от Договора </w:t>
      </w:r>
      <w:r>
        <w:rPr>
          <w:noProof/>
        </w:rPr>
        <w:fldChar w:fldCharType="begin"/>
      </w:r>
      <w:r>
        <w:rPr>
          <w:noProof/>
        </w:rPr>
        <w:instrText xml:space="preserve"> QUOTE "</w:instrText>
      </w:r>
      <w:r>
        <w:rPr>
          <w:rStyle w:val="CRMarker"/>
          <w:noProof/>
        </w:rPr>
        <w:instrText>Ö</w:instrText>
      </w:r>
      <w:r>
        <w:rPr>
          <w:noProof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</w:rPr>
        <w:t>Ö</w:t>
      </w:r>
      <w:r>
        <w:rPr>
          <w:noProof/>
        </w:rPr>
        <w:fldChar w:fldCharType="end"/>
      </w:r>
      <w:r>
        <w:rPr>
          <w:noProof/>
        </w:rPr>
        <w:t> за Европейския съюз </w:t>
      </w:r>
      <w:r>
        <w:rPr>
          <w:noProof/>
        </w:rPr>
        <w:fldChar w:fldCharType="begin"/>
      </w:r>
      <w:r>
        <w:rPr>
          <w:noProof/>
        </w:rPr>
        <w:instrText xml:space="preserve"> QUOTE "</w:instrText>
      </w:r>
      <w:r>
        <w:rPr>
          <w:rStyle w:val="CRMarker"/>
          <w:noProof/>
        </w:rPr>
        <w:instrText>Õ</w:instrText>
      </w:r>
      <w:r>
        <w:rPr>
          <w:noProof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</w:rPr>
        <w:t>Õ</w:t>
      </w:r>
      <w:r>
        <w:rPr>
          <w:noProof/>
        </w:rPr>
        <w:fldChar w:fldCharType="end"/>
      </w:r>
      <w:r>
        <w:rPr>
          <w:noProof/>
          <w:lang w:val="fr-FR"/>
        </w:rPr>
        <w:t xml:space="preserve">, създаването на общи статистически стандарти, чрез които се получават хармонизирани данни, е действие, което може да се предприеме ефикасно само на </w:t>
      </w:r>
      <w:r>
        <w:rPr>
          <w:noProof/>
        </w:rPr>
        <w:fldChar w:fldCharType="begin"/>
      </w:r>
      <w:r>
        <w:rPr>
          <w:noProof/>
        </w:rPr>
        <w:instrText xml:space="preserve"> QUOTE "</w:instrText>
      </w:r>
      <w:r>
        <w:rPr>
          <w:rStyle w:val="CRMarker"/>
          <w:noProof/>
        </w:rPr>
        <w:instrText>Ö</w:instrText>
      </w:r>
      <w:r>
        <w:rPr>
          <w:noProof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</w:rPr>
        <w:t>Ö</w:t>
      </w:r>
      <w:r>
        <w:rPr>
          <w:noProof/>
        </w:rPr>
        <w:fldChar w:fldCharType="end"/>
      </w:r>
      <w:r>
        <w:rPr>
          <w:noProof/>
        </w:rPr>
        <w:t> нивото на Съюза </w:t>
      </w:r>
      <w:r>
        <w:rPr>
          <w:noProof/>
        </w:rPr>
        <w:fldChar w:fldCharType="begin"/>
      </w:r>
      <w:r>
        <w:rPr>
          <w:noProof/>
        </w:rPr>
        <w:instrText xml:space="preserve"> QUOTE "</w:instrText>
      </w:r>
      <w:r>
        <w:rPr>
          <w:rStyle w:val="CRMarker"/>
          <w:noProof/>
        </w:rPr>
        <w:instrText>Õ</w:instrText>
      </w:r>
      <w:r>
        <w:rPr>
          <w:noProof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</w:rPr>
        <w:t>Õ</w:t>
      </w:r>
      <w:r>
        <w:rPr>
          <w:noProof/>
        </w:rPr>
        <w:fldChar w:fldCharType="end"/>
      </w:r>
      <w:r>
        <w:rPr>
          <w:noProof/>
          <w:lang w:val="fr-FR"/>
        </w:rPr>
        <w:t>. Тези стандарти би следвало се прилагат във всяка държава</w:t>
      </w:r>
      <w:r>
        <w:rPr>
          <w:noProof/>
        </w:rPr>
        <w:t xml:space="preserve"> </w:t>
      </w:r>
      <w:r>
        <w:rPr>
          <w:noProof/>
          <w:lang w:val="fr-FR"/>
        </w:rPr>
        <w:t>членка под ръководството на органите и институциите, натоварени с изготвянето на официални статистически данни.</w:t>
      </w:r>
    </w:p>
    <w:p>
      <w:pPr>
        <w:pStyle w:val="CRSeparator"/>
        <w:rPr>
          <w:noProof/>
        </w:rPr>
      </w:pPr>
    </w:p>
    <w:p>
      <w:pPr>
        <w:pStyle w:val="CRReference"/>
        <w:rPr>
          <w:noProof/>
        </w:rPr>
      </w:pPr>
      <w:r>
        <w:rPr>
          <w:noProof/>
        </w:rPr>
        <w:fldChar w:fldCharType="begin"/>
      </w:r>
      <w:r>
        <w:rPr>
          <w:noProof/>
        </w:rPr>
        <w:instrText xml:space="preserve"> QUOTE "</w:instrText>
      </w:r>
      <w:r>
        <w:rPr>
          <w:rStyle w:val="CRMarker"/>
          <w:noProof/>
        </w:rPr>
        <w:instrText>ê</w:instrText>
      </w:r>
      <w:r>
        <w:rPr>
          <w:noProof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</w:rPr>
        <w:t>ê</w:t>
      </w:r>
      <w:r>
        <w:rPr>
          <w:noProof/>
        </w:rPr>
        <w:fldChar w:fldCharType="end"/>
      </w:r>
      <w:r>
        <w:rPr>
          <w:noProof/>
        </w:rPr>
        <w:t> 91/2003</w:t>
      </w:r>
      <w:r>
        <w:rPr>
          <w:noProof/>
          <w:lang w:val="bg-BG"/>
        </w:rPr>
        <w:t>,</w:t>
      </w:r>
      <w:r>
        <w:rPr>
          <w:noProof/>
        </w:rPr>
        <w:t xml:space="preserve"> съображение 9</w:t>
      </w:r>
    </w:p>
    <w:p>
      <w:pPr>
        <w:pStyle w:val="ManualConsidrant"/>
        <w:rPr>
          <w:noProof/>
          <w:lang w:val="fr-FR"/>
        </w:rPr>
      </w:pPr>
      <w:r>
        <w:t>(12)</w:t>
      </w:r>
      <w:r>
        <w:tab/>
      </w:r>
      <w:r>
        <w:rPr>
          <w:noProof/>
          <w:lang w:val="fr-FR"/>
        </w:rPr>
        <w:t>Регламент (ЕО) № 223/2009 на Европейския парламент и на Съвета</w:t>
      </w:r>
      <w:r>
        <w:rPr>
          <w:rStyle w:val="FootnoteReference"/>
          <w:noProof/>
          <w:lang w:val="fr-FR"/>
        </w:rPr>
        <w:footnoteReference w:id="10"/>
      </w:r>
      <w:r>
        <w:rPr>
          <w:noProof/>
          <w:lang w:val="fr-FR"/>
        </w:rPr>
        <w:t xml:space="preserve"> осигурява референтна рамка за разпоредбите, </w:t>
      </w:r>
      <w:r>
        <w:rPr>
          <w:noProof/>
        </w:rPr>
        <w:t>съдържащи се</w:t>
      </w:r>
      <w:r>
        <w:rPr>
          <w:noProof/>
          <w:lang w:val="fr-FR"/>
        </w:rPr>
        <w:t xml:space="preserve"> в настоящия регламент.</w:t>
      </w:r>
    </w:p>
    <w:p>
      <w:pPr>
        <w:pStyle w:val="CRSeparator"/>
        <w:rPr>
          <w:noProof/>
        </w:rPr>
      </w:pPr>
    </w:p>
    <w:p>
      <w:pPr>
        <w:pStyle w:val="CRReference"/>
        <w:rPr>
          <w:noProof/>
          <w:lang w:val="bg-BG"/>
        </w:rPr>
      </w:pPr>
      <w:r>
        <w:rPr>
          <w:noProof/>
        </w:rPr>
        <w:fldChar w:fldCharType="begin"/>
      </w:r>
      <w:r>
        <w:rPr>
          <w:noProof/>
        </w:rPr>
        <w:instrText xml:space="preserve"> QUOTE "</w:instrText>
      </w:r>
      <w:r>
        <w:rPr>
          <w:rStyle w:val="CRMarker"/>
          <w:noProof/>
        </w:rPr>
        <w:instrText>ê</w:instrText>
      </w:r>
      <w:r>
        <w:rPr>
          <w:noProof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</w:rPr>
        <w:t>ê</w:t>
      </w:r>
      <w:r>
        <w:rPr>
          <w:noProof/>
        </w:rPr>
        <w:fldChar w:fldCharType="end"/>
      </w:r>
      <w:r>
        <w:rPr>
          <w:noProof/>
        </w:rPr>
        <w:t> 2016/2032</w:t>
      </w:r>
      <w:r>
        <w:rPr>
          <w:noProof/>
          <w:lang w:val="bg-BG"/>
        </w:rPr>
        <w:t>,</w:t>
      </w:r>
      <w:r>
        <w:rPr>
          <w:noProof/>
        </w:rPr>
        <w:t xml:space="preserve"> съображение 10</w:t>
      </w:r>
      <w:r>
        <w:rPr>
          <w:noProof/>
          <w:lang w:val="bg-BG"/>
        </w:rPr>
        <w:t xml:space="preserve"> </w:t>
      </w:r>
      <w:r>
        <w:rPr>
          <w:noProof/>
        </w:rPr>
        <w:t>(адаптиран)</w:t>
      </w:r>
    </w:p>
    <w:p>
      <w:pPr>
        <w:pStyle w:val="ManualConsidrant"/>
        <w:rPr>
          <w:noProof/>
        </w:rPr>
      </w:pPr>
      <w:r>
        <w:t>(13)</w:t>
      </w:r>
      <w:r>
        <w:tab/>
      </w:r>
      <w:r>
        <w:rPr>
          <w:noProof/>
        </w:rPr>
        <w:t xml:space="preserve">С цел да се отразят новите тенденции в държавите членки, като същевременно продължи хармонизираното събиране на данни за железопътния транспорт и железопътната безопасност на равнището на Съюза, и с оглед да се поддържа високото качество на данните, предадени от държавите членки, на Комисията следва да бъде делегирано правомощието да приема актове в съответствие с член 290 от Договора </w:t>
      </w:r>
      <w:r>
        <w:rPr>
          <w:noProof/>
        </w:rPr>
        <w:fldChar w:fldCharType="begin"/>
      </w:r>
      <w:r>
        <w:rPr>
          <w:noProof/>
        </w:rPr>
        <w:instrText xml:space="preserve"> QUOTE "</w:instrText>
      </w:r>
      <w:r>
        <w:rPr>
          <w:rStyle w:val="CRMarker"/>
          <w:noProof/>
        </w:rPr>
        <w:instrText>Ö</w:instrText>
      </w:r>
      <w:r>
        <w:rPr>
          <w:noProof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</w:rPr>
        <w:t>Ö</w:t>
      </w:r>
      <w:r>
        <w:rPr>
          <w:noProof/>
        </w:rPr>
        <w:fldChar w:fldCharType="end"/>
      </w:r>
      <w:r>
        <w:rPr>
          <w:noProof/>
        </w:rPr>
        <w:t> за функционирането на Европейския съюз </w:t>
      </w:r>
      <w:r>
        <w:rPr>
          <w:noProof/>
        </w:rPr>
        <w:fldChar w:fldCharType="begin"/>
      </w:r>
      <w:r>
        <w:rPr>
          <w:noProof/>
        </w:rPr>
        <w:instrText xml:space="preserve"> QUOTE "</w:instrText>
      </w:r>
      <w:r>
        <w:rPr>
          <w:rStyle w:val="CRMarker"/>
          <w:noProof/>
        </w:rPr>
        <w:instrText>Õ</w:instrText>
      </w:r>
      <w:r>
        <w:rPr>
          <w:noProof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</w:rPr>
        <w:t>Õ</w:t>
      </w:r>
      <w:r>
        <w:rPr>
          <w:noProof/>
        </w:rPr>
        <w:fldChar w:fldCharType="end"/>
      </w:r>
      <w:r>
        <w:rPr>
          <w:noProof/>
        </w:rPr>
        <w:t xml:space="preserve"> във връзка с изменение на настоящия регламент с цел адаптиране на техническите определения и въвеждане на допълнителни технически определения. От особена важност е по време на подготвителната си работа Комисията да проведе подходящи консултации, включително на експертно равнище, и тези консултации да бъдат проведени в съответствие с принципите, заложени в Междуинституционалното споразумение от 13 април 2016 г. за по-добро законотворчество</w:t>
      </w:r>
      <w:r>
        <w:rPr>
          <w:rStyle w:val="FootnoteReference"/>
          <w:noProof/>
          <w:lang w:val="fr-FR"/>
        </w:rPr>
        <w:footnoteReference w:id="11"/>
      </w:r>
      <w:r>
        <w:rPr>
          <w:noProof/>
        </w:rPr>
        <w:t>. По-специално, с цел осигуряване на равно участие при подготовката на делегираните актове, Европейският парламент и Съветът получават всички документи едновременно с експертите от държавите членки, като техните експерти се ползват систематично от достъп до заседанията на експертните групи на Комисията, занимаващи се с подготовката на делегираните актове.</w:t>
      </w:r>
    </w:p>
    <w:p>
      <w:pPr>
        <w:pStyle w:val="CRSeparator"/>
        <w:rPr>
          <w:noProof/>
          <w:lang w:val="bg-BG"/>
        </w:rPr>
      </w:pPr>
    </w:p>
    <w:p>
      <w:pPr>
        <w:pStyle w:val="CRReference"/>
        <w:rPr>
          <w:noProof/>
        </w:rPr>
      </w:pPr>
      <w:r>
        <w:rPr>
          <w:noProof/>
        </w:rPr>
        <w:fldChar w:fldCharType="begin"/>
      </w:r>
      <w:r>
        <w:rPr>
          <w:noProof/>
        </w:rPr>
        <w:instrText xml:space="preserve"> QUOTE "</w:instrText>
      </w:r>
      <w:r>
        <w:rPr>
          <w:rStyle w:val="CRMarker"/>
          <w:noProof/>
        </w:rPr>
        <w:instrText>ê</w:instrText>
      </w:r>
      <w:r>
        <w:rPr>
          <w:noProof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</w:rPr>
        <w:t>ê</w:t>
      </w:r>
      <w:r>
        <w:rPr>
          <w:noProof/>
        </w:rPr>
        <w:fldChar w:fldCharType="end"/>
      </w:r>
      <w:r>
        <w:rPr>
          <w:noProof/>
        </w:rPr>
        <w:t> 2016/2032</w:t>
      </w:r>
      <w:r>
        <w:rPr>
          <w:noProof/>
          <w:lang w:val="bg-BG"/>
        </w:rPr>
        <w:t>,</w:t>
      </w:r>
      <w:r>
        <w:rPr>
          <w:noProof/>
        </w:rPr>
        <w:t xml:space="preserve"> съображение 11</w:t>
      </w:r>
    </w:p>
    <w:p>
      <w:pPr>
        <w:pStyle w:val="ManualConsidrant"/>
        <w:rPr>
          <w:noProof/>
          <w:lang w:val="fr-FR"/>
        </w:rPr>
      </w:pPr>
      <w:r>
        <w:t>(14)</w:t>
      </w:r>
      <w:r>
        <w:tab/>
      </w:r>
      <w:r>
        <w:rPr>
          <w:noProof/>
          <w:lang w:val="fr-FR"/>
        </w:rPr>
        <w:t>Комисията следва да гарантира, че посочените делегирани актове не водят до значителна допълнителна тежест за държавите членки или за респондентите.</w:t>
      </w:r>
    </w:p>
    <w:p>
      <w:pPr>
        <w:pStyle w:val="CRSeparator"/>
        <w:rPr>
          <w:noProof/>
        </w:rPr>
      </w:pPr>
    </w:p>
    <w:p>
      <w:pPr>
        <w:pStyle w:val="CRReference"/>
        <w:rPr>
          <w:noProof/>
        </w:rPr>
      </w:pPr>
      <w:r>
        <w:rPr>
          <w:noProof/>
        </w:rPr>
        <w:fldChar w:fldCharType="begin"/>
      </w:r>
      <w:r>
        <w:rPr>
          <w:noProof/>
        </w:rPr>
        <w:instrText xml:space="preserve"> QUOTE "</w:instrText>
      </w:r>
      <w:r>
        <w:rPr>
          <w:rStyle w:val="CRMarker"/>
          <w:noProof/>
        </w:rPr>
        <w:instrText>ê</w:instrText>
      </w:r>
      <w:r>
        <w:rPr>
          <w:noProof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</w:rPr>
        <w:t>ê</w:t>
      </w:r>
      <w:r>
        <w:rPr>
          <w:noProof/>
        </w:rPr>
        <w:fldChar w:fldCharType="end"/>
      </w:r>
      <w:r>
        <w:rPr>
          <w:noProof/>
        </w:rPr>
        <w:t> 2016/2032</w:t>
      </w:r>
      <w:r>
        <w:rPr>
          <w:noProof/>
          <w:lang w:val="bg-BG"/>
        </w:rPr>
        <w:t>,</w:t>
      </w:r>
      <w:r>
        <w:rPr>
          <w:noProof/>
        </w:rPr>
        <w:t xml:space="preserve"> съображение 12 (адаптиран)</w:t>
      </w:r>
    </w:p>
    <w:p>
      <w:pPr>
        <w:pStyle w:val="ManualConsidrant"/>
        <w:rPr>
          <w:noProof/>
          <w:lang w:val="fr-FR"/>
        </w:rPr>
      </w:pPr>
      <w:r>
        <w:t>(15)</w:t>
      </w:r>
      <w:r>
        <w:tab/>
      </w:r>
      <w:r>
        <w:rPr>
          <w:noProof/>
        </w:rPr>
        <w:fldChar w:fldCharType="begin"/>
      </w:r>
      <w:r>
        <w:rPr>
          <w:noProof/>
        </w:rPr>
        <w:instrText xml:space="preserve"> QUOTE "</w:instrText>
      </w:r>
      <w:r>
        <w:rPr>
          <w:rStyle w:val="CRMarker"/>
          <w:noProof/>
        </w:rPr>
        <w:instrText>Ö</w:instrText>
      </w:r>
      <w:r>
        <w:rPr>
          <w:noProof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</w:rPr>
        <w:t>Ö</w:t>
      </w:r>
      <w:r>
        <w:rPr>
          <w:noProof/>
        </w:rPr>
        <w:fldChar w:fldCharType="end"/>
      </w:r>
      <w:r>
        <w:rPr>
          <w:noProof/>
        </w:rPr>
        <w:t> </w:t>
      </w:r>
      <w:r>
        <w:rPr>
          <w:noProof/>
          <w:szCs w:val="24"/>
        </w:rPr>
        <w:t>За да се гарантират еднакви условия за прилагането на настоящия регламент, на Комисията следва да бъдат</w:t>
      </w:r>
      <w:r>
        <w:rPr>
          <w:noProof/>
        </w:rPr>
        <w:t> </w:t>
      </w:r>
      <w:r>
        <w:rPr>
          <w:noProof/>
        </w:rPr>
        <w:fldChar w:fldCharType="begin"/>
      </w:r>
      <w:r>
        <w:rPr>
          <w:noProof/>
        </w:rPr>
        <w:instrText xml:space="preserve"> QUOTE "</w:instrText>
      </w:r>
      <w:r>
        <w:rPr>
          <w:rStyle w:val="CRMarker"/>
          <w:noProof/>
        </w:rPr>
        <w:instrText>Õ</w:instrText>
      </w:r>
      <w:r>
        <w:rPr>
          <w:noProof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</w:rPr>
        <w:t>Õ</w:t>
      </w:r>
      <w:r>
        <w:rPr>
          <w:noProof/>
        </w:rPr>
        <w:fldChar w:fldCharType="end"/>
      </w:r>
      <w:r>
        <w:rPr>
          <w:noProof/>
          <w:sz w:val="19"/>
          <w:szCs w:val="19"/>
        </w:rPr>
        <w:t xml:space="preserve"> </w:t>
      </w:r>
      <w:r>
        <w:rPr>
          <w:noProof/>
          <w:lang w:val="fr-FR"/>
        </w:rPr>
        <w:t>редоставени изпълнителни правомощия по отношение на специфичните изисквания за информацията, която трябва да бъде предоставена за докладите относно качеството и съпоставимостта на резултатите и реда и условията за разпространението на посочените резултати от страна на Комисията (Евростат). Тези правомощия следва да бъдат упражнявани в съответствие с Регламент (ЕС) № 182/2011 на Европейския парламент и на Съвета</w:t>
      </w:r>
      <w:r>
        <w:rPr>
          <w:rStyle w:val="FootnoteReference"/>
          <w:noProof/>
          <w:lang w:val="fr-FR"/>
        </w:rPr>
        <w:footnoteReference w:id="12"/>
      </w:r>
      <w:r>
        <w:rPr>
          <w:noProof/>
          <w:lang w:val="fr-FR"/>
        </w:rPr>
        <w:t>.</w:t>
      </w:r>
    </w:p>
    <w:p>
      <w:pPr>
        <w:pStyle w:val="CRSeparator"/>
        <w:rPr>
          <w:noProof/>
        </w:rPr>
      </w:pPr>
    </w:p>
    <w:p>
      <w:pPr>
        <w:pStyle w:val="CRReference"/>
        <w:rPr>
          <w:noProof/>
        </w:rPr>
      </w:pPr>
      <w:r>
        <w:rPr>
          <w:noProof/>
        </w:rPr>
        <w:fldChar w:fldCharType="begin"/>
      </w:r>
      <w:r>
        <w:rPr>
          <w:noProof/>
        </w:rPr>
        <w:instrText xml:space="preserve"> QUOTE "</w:instrText>
      </w:r>
      <w:r>
        <w:rPr>
          <w:rStyle w:val="CRMarker"/>
          <w:noProof/>
        </w:rPr>
        <w:instrText>ê</w:instrText>
      </w:r>
      <w:r>
        <w:rPr>
          <w:noProof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</w:rPr>
        <w:t>ê</w:t>
      </w:r>
      <w:r>
        <w:rPr>
          <w:noProof/>
        </w:rPr>
        <w:fldChar w:fldCharType="end"/>
      </w:r>
      <w:r>
        <w:rPr>
          <w:noProof/>
        </w:rPr>
        <w:t> 2016/2032</w:t>
      </w:r>
      <w:r>
        <w:rPr>
          <w:noProof/>
          <w:lang w:val="bg-BG"/>
        </w:rPr>
        <w:t>,</w:t>
      </w:r>
      <w:r>
        <w:rPr>
          <w:noProof/>
        </w:rPr>
        <w:t xml:space="preserve"> съображение 13</w:t>
      </w:r>
    </w:p>
    <w:p>
      <w:pPr>
        <w:pStyle w:val="ManualConsidrant"/>
        <w:rPr>
          <w:noProof/>
          <w:lang w:val="fr-FR"/>
        </w:rPr>
      </w:pPr>
      <w:r>
        <w:t>(16)</w:t>
      </w:r>
      <w:r>
        <w:tab/>
      </w:r>
      <w:r>
        <w:rPr>
          <w:noProof/>
          <w:lang w:val="fr-FR"/>
        </w:rPr>
        <w:t>Бяха проведени консултации с Комитета на Европейската статистическа система,</w:t>
      </w:r>
    </w:p>
    <w:p>
      <w:pPr>
        <w:pStyle w:val="CRSeparator"/>
        <w:rPr>
          <w:noProof/>
        </w:rPr>
      </w:pPr>
    </w:p>
    <w:p>
      <w:pPr>
        <w:pStyle w:val="CRReference"/>
        <w:rPr>
          <w:noProof/>
        </w:rPr>
      </w:pPr>
      <w:r>
        <w:rPr>
          <w:noProof/>
        </w:rPr>
        <w:fldChar w:fldCharType="begin"/>
      </w:r>
      <w:r>
        <w:rPr>
          <w:noProof/>
        </w:rPr>
        <w:instrText xml:space="preserve"> QUOTE "</w:instrText>
      </w:r>
      <w:r>
        <w:rPr>
          <w:rStyle w:val="CRMarker"/>
          <w:noProof/>
        </w:rPr>
        <w:instrText>ê</w:instrText>
      </w:r>
      <w:r>
        <w:rPr>
          <w:noProof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</w:rPr>
        <w:t>ê</w:t>
      </w:r>
      <w:r>
        <w:rPr>
          <w:noProof/>
        </w:rPr>
        <w:fldChar w:fldCharType="end"/>
      </w:r>
      <w:r>
        <w:rPr>
          <w:noProof/>
        </w:rPr>
        <w:t> 91/2003 (</w:t>
      </w:r>
      <w:r>
        <w:rPr>
          <w:noProof/>
          <w:lang w:val="en-GB"/>
        </w:rPr>
        <w:t>адаптиран</w:t>
      </w:r>
      <w:r>
        <w:rPr>
          <w:noProof/>
        </w:rPr>
        <w:t>)</w:t>
      </w:r>
    </w:p>
    <w:p>
      <w:pPr>
        <w:pStyle w:val="Formuledadoption"/>
        <w:rPr>
          <w:noProof/>
        </w:rPr>
      </w:pPr>
      <w:r>
        <w:rPr>
          <w:noProof/>
        </w:rPr>
        <w:t>ПРИЕХА НАСТОЯЩИЯ РЕГЛАМЕНТ:</w:t>
      </w:r>
    </w:p>
    <w:p>
      <w:pPr>
        <w:pStyle w:val="Titrearticle"/>
        <w:rPr>
          <w:noProof/>
        </w:rPr>
      </w:pPr>
      <w:r>
        <w:rPr>
          <w:noProof/>
        </w:rPr>
        <w:t>Член 1</w:t>
      </w:r>
    </w:p>
    <w:p>
      <w:pPr>
        <w:pStyle w:val="NormalCentered"/>
        <w:rPr>
          <w:b/>
          <w:bCs/>
          <w:noProof/>
        </w:rPr>
      </w:pPr>
      <w:r>
        <w:rPr>
          <w:b/>
          <w:bCs/>
          <w:noProof/>
        </w:rPr>
        <w:t>Цел</w:t>
      </w:r>
    </w:p>
    <w:p>
      <w:pPr>
        <w:rPr>
          <w:noProof/>
        </w:rPr>
      </w:pPr>
      <w:r>
        <w:rPr>
          <w:noProof/>
        </w:rPr>
        <w:t xml:space="preserve">Целта на настоящия регламент е създаването на общи правила за изготвянето на статистика за железопътния транспорт на </w:t>
      </w:r>
      <w:r>
        <w:rPr>
          <w:noProof/>
        </w:rPr>
        <w:fldChar w:fldCharType="begin"/>
      </w:r>
      <w:r>
        <w:rPr>
          <w:noProof/>
        </w:rPr>
        <w:instrText xml:space="preserve"> QUOTE "</w:instrText>
      </w:r>
      <w:r>
        <w:rPr>
          <w:rStyle w:val="CRMarker"/>
          <w:noProof/>
        </w:rPr>
        <w:instrText>Ö</w:instrText>
      </w:r>
      <w:r>
        <w:rPr>
          <w:noProof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</w:rPr>
        <w:t>Ö</w:t>
      </w:r>
      <w:r>
        <w:rPr>
          <w:noProof/>
        </w:rPr>
        <w:fldChar w:fldCharType="end"/>
      </w:r>
      <w:r>
        <w:rPr>
          <w:noProof/>
        </w:rPr>
        <w:t> нивото на Съюза </w:t>
      </w:r>
      <w:r>
        <w:rPr>
          <w:noProof/>
        </w:rPr>
        <w:fldChar w:fldCharType="begin"/>
      </w:r>
      <w:r>
        <w:rPr>
          <w:noProof/>
        </w:rPr>
        <w:instrText xml:space="preserve"> QUOTE "</w:instrText>
      </w:r>
      <w:r>
        <w:rPr>
          <w:rStyle w:val="CRMarker"/>
          <w:noProof/>
        </w:rPr>
        <w:instrText>Õ</w:instrText>
      </w:r>
      <w:r>
        <w:rPr>
          <w:noProof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</w:rPr>
        <w:t>Õ</w:t>
      </w:r>
      <w:r>
        <w:rPr>
          <w:noProof/>
        </w:rPr>
        <w:fldChar w:fldCharType="end"/>
      </w:r>
      <w:r>
        <w:rPr>
          <w:noProof/>
        </w:rPr>
        <w:t>.</w:t>
      </w:r>
    </w:p>
    <w:p>
      <w:pPr>
        <w:pStyle w:val="Titrearticle"/>
        <w:rPr>
          <w:noProof/>
        </w:rPr>
      </w:pPr>
      <w:r>
        <w:rPr>
          <w:noProof/>
        </w:rPr>
        <w:t>Член 2</w:t>
      </w:r>
    </w:p>
    <w:p>
      <w:pPr>
        <w:pStyle w:val="NormalCentered"/>
        <w:rPr>
          <w:b/>
          <w:bCs/>
          <w:noProof/>
        </w:rPr>
      </w:pPr>
      <w:r>
        <w:rPr>
          <w:b/>
          <w:bCs/>
          <w:noProof/>
        </w:rPr>
        <w:t>Приложно поле</w:t>
      </w:r>
    </w:p>
    <w:p>
      <w:pPr>
        <w:rPr>
          <w:noProof/>
        </w:rPr>
      </w:pPr>
      <w:r>
        <w:rPr>
          <w:noProof/>
        </w:rPr>
        <w:t xml:space="preserve">Настоящият регламент обхваща всички железници в </w:t>
      </w:r>
      <w:r>
        <w:rPr>
          <w:noProof/>
        </w:rPr>
        <w:fldChar w:fldCharType="begin"/>
      </w:r>
      <w:r>
        <w:rPr>
          <w:noProof/>
        </w:rPr>
        <w:instrText xml:space="preserve"> QUOTE "</w:instrText>
      </w:r>
      <w:r>
        <w:rPr>
          <w:rStyle w:val="CRMarker"/>
          <w:noProof/>
        </w:rPr>
        <w:instrText>Ö</w:instrText>
      </w:r>
      <w:r>
        <w:rPr>
          <w:noProof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</w:rPr>
        <w:t>Ö</w:t>
      </w:r>
      <w:r>
        <w:rPr>
          <w:noProof/>
        </w:rPr>
        <w:fldChar w:fldCharType="end"/>
      </w:r>
      <w:r>
        <w:rPr>
          <w:noProof/>
        </w:rPr>
        <w:t> Съюза </w:t>
      </w:r>
      <w:r>
        <w:rPr>
          <w:noProof/>
        </w:rPr>
        <w:fldChar w:fldCharType="begin"/>
      </w:r>
      <w:r>
        <w:rPr>
          <w:noProof/>
        </w:rPr>
        <w:instrText xml:space="preserve"> QUOTE "</w:instrText>
      </w:r>
      <w:r>
        <w:rPr>
          <w:rStyle w:val="CRMarker"/>
          <w:noProof/>
        </w:rPr>
        <w:instrText>Õ</w:instrText>
      </w:r>
      <w:r>
        <w:rPr>
          <w:noProof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</w:rPr>
        <w:t>Õ</w:t>
      </w:r>
      <w:r>
        <w:rPr>
          <w:noProof/>
        </w:rPr>
        <w:fldChar w:fldCharType="end"/>
      </w:r>
      <w:r>
        <w:rPr>
          <w:noProof/>
        </w:rPr>
        <w:t>. Всяка държава членка докладва статистическите данни, които са свързани с железопътния транспорт на нейната територия. Когато железопътно предприятие оперира в повече от една държава членка, съответните национални органи изискват предприятието да предоставя данни отделно за всяка страна, в която оперира, така че да осъществи съставянето на национална статистика.</w:t>
      </w:r>
    </w:p>
    <w:p>
      <w:pPr>
        <w:rPr>
          <w:noProof/>
        </w:rPr>
      </w:pPr>
      <w:r>
        <w:rPr>
          <w:noProof/>
        </w:rPr>
        <w:t>Държавите членки могат да изключат от приложното поле на настоящия регламент:</w:t>
      </w:r>
    </w:p>
    <w:p>
      <w:pPr>
        <w:pStyle w:val="Point0"/>
        <w:rPr>
          <w:noProof/>
        </w:rPr>
      </w:pPr>
      <w:r>
        <w:rPr>
          <w:noProof/>
        </w:rPr>
        <w:t>а)</w:t>
      </w:r>
      <w:r>
        <w:rPr>
          <w:noProof/>
        </w:rPr>
        <w:tab/>
        <w:t>железопътни предприятия, които оперират изцяло или основно в рамките на промишлени и подобни инсталации, включително пристанища;</w:t>
      </w:r>
    </w:p>
    <w:p>
      <w:pPr>
        <w:pStyle w:val="Point0"/>
        <w:rPr>
          <w:noProof/>
        </w:rPr>
      </w:pPr>
      <w:r>
        <w:rPr>
          <w:noProof/>
        </w:rPr>
        <w:t>б)</w:t>
      </w:r>
      <w:r>
        <w:rPr>
          <w:noProof/>
        </w:rPr>
        <w:tab/>
        <w:t>железопътни предприятия, които основно предоставят местни туристически услуги, като запазени исторически парни железници.</w:t>
      </w:r>
    </w:p>
    <w:p>
      <w:pPr>
        <w:pStyle w:val="Titrearticle"/>
        <w:rPr>
          <w:noProof/>
        </w:rPr>
      </w:pPr>
      <w:r>
        <w:rPr>
          <w:noProof/>
        </w:rPr>
        <w:t>Член 3</w:t>
      </w:r>
    </w:p>
    <w:p>
      <w:pPr>
        <w:pStyle w:val="NormalCentered"/>
        <w:rPr>
          <w:b/>
          <w:bCs/>
          <w:noProof/>
        </w:rPr>
      </w:pPr>
      <w:r>
        <w:rPr>
          <w:b/>
          <w:bCs/>
          <w:noProof/>
        </w:rPr>
        <w:t>Дефиниции</w:t>
      </w:r>
    </w:p>
    <w:p>
      <w:pPr>
        <w:pStyle w:val="CRSeparator"/>
        <w:rPr>
          <w:noProof/>
          <w:lang w:val="bg-BG"/>
        </w:rPr>
      </w:pPr>
    </w:p>
    <w:p>
      <w:pPr>
        <w:pStyle w:val="CRReference"/>
        <w:rPr>
          <w:noProof/>
          <w:lang w:val="bg-BG"/>
        </w:rPr>
      </w:pPr>
      <w:r>
        <w:rPr>
          <w:noProof/>
        </w:rPr>
        <w:fldChar w:fldCharType="begin"/>
      </w:r>
      <w:r>
        <w:rPr>
          <w:noProof/>
          <w:lang w:val="bg-BG"/>
        </w:rPr>
        <w:instrText xml:space="preserve"> </w:instrText>
      </w:r>
      <w:r>
        <w:rPr>
          <w:noProof/>
        </w:rPr>
        <w:instrText>QUOTE</w:instrText>
      </w:r>
      <w:r>
        <w:rPr>
          <w:noProof/>
          <w:lang w:val="bg-BG"/>
        </w:rPr>
        <w:instrText xml:space="preserve"> "</w:instrText>
      </w:r>
      <w:r>
        <w:rPr>
          <w:rStyle w:val="CRMarker"/>
          <w:noProof/>
          <w:lang w:val="bg-BG"/>
        </w:rPr>
        <w:instrText>ê</w:instrText>
      </w:r>
      <w:r>
        <w:rPr>
          <w:noProof/>
          <w:lang w:val="bg-BG"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  <w:lang w:val="bg-BG"/>
        </w:rPr>
        <w:t>ê</w:t>
      </w:r>
      <w:r>
        <w:rPr>
          <w:noProof/>
        </w:rPr>
        <w:fldChar w:fldCharType="end"/>
      </w:r>
      <w:r>
        <w:rPr>
          <w:noProof/>
        </w:rPr>
        <w:t> </w:t>
      </w:r>
      <w:r>
        <w:rPr>
          <w:noProof/>
          <w:lang w:val="bg-BG"/>
        </w:rPr>
        <w:t>1192/2003, член 1, пар.</w:t>
      </w:r>
      <w:r>
        <w:rPr>
          <w:noProof/>
          <w:lang w:val="en-GB"/>
        </w:rPr>
        <w:t> </w:t>
      </w:r>
      <w:r>
        <w:rPr>
          <w:noProof/>
          <w:lang w:val="bg-BG"/>
        </w:rPr>
        <w:t>1 (адаптиран)</w:t>
      </w:r>
    </w:p>
    <w:p>
      <w:pPr>
        <w:rPr>
          <w:noProof/>
        </w:rPr>
      </w:pPr>
      <w:r>
        <w:rPr>
          <w:noProof/>
        </w:rPr>
        <w:t>1.</w:t>
      </w:r>
      <w:r>
        <w:rPr>
          <w:noProof/>
          <w:lang w:val="en-GB"/>
        </w:rPr>
        <w:t> </w:t>
      </w:r>
      <w:r>
        <w:rPr>
          <w:noProof/>
        </w:rPr>
        <w:t>За целите на настоящия регламент се прилагат следните дефиниции:</w:t>
      </w:r>
    </w:p>
    <w:p>
      <w:pPr>
        <w:pStyle w:val="Point0"/>
        <w:rPr>
          <w:noProof/>
        </w:rPr>
      </w:pPr>
      <w:r>
        <w:rPr>
          <w:noProof/>
        </w:rPr>
        <w:t>1)</w:t>
      </w:r>
      <w:r>
        <w:rPr>
          <w:noProof/>
        </w:rPr>
        <w:tab/>
        <w:t>„докладваща страна“ означава държавата членка, изпращаща данни на Евростат;</w:t>
      </w:r>
    </w:p>
    <w:p>
      <w:pPr>
        <w:pStyle w:val="Point0"/>
        <w:rPr>
          <w:noProof/>
        </w:rPr>
      </w:pPr>
      <w:r>
        <w:rPr>
          <w:noProof/>
        </w:rPr>
        <w:t>2)</w:t>
      </w:r>
      <w:r>
        <w:rPr>
          <w:noProof/>
        </w:rPr>
        <w:tab/>
        <w:t xml:space="preserve">„национални органи“ означава национални статистически институти и други органи, отговарящи във всяка държава членка за създаване на </w:t>
      </w:r>
      <w:r>
        <w:rPr>
          <w:noProof/>
        </w:rPr>
        <w:fldChar w:fldCharType="begin"/>
      </w:r>
      <w:r>
        <w:rPr>
          <w:noProof/>
        </w:rPr>
        <w:instrText xml:space="preserve"> QUOTE "</w:instrText>
      </w:r>
      <w:r>
        <w:rPr>
          <w:rStyle w:val="CRMarker"/>
          <w:noProof/>
        </w:rPr>
        <w:instrText>Ö</w:instrText>
      </w:r>
      <w:r>
        <w:rPr>
          <w:noProof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</w:rPr>
        <w:t>Ö</w:t>
      </w:r>
      <w:r>
        <w:rPr>
          <w:noProof/>
        </w:rPr>
        <w:fldChar w:fldCharType="end"/>
      </w:r>
      <w:r>
        <w:rPr>
          <w:noProof/>
        </w:rPr>
        <w:t> европейската </w:t>
      </w:r>
      <w:r>
        <w:rPr>
          <w:noProof/>
        </w:rPr>
        <w:fldChar w:fldCharType="begin"/>
      </w:r>
      <w:r>
        <w:rPr>
          <w:noProof/>
        </w:rPr>
        <w:instrText xml:space="preserve"> QUOTE "</w:instrText>
      </w:r>
      <w:r>
        <w:rPr>
          <w:rStyle w:val="CRMarker"/>
          <w:noProof/>
        </w:rPr>
        <w:instrText>Õ</w:instrText>
      </w:r>
      <w:r>
        <w:rPr>
          <w:noProof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</w:rPr>
        <w:t>Õ</w:t>
      </w:r>
      <w:r>
        <w:rPr>
          <w:noProof/>
        </w:rPr>
        <w:fldChar w:fldCharType="end"/>
      </w:r>
      <w:r>
        <w:rPr>
          <w:noProof/>
        </w:rPr>
        <w:t xml:space="preserve"> статистика;</w:t>
      </w:r>
    </w:p>
    <w:p>
      <w:pPr>
        <w:pStyle w:val="Point0"/>
        <w:rPr>
          <w:noProof/>
        </w:rPr>
      </w:pPr>
      <w:r>
        <w:rPr>
          <w:noProof/>
        </w:rPr>
        <w:t>3)</w:t>
      </w:r>
      <w:r>
        <w:rPr>
          <w:noProof/>
        </w:rPr>
        <w:tab/>
        <w:t>„железопътен“ означава комуникация по релси, използвана от железопътни превозни средства;</w:t>
      </w:r>
    </w:p>
    <w:p>
      <w:pPr>
        <w:pStyle w:val="Point0"/>
        <w:rPr>
          <w:noProof/>
        </w:rPr>
      </w:pPr>
      <w:r>
        <w:rPr>
          <w:noProof/>
        </w:rPr>
        <w:t>4)</w:t>
      </w:r>
      <w:r>
        <w:rPr>
          <w:noProof/>
        </w:rPr>
        <w:tab/>
        <w:t>„железопътно превозно средство“ означава подвижно съоръжение, движещо се предимно на релси, със собствено задвижване или теглено от друго превозно средство (вагони, спални вагони, цистерни и др.);</w:t>
      </w:r>
    </w:p>
    <w:p>
      <w:pPr>
        <w:pStyle w:val="Point0"/>
        <w:rPr>
          <w:noProof/>
        </w:rPr>
      </w:pPr>
      <w:r>
        <w:rPr>
          <w:noProof/>
        </w:rPr>
        <w:t>5)</w:t>
      </w:r>
      <w:r>
        <w:rPr>
          <w:noProof/>
        </w:rPr>
        <w:tab/>
        <w:t>„железопътно предприятие“ означава всяко публично или частно предприятие, което осигурява услуги за транспорт на товари и/или пътници по релси. Предприятия, чийто бизнес е само да осигуряват услуги за транспорт на пътници с метро, трамвай и/или полуметро, са изключени;</w:t>
      </w:r>
    </w:p>
    <w:p>
      <w:pPr>
        <w:pStyle w:val="Point0"/>
        <w:rPr>
          <w:noProof/>
        </w:rPr>
      </w:pPr>
      <w:r>
        <w:rPr>
          <w:noProof/>
        </w:rPr>
        <w:t>6)</w:t>
      </w:r>
      <w:r>
        <w:rPr>
          <w:noProof/>
        </w:rPr>
        <w:tab/>
        <w:t>„транспорт на товари по релси“ означава движение на товари, използвайки железопътни превозни средства между мястото на товарене и мястото на разтоварване;</w:t>
      </w:r>
    </w:p>
    <w:p>
      <w:pPr>
        <w:pStyle w:val="Point0"/>
        <w:rPr>
          <w:noProof/>
        </w:rPr>
      </w:pPr>
      <w:r>
        <w:rPr>
          <w:noProof/>
        </w:rPr>
        <w:t>7)</w:t>
      </w:r>
      <w:r>
        <w:rPr>
          <w:noProof/>
        </w:rPr>
        <w:tab/>
        <w:t>„транспорт на пътници по релси“ означава движение на пътници с железопътни превозни средства между мястото на качване и мястото на слизане. Транспорт на пътници с метро, трамвай или полуметро се изключва;</w:t>
      </w:r>
    </w:p>
    <w:p>
      <w:pPr>
        <w:pStyle w:val="Point0"/>
        <w:rPr>
          <w:noProof/>
        </w:rPr>
      </w:pPr>
      <w:r>
        <w:rPr>
          <w:noProof/>
        </w:rPr>
        <w:t>8)</w:t>
      </w:r>
      <w:r>
        <w:rPr>
          <w:noProof/>
        </w:rPr>
        <w:tab/>
        <w:t>„метро“ (също известно като „подземна железница“) означава електрическа железница за транспорт на пътници с капацитет за тежък обем на трафик и характеризиран с право на път с влакове с много вагони, висока скорост и бързо ускоряване, сложна сигнална система, без места за пресичане, за да се позволи висока честота на влаковете и висока натовареност на платформата. Метрото също се характеризира с близост на гарите, с разстояние 700 м — 1</w:t>
      </w:r>
      <w:r>
        <w:rPr>
          <w:noProof/>
          <w:lang w:val="en-GB"/>
        </w:rPr>
        <w:t> </w:t>
      </w:r>
      <w:r>
        <w:rPr>
          <w:noProof/>
        </w:rPr>
        <w:t>200</w:t>
      </w:r>
      <w:r>
        <w:rPr>
          <w:noProof/>
          <w:lang w:val="en-GB"/>
        </w:rPr>
        <w:t> </w:t>
      </w:r>
      <w:r>
        <w:rPr>
          <w:noProof/>
        </w:rPr>
        <w:t>м между гарите. „Висока скорост“ се отнася до сравнението с трамваи и полуметро и означава средно 30—40 км/ч. на по-кратки разстояния, 40</w:t>
      </w:r>
      <w:r>
        <w:rPr>
          <w:noProof/>
        </w:rPr>
        <w:noBreakHyphen/>
        <w:t>70</w:t>
      </w:r>
      <w:r>
        <w:rPr>
          <w:noProof/>
          <w:lang w:val="en-GB"/>
        </w:rPr>
        <w:t> </w:t>
      </w:r>
      <w:r>
        <w:rPr>
          <w:noProof/>
        </w:rPr>
        <w:t>км/ч. за по-дълги разстояния;</w:t>
      </w:r>
    </w:p>
    <w:p>
      <w:pPr>
        <w:pStyle w:val="Point0"/>
        <w:rPr>
          <w:noProof/>
        </w:rPr>
      </w:pPr>
      <w:r>
        <w:rPr>
          <w:noProof/>
        </w:rPr>
        <w:t>9)</w:t>
      </w:r>
      <w:r>
        <w:rPr>
          <w:noProof/>
        </w:rPr>
        <w:tab/>
        <w:t xml:space="preserve">„трамвай“ означава пътническо превозно средство, </w:t>
      </w:r>
      <w:r>
        <w:rPr>
          <w:noProof/>
        </w:rPr>
        <w:fldChar w:fldCharType="begin"/>
      </w:r>
      <w:r>
        <w:rPr>
          <w:noProof/>
        </w:rPr>
        <w:instrText xml:space="preserve"> QUOTE "</w:instrText>
      </w:r>
      <w:r>
        <w:rPr>
          <w:rStyle w:val="CRMarker"/>
          <w:noProof/>
        </w:rPr>
        <w:instrText>Ö</w:instrText>
      </w:r>
      <w:r>
        <w:rPr>
          <w:noProof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</w:rPr>
        <w:t>Ö</w:t>
      </w:r>
      <w:r>
        <w:rPr>
          <w:noProof/>
        </w:rPr>
        <w:fldChar w:fldCharType="end"/>
      </w:r>
      <w:r>
        <w:rPr>
          <w:noProof/>
        </w:rPr>
        <w:t> предвидено за </w:t>
      </w:r>
      <w:r>
        <w:rPr>
          <w:noProof/>
        </w:rPr>
        <w:fldChar w:fldCharType="begin"/>
      </w:r>
      <w:r>
        <w:rPr>
          <w:noProof/>
        </w:rPr>
        <w:instrText xml:space="preserve"> QUOTE "</w:instrText>
      </w:r>
      <w:r>
        <w:rPr>
          <w:rStyle w:val="CRMarker"/>
          <w:noProof/>
        </w:rPr>
        <w:instrText>Õ</w:instrText>
      </w:r>
      <w:r>
        <w:rPr>
          <w:noProof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</w:rPr>
        <w:t>Õ</w:t>
      </w:r>
      <w:r>
        <w:rPr>
          <w:noProof/>
        </w:rPr>
        <w:fldChar w:fldCharType="end"/>
      </w:r>
      <w:r>
        <w:rPr>
          <w:noProof/>
        </w:rPr>
        <w:t xml:space="preserve"> повече от 9 лица (включително водача), свързано с електрическо задвижване или задвижвано с дизелов двигател по релсов път;</w:t>
      </w:r>
    </w:p>
    <w:p>
      <w:pPr>
        <w:pStyle w:val="Point0"/>
        <w:rPr>
          <w:noProof/>
        </w:rPr>
      </w:pPr>
      <w:r>
        <w:rPr>
          <w:noProof/>
        </w:rPr>
        <w:t>10)</w:t>
      </w:r>
      <w:r>
        <w:rPr>
          <w:noProof/>
        </w:rPr>
        <w:tab/>
        <w:t>„полуметро“ означава релсов път за транспорт на пътници, който използва често електрически вагони, движещи се поединично на фиксирани двурелсови железопътни линии. Обикновено има 1</w:t>
      </w:r>
      <w:r>
        <w:rPr>
          <w:noProof/>
          <w:lang w:val="en-GB"/>
        </w:rPr>
        <w:t> </w:t>
      </w:r>
      <w:r>
        <w:rPr>
          <w:noProof/>
        </w:rPr>
        <w:t>200</w:t>
      </w:r>
      <w:r>
        <w:rPr>
          <w:noProof/>
          <w:lang w:val="en-GB"/>
        </w:rPr>
        <w:t> </w:t>
      </w:r>
      <w:r>
        <w:rPr>
          <w:noProof/>
        </w:rPr>
        <w:t>м разстояние между гарите/спирките. В сравнение с метрото, полуметрото е по-леко конструирано, предназначено е за по-малки обеми пътници и обикновено пътува с по-ниска скорост. Понякога трудно се различава точно полуметро от трамвай; трамваите обикновено не са отделени от пътния транспорт, докато полуметрото може да бъде отделно от другите системи;</w:t>
      </w:r>
    </w:p>
    <w:p>
      <w:pPr>
        <w:pStyle w:val="Point0"/>
        <w:rPr>
          <w:noProof/>
        </w:rPr>
      </w:pPr>
      <w:r>
        <w:rPr>
          <w:noProof/>
        </w:rPr>
        <w:t>11)</w:t>
      </w:r>
      <w:r>
        <w:rPr>
          <w:noProof/>
        </w:rPr>
        <w:tab/>
        <w:t>„национален транспорт“ означава релсов транспорт между две места (място на товарене/качване и място на разтоварване/слизане), разположени в докладващата страна. Може да включва транзит през втора страна;</w:t>
      </w:r>
    </w:p>
    <w:p>
      <w:pPr>
        <w:pStyle w:val="Point0"/>
        <w:rPr>
          <w:noProof/>
        </w:rPr>
      </w:pPr>
      <w:r>
        <w:rPr>
          <w:noProof/>
        </w:rPr>
        <w:t>12)</w:t>
      </w:r>
      <w:r>
        <w:rPr>
          <w:noProof/>
        </w:rPr>
        <w:tab/>
        <w:t>„международен транспорт“ означава релсов транспорт между място (товарене, качване или разтоварване/слизане) в докладващата страна и място (товарене, качване или разтоварване/слизане) в друга страна;</w:t>
      </w:r>
    </w:p>
    <w:p>
      <w:pPr>
        <w:pStyle w:val="Point0"/>
        <w:rPr>
          <w:noProof/>
        </w:rPr>
      </w:pPr>
      <w:r>
        <w:rPr>
          <w:noProof/>
        </w:rPr>
        <w:t>13)</w:t>
      </w:r>
      <w:r>
        <w:rPr>
          <w:noProof/>
        </w:rPr>
        <w:tab/>
        <w:t>„транзит“ означава релсов транспорт през докладващата страна между две места (товарене, качване или разтоварване/слизане) извън докладващата страна. Транспортни операции, включващи товарене/качване или разтоварване/слизане на товари/пътници на границата на докладващата страна от/на друг вид транспорт, не се счита за транзит;</w:t>
      </w:r>
    </w:p>
    <w:p>
      <w:pPr>
        <w:pStyle w:val="Point0"/>
        <w:rPr>
          <w:noProof/>
        </w:rPr>
      </w:pPr>
      <w:r>
        <w:rPr>
          <w:noProof/>
        </w:rPr>
        <w:t>14)</w:t>
      </w:r>
      <w:r>
        <w:rPr>
          <w:noProof/>
        </w:rPr>
        <w:tab/>
        <w:t>„пътник, използващ железопътен транспорт“ означава всяко лице, с изключение на персонала на влака, което пътува с железопътно превозно средство. За статистиката на инциденти, пътници, опитващи се да се качат/слязат на/от движещ се влак, се изключват;</w:t>
      </w:r>
    </w:p>
    <w:p>
      <w:pPr>
        <w:pStyle w:val="Point0"/>
        <w:rPr>
          <w:noProof/>
        </w:rPr>
      </w:pPr>
      <w:r>
        <w:rPr>
          <w:noProof/>
        </w:rPr>
        <w:t>15)</w:t>
      </w:r>
      <w:r>
        <w:rPr>
          <w:noProof/>
        </w:rPr>
        <w:tab/>
        <w:t>„брой пътници“ означава броят пътувания на железопътни пътници, като всяко пътуване се дефинира като движение от мястото на качване до мястото на слизане, с или без прекачване от едно железопътно превозно средство на друго. Ако пътникът използва услугите на повече от едно превозно средство, ако е възможно, те не следва да се броят повече от веднъж;</w:t>
      </w:r>
    </w:p>
    <w:p>
      <w:pPr>
        <w:pStyle w:val="Point0"/>
        <w:rPr>
          <w:noProof/>
        </w:rPr>
      </w:pPr>
      <w:r>
        <w:rPr>
          <w:noProof/>
        </w:rPr>
        <w:t>16)</w:t>
      </w:r>
      <w:r>
        <w:rPr>
          <w:noProof/>
        </w:rPr>
        <w:tab/>
        <w:t>„пътник/км“ означава единица мярка за транспорта на един пътник, използващ железопътен транспорт за разстояние от 1</w:t>
      </w:r>
      <w:r>
        <w:rPr>
          <w:noProof/>
          <w:lang w:val="en-GB"/>
        </w:rPr>
        <w:t> </w:t>
      </w:r>
      <w:r>
        <w:rPr>
          <w:noProof/>
        </w:rPr>
        <w:t>км. Само разстоянието на националната територия на докладващата страна се отчита;</w:t>
      </w:r>
    </w:p>
    <w:p>
      <w:pPr>
        <w:pStyle w:val="Point0"/>
        <w:rPr>
          <w:noProof/>
        </w:rPr>
      </w:pPr>
      <w:r>
        <w:rPr>
          <w:noProof/>
        </w:rPr>
        <w:t>17)</w:t>
      </w:r>
      <w:r>
        <w:rPr>
          <w:noProof/>
        </w:rPr>
        <w:tab/>
        <w:t>„тежест“ означава количеството товари в тонове (1</w:t>
      </w:r>
      <w:r>
        <w:rPr>
          <w:noProof/>
          <w:lang w:val="en-GB"/>
        </w:rPr>
        <w:t> </w:t>
      </w:r>
      <w:r>
        <w:rPr>
          <w:noProof/>
        </w:rPr>
        <w:t>000 кг). Тежестта включва в допълнение на тежестта на транспортирани товари, тежестта на пакетите и тежестта на контейнерите, сменените обекти, палетите, както и транспортните средства, транспортирани по релси по комбиниран транспорт. Ако товарите са транспортирани чрез повече от едно железопътно средство, ако е възможно, тежестта на товарите не се брои повече от веднъж;</w:t>
      </w:r>
    </w:p>
    <w:p>
      <w:pPr>
        <w:pStyle w:val="Point0"/>
        <w:rPr>
          <w:noProof/>
        </w:rPr>
      </w:pPr>
      <w:r>
        <w:rPr>
          <w:noProof/>
        </w:rPr>
        <w:t>18)</w:t>
      </w:r>
      <w:r>
        <w:rPr>
          <w:noProof/>
        </w:rPr>
        <w:tab/>
        <w:t>„т/км“ означава единица мярка за транспорт на товари, която представлява транспорт на 1 тон (1</w:t>
      </w:r>
      <w:r>
        <w:rPr>
          <w:noProof/>
          <w:lang w:val="en-GB"/>
        </w:rPr>
        <w:t> </w:t>
      </w:r>
      <w:r>
        <w:rPr>
          <w:noProof/>
        </w:rPr>
        <w:t>000 кг) товари по релсов път на разстояние 1 км. Само разстоянието на националната територия на докладващата страна се отчита;</w:t>
      </w:r>
    </w:p>
    <w:p>
      <w:pPr>
        <w:pStyle w:val="Point0"/>
        <w:rPr>
          <w:noProof/>
        </w:rPr>
      </w:pPr>
      <w:r>
        <w:rPr>
          <w:noProof/>
        </w:rPr>
        <w:t>19)</w:t>
      </w:r>
      <w:r>
        <w:rPr>
          <w:noProof/>
        </w:rPr>
        <w:tab/>
        <w:t xml:space="preserve">„влак“ означава едно или повече железопътни средства, теглени от един или повече локомотиви или вагони, или един вагон, пътуващ самостоятелно, движещ се под даден номер и по дадена дестинация от начална фиксирана точка до крайна фиксирана точка. Изолирана машина, </w:t>
      </w:r>
      <w:r>
        <w:rPr>
          <w:noProof/>
        </w:rPr>
        <w:fldChar w:fldCharType="begin"/>
      </w:r>
      <w:r>
        <w:rPr>
          <w:noProof/>
        </w:rPr>
        <w:instrText xml:space="preserve"> QUOTE "</w:instrText>
      </w:r>
      <w:r>
        <w:rPr>
          <w:rStyle w:val="CRMarker"/>
          <w:noProof/>
        </w:rPr>
        <w:instrText>Ö</w:instrText>
      </w:r>
      <w:r>
        <w:rPr>
          <w:noProof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</w:rPr>
        <w:t>Ö</w:t>
      </w:r>
      <w:r>
        <w:rPr>
          <w:noProof/>
        </w:rPr>
        <w:fldChar w:fldCharType="end"/>
      </w:r>
      <w:r>
        <w:rPr>
          <w:noProof/>
        </w:rPr>
        <w:t> и по-специално </w:t>
      </w:r>
      <w:r>
        <w:rPr>
          <w:noProof/>
        </w:rPr>
        <w:fldChar w:fldCharType="begin"/>
      </w:r>
      <w:r>
        <w:rPr>
          <w:noProof/>
        </w:rPr>
        <w:instrText xml:space="preserve"> QUOTE "</w:instrText>
      </w:r>
      <w:r>
        <w:rPr>
          <w:rStyle w:val="CRMarker"/>
          <w:noProof/>
        </w:rPr>
        <w:instrText>Õ</w:instrText>
      </w:r>
      <w:r>
        <w:rPr>
          <w:noProof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</w:rPr>
        <w:t>Õ</w:t>
      </w:r>
      <w:r>
        <w:rPr>
          <w:noProof/>
        </w:rPr>
        <w:fldChar w:fldCharType="end"/>
      </w:r>
      <w:r>
        <w:rPr>
          <w:noProof/>
        </w:rPr>
        <w:t xml:space="preserve"> локомотив, пътуващ сам, не се смята за влак;</w:t>
      </w:r>
    </w:p>
    <w:p>
      <w:pPr>
        <w:pStyle w:val="Point0"/>
        <w:rPr>
          <w:noProof/>
        </w:rPr>
      </w:pPr>
      <w:r>
        <w:rPr>
          <w:noProof/>
        </w:rPr>
        <w:t>20)</w:t>
      </w:r>
      <w:r>
        <w:rPr>
          <w:noProof/>
        </w:rPr>
        <w:tab/>
        <w:t>„влак/км“ означава единица мярка, представляваща движение на влак на 1 км. Използваното разстояние е фактически изминатото разстояние, като иначе се използва стандартната мрежа между началото и дестинацията. Само разстоянието на националната територия на докладващата страна се отчита;</w:t>
      </w:r>
    </w:p>
    <w:p>
      <w:pPr>
        <w:pStyle w:val="Point0"/>
        <w:rPr>
          <w:noProof/>
        </w:rPr>
      </w:pPr>
      <w:r>
        <w:rPr>
          <w:noProof/>
        </w:rPr>
        <w:t>21)</w:t>
      </w:r>
      <w:r>
        <w:rPr>
          <w:noProof/>
        </w:rPr>
        <w:tab/>
        <w:t>„пълен влаков товар“ означава всяка пратка, съставляваща един или повече вагона товар, транспортирана по същото време от същия изпращач на същата гара и изпратена без промяна във влаковата композиция, на адреса на същия получател на същата гара на пристигане;</w:t>
      </w:r>
    </w:p>
    <w:p>
      <w:pPr>
        <w:pStyle w:val="Point0"/>
        <w:rPr>
          <w:noProof/>
        </w:rPr>
      </w:pPr>
      <w:r>
        <w:rPr>
          <w:noProof/>
        </w:rPr>
        <w:t>22)</w:t>
      </w:r>
      <w:r>
        <w:rPr>
          <w:noProof/>
        </w:rPr>
        <w:tab/>
        <w:t>„пълен вагонен товар“ означава всяка пратка товари, за която се изисква изключително товарене на вагон, независимо дали се използва целия капацитет на вагона или не;</w:t>
      </w:r>
    </w:p>
    <w:p>
      <w:pPr>
        <w:pStyle w:val="Point0"/>
        <w:rPr>
          <w:noProof/>
        </w:rPr>
      </w:pPr>
      <w:r>
        <w:rPr>
          <w:noProof/>
        </w:rPr>
        <w:t>23)</w:t>
      </w:r>
      <w:r>
        <w:rPr>
          <w:noProof/>
        </w:rPr>
        <w:tab/>
        <w:t>„единица — 20-футов еквивалент (TEU)“ означава стандартна единица въз</w:t>
      </w:r>
      <w:r>
        <w:rPr>
          <w:noProof/>
          <w:lang w:val="en-GB"/>
        </w:rPr>
        <w:t> </w:t>
      </w:r>
      <w:r>
        <w:rPr>
          <w:noProof/>
        </w:rPr>
        <w:t>основа на ISO контейнер с дължина 20 фута (6,10 м), използван за</w:t>
      </w:r>
      <w:r>
        <w:rPr>
          <w:noProof/>
          <w:lang w:val="en-GB"/>
        </w:rPr>
        <w:t> </w:t>
      </w:r>
      <w:r>
        <w:rPr>
          <w:noProof/>
        </w:rPr>
        <w:t>статистическа мярка на трафик поток или капацитети. Един стандартен 40</w:t>
      </w:r>
      <w:r>
        <w:rPr>
          <w:noProof/>
        </w:rPr>
        <w:noBreakHyphen/>
        <w:t>футов ISO серии 1 контейнер се равнява на 2 TEU. Контейнери под 20 фута съответстват на 0,75 TEU, между 20 фута и 40 фута на 1,5 TEU и над 40 фута — на 2,25 TEU.</w:t>
      </w:r>
    </w:p>
    <w:p>
      <w:pPr>
        <w:pStyle w:val="CRSeparator"/>
        <w:rPr>
          <w:noProof/>
          <w:lang w:val="bg-BG"/>
        </w:rPr>
      </w:pPr>
    </w:p>
    <w:p>
      <w:pPr>
        <w:pStyle w:val="CRReference"/>
        <w:rPr>
          <w:noProof/>
          <w:lang w:val="bg-BG"/>
        </w:rPr>
      </w:pPr>
      <w:r>
        <w:rPr>
          <w:noProof/>
        </w:rPr>
        <w:fldChar w:fldCharType="begin"/>
      </w:r>
      <w:r>
        <w:rPr>
          <w:noProof/>
          <w:lang w:val="bg-BG"/>
        </w:rPr>
        <w:instrText xml:space="preserve"> </w:instrText>
      </w:r>
      <w:r>
        <w:rPr>
          <w:noProof/>
        </w:rPr>
        <w:instrText>QUOTE</w:instrText>
      </w:r>
      <w:r>
        <w:rPr>
          <w:noProof/>
          <w:lang w:val="bg-BG"/>
        </w:rPr>
        <w:instrText xml:space="preserve"> "</w:instrText>
      </w:r>
      <w:r>
        <w:rPr>
          <w:rStyle w:val="CRMarker"/>
          <w:noProof/>
          <w:lang w:val="bg-BG"/>
        </w:rPr>
        <w:instrText>ê</w:instrText>
      </w:r>
      <w:r>
        <w:rPr>
          <w:noProof/>
          <w:lang w:val="bg-BG"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  <w:lang w:val="bg-BG"/>
        </w:rPr>
        <w:t>ê</w:t>
      </w:r>
      <w:r>
        <w:rPr>
          <w:noProof/>
        </w:rPr>
        <w:fldChar w:fldCharType="end"/>
      </w:r>
      <w:r>
        <w:rPr>
          <w:noProof/>
        </w:rPr>
        <w:t> </w:t>
      </w:r>
      <w:r>
        <w:rPr>
          <w:noProof/>
          <w:lang w:val="bg-BG"/>
        </w:rPr>
        <w:t>2016/2032, член 1, точка 1, б.</w:t>
      </w:r>
      <w:r>
        <w:rPr>
          <w:noProof/>
          <w:lang w:val="en-GB"/>
        </w:rPr>
        <w:t> </w:t>
      </w:r>
      <w:r>
        <w:rPr>
          <w:noProof/>
          <w:lang w:val="bg-BG"/>
        </w:rPr>
        <w:t>„б“</w:t>
      </w:r>
    </w:p>
    <w:p>
      <w:pPr>
        <w:rPr>
          <w:noProof/>
        </w:rPr>
      </w:pPr>
      <w:r>
        <w:rPr>
          <w:noProof/>
        </w:rPr>
        <w:t>2. На Комисията се предоставя правомощието да приема делегирани актове в съответствие с член 10 във връзка с изменението на настоящия член за адаптиране на техническите определения в параграф 1, точки 8, 9, 10, 21, 22 и 23, и с въвеждането на допълнителни технически определения, когато това е необходимо, за да се вземат предвид новите тенденции, които изискват определено ниво на технически подробности с оглед на хармонизирането на статистическите данни.</w:t>
      </w:r>
    </w:p>
    <w:p>
      <w:pPr>
        <w:rPr>
          <w:noProof/>
        </w:rPr>
      </w:pPr>
      <w:r>
        <w:rPr>
          <w:noProof/>
        </w:rPr>
        <w:t>При упражняването на посоченото правомощие Комисията гарантира, че делегираните актове не водят до значителна допълнителна тежест за държавите членки или респондентите. Освен това Комисията надлежно обосновава статистическите действия, предвидени в тези делегирани актове, като използва, ако е необходимо, анализ на разходната ефективност, включително оценка на тежестта за респондентите и на разходите за изготвяне, както е посочено в член 14, параграф 3, буква в) от Регламент (ЕО) № 223/2009.</w:t>
      </w:r>
    </w:p>
    <w:p>
      <w:pPr>
        <w:pStyle w:val="CRSeparator"/>
        <w:rPr>
          <w:noProof/>
          <w:lang w:val="bg-BG"/>
        </w:rPr>
      </w:pPr>
    </w:p>
    <w:p>
      <w:pPr>
        <w:pStyle w:val="CRReference"/>
        <w:rPr>
          <w:noProof/>
          <w:lang w:val="bg-BG"/>
        </w:rPr>
      </w:pPr>
      <w:r>
        <w:rPr>
          <w:noProof/>
        </w:rPr>
        <w:fldChar w:fldCharType="begin"/>
      </w:r>
      <w:r>
        <w:rPr>
          <w:noProof/>
          <w:lang w:val="bg-BG"/>
        </w:rPr>
        <w:instrText xml:space="preserve"> </w:instrText>
      </w:r>
      <w:r>
        <w:rPr>
          <w:noProof/>
        </w:rPr>
        <w:instrText>QUOTE</w:instrText>
      </w:r>
      <w:r>
        <w:rPr>
          <w:noProof/>
          <w:lang w:val="bg-BG"/>
        </w:rPr>
        <w:instrText xml:space="preserve"> "</w:instrText>
      </w:r>
      <w:r>
        <w:rPr>
          <w:rStyle w:val="CRMarker"/>
          <w:noProof/>
          <w:lang w:val="bg-BG"/>
        </w:rPr>
        <w:instrText>ê</w:instrText>
      </w:r>
      <w:r>
        <w:rPr>
          <w:noProof/>
          <w:lang w:val="bg-BG"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  <w:lang w:val="bg-BG"/>
        </w:rPr>
        <w:t>ê</w:t>
      </w:r>
      <w:r>
        <w:rPr>
          <w:noProof/>
        </w:rPr>
        <w:fldChar w:fldCharType="end"/>
      </w:r>
      <w:r>
        <w:rPr>
          <w:noProof/>
        </w:rPr>
        <w:t> </w:t>
      </w:r>
      <w:r>
        <w:rPr>
          <w:noProof/>
          <w:lang w:val="bg-BG"/>
        </w:rPr>
        <w:t>91/2003</w:t>
      </w:r>
    </w:p>
    <w:p>
      <w:pPr>
        <w:pStyle w:val="Titrearticle"/>
        <w:rPr>
          <w:noProof/>
        </w:rPr>
      </w:pPr>
      <w:r>
        <w:rPr>
          <w:noProof/>
        </w:rPr>
        <w:t>Член 4</w:t>
      </w:r>
    </w:p>
    <w:p>
      <w:pPr>
        <w:pStyle w:val="NormalCentered"/>
        <w:rPr>
          <w:b/>
          <w:bCs/>
          <w:noProof/>
        </w:rPr>
      </w:pPr>
      <w:r>
        <w:rPr>
          <w:b/>
          <w:bCs/>
          <w:noProof/>
        </w:rPr>
        <w:t>Събиране на данни</w:t>
      </w:r>
    </w:p>
    <w:p>
      <w:pPr>
        <w:rPr>
          <w:noProof/>
        </w:rPr>
      </w:pPr>
      <w:r>
        <w:rPr>
          <w:noProof/>
        </w:rPr>
        <w:t>1. Статистическите данни, които трябва да се събират, са определени в приложенията към настоящия регламент. Те обхващат следните видове данни:</w:t>
      </w:r>
    </w:p>
    <w:p>
      <w:pPr>
        <w:pStyle w:val="Point0"/>
        <w:rPr>
          <w:noProof/>
        </w:rPr>
      </w:pPr>
      <w:r>
        <w:rPr>
          <w:noProof/>
        </w:rPr>
        <w:t>а)</w:t>
      </w:r>
      <w:r>
        <w:rPr>
          <w:noProof/>
        </w:rPr>
        <w:tab/>
        <w:t>годишни статистически данни за превоз на товари — подробен доклад (приложение I);</w:t>
      </w:r>
    </w:p>
    <w:p>
      <w:pPr>
        <w:pStyle w:val="Point0"/>
        <w:rPr>
          <w:noProof/>
        </w:rPr>
      </w:pPr>
      <w:r>
        <w:rPr>
          <w:noProof/>
        </w:rPr>
        <w:t>б)</w:t>
      </w:r>
      <w:r>
        <w:rPr>
          <w:noProof/>
        </w:rPr>
        <w:tab/>
        <w:t>годишни статистически данни за превоз на пътници — подробен доклад (приложение II);</w:t>
      </w:r>
    </w:p>
    <w:p>
      <w:pPr>
        <w:pStyle w:val="Point0"/>
        <w:rPr>
          <w:noProof/>
        </w:rPr>
      </w:pPr>
      <w:r>
        <w:rPr>
          <w:noProof/>
        </w:rPr>
        <w:t>в)</w:t>
      </w:r>
      <w:r>
        <w:rPr>
          <w:noProof/>
        </w:rPr>
        <w:tab/>
        <w:t>тримесечни статистически данни за превоз на товари и пътници (приложение</w:t>
      </w:r>
      <w:r>
        <w:rPr>
          <w:noProof/>
          <w:lang w:val="en-GB"/>
        </w:rPr>
        <w:t> </w:t>
      </w:r>
      <w:r>
        <w:rPr>
          <w:noProof/>
          <w:lang w:val="fr-FR"/>
        </w:rPr>
        <w:t>III</w:t>
      </w:r>
      <w:r>
        <w:rPr>
          <w:noProof/>
        </w:rPr>
        <w:t>);</w:t>
      </w:r>
    </w:p>
    <w:p>
      <w:pPr>
        <w:pStyle w:val="Point0"/>
        <w:rPr>
          <w:noProof/>
        </w:rPr>
      </w:pPr>
      <w:r>
        <w:rPr>
          <w:noProof/>
        </w:rPr>
        <w:t>г)</w:t>
      </w:r>
      <w:r>
        <w:rPr>
          <w:noProof/>
        </w:rPr>
        <w:tab/>
        <w:t>регионални статистически данни за превоз на товари и пътници (приложение</w:t>
      </w:r>
      <w:r>
        <w:rPr>
          <w:noProof/>
          <w:lang w:val="en-GB"/>
        </w:rPr>
        <w:t> </w:t>
      </w:r>
      <w:r>
        <w:rPr>
          <w:noProof/>
        </w:rPr>
        <w:t>IV);</w:t>
      </w:r>
    </w:p>
    <w:p>
      <w:pPr>
        <w:pStyle w:val="Point0"/>
        <w:rPr>
          <w:noProof/>
        </w:rPr>
      </w:pPr>
      <w:r>
        <w:rPr>
          <w:noProof/>
        </w:rPr>
        <w:t>д)</w:t>
      </w:r>
      <w:r>
        <w:rPr>
          <w:noProof/>
        </w:rPr>
        <w:tab/>
        <w:t>статистически данни за потоците трафик по железопътната мрежа (приложение</w:t>
      </w:r>
      <w:r>
        <w:rPr>
          <w:noProof/>
          <w:lang w:val="en-GB"/>
        </w:rPr>
        <w:t> </w:t>
      </w:r>
      <w:r>
        <w:rPr>
          <w:noProof/>
        </w:rPr>
        <w:t>V).</w:t>
      </w:r>
    </w:p>
    <w:p>
      <w:pPr>
        <w:pStyle w:val="CRSeparator"/>
        <w:rPr>
          <w:noProof/>
          <w:lang w:val="bg-BG"/>
        </w:rPr>
      </w:pPr>
    </w:p>
    <w:p>
      <w:pPr>
        <w:pStyle w:val="CRReference"/>
        <w:rPr>
          <w:noProof/>
          <w:lang w:val="bg-BG"/>
        </w:rPr>
      </w:pPr>
      <w:r>
        <w:rPr>
          <w:noProof/>
        </w:rPr>
        <w:fldChar w:fldCharType="begin"/>
      </w:r>
      <w:r>
        <w:rPr>
          <w:noProof/>
          <w:lang w:val="bg-BG"/>
        </w:rPr>
        <w:instrText xml:space="preserve"> </w:instrText>
      </w:r>
      <w:r>
        <w:rPr>
          <w:noProof/>
        </w:rPr>
        <w:instrText>QUOTE</w:instrText>
      </w:r>
      <w:r>
        <w:rPr>
          <w:noProof/>
          <w:lang w:val="bg-BG"/>
        </w:rPr>
        <w:instrText xml:space="preserve"> "</w:instrText>
      </w:r>
      <w:r>
        <w:rPr>
          <w:rStyle w:val="CRMarker"/>
          <w:noProof/>
          <w:lang w:val="bg-BG"/>
        </w:rPr>
        <w:instrText>ê</w:instrText>
      </w:r>
      <w:r>
        <w:rPr>
          <w:noProof/>
          <w:lang w:val="bg-BG"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  <w:lang w:val="bg-BG"/>
        </w:rPr>
        <w:t>ê</w:t>
      </w:r>
      <w:r>
        <w:rPr>
          <w:noProof/>
        </w:rPr>
        <w:fldChar w:fldCharType="end"/>
      </w:r>
      <w:r>
        <w:rPr>
          <w:noProof/>
        </w:rPr>
        <w:t> </w:t>
      </w:r>
      <w:r>
        <w:rPr>
          <w:noProof/>
          <w:lang w:val="bg-BG"/>
        </w:rPr>
        <w:t>2016/2032, член 1, точка 2, б.</w:t>
      </w:r>
      <w:r>
        <w:rPr>
          <w:noProof/>
          <w:lang w:val="en-GB"/>
        </w:rPr>
        <w:t> </w:t>
      </w:r>
      <w:r>
        <w:rPr>
          <w:noProof/>
          <w:lang w:val="bg-BG"/>
        </w:rPr>
        <w:t>„б“</w:t>
      </w:r>
    </w:p>
    <w:p>
      <w:pPr>
        <w:rPr>
          <w:noProof/>
        </w:rPr>
      </w:pPr>
      <w:r>
        <w:rPr>
          <w:noProof/>
        </w:rPr>
        <w:t>2.</w:t>
      </w:r>
      <w:r>
        <w:rPr>
          <w:noProof/>
          <w:lang w:val="en-GB"/>
        </w:rPr>
        <w:t> </w:t>
      </w:r>
      <w:r>
        <w:rPr>
          <w:noProof/>
        </w:rPr>
        <w:t>Държавите членки докладват съгласно приложения I и II данни за предприятия, които са:</w:t>
      </w:r>
    </w:p>
    <w:p>
      <w:pPr>
        <w:pStyle w:val="Point0"/>
        <w:rPr>
          <w:noProof/>
        </w:rPr>
      </w:pPr>
      <w:r>
        <w:rPr>
          <w:noProof/>
        </w:rPr>
        <w:t>a)</w:t>
      </w:r>
      <w:r>
        <w:rPr>
          <w:noProof/>
        </w:rPr>
        <w:tab/>
        <w:t>с общ обем на превозите на товари от най-малко 200</w:t>
      </w:r>
      <w:r>
        <w:rPr>
          <w:noProof/>
          <w:lang w:val="en-GB"/>
        </w:rPr>
        <w:t> </w:t>
      </w:r>
      <w:r>
        <w:rPr>
          <w:noProof/>
        </w:rPr>
        <w:t>000</w:t>
      </w:r>
      <w:r>
        <w:rPr>
          <w:noProof/>
          <w:lang w:val="en-GB"/>
        </w:rPr>
        <w:t> </w:t>
      </w:r>
      <w:r>
        <w:rPr>
          <w:noProof/>
        </w:rPr>
        <w:t>000 т/км или поне 500</w:t>
      </w:r>
      <w:r>
        <w:rPr>
          <w:noProof/>
          <w:lang w:val="en-GB"/>
        </w:rPr>
        <w:t> </w:t>
      </w:r>
      <w:r>
        <w:rPr>
          <w:noProof/>
        </w:rPr>
        <w:t>000 т;</w:t>
      </w:r>
    </w:p>
    <w:p>
      <w:pPr>
        <w:pStyle w:val="Point0"/>
        <w:rPr>
          <w:noProof/>
        </w:rPr>
      </w:pPr>
      <w:r>
        <w:rPr>
          <w:noProof/>
        </w:rPr>
        <w:t>б)</w:t>
      </w:r>
      <w:r>
        <w:rPr>
          <w:noProof/>
        </w:rPr>
        <w:tab/>
        <w:t>с общ обем на превозите на пътници от най-малко 100</w:t>
      </w:r>
      <w:r>
        <w:rPr>
          <w:noProof/>
          <w:lang w:val="en-GB"/>
        </w:rPr>
        <w:t> </w:t>
      </w:r>
      <w:r>
        <w:rPr>
          <w:noProof/>
        </w:rPr>
        <w:t>000</w:t>
      </w:r>
      <w:r>
        <w:rPr>
          <w:noProof/>
          <w:lang w:val="en-GB"/>
        </w:rPr>
        <w:t> </w:t>
      </w:r>
      <w:r>
        <w:rPr>
          <w:noProof/>
        </w:rPr>
        <w:t>000 пътник-километра.</w:t>
      </w:r>
    </w:p>
    <w:p>
      <w:pPr>
        <w:rPr>
          <w:noProof/>
        </w:rPr>
      </w:pPr>
      <w:r>
        <w:rPr>
          <w:noProof/>
        </w:rPr>
        <w:t>Докладването съгласно приложения I и II не е задължително за предприятия, които са под праговете, посочени в букви а) и б).</w:t>
      </w:r>
    </w:p>
    <w:p>
      <w:pPr>
        <w:pStyle w:val="CRSeparator"/>
        <w:rPr>
          <w:noProof/>
          <w:lang w:val="bg-BG"/>
        </w:rPr>
      </w:pPr>
    </w:p>
    <w:p>
      <w:pPr>
        <w:pStyle w:val="CRReference"/>
        <w:rPr>
          <w:noProof/>
          <w:lang w:val="bg-BG"/>
        </w:rPr>
      </w:pPr>
      <w:r>
        <w:rPr>
          <w:noProof/>
        </w:rPr>
        <w:fldChar w:fldCharType="begin"/>
      </w:r>
      <w:r>
        <w:rPr>
          <w:noProof/>
          <w:lang w:val="bg-BG"/>
        </w:rPr>
        <w:instrText xml:space="preserve"> </w:instrText>
      </w:r>
      <w:r>
        <w:rPr>
          <w:noProof/>
        </w:rPr>
        <w:instrText>QUOTE</w:instrText>
      </w:r>
      <w:r>
        <w:rPr>
          <w:noProof/>
          <w:lang w:val="bg-BG"/>
        </w:rPr>
        <w:instrText xml:space="preserve"> "</w:instrText>
      </w:r>
      <w:r>
        <w:rPr>
          <w:rStyle w:val="CRMarker"/>
          <w:noProof/>
          <w:lang w:val="bg-BG"/>
        </w:rPr>
        <w:instrText>ê</w:instrText>
      </w:r>
      <w:r>
        <w:rPr>
          <w:noProof/>
          <w:lang w:val="bg-BG"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  <w:lang w:val="bg-BG"/>
        </w:rPr>
        <w:t>ê</w:t>
      </w:r>
      <w:r>
        <w:rPr>
          <w:noProof/>
        </w:rPr>
        <w:fldChar w:fldCharType="end"/>
      </w:r>
      <w:r>
        <w:rPr>
          <w:noProof/>
        </w:rPr>
        <w:t> </w:t>
      </w:r>
      <w:r>
        <w:rPr>
          <w:noProof/>
          <w:lang w:val="bg-BG"/>
        </w:rPr>
        <w:t>2016/2032, член 1, точка 2, б.</w:t>
      </w:r>
      <w:r>
        <w:rPr>
          <w:noProof/>
          <w:lang w:val="en-GB"/>
        </w:rPr>
        <w:t> </w:t>
      </w:r>
      <w:r>
        <w:rPr>
          <w:noProof/>
          <w:lang w:val="bg-BG"/>
        </w:rPr>
        <w:t>„в“</w:t>
      </w:r>
    </w:p>
    <w:p>
      <w:pPr>
        <w:rPr>
          <w:noProof/>
        </w:rPr>
      </w:pPr>
      <w:r>
        <w:rPr>
          <w:noProof/>
        </w:rPr>
        <w:t>3.</w:t>
      </w:r>
      <w:r>
        <w:rPr>
          <w:noProof/>
          <w:lang w:val="en-GB"/>
        </w:rPr>
        <w:t> </w:t>
      </w:r>
      <w:r>
        <w:rPr>
          <w:noProof/>
        </w:rPr>
        <w:t>Държавите членки докладват съгласно приложение VIII всички данни за предприятия, които са под праговете, посочени в параграф 2, ако посочените данни не се докладват в приложения I и II, съгласно предвиденото в приложение VIII.</w:t>
      </w:r>
    </w:p>
    <w:p>
      <w:pPr>
        <w:pStyle w:val="CRSeparator"/>
        <w:rPr>
          <w:noProof/>
          <w:lang w:val="bg-BG"/>
        </w:rPr>
      </w:pPr>
    </w:p>
    <w:p>
      <w:pPr>
        <w:pStyle w:val="CRReference"/>
        <w:rPr>
          <w:noProof/>
          <w:lang w:val="bg-BG"/>
        </w:rPr>
      </w:pPr>
      <w:r>
        <w:rPr>
          <w:noProof/>
        </w:rPr>
        <w:fldChar w:fldCharType="begin"/>
      </w:r>
      <w:r>
        <w:rPr>
          <w:noProof/>
          <w:lang w:val="bg-BG"/>
        </w:rPr>
        <w:instrText xml:space="preserve"> </w:instrText>
      </w:r>
      <w:r>
        <w:rPr>
          <w:noProof/>
        </w:rPr>
        <w:instrText>QUOTE</w:instrText>
      </w:r>
      <w:r>
        <w:rPr>
          <w:noProof/>
          <w:lang w:val="bg-BG"/>
        </w:rPr>
        <w:instrText xml:space="preserve"> "</w:instrText>
      </w:r>
      <w:r>
        <w:rPr>
          <w:rStyle w:val="CRMarker"/>
          <w:noProof/>
          <w:lang w:val="bg-BG"/>
        </w:rPr>
        <w:instrText>ê</w:instrText>
      </w:r>
      <w:r>
        <w:rPr>
          <w:noProof/>
          <w:lang w:val="bg-BG"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  <w:lang w:val="bg-BG"/>
        </w:rPr>
        <w:t>ê</w:t>
      </w:r>
      <w:r>
        <w:rPr>
          <w:noProof/>
        </w:rPr>
        <w:fldChar w:fldCharType="end"/>
      </w:r>
      <w:r>
        <w:rPr>
          <w:noProof/>
        </w:rPr>
        <w:t> </w:t>
      </w:r>
      <w:r>
        <w:rPr>
          <w:noProof/>
          <w:lang w:val="bg-BG"/>
        </w:rPr>
        <w:t>91/2003</w:t>
      </w:r>
    </w:p>
    <w:p>
      <w:pPr>
        <w:rPr>
          <w:noProof/>
        </w:rPr>
      </w:pPr>
      <w:r>
        <w:rPr>
          <w:noProof/>
        </w:rPr>
        <w:t>4.</w:t>
      </w:r>
      <w:r>
        <w:rPr>
          <w:noProof/>
          <w:lang w:val="en-GB"/>
        </w:rPr>
        <w:t> </w:t>
      </w:r>
      <w:r>
        <w:rPr>
          <w:noProof/>
        </w:rPr>
        <w:t>За целите на настоящия регламент, товарите се класифицират в съответствие с приложение VI. Опасните товари допълнително се класифицират в съответствие с приложение VII.</w:t>
      </w:r>
    </w:p>
    <w:p>
      <w:pPr>
        <w:pStyle w:val="CRSeparator"/>
        <w:rPr>
          <w:noProof/>
          <w:lang w:val="bg-BG"/>
        </w:rPr>
      </w:pPr>
    </w:p>
    <w:p>
      <w:pPr>
        <w:pStyle w:val="CRReference"/>
        <w:rPr>
          <w:noProof/>
          <w:lang w:val="bg-BG"/>
        </w:rPr>
      </w:pPr>
      <w:r>
        <w:rPr>
          <w:noProof/>
        </w:rPr>
        <w:fldChar w:fldCharType="begin"/>
      </w:r>
      <w:r>
        <w:rPr>
          <w:noProof/>
          <w:lang w:val="bg-BG"/>
        </w:rPr>
        <w:instrText xml:space="preserve"> </w:instrText>
      </w:r>
      <w:r>
        <w:rPr>
          <w:noProof/>
        </w:rPr>
        <w:instrText>QUOTE</w:instrText>
      </w:r>
      <w:r>
        <w:rPr>
          <w:noProof/>
          <w:lang w:val="bg-BG"/>
        </w:rPr>
        <w:instrText xml:space="preserve"> "</w:instrText>
      </w:r>
      <w:r>
        <w:rPr>
          <w:rStyle w:val="CRMarker"/>
          <w:noProof/>
          <w:lang w:val="bg-BG"/>
        </w:rPr>
        <w:instrText>ê</w:instrText>
      </w:r>
      <w:r>
        <w:rPr>
          <w:noProof/>
          <w:lang w:val="bg-BG"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  <w:lang w:val="bg-BG"/>
        </w:rPr>
        <w:t>ê</w:t>
      </w:r>
      <w:r>
        <w:rPr>
          <w:noProof/>
        </w:rPr>
        <w:fldChar w:fldCharType="end"/>
      </w:r>
      <w:r>
        <w:rPr>
          <w:noProof/>
        </w:rPr>
        <w:t> </w:t>
      </w:r>
      <w:r>
        <w:rPr>
          <w:noProof/>
          <w:lang w:val="bg-BG"/>
        </w:rPr>
        <w:t xml:space="preserve">219/2009, член 1 и Приложение 4, точка 4 </w:t>
      </w:r>
    </w:p>
    <w:p>
      <w:pPr>
        <w:rPr>
          <w:rStyle w:val="CRRefonteDeleted"/>
          <w:noProof/>
          <w:highlight w:val="lightGray"/>
        </w:rPr>
      </w:pPr>
      <w:r>
        <w:rPr>
          <w:rStyle w:val="CRRefonteDeleted"/>
          <w:noProof/>
          <w:highlight w:val="lightGray"/>
        </w:rPr>
        <w:t>5.</w:t>
      </w:r>
      <w:r>
        <w:rPr>
          <w:rStyle w:val="CRRefonteDeleted"/>
          <w:noProof/>
          <w:highlight w:val="lightGray"/>
        </w:rPr>
        <w:tab/>
        <w:t>Съдържанието на приложенията може да бъде адаптирано от Комисията. Тези мерки, предназначени да изменят несъществени елементи на настоящия регламент, се приемат в съответствие с процедурата по регулиране с контрол, посочена в член 11, параграф 3.</w:t>
      </w:r>
    </w:p>
    <w:p>
      <w:pPr>
        <w:pStyle w:val="CRSeparator"/>
        <w:rPr>
          <w:noProof/>
          <w:lang w:val="bg-BG"/>
        </w:rPr>
      </w:pPr>
    </w:p>
    <w:p>
      <w:pPr>
        <w:pStyle w:val="CRReference"/>
        <w:rPr>
          <w:noProof/>
          <w:lang w:val="bg-BG"/>
        </w:rPr>
      </w:pPr>
      <w:r>
        <w:rPr>
          <w:noProof/>
        </w:rPr>
        <w:fldChar w:fldCharType="begin"/>
      </w:r>
      <w:r>
        <w:rPr>
          <w:noProof/>
          <w:lang w:val="bg-BG"/>
        </w:rPr>
        <w:instrText xml:space="preserve"> </w:instrText>
      </w:r>
      <w:r>
        <w:rPr>
          <w:noProof/>
        </w:rPr>
        <w:instrText>QUOTE</w:instrText>
      </w:r>
      <w:r>
        <w:rPr>
          <w:noProof/>
          <w:lang w:val="bg-BG"/>
        </w:rPr>
        <w:instrText xml:space="preserve"> "</w:instrText>
      </w:r>
      <w:r>
        <w:rPr>
          <w:rStyle w:val="CRMarker"/>
          <w:noProof/>
          <w:lang w:val="bg-BG"/>
        </w:rPr>
        <w:instrText>ê</w:instrText>
      </w:r>
      <w:r>
        <w:rPr>
          <w:noProof/>
          <w:lang w:val="bg-BG"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  <w:lang w:val="bg-BG"/>
        </w:rPr>
        <w:t>ê</w:t>
      </w:r>
      <w:r>
        <w:rPr>
          <w:noProof/>
        </w:rPr>
        <w:fldChar w:fldCharType="end"/>
      </w:r>
      <w:r>
        <w:rPr>
          <w:noProof/>
        </w:rPr>
        <w:t> </w:t>
      </w:r>
      <w:r>
        <w:rPr>
          <w:noProof/>
          <w:lang w:val="bg-BG"/>
        </w:rPr>
        <w:t>91/2003</w:t>
      </w:r>
    </w:p>
    <w:p>
      <w:pPr>
        <w:pStyle w:val="Titrearticle"/>
        <w:rPr>
          <w:noProof/>
        </w:rPr>
      </w:pPr>
      <w:r>
        <w:rPr>
          <w:noProof/>
        </w:rPr>
        <w:t>Член 5</w:t>
      </w:r>
    </w:p>
    <w:p>
      <w:pPr>
        <w:pStyle w:val="NormalCentered"/>
        <w:rPr>
          <w:b/>
          <w:bCs/>
          <w:noProof/>
        </w:rPr>
      </w:pPr>
      <w:r>
        <w:rPr>
          <w:b/>
          <w:bCs/>
          <w:noProof/>
        </w:rPr>
        <w:t>Източници на данни</w:t>
      </w:r>
    </w:p>
    <w:p>
      <w:pPr>
        <w:rPr>
          <w:noProof/>
        </w:rPr>
      </w:pPr>
      <w:r>
        <w:rPr>
          <w:noProof/>
        </w:rPr>
        <w:t>1. Държавите членки определят публична или частна организация, която да участва в събирането на данните съгласно настоящия регламент.</w:t>
      </w:r>
    </w:p>
    <w:p>
      <w:pPr>
        <w:rPr>
          <w:noProof/>
        </w:rPr>
      </w:pPr>
      <w:r>
        <w:rPr>
          <w:noProof/>
        </w:rPr>
        <w:t>2. Необходимите данни могат да се получават, като се използва всякаква комбинация от следните източници:</w:t>
      </w:r>
    </w:p>
    <w:p>
      <w:pPr>
        <w:pStyle w:val="Point0"/>
        <w:rPr>
          <w:noProof/>
        </w:rPr>
      </w:pPr>
      <w:r>
        <w:rPr>
          <w:noProof/>
        </w:rPr>
        <w:t>а)</w:t>
      </w:r>
      <w:r>
        <w:rPr>
          <w:noProof/>
        </w:rPr>
        <w:tab/>
        <w:t>задължителни проучвания;</w:t>
      </w:r>
    </w:p>
    <w:p>
      <w:pPr>
        <w:pStyle w:val="CRSeparator"/>
        <w:rPr>
          <w:noProof/>
          <w:lang w:val="bg-BG"/>
        </w:rPr>
      </w:pPr>
    </w:p>
    <w:p>
      <w:pPr>
        <w:pStyle w:val="CRReference"/>
        <w:rPr>
          <w:noProof/>
          <w:lang w:val="bg-BG"/>
        </w:rPr>
      </w:pPr>
      <w:r>
        <w:rPr>
          <w:noProof/>
        </w:rPr>
        <w:fldChar w:fldCharType="begin"/>
      </w:r>
      <w:r>
        <w:rPr>
          <w:noProof/>
          <w:lang w:val="bg-BG"/>
        </w:rPr>
        <w:instrText xml:space="preserve"> </w:instrText>
      </w:r>
      <w:r>
        <w:rPr>
          <w:noProof/>
        </w:rPr>
        <w:instrText>QUOTE</w:instrText>
      </w:r>
      <w:r>
        <w:rPr>
          <w:noProof/>
          <w:lang w:val="bg-BG"/>
        </w:rPr>
        <w:instrText xml:space="preserve"> "</w:instrText>
      </w:r>
      <w:r>
        <w:rPr>
          <w:rStyle w:val="CRMarker"/>
          <w:noProof/>
          <w:lang w:val="bg-BG"/>
        </w:rPr>
        <w:instrText>ê</w:instrText>
      </w:r>
      <w:r>
        <w:rPr>
          <w:noProof/>
          <w:lang w:val="bg-BG"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  <w:lang w:val="bg-BG"/>
        </w:rPr>
        <w:t>ê</w:t>
      </w:r>
      <w:r>
        <w:rPr>
          <w:noProof/>
        </w:rPr>
        <w:fldChar w:fldCharType="end"/>
      </w:r>
      <w:r>
        <w:rPr>
          <w:noProof/>
        </w:rPr>
        <w:t> </w:t>
      </w:r>
      <w:r>
        <w:rPr>
          <w:noProof/>
          <w:lang w:val="bg-BG"/>
        </w:rPr>
        <w:t>2016/2032, член 1, точка 3</w:t>
      </w:r>
    </w:p>
    <w:p>
      <w:pPr>
        <w:pStyle w:val="Point0"/>
        <w:rPr>
          <w:noProof/>
        </w:rPr>
      </w:pPr>
      <w:r>
        <w:rPr>
          <w:noProof/>
        </w:rPr>
        <w:t>б)</w:t>
      </w:r>
      <w:r>
        <w:rPr>
          <w:noProof/>
        </w:rPr>
        <w:tab/>
        <w:t>административни данни, включително данни, събрани от регулаторните органи, по-конкретно от товарителница за железопътен товарен превоз, ако е налична такава;</w:t>
      </w:r>
    </w:p>
    <w:p>
      <w:pPr>
        <w:pStyle w:val="CRSeparator"/>
        <w:rPr>
          <w:noProof/>
          <w:lang w:val="bg-BG"/>
        </w:rPr>
      </w:pPr>
    </w:p>
    <w:p>
      <w:pPr>
        <w:pStyle w:val="CRReference"/>
        <w:rPr>
          <w:noProof/>
          <w:lang w:val="bg-BG"/>
        </w:rPr>
      </w:pPr>
      <w:r>
        <w:rPr>
          <w:noProof/>
        </w:rPr>
        <w:fldChar w:fldCharType="begin"/>
      </w:r>
      <w:r>
        <w:rPr>
          <w:noProof/>
          <w:lang w:val="bg-BG"/>
        </w:rPr>
        <w:instrText xml:space="preserve"> </w:instrText>
      </w:r>
      <w:r>
        <w:rPr>
          <w:noProof/>
        </w:rPr>
        <w:instrText>QUOTE</w:instrText>
      </w:r>
      <w:r>
        <w:rPr>
          <w:noProof/>
          <w:lang w:val="bg-BG"/>
        </w:rPr>
        <w:instrText xml:space="preserve"> "</w:instrText>
      </w:r>
      <w:r>
        <w:rPr>
          <w:rStyle w:val="CRMarker"/>
          <w:noProof/>
          <w:lang w:val="bg-BG"/>
        </w:rPr>
        <w:instrText>ê</w:instrText>
      </w:r>
      <w:r>
        <w:rPr>
          <w:noProof/>
          <w:lang w:val="bg-BG"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  <w:lang w:val="bg-BG"/>
        </w:rPr>
        <w:t>ê</w:t>
      </w:r>
      <w:r>
        <w:rPr>
          <w:noProof/>
        </w:rPr>
        <w:fldChar w:fldCharType="end"/>
      </w:r>
      <w:r>
        <w:rPr>
          <w:noProof/>
        </w:rPr>
        <w:t> </w:t>
      </w:r>
      <w:r>
        <w:rPr>
          <w:noProof/>
          <w:lang w:val="bg-BG"/>
        </w:rPr>
        <w:t>91/2003 (адаптиран)</w:t>
      </w:r>
    </w:p>
    <w:p>
      <w:pPr>
        <w:pStyle w:val="Point0"/>
        <w:rPr>
          <w:noProof/>
        </w:rPr>
      </w:pPr>
      <w:r>
        <w:rPr>
          <w:noProof/>
        </w:rPr>
        <w:t>в)</w:t>
      </w:r>
      <w:r>
        <w:rPr>
          <w:noProof/>
        </w:rPr>
        <w:tab/>
        <w:t>процедури за статистически прогнози;</w:t>
      </w:r>
    </w:p>
    <w:p>
      <w:pPr>
        <w:pStyle w:val="Point0"/>
        <w:rPr>
          <w:noProof/>
        </w:rPr>
      </w:pPr>
      <w:r>
        <w:rPr>
          <w:noProof/>
        </w:rPr>
        <w:t>г)</w:t>
      </w:r>
      <w:r>
        <w:rPr>
          <w:noProof/>
        </w:rPr>
        <w:tab/>
        <w:t>данни, предоставени от професионални организации в железопътния сектор;</w:t>
      </w:r>
    </w:p>
    <w:p>
      <w:pPr>
        <w:pStyle w:val="Point0"/>
        <w:rPr>
          <w:noProof/>
        </w:rPr>
      </w:pPr>
      <w:r>
        <w:rPr>
          <w:noProof/>
        </w:rPr>
        <w:t>д)</w:t>
      </w:r>
      <w:r>
        <w:rPr>
          <w:noProof/>
        </w:rPr>
        <w:tab/>
      </w:r>
      <w:r>
        <w:rPr>
          <w:i/>
          <w:noProof/>
        </w:rPr>
        <w:t>ad hoc</w:t>
      </w:r>
      <w:r>
        <w:rPr>
          <w:noProof/>
        </w:rPr>
        <w:t xml:space="preserve"> изследвания.</w:t>
      </w:r>
    </w:p>
    <w:p>
      <w:pPr>
        <w:rPr>
          <w:noProof/>
        </w:rPr>
      </w:pPr>
      <w:r>
        <w:rPr>
          <w:noProof/>
        </w:rPr>
        <w:t>3. Националните органи вземат мерки за координиране на използваните източници на данни и осигуряват качеството на статистическите данни, предавани на Евростат.</w:t>
      </w:r>
    </w:p>
    <w:p>
      <w:pPr>
        <w:pStyle w:val="Titrearticle"/>
        <w:rPr>
          <w:noProof/>
        </w:rPr>
      </w:pPr>
      <w:r>
        <w:rPr>
          <w:noProof/>
        </w:rPr>
        <w:t>Член 6</w:t>
      </w:r>
    </w:p>
    <w:p>
      <w:pPr>
        <w:pStyle w:val="NormalCentered"/>
        <w:rPr>
          <w:b/>
          <w:bCs/>
          <w:noProof/>
        </w:rPr>
      </w:pPr>
      <w:r>
        <w:rPr>
          <w:b/>
          <w:bCs/>
          <w:noProof/>
        </w:rPr>
        <w:t>Предаване на статистически данни на Евростат</w:t>
      </w:r>
    </w:p>
    <w:p>
      <w:pPr>
        <w:rPr>
          <w:noProof/>
        </w:rPr>
      </w:pPr>
      <w:r>
        <w:rPr>
          <w:noProof/>
        </w:rPr>
        <w:t>1. Държавите членки предават на Евростат статистическите данни, посочени в член 4.</w:t>
      </w:r>
    </w:p>
    <w:p>
      <w:pPr>
        <w:rPr>
          <w:noProof/>
        </w:rPr>
      </w:pPr>
      <w:r>
        <w:rPr>
          <w:noProof/>
        </w:rPr>
        <w:t xml:space="preserve">2. Механизмът за предаване на статистическите данни, посочени в член 4, се определя в съответствие с процедурата </w:t>
      </w:r>
      <w:r>
        <w:rPr>
          <w:noProof/>
        </w:rPr>
        <w:fldChar w:fldCharType="begin"/>
      </w:r>
      <w:r>
        <w:rPr>
          <w:noProof/>
        </w:rPr>
        <w:instrText xml:space="preserve"> QUOTE "</w:instrText>
      </w:r>
      <w:r>
        <w:rPr>
          <w:rStyle w:val="CRMarker"/>
          <w:noProof/>
        </w:rPr>
        <w:instrText>Ö</w:instrText>
      </w:r>
      <w:r>
        <w:rPr>
          <w:noProof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</w:rPr>
        <w:t>Ö</w:t>
      </w:r>
      <w:r>
        <w:rPr>
          <w:noProof/>
        </w:rPr>
        <w:fldChar w:fldCharType="end"/>
      </w:r>
      <w:r>
        <w:rPr>
          <w:noProof/>
        </w:rPr>
        <w:t> по разглеждане </w:t>
      </w:r>
      <w:r>
        <w:rPr>
          <w:noProof/>
        </w:rPr>
        <w:fldChar w:fldCharType="begin"/>
      </w:r>
      <w:r>
        <w:rPr>
          <w:noProof/>
        </w:rPr>
        <w:instrText xml:space="preserve"> QUOTE "</w:instrText>
      </w:r>
      <w:r>
        <w:rPr>
          <w:rStyle w:val="CRMarker"/>
          <w:noProof/>
        </w:rPr>
        <w:instrText>Õ</w:instrText>
      </w:r>
      <w:r>
        <w:rPr>
          <w:noProof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</w:rPr>
        <w:t>Õ</w:t>
      </w:r>
      <w:r>
        <w:rPr>
          <w:noProof/>
        </w:rPr>
        <w:fldChar w:fldCharType="end"/>
      </w:r>
      <w:r>
        <w:rPr>
          <w:noProof/>
        </w:rPr>
        <w:t>, посочена в член 11, параграф 2.</w:t>
      </w:r>
    </w:p>
    <w:p>
      <w:pPr>
        <w:pStyle w:val="CRSeparator"/>
        <w:keepLines/>
        <w:rPr>
          <w:noProof/>
          <w:lang w:val="bg-BG"/>
        </w:rPr>
      </w:pPr>
    </w:p>
    <w:p>
      <w:pPr>
        <w:pStyle w:val="CRReference"/>
        <w:keepLines/>
        <w:rPr>
          <w:noProof/>
          <w:lang w:val="bg-BG"/>
        </w:rPr>
      </w:pPr>
      <w:r>
        <w:rPr>
          <w:noProof/>
        </w:rPr>
        <w:fldChar w:fldCharType="begin"/>
      </w:r>
      <w:r>
        <w:rPr>
          <w:noProof/>
          <w:lang w:val="bg-BG"/>
        </w:rPr>
        <w:instrText xml:space="preserve"> </w:instrText>
      </w:r>
      <w:r>
        <w:rPr>
          <w:noProof/>
        </w:rPr>
        <w:instrText>QUOTE</w:instrText>
      </w:r>
      <w:r>
        <w:rPr>
          <w:noProof/>
          <w:lang w:val="bg-BG"/>
        </w:rPr>
        <w:instrText xml:space="preserve"> "</w:instrText>
      </w:r>
      <w:r>
        <w:rPr>
          <w:rStyle w:val="CRMarker"/>
          <w:noProof/>
          <w:lang w:val="bg-BG"/>
        </w:rPr>
        <w:instrText>ê</w:instrText>
      </w:r>
      <w:r>
        <w:rPr>
          <w:noProof/>
          <w:lang w:val="bg-BG"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  <w:lang w:val="bg-BG"/>
        </w:rPr>
        <w:t>ê</w:t>
      </w:r>
      <w:r>
        <w:rPr>
          <w:noProof/>
        </w:rPr>
        <w:fldChar w:fldCharType="end"/>
      </w:r>
      <w:r>
        <w:rPr>
          <w:noProof/>
        </w:rPr>
        <w:t> </w:t>
      </w:r>
      <w:r>
        <w:rPr>
          <w:noProof/>
          <w:lang w:val="bg-BG"/>
        </w:rPr>
        <w:t>2016/2032, член 1, точка 4</w:t>
      </w:r>
    </w:p>
    <w:p>
      <w:pPr>
        <w:pStyle w:val="Titrearticle"/>
        <w:keepLines/>
        <w:rPr>
          <w:noProof/>
        </w:rPr>
      </w:pPr>
      <w:r>
        <w:rPr>
          <w:noProof/>
        </w:rPr>
        <w:t>Член 7</w:t>
      </w:r>
    </w:p>
    <w:p>
      <w:pPr>
        <w:pStyle w:val="NormalCentered"/>
        <w:keepNext/>
        <w:keepLines/>
        <w:rPr>
          <w:b/>
          <w:bCs/>
          <w:noProof/>
        </w:rPr>
      </w:pPr>
      <w:r>
        <w:rPr>
          <w:b/>
          <w:bCs/>
          <w:noProof/>
        </w:rPr>
        <w:t>Разпространение</w:t>
      </w:r>
    </w:p>
    <w:p>
      <w:pPr>
        <w:keepNext/>
        <w:keepLines/>
        <w:rPr>
          <w:noProof/>
        </w:rPr>
      </w:pPr>
      <w:r>
        <w:rPr>
          <w:noProof/>
        </w:rPr>
        <w:t xml:space="preserve">Статистиката въз основа на данните, посочени в приложения </w:t>
      </w:r>
      <w:r>
        <w:rPr>
          <w:noProof/>
          <w:lang w:val="fr-BE"/>
        </w:rPr>
        <w:t>I</w:t>
      </w:r>
      <w:r>
        <w:rPr>
          <w:noProof/>
        </w:rPr>
        <w:t>-</w:t>
      </w:r>
      <w:r>
        <w:rPr>
          <w:noProof/>
          <w:lang w:val="fr-BE"/>
        </w:rPr>
        <w:t>V</w:t>
      </w:r>
      <w:r>
        <w:rPr>
          <w:noProof/>
        </w:rPr>
        <w:t xml:space="preserve"> и приложение </w:t>
      </w:r>
      <w:r>
        <w:rPr>
          <w:noProof/>
          <w:lang w:val="fr-BE"/>
        </w:rPr>
        <w:t>VIII</w:t>
      </w:r>
      <w:r>
        <w:rPr>
          <w:noProof/>
        </w:rPr>
        <w:t>, се разпространява от Комисията (Евростат).</w:t>
      </w:r>
    </w:p>
    <w:p>
      <w:pPr>
        <w:rPr>
          <w:noProof/>
        </w:rPr>
      </w:pPr>
      <w:r>
        <w:rPr>
          <w:noProof/>
        </w:rPr>
        <w:t>Комисията приема актове за изпълнение за определяне на реда и условията относно разпространението на резултатите. Тези актове за изпълнение се приемат в съответствие с процедурата по разглеждане, посочена в член 11, параграф 2.</w:t>
      </w:r>
    </w:p>
    <w:p>
      <w:pPr>
        <w:pStyle w:val="CRSeparator"/>
        <w:rPr>
          <w:noProof/>
          <w:lang w:val="bg-BG"/>
        </w:rPr>
      </w:pPr>
    </w:p>
    <w:p>
      <w:pPr>
        <w:pStyle w:val="CRReference"/>
        <w:rPr>
          <w:noProof/>
          <w:lang w:val="bg-BG"/>
        </w:rPr>
      </w:pPr>
      <w:r>
        <w:rPr>
          <w:noProof/>
        </w:rPr>
        <w:fldChar w:fldCharType="begin"/>
      </w:r>
      <w:r>
        <w:rPr>
          <w:noProof/>
          <w:lang w:val="bg-BG"/>
        </w:rPr>
        <w:instrText xml:space="preserve"> </w:instrText>
      </w:r>
      <w:r>
        <w:rPr>
          <w:noProof/>
        </w:rPr>
        <w:instrText>QUOTE</w:instrText>
      </w:r>
      <w:r>
        <w:rPr>
          <w:noProof/>
          <w:lang w:val="bg-BG"/>
        </w:rPr>
        <w:instrText xml:space="preserve"> "</w:instrText>
      </w:r>
      <w:r>
        <w:rPr>
          <w:rStyle w:val="CRMarker"/>
          <w:noProof/>
          <w:lang w:val="bg-BG"/>
        </w:rPr>
        <w:instrText>ê</w:instrText>
      </w:r>
      <w:r>
        <w:rPr>
          <w:noProof/>
          <w:lang w:val="bg-BG"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  <w:lang w:val="bg-BG"/>
        </w:rPr>
        <w:t>ê</w:t>
      </w:r>
      <w:r>
        <w:rPr>
          <w:noProof/>
        </w:rPr>
        <w:fldChar w:fldCharType="end"/>
      </w:r>
      <w:r>
        <w:rPr>
          <w:noProof/>
        </w:rPr>
        <w:t> </w:t>
      </w:r>
      <w:r>
        <w:rPr>
          <w:noProof/>
          <w:lang w:val="bg-BG"/>
        </w:rPr>
        <w:t>91/2003</w:t>
      </w:r>
    </w:p>
    <w:p>
      <w:pPr>
        <w:pStyle w:val="Titrearticle"/>
        <w:rPr>
          <w:noProof/>
        </w:rPr>
      </w:pPr>
      <w:r>
        <w:rPr>
          <w:noProof/>
        </w:rPr>
        <w:t>Член 8</w:t>
      </w:r>
    </w:p>
    <w:p>
      <w:pPr>
        <w:pStyle w:val="NormalCentered"/>
        <w:rPr>
          <w:b/>
          <w:bCs/>
          <w:noProof/>
        </w:rPr>
      </w:pPr>
      <w:r>
        <w:rPr>
          <w:b/>
          <w:bCs/>
          <w:noProof/>
        </w:rPr>
        <w:t>Качество на статистическите данни</w:t>
      </w:r>
    </w:p>
    <w:p>
      <w:pPr>
        <w:rPr>
          <w:noProof/>
        </w:rPr>
      </w:pPr>
      <w:r>
        <w:rPr>
          <w:noProof/>
        </w:rPr>
        <w:t>1. За да подпомогне държавите членки при поддържане на качеството на статистиките в областта на железопътния транспорт, Евростат разработва и публикува методологически препоръки. Тези препоръки отчитат най-добрите практики на националните органи, на железопътните предприятия и на професионалните организации в железопътния сектор.</w:t>
      </w:r>
    </w:p>
    <w:p>
      <w:pPr>
        <w:pStyle w:val="CRSeparator"/>
        <w:rPr>
          <w:noProof/>
          <w:lang w:val="bg-BG"/>
        </w:rPr>
      </w:pPr>
    </w:p>
    <w:p>
      <w:pPr>
        <w:pStyle w:val="CRReference"/>
        <w:rPr>
          <w:noProof/>
          <w:lang w:val="bg-BG"/>
        </w:rPr>
      </w:pPr>
      <w:r>
        <w:rPr>
          <w:noProof/>
        </w:rPr>
        <w:fldChar w:fldCharType="begin"/>
      </w:r>
      <w:r>
        <w:rPr>
          <w:noProof/>
          <w:lang w:val="bg-BG"/>
        </w:rPr>
        <w:instrText xml:space="preserve"> </w:instrText>
      </w:r>
      <w:r>
        <w:rPr>
          <w:noProof/>
        </w:rPr>
        <w:instrText>QUOTE</w:instrText>
      </w:r>
      <w:r>
        <w:rPr>
          <w:noProof/>
          <w:lang w:val="bg-BG"/>
        </w:rPr>
        <w:instrText xml:space="preserve"> "</w:instrText>
      </w:r>
      <w:r>
        <w:rPr>
          <w:rStyle w:val="CRMarker"/>
          <w:noProof/>
          <w:lang w:val="bg-BG"/>
        </w:rPr>
        <w:instrText>ê</w:instrText>
      </w:r>
      <w:r>
        <w:rPr>
          <w:noProof/>
          <w:lang w:val="bg-BG"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  <w:lang w:val="bg-BG"/>
        </w:rPr>
        <w:t>ê</w:t>
      </w:r>
      <w:r>
        <w:rPr>
          <w:noProof/>
        </w:rPr>
        <w:fldChar w:fldCharType="end"/>
      </w:r>
      <w:r>
        <w:rPr>
          <w:noProof/>
        </w:rPr>
        <w:t> </w:t>
      </w:r>
      <w:r>
        <w:rPr>
          <w:noProof/>
          <w:lang w:val="bg-BG"/>
        </w:rPr>
        <w:t>2032/2016, член 1, точка 5, б.</w:t>
      </w:r>
      <w:r>
        <w:rPr>
          <w:noProof/>
          <w:lang w:val="en-GB"/>
        </w:rPr>
        <w:t> </w:t>
      </w:r>
      <w:r>
        <w:rPr>
          <w:noProof/>
          <w:lang w:val="bg-BG"/>
        </w:rPr>
        <w:t>„а“</w:t>
      </w:r>
    </w:p>
    <w:p>
      <w:pPr>
        <w:rPr>
          <w:noProof/>
        </w:rPr>
      </w:pPr>
      <w:r>
        <w:rPr>
          <w:noProof/>
        </w:rPr>
        <w:t>2.</w:t>
      </w:r>
      <w:r>
        <w:rPr>
          <w:noProof/>
          <w:lang w:val="en-GB"/>
        </w:rPr>
        <w:t> </w:t>
      </w:r>
      <w:r>
        <w:rPr>
          <w:noProof/>
        </w:rPr>
        <w:t>Държавите членки вземат всички мерки, необходими за гарантиране на качеството на предаваните данни.</w:t>
      </w:r>
    </w:p>
    <w:p>
      <w:pPr>
        <w:pStyle w:val="CRSeparator"/>
        <w:rPr>
          <w:noProof/>
          <w:lang w:val="bg-BG"/>
        </w:rPr>
      </w:pPr>
    </w:p>
    <w:p>
      <w:pPr>
        <w:pStyle w:val="CRReference"/>
        <w:rPr>
          <w:noProof/>
          <w:lang w:val="bg-BG"/>
        </w:rPr>
      </w:pPr>
      <w:r>
        <w:rPr>
          <w:noProof/>
        </w:rPr>
        <w:fldChar w:fldCharType="begin"/>
      </w:r>
      <w:r>
        <w:rPr>
          <w:noProof/>
          <w:lang w:val="bg-BG"/>
        </w:rPr>
        <w:instrText xml:space="preserve"> </w:instrText>
      </w:r>
      <w:r>
        <w:rPr>
          <w:noProof/>
        </w:rPr>
        <w:instrText>QUOTE</w:instrText>
      </w:r>
      <w:r>
        <w:rPr>
          <w:noProof/>
          <w:lang w:val="bg-BG"/>
        </w:rPr>
        <w:instrText xml:space="preserve"> "</w:instrText>
      </w:r>
      <w:r>
        <w:rPr>
          <w:rStyle w:val="CRMarker"/>
          <w:noProof/>
          <w:lang w:val="bg-BG"/>
        </w:rPr>
        <w:instrText>ê</w:instrText>
      </w:r>
      <w:r>
        <w:rPr>
          <w:noProof/>
          <w:lang w:val="bg-BG"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  <w:lang w:val="bg-BG"/>
        </w:rPr>
        <w:t>ê</w:t>
      </w:r>
      <w:r>
        <w:rPr>
          <w:noProof/>
        </w:rPr>
        <w:fldChar w:fldCharType="end"/>
      </w:r>
      <w:r>
        <w:rPr>
          <w:noProof/>
        </w:rPr>
        <w:t> </w:t>
      </w:r>
      <w:r>
        <w:rPr>
          <w:noProof/>
          <w:lang w:val="bg-BG"/>
        </w:rPr>
        <w:t>91/2003</w:t>
      </w:r>
    </w:p>
    <w:p>
      <w:pPr>
        <w:rPr>
          <w:noProof/>
        </w:rPr>
      </w:pPr>
      <w:r>
        <w:rPr>
          <w:noProof/>
        </w:rPr>
        <w:t>3.</w:t>
      </w:r>
      <w:r>
        <w:rPr>
          <w:noProof/>
          <w:lang w:val="en-GB"/>
        </w:rPr>
        <w:t> </w:t>
      </w:r>
      <w:r>
        <w:rPr>
          <w:noProof/>
        </w:rPr>
        <w:t>Качеството на статистическите данни се оценява от Евростат. За тази цел, по искане на Евростат, държавите членки предоставят информация за методите, използвани при изготвянето на статистиките.</w:t>
      </w:r>
    </w:p>
    <w:p>
      <w:pPr>
        <w:pStyle w:val="CRSeparator"/>
        <w:rPr>
          <w:noProof/>
          <w:lang w:val="bg-BG"/>
        </w:rPr>
      </w:pPr>
    </w:p>
    <w:p>
      <w:pPr>
        <w:pStyle w:val="CRReference"/>
        <w:rPr>
          <w:noProof/>
          <w:lang w:val="bg-BG"/>
        </w:rPr>
      </w:pPr>
      <w:r>
        <w:rPr>
          <w:noProof/>
        </w:rPr>
        <w:fldChar w:fldCharType="begin"/>
      </w:r>
      <w:r>
        <w:rPr>
          <w:noProof/>
          <w:lang w:val="bg-BG"/>
        </w:rPr>
        <w:instrText xml:space="preserve"> </w:instrText>
      </w:r>
      <w:r>
        <w:rPr>
          <w:noProof/>
        </w:rPr>
        <w:instrText>QUOTE</w:instrText>
      </w:r>
      <w:r>
        <w:rPr>
          <w:noProof/>
          <w:lang w:val="bg-BG"/>
        </w:rPr>
        <w:instrText xml:space="preserve"> "</w:instrText>
      </w:r>
      <w:r>
        <w:rPr>
          <w:rStyle w:val="CRMarker"/>
          <w:noProof/>
          <w:lang w:val="bg-BG"/>
        </w:rPr>
        <w:instrText>ê</w:instrText>
      </w:r>
      <w:r>
        <w:rPr>
          <w:noProof/>
          <w:lang w:val="bg-BG"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  <w:lang w:val="bg-BG"/>
        </w:rPr>
        <w:t>ê</w:t>
      </w:r>
      <w:r>
        <w:rPr>
          <w:noProof/>
        </w:rPr>
        <w:fldChar w:fldCharType="end"/>
      </w:r>
      <w:r>
        <w:rPr>
          <w:noProof/>
        </w:rPr>
        <w:t> </w:t>
      </w:r>
      <w:r>
        <w:rPr>
          <w:noProof/>
          <w:lang w:val="bg-BG"/>
        </w:rPr>
        <w:t>2016/2032, член 1, точка 5, б.</w:t>
      </w:r>
      <w:r>
        <w:rPr>
          <w:noProof/>
          <w:lang w:val="en-GB"/>
        </w:rPr>
        <w:t> </w:t>
      </w:r>
      <w:r>
        <w:rPr>
          <w:noProof/>
          <w:lang w:val="bg-BG"/>
        </w:rPr>
        <w:t>„б“</w:t>
      </w:r>
    </w:p>
    <w:p>
      <w:pPr>
        <w:rPr>
          <w:noProof/>
        </w:rPr>
      </w:pPr>
      <w:r>
        <w:rPr>
          <w:noProof/>
        </w:rPr>
        <w:t>4.</w:t>
      </w:r>
      <w:r>
        <w:rPr>
          <w:noProof/>
          <w:lang w:val="en-GB"/>
        </w:rPr>
        <w:t> </w:t>
      </w:r>
      <w:r>
        <w:rPr>
          <w:noProof/>
        </w:rPr>
        <w:t>За целите на настоящия регламент се прилагат критериите за качество на предаваните данни, определени в член 12, параграф 1 от Регламент (ЕО) № 223/2009.</w:t>
      </w:r>
    </w:p>
    <w:p>
      <w:pPr>
        <w:rPr>
          <w:noProof/>
        </w:rPr>
      </w:pPr>
      <w:r>
        <w:rPr>
          <w:noProof/>
        </w:rPr>
        <w:t>5. Комисията приема актове за изпълнение, с които подробно се определят редът и условията, структурата, периодичността и елементите за съпоставимост на стандартните доклади за качеството. Тези актове за изпълнение се приемат в съответствие с процедурата по разглеждане, посочена в член 11, параграф 2.</w:t>
      </w:r>
    </w:p>
    <w:p>
      <w:pPr>
        <w:pStyle w:val="CRSeparator"/>
        <w:rPr>
          <w:noProof/>
          <w:lang w:val="bg-BG"/>
        </w:rPr>
      </w:pPr>
    </w:p>
    <w:p>
      <w:pPr>
        <w:pStyle w:val="CRReference"/>
        <w:rPr>
          <w:noProof/>
          <w:lang w:val="bg-BG"/>
        </w:rPr>
      </w:pPr>
      <w:r>
        <w:rPr>
          <w:noProof/>
        </w:rPr>
        <w:fldChar w:fldCharType="begin"/>
      </w:r>
      <w:r>
        <w:rPr>
          <w:noProof/>
          <w:lang w:val="bg-BG"/>
        </w:rPr>
        <w:instrText xml:space="preserve"> </w:instrText>
      </w:r>
      <w:r>
        <w:rPr>
          <w:noProof/>
        </w:rPr>
        <w:instrText>QUOTE</w:instrText>
      </w:r>
      <w:r>
        <w:rPr>
          <w:noProof/>
          <w:lang w:val="bg-BG"/>
        </w:rPr>
        <w:instrText xml:space="preserve"> "</w:instrText>
      </w:r>
      <w:r>
        <w:rPr>
          <w:rStyle w:val="CRMarker"/>
          <w:noProof/>
          <w:lang w:val="bg-BG"/>
        </w:rPr>
        <w:instrText>ê</w:instrText>
      </w:r>
      <w:r>
        <w:rPr>
          <w:noProof/>
          <w:lang w:val="bg-BG"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  <w:lang w:val="bg-BG"/>
        </w:rPr>
        <w:t>ê</w:t>
      </w:r>
      <w:r>
        <w:rPr>
          <w:noProof/>
        </w:rPr>
        <w:fldChar w:fldCharType="end"/>
      </w:r>
      <w:r>
        <w:rPr>
          <w:noProof/>
        </w:rPr>
        <w:t> </w:t>
      </w:r>
      <w:r>
        <w:rPr>
          <w:noProof/>
          <w:lang w:val="bg-BG"/>
        </w:rPr>
        <w:t>2016/2032, член 1, точка 6</w:t>
      </w:r>
    </w:p>
    <w:p>
      <w:pPr>
        <w:pStyle w:val="Titrearticle"/>
        <w:rPr>
          <w:noProof/>
        </w:rPr>
      </w:pPr>
      <w:r>
        <w:rPr>
          <w:noProof/>
        </w:rPr>
        <w:t>Член 9</w:t>
      </w:r>
    </w:p>
    <w:p>
      <w:pPr>
        <w:pStyle w:val="NormalCentered"/>
        <w:rPr>
          <w:b/>
          <w:bCs/>
          <w:noProof/>
        </w:rPr>
      </w:pPr>
      <w:r>
        <w:rPr>
          <w:b/>
          <w:bCs/>
          <w:noProof/>
        </w:rPr>
        <w:t>Доклади относно изпълнението</w:t>
      </w:r>
    </w:p>
    <w:p>
      <w:pPr>
        <w:rPr>
          <w:noProof/>
        </w:rPr>
      </w:pPr>
      <w:r>
        <w:rPr>
          <w:noProof/>
        </w:rPr>
        <w:t>До 31 декември 2020 г. и на всеки четири години след това Комисията, след консултации с Комитета на Европейската статистическа система, представя доклад на Европейския парламент и Съвета относно изпълнението на настоящия регламент и бъдещото развитие.</w:t>
      </w:r>
    </w:p>
    <w:p>
      <w:pPr>
        <w:rPr>
          <w:noProof/>
        </w:rPr>
      </w:pPr>
      <w:r>
        <w:rPr>
          <w:noProof/>
        </w:rPr>
        <w:t>В този доклад Комисията взема предвид съответната информация, представена от държавите членки, относно качеството на предаваните данни, използваните методи за събиране на данни и информацията относно възможните подобрения и потребностите на потребителите.</w:t>
      </w:r>
    </w:p>
    <w:p>
      <w:pPr>
        <w:rPr>
          <w:noProof/>
        </w:rPr>
      </w:pPr>
      <w:r>
        <w:rPr>
          <w:noProof/>
        </w:rPr>
        <w:t>По-специално в доклада:</w:t>
      </w:r>
    </w:p>
    <w:p>
      <w:pPr>
        <w:pStyle w:val="Point0"/>
        <w:rPr>
          <w:noProof/>
        </w:rPr>
      </w:pPr>
      <w:r>
        <w:rPr>
          <w:noProof/>
        </w:rPr>
        <w:t>а)</w:t>
      </w:r>
      <w:r>
        <w:rPr>
          <w:noProof/>
        </w:rPr>
        <w:tab/>
        <w:t>се дава оценка на ползите за Съюза, държавите членки и доставчиците и потребителите на статистическата информация от представените статистически данни спрямо направените разходи;</w:t>
      </w:r>
    </w:p>
    <w:p>
      <w:pPr>
        <w:pStyle w:val="Point0"/>
        <w:rPr>
          <w:noProof/>
        </w:rPr>
      </w:pPr>
      <w:r>
        <w:rPr>
          <w:noProof/>
        </w:rPr>
        <w:t>б)</w:t>
      </w:r>
      <w:r>
        <w:rPr>
          <w:noProof/>
        </w:rPr>
        <w:tab/>
        <w:t>се дава оценка на качеството на предаваните данни, на използваните методи за събиране на данни и на качеството на изготвената статистика.</w:t>
      </w:r>
    </w:p>
    <w:p>
      <w:pPr>
        <w:pStyle w:val="CRSeparator"/>
        <w:rPr>
          <w:noProof/>
          <w:lang w:val="bg-BG"/>
        </w:rPr>
      </w:pPr>
    </w:p>
    <w:p>
      <w:pPr>
        <w:pStyle w:val="CRReference"/>
        <w:rPr>
          <w:noProof/>
          <w:lang w:val="bg-BG"/>
        </w:rPr>
      </w:pPr>
      <w:r>
        <w:rPr>
          <w:noProof/>
        </w:rPr>
        <w:fldChar w:fldCharType="begin"/>
      </w:r>
      <w:r>
        <w:rPr>
          <w:noProof/>
          <w:lang w:val="bg-BG"/>
        </w:rPr>
        <w:instrText xml:space="preserve"> </w:instrText>
      </w:r>
      <w:r>
        <w:rPr>
          <w:noProof/>
        </w:rPr>
        <w:instrText>QUOTE</w:instrText>
      </w:r>
      <w:r>
        <w:rPr>
          <w:noProof/>
          <w:lang w:val="bg-BG"/>
        </w:rPr>
        <w:instrText xml:space="preserve"> "</w:instrText>
      </w:r>
      <w:r>
        <w:rPr>
          <w:rStyle w:val="CRMarker"/>
          <w:noProof/>
          <w:lang w:val="bg-BG"/>
        </w:rPr>
        <w:instrText>ê</w:instrText>
      </w:r>
      <w:r>
        <w:rPr>
          <w:noProof/>
          <w:lang w:val="bg-BG"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  <w:lang w:val="bg-BG"/>
        </w:rPr>
        <w:t>ê</w:t>
      </w:r>
      <w:r>
        <w:rPr>
          <w:noProof/>
        </w:rPr>
        <w:fldChar w:fldCharType="end"/>
      </w:r>
      <w:r>
        <w:rPr>
          <w:noProof/>
        </w:rPr>
        <w:t> </w:t>
      </w:r>
      <w:r>
        <w:rPr>
          <w:noProof/>
          <w:lang w:val="bg-BG"/>
        </w:rPr>
        <w:t>2016/2032, член 1, точка 7</w:t>
      </w:r>
    </w:p>
    <w:p>
      <w:pPr>
        <w:pStyle w:val="Titrearticle"/>
        <w:rPr>
          <w:noProof/>
        </w:rPr>
      </w:pPr>
      <w:r>
        <w:rPr>
          <w:noProof/>
        </w:rPr>
        <w:t>Член 10</w:t>
      </w:r>
    </w:p>
    <w:p>
      <w:pPr>
        <w:pStyle w:val="NormalCentered"/>
        <w:rPr>
          <w:b/>
          <w:bCs/>
          <w:noProof/>
        </w:rPr>
      </w:pPr>
      <w:r>
        <w:rPr>
          <w:b/>
          <w:bCs/>
          <w:noProof/>
        </w:rPr>
        <w:t>Упражняване на делегираните правомощия</w:t>
      </w:r>
    </w:p>
    <w:p>
      <w:pPr>
        <w:rPr>
          <w:noProof/>
        </w:rPr>
      </w:pPr>
      <w:r>
        <w:rPr>
          <w:noProof/>
        </w:rPr>
        <w:t>1.</w:t>
      </w:r>
      <w:r>
        <w:rPr>
          <w:noProof/>
          <w:lang w:val="en-GB"/>
        </w:rPr>
        <w:t> </w:t>
      </w:r>
      <w:r>
        <w:rPr>
          <w:noProof/>
        </w:rPr>
        <w:t>Правомощието да приема делегирани актове се предоставя на Комисията при спазване на предвидените в настоящия член условия.</w:t>
      </w:r>
    </w:p>
    <w:p>
      <w:pPr>
        <w:rPr>
          <w:noProof/>
        </w:rPr>
      </w:pPr>
      <w:r>
        <w:rPr>
          <w:noProof/>
        </w:rPr>
        <w:t>2.</w:t>
      </w:r>
      <w:r>
        <w:rPr>
          <w:noProof/>
          <w:lang w:val="en-GB"/>
        </w:rPr>
        <w:t> </w:t>
      </w:r>
      <w:r>
        <w:rPr>
          <w:noProof/>
        </w:rPr>
        <w:t>Правомощието да приема делегирани актове, посочено в член 3, параграф 2, се предоставя на Комисията за срок от пет години, считано от 13 декември 2016 г. Комисията изготвя доклад относно делегирането на правомощия не по-късно от девет месеца преди изтичането на петгодишния срок. Делегирането на правомощия се продължава мълчаливо за срокове с еднаква продължителност, освен ако Европейският парламент или Съветът възразят срещу подобно продължаване не по-късно от три месеца преди изтичането на всеки срок.</w:t>
      </w:r>
    </w:p>
    <w:p>
      <w:pPr>
        <w:rPr>
          <w:noProof/>
        </w:rPr>
      </w:pPr>
      <w:r>
        <w:rPr>
          <w:noProof/>
        </w:rPr>
        <w:t>3.</w:t>
      </w:r>
      <w:r>
        <w:rPr>
          <w:noProof/>
          <w:lang w:val="en-GB"/>
        </w:rPr>
        <w:t> </w:t>
      </w:r>
      <w:r>
        <w:rPr>
          <w:noProof/>
        </w:rPr>
        <w:t xml:space="preserve">Делегирането на правомощия, посочено в член 3, параграф 2, може да бъде оттеглено по всяко време от Европейския парламент или от Съвета. С решението за оттегляне се прекратява посоченото в него делегиране на правомощия. Оттеглянето поражда действие в деня след публикуването на решението в </w:t>
      </w:r>
      <w:r>
        <w:rPr>
          <w:i/>
          <w:iCs/>
          <w:noProof/>
        </w:rPr>
        <w:t>Официален вестник на Европейския съюз</w:t>
      </w:r>
      <w:r>
        <w:rPr>
          <w:noProof/>
        </w:rPr>
        <w:t xml:space="preserve"> или на по-късна дата, посочена в решението. То не засяга действителността на делегираните актове, които вече са в сила.</w:t>
      </w:r>
    </w:p>
    <w:p>
      <w:pPr>
        <w:rPr>
          <w:noProof/>
        </w:rPr>
      </w:pPr>
      <w:r>
        <w:rPr>
          <w:noProof/>
        </w:rPr>
        <w:t>4.</w:t>
      </w:r>
      <w:r>
        <w:rPr>
          <w:noProof/>
          <w:lang w:val="en-GB"/>
        </w:rPr>
        <w:t> </w:t>
      </w:r>
      <w:r>
        <w:rPr>
          <w:noProof/>
        </w:rPr>
        <w:t>Преди приемането на делегиран акт Комисията се консултира с експерти, определени от всяка държава членка в съответствие с принципите, залегнали в Междуинституционалното споразумение от 13 април 2016 г. за по-добро законотворчество.</w:t>
      </w:r>
    </w:p>
    <w:p>
      <w:pPr>
        <w:rPr>
          <w:noProof/>
        </w:rPr>
      </w:pPr>
      <w:r>
        <w:rPr>
          <w:noProof/>
        </w:rPr>
        <w:t>5.</w:t>
      </w:r>
      <w:r>
        <w:rPr>
          <w:noProof/>
          <w:lang w:val="en-GB"/>
        </w:rPr>
        <w:t> </w:t>
      </w:r>
      <w:r>
        <w:rPr>
          <w:noProof/>
        </w:rPr>
        <w:t>Веднага след като приеме делегиран акт, Комисията нотифицира акта едновременно на Европейския парламент и на Съвета.</w:t>
      </w:r>
    </w:p>
    <w:p>
      <w:pPr>
        <w:rPr>
          <w:noProof/>
        </w:rPr>
      </w:pPr>
      <w:r>
        <w:rPr>
          <w:noProof/>
        </w:rPr>
        <w:t>6.</w:t>
      </w:r>
      <w:r>
        <w:rPr>
          <w:noProof/>
          <w:lang w:val="en-GB"/>
        </w:rPr>
        <w:t> </w:t>
      </w:r>
      <w:r>
        <w:rPr>
          <w:noProof/>
        </w:rPr>
        <w:t>Делегиран акт, приет съгласно член 3, параграф 2, влиза в сила единствено ако нито Европейският парламент, нито Съветът са представили възражения в срок от два месеца след нотифицирането на същия акт на Европейския парламент и Съвета или ако преди изтичането на този срок и Европейският парламент, и Съветът са уведомили Комисията, че няма да представят възражения. Посоченият срок се удължава с два месеца по инициатива на Европейския парламент или на Съвета.</w:t>
      </w:r>
    </w:p>
    <w:p>
      <w:pPr>
        <w:pStyle w:val="CRSeparator"/>
        <w:rPr>
          <w:noProof/>
          <w:lang w:val="bg-BG"/>
        </w:rPr>
      </w:pPr>
    </w:p>
    <w:p>
      <w:pPr>
        <w:pStyle w:val="CRReference"/>
        <w:rPr>
          <w:noProof/>
          <w:lang w:val="bg-BG"/>
        </w:rPr>
      </w:pPr>
      <w:r>
        <w:rPr>
          <w:noProof/>
        </w:rPr>
        <w:fldChar w:fldCharType="begin"/>
      </w:r>
      <w:r>
        <w:rPr>
          <w:noProof/>
          <w:lang w:val="bg-BG"/>
        </w:rPr>
        <w:instrText xml:space="preserve"> </w:instrText>
      </w:r>
      <w:r>
        <w:rPr>
          <w:noProof/>
        </w:rPr>
        <w:instrText>QUOTE</w:instrText>
      </w:r>
      <w:r>
        <w:rPr>
          <w:noProof/>
          <w:lang w:val="bg-BG"/>
        </w:rPr>
        <w:instrText xml:space="preserve"> "</w:instrText>
      </w:r>
      <w:r>
        <w:rPr>
          <w:rStyle w:val="CRMarker"/>
          <w:noProof/>
          <w:lang w:val="bg-BG"/>
        </w:rPr>
        <w:instrText>ê</w:instrText>
      </w:r>
      <w:r>
        <w:rPr>
          <w:noProof/>
          <w:lang w:val="bg-BG"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  <w:lang w:val="bg-BG"/>
        </w:rPr>
        <w:t>ê</w:t>
      </w:r>
      <w:r>
        <w:rPr>
          <w:noProof/>
        </w:rPr>
        <w:fldChar w:fldCharType="end"/>
      </w:r>
      <w:r>
        <w:rPr>
          <w:noProof/>
        </w:rPr>
        <w:t> </w:t>
      </w:r>
      <w:r>
        <w:rPr>
          <w:noProof/>
          <w:lang w:val="bg-BG"/>
        </w:rPr>
        <w:t>2016/2032, член 1, точка</w:t>
      </w:r>
      <w:r>
        <w:rPr>
          <w:noProof/>
          <w:lang w:val="en-GB"/>
        </w:rPr>
        <w:t> </w:t>
      </w:r>
      <w:r>
        <w:rPr>
          <w:noProof/>
          <w:lang w:val="bg-BG"/>
        </w:rPr>
        <w:t xml:space="preserve">8 </w:t>
      </w:r>
    </w:p>
    <w:p>
      <w:pPr>
        <w:pStyle w:val="Titrearticle"/>
        <w:rPr>
          <w:noProof/>
        </w:rPr>
      </w:pPr>
      <w:r>
        <w:rPr>
          <w:noProof/>
        </w:rPr>
        <w:t>Член 11</w:t>
      </w:r>
    </w:p>
    <w:p>
      <w:pPr>
        <w:pStyle w:val="NormalCentered"/>
        <w:rPr>
          <w:b/>
          <w:bCs/>
          <w:noProof/>
        </w:rPr>
      </w:pPr>
      <w:r>
        <w:rPr>
          <w:b/>
          <w:bCs/>
          <w:noProof/>
        </w:rPr>
        <w:t>Процедура на комитет</w:t>
      </w:r>
    </w:p>
    <w:p>
      <w:pPr>
        <w:rPr>
          <w:noProof/>
        </w:rPr>
      </w:pPr>
      <w:r>
        <w:rPr>
          <w:noProof/>
        </w:rPr>
        <w:t>1. Комисията се подпомага от Комитета на Европейската статистическа система, създаден с Регламент (ЕО) № 223/2009. Този комитет е комитет по смисъла на Регламент (ЕС) № 182/2011.</w:t>
      </w:r>
    </w:p>
    <w:p>
      <w:pPr>
        <w:rPr>
          <w:noProof/>
        </w:rPr>
      </w:pPr>
      <w:r>
        <w:rPr>
          <w:noProof/>
        </w:rPr>
        <w:t>2. При позоваване на настоящия параграф се прилага член 5 от Регламент (ЕС) № 182/2011.</w:t>
      </w:r>
    </w:p>
    <w:p>
      <w:pPr>
        <w:pStyle w:val="CRSeparator"/>
        <w:keepNext w:val="0"/>
        <w:rPr>
          <w:noProof/>
          <w:lang w:val="bg-BG"/>
        </w:rPr>
      </w:pPr>
    </w:p>
    <w:p>
      <w:pPr>
        <w:pStyle w:val="CRReference"/>
        <w:keepNext w:val="0"/>
        <w:rPr>
          <w:noProof/>
          <w:lang w:val="bg-BG"/>
        </w:rPr>
      </w:pPr>
      <w:r>
        <w:rPr>
          <w:noProof/>
        </w:rPr>
        <w:fldChar w:fldCharType="begin"/>
      </w:r>
      <w:r>
        <w:rPr>
          <w:noProof/>
          <w:lang w:val="bg-BG"/>
        </w:rPr>
        <w:instrText xml:space="preserve"> </w:instrText>
      </w:r>
      <w:r>
        <w:rPr>
          <w:noProof/>
          <w:lang w:val="en-GB"/>
        </w:rPr>
        <w:instrText>QUOTE</w:instrText>
      </w:r>
      <w:r>
        <w:rPr>
          <w:noProof/>
          <w:lang w:val="bg-BG"/>
        </w:rPr>
        <w:instrText xml:space="preserve"> "</w:instrText>
      </w:r>
      <w:r>
        <w:rPr>
          <w:rStyle w:val="CRMarker"/>
          <w:noProof/>
          <w:lang w:val="bg-BG"/>
        </w:rPr>
        <w:instrText>ê</w:instrText>
      </w:r>
      <w:r>
        <w:rPr>
          <w:noProof/>
          <w:lang w:val="bg-BG"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  <w:lang w:val="bg-BG"/>
        </w:rPr>
        <w:t>ê</w:t>
      </w:r>
      <w:r>
        <w:rPr>
          <w:noProof/>
        </w:rPr>
        <w:fldChar w:fldCharType="end"/>
      </w:r>
      <w:r>
        <w:rPr>
          <w:noProof/>
          <w:lang w:val="en-GB"/>
        </w:rPr>
        <w:t> </w:t>
      </w:r>
    </w:p>
    <w:p>
      <w:pPr>
        <w:pStyle w:val="Titrearticle"/>
        <w:keepNext w:val="0"/>
        <w:rPr>
          <w:noProof/>
        </w:rPr>
      </w:pPr>
      <w:r>
        <w:rPr>
          <w:noProof/>
        </w:rPr>
        <w:t>Член 12</w:t>
      </w:r>
    </w:p>
    <w:p>
      <w:pPr>
        <w:pStyle w:val="NormalCentered"/>
        <w:keepNext/>
        <w:keepLines/>
        <w:rPr>
          <w:b/>
          <w:bCs/>
          <w:noProof/>
        </w:rPr>
      </w:pPr>
      <w:r>
        <w:rPr>
          <w:b/>
          <w:bCs/>
          <w:noProof/>
        </w:rPr>
        <w:t>Отмяна</w:t>
      </w:r>
    </w:p>
    <w:p>
      <w:pPr>
        <w:keepNext/>
        <w:keepLines/>
        <w:rPr>
          <w:noProof/>
        </w:rPr>
      </w:pPr>
      <w:r>
        <w:rPr>
          <w:noProof/>
        </w:rPr>
        <w:t>Регламент (ЕО) № 91/2003 се отменя.</w:t>
      </w:r>
    </w:p>
    <w:p>
      <w:pPr>
        <w:rPr>
          <w:noProof/>
        </w:rPr>
      </w:pPr>
      <w:r>
        <w:rPr>
          <w:noProof/>
        </w:rPr>
        <w:t>Позоваванията на отменения регламент се считат за позовавания на настоящия регламент и се четат съгласно таблицата на съответствието в приложение</w:t>
      </w:r>
      <w:r>
        <w:rPr>
          <w:rFonts w:eastAsia="Times New Roman"/>
          <w:noProof/>
          <w:szCs w:val="20"/>
          <w:lang w:eastAsia="fr-BE"/>
        </w:rPr>
        <w:t> X.</w:t>
      </w:r>
    </w:p>
    <w:p>
      <w:pPr>
        <w:pStyle w:val="CRSeparator"/>
        <w:keepNext w:val="0"/>
        <w:rPr>
          <w:noProof/>
          <w:lang w:val="bg-BG"/>
        </w:rPr>
      </w:pPr>
    </w:p>
    <w:p>
      <w:pPr>
        <w:pStyle w:val="CRReference"/>
        <w:keepNext w:val="0"/>
        <w:rPr>
          <w:noProof/>
          <w:lang w:val="bg-BG"/>
        </w:rPr>
      </w:pPr>
      <w:r>
        <w:rPr>
          <w:noProof/>
        </w:rPr>
        <w:fldChar w:fldCharType="begin"/>
      </w:r>
      <w:r>
        <w:rPr>
          <w:noProof/>
          <w:lang w:val="bg-BG"/>
        </w:rPr>
        <w:instrText xml:space="preserve"> </w:instrText>
      </w:r>
      <w:r>
        <w:rPr>
          <w:noProof/>
        </w:rPr>
        <w:instrText>QUOTE</w:instrText>
      </w:r>
      <w:r>
        <w:rPr>
          <w:noProof/>
          <w:lang w:val="bg-BG"/>
        </w:rPr>
        <w:instrText xml:space="preserve"> "</w:instrText>
      </w:r>
      <w:r>
        <w:rPr>
          <w:rStyle w:val="CRMarker"/>
          <w:noProof/>
          <w:lang w:val="bg-BG"/>
        </w:rPr>
        <w:instrText>ê</w:instrText>
      </w:r>
      <w:r>
        <w:rPr>
          <w:noProof/>
          <w:lang w:val="bg-BG"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  <w:lang w:val="bg-BG"/>
        </w:rPr>
        <w:t>ê</w:t>
      </w:r>
      <w:r>
        <w:rPr>
          <w:noProof/>
        </w:rPr>
        <w:fldChar w:fldCharType="end"/>
      </w:r>
      <w:r>
        <w:rPr>
          <w:noProof/>
        </w:rPr>
        <w:t> </w:t>
      </w:r>
      <w:r>
        <w:rPr>
          <w:noProof/>
          <w:lang w:val="bg-BG"/>
        </w:rPr>
        <w:t>91/2003 (адаптиран)</w:t>
      </w:r>
    </w:p>
    <w:p>
      <w:pPr>
        <w:pStyle w:val="Titrearticle"/>
        <w:keepNext w:val="0"/>
        <w:rPr>
          <w:noProof/>
        </w:rPr>
      </w:pPr>
      <w:r>
        <w:rPr>
          <w:noProof/>
        </w:rPr>
        <w:t>Член 13</w:t>
      </w:r>
    </w:p>
    <w:p>
      <w:pPr>
        <w:pStyle w:val="NormalCentered"/>
        <w:rPr>
          <w:b/>
          <w:bCs/>
          <w:noProof/>
        </w:rPr>
      </w:pPr>
      <w:r>
        <w:rPr>
          <w:b/>
          <w:bCs/>
          <w:noProof/>
        </w:rPr>
        <w:t>Влизане в сила</w:t>
      </w:r>
    </w:p>
    <w:p>
      <w:pPr>
        <w:rPr>
          <w:noProof/>
        </w:rPr>
      </w:pPr>
      <w:r>
        <w:rPr>
          <w:noProof/>
        </w:rPr>
        <w:t xml:space="preserve">Настоящият регламент влиза в сила на двадесетия ден от датата на неговото публикуване в </w:t>
      </w:r>
      <w:r>
        <w:rPr>
          <w:i/>
          <w:iCs/>
          <w:noProof/>
        </w:rPr>
        <w:t xml:space="preserve">Официален вестник на Европейския </w:t>
      </w:r>
      <w:r>
        <w:rPr>
          <w:noProof/>
        </w:rPr>
        <w:fldChar w:fldCharType="begin"/>
      </w:r>
      <w:r>
        <w:rPr>
          <w:noProof/>
        </w:rPr>
        <w:instrText xml:space="preserve"> QUOTE "</w:instrText>
      </w:r>
      <w:r>
        <w:rPr>
          <w:rStyle w:val="CRMarker"/>
          <w:noProof/>
        </w:rPr>
        <w:instrText>Ö</w:instrText>
      </w:r>
      <w:r>
        <w:rPr>
          <w:noProof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</w:rPr>
        <w:t>Ö</w:t>
      </w:r>
      <w:r>
        <w:rPr>
          <w:noProof/>
        </w:rPr>
        <w:fldChar w:fldCharType="end"/>
      </w:r>
      <w:r>
        <w:rPr>
          <w:noProof/>
        </w:rPr>
        <w:t> </w:t>
      </w:r>
      <w:r>
        <w:rPr>
          <w:i/>
          <w:iCs/>
          <w:noProof/>
        </w:rPr>
        <w:t>съюз</w:t>
      </w:r>
      <w:r>
        <w:rPr>
          <w:noProof/>
        </w:rPr>
        <w:t> </w:t>
      </w:r>
      <w:r>
        <w:rPr>
          <w:noProof/>
        </w:rPr>
        <w:fldChar w:fldCharType="begin"/>
      </w:r>
      <w:r>
        <w:rPr>
          <w:noProof/>
        </w:rPr>
        <w:instrText xml:space="preserve"> QUOTE "</w:instrText>
      </w:r>
      <w:r>
        <w:rPr>
          <w:rStyle w:val="CRMarker"/>
          <w:noProof/>
        </w:rPr>
        <w:instrText>Õ</w:instrText>
      </w:r>
      <w:r>
        <w:rPr>
          <w:noProof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</w:rPr>
        <w:t>Õ</w:t>
      </w:r>
      <w:r>
        <w:rPr>
          <w:noProof/>
        </w:rPr>
        <w:fldChar w:fldCharType="end"/>
      </w:r>
      <w:r>
        <w:rPr>
          <w:noProof/>
        </w:rPr>
        <w:t>.</w:t>
      </w:r>
    </w:p>
    <w:p>
      <w:pPr>
        <w:pStyle w:val="Applicationdirecte"/>
        <w:rPr>
          <w:noProof/>
        </w:rPr>
      </w:pPr>
      <w:r>
        <w:rPr>
          <w:noProof/>
        </w:rPr>
        <w:t>Настоящият регламент е задължителен в своята цялост и се прилага пряко във всички държави членки.</w:t>
      </w:r>
    </w:p>
    <w:p>
      <w:pPr>
        <w:pStyle w:val="Fait"/>
        <w:rPr>
          <w:noProof/>
        </w:rPr>
      </w:pPr>
      <w:r>
        <w:rPr>
          <w:noProof/>
        </w:rPr>
        <w:t>Съставено в Брюксел на  година.</w:t>
      </w:r>
    </w:p>
    <w:p>
      <w:pPr>
        <w:pStyle w:val="Institutionquisigne"/>
        <w:rPr>
          <w:noProof/>
        </w:rPr>
      </w:pPr>
      <w:r>
        <w:rPr>
          <w:noProof/>
        </w:rPr>
        <w:t>За Европейския парламент</w:t>
      </w:r>
      <w:r>
        <w:rPr>
          <w:noProof/>
        </w:rPr>
        <w:tab/>
        <w:t>За Съвета</w:t>
      </w:r>
    </w:p>
    <w:p>
      <w:pPr>
        <w:pStyle w:val="Personnequisigne"/>
        <w:rPr>
          <w:noProof/>
        </w:rPr>
      </w:pPr>
      <w:r>
        <w:rPr>
          <w:noProof/>
        </w:rPr>
        <w:t>Председател</w:t>
      </w:r>
      <w:r>
        <w:rPr>
          <w:noProof/>
        </w:rPr>
        <w:tab/>
        <w:t>Председател</w:t>
      </w:r>
    </w:p>
    <w:sectPr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15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</w:pPr>
      <w:r>
        <w:rPr>
          <w:rStyle w:val="FootnoteReference"/>
        </w:rPr>
        <w:footnoteRef/>
      </w:r>
      <w:r>
        <w:rPr>
          <w:lang w:val="en-GB"/>
        </w:rPr>
        <w:tab/>
        <w:t>COM(87) 868 PV.</w:t>
      </w:r>
    </w:p>
  </w:footnote>
  <w:footnote w:id="2">
    <w:p>
      <w:pPr>
        <w:pStyle w:val="FootnoteText"/>
      </w:pPr>
      <w:r>
        <w:rPr>
          <w:rStyle w:val="FootnoteReference"/>
        </w:rPr>
        <w:footnoteRef/>
      </w:r>
      <w:r>
        <w:tab/>
        <w:t>Вж. приложение 3 към Част А от Заключенията.</w:t>
      </w:r>
    </w:p>
  </w:footnote>
  <w:footnote w:id="3">
    <w:p>
      <w:pPr>
        <w:pStyle w:val="FootnoteText"/>
      </w:pPr>
      <w:r>
        <w:rPr>
          <w:rStyle w:val="FootnoteReference"/>
        </w:rPr>
        <w:footnoteRef/>
      </w:r>
      <w:r>
        <w:tab/>
        <w:t>Включено в законодателната програма за 2017 г.</w:t>
      </w:r>
    </w:p>
  </w:footnote>
  <w:footnote w:id="4">
    <w:p>
      <w:pPr>
        <w:pStyle w:val="FootnoteText"/>
      </w:pPr>
      <w:r>
        <w:rPr>
          <w:rStyle w:val="FootnoteReference"/>
        </w:rPr>
        <w:footnoteRef/>
      </w:r>
      <w:r>
        <w:tab/>
        <w:t>Вж. приложение І</w:t>
      </w:r>
      <w:r>
        <w:rPr>
          <w:lang w:val="fr-BE"/>
        </w:rPr>
        <w:t>X</w:t>
      </w:r>
      <w:r>
        <w:t xml:space="preserve"> към настоящото предложение.</w:t>
      </w:r>
    </w:p>
  </w:footnote>
  <w:footnote w:id="5">
    <w:p>
      <w:pPr>
        <w:pStyle w:val="FootnoteText"/>
      </w:pPr>
      <w:r>
        <w:rPr>
          <w:rStyle w:val="FootnoteReference"/>
        </w:rPr>
        <w:footnoteRef/>
      </w:r>
      <w:r>
        <w:tab/>
        <w:t>ОВ C ,  г., стр. .</w:t>
      </w:r>
    </w:p>
  </w:footnote>
  <w:footnote w:id="6">
    <w:p>
      <w:pPr>
        <w:pStyle w:val="FootnoteText"/>
        <w:rPr>
          <w:highlight w:val="lightGray"/>
        </w:rPr>
      </w:pPr>
      <w:r>
        <w:rPr>
          <w:rStyle w:val="FootnoteReference"/>
          <w:highlight w:val="lightGray"/>
        </w:rPr>
        <w:footnoteRef/>
      </w:r>
      <w:r>
        <w:rPr>
          <w:highlight w:val="lightGray"/>
        </w:rPr>
        <w:tab/>
      </w:r>
      <w:r>
        <w:rPr>
          <w:bCs/>
          <w:highlight w:val="lightGray"/>
        </w:rPr>
        <w:t>Регламент (ЕО) № 91/2003 на Европейския парламент и на Съвета от 16 декември 2002 година относно статистиката за железопътния транспорт</w:t>
      </w:r>
      <w:r>
        <w:rPr>
          <w:highlight w:val="lightGray"/>
        </w:rPr>
        <w:t xml:space="preserve"> (OB L 14, 21.1.2003г., стр. 1).</w:t>
      </w:r>
    </w:p>
  </w:footnote>
  <w:footnote w:id="7">
    <w:p>
      <w:pPr>
        <w:pStyle w:val="FootnoteText"/>
        <w:rPr>
          <w:highlight w:val="lightGray"/>
        </w:rPr>
      </w:pPr>
      <w:r>
        <w:rPr>
          <w:rStyle w:val="FootnoteReference"/>
          <w:highlight w:val="lightGray"/>
        </w:rPr>
        <w:footnoteRef/>
      </w:r>
      <w:r>
        <w:rPr>
          <w:highlight w:val="lightGray"/>
        </w:rPr>
        <w:tab/>
        <w:t>Вж. приложение І</w:t>
      </w:r>
      <w:r>
        <w:rPr>
          <w:highlight w:val="lightGray"/>
          <w:lang w:val="fr-BE"/>
        </w:rPr>
        <w:t>X</w:t>
      </w:r>
      <w:r>
        <w:rPr>
          <w:highlight w:val="lightGray"/>
        </w:rPr>
        <w:t>.</w:t>
      </w:r>
    </w:p>
  </w:footnote>
  <w:footnote w:id="8">
    <w:p>
      <w:pPr>
        <w:pStyle w:val="FootnoteText"/>
      </w:pPr>
      <w:r>
        <w:rPr>
          <w:rStyle w:val="FootnoteReference"/>
        </w:rPr>
        <w:footnoteRef/>
      </w:r>
      <w:r>
        <w:tab/>
        <w:t>Директива 2004/49/ЕО на Европейския парламент и на Съвета от 29 април 2004 година относно безопасността на железопътния транспорт в Общността и за изменение на Директива 95/18/ЕО на Съвета относно лицензирането на железопътните предприятия и Директива 2001/14/ЕО относно разпределяне на капацитета на железопътната инфраструктура и събиране на такси за ползване на железопътната инфраструктура и за сертифициране за безопасност (Директива относно безопасността на железопътния транспорт) (OB L 164, 30.4.2004г., стр. 44).</w:t>
      </w:r>
    </w:p>
  </w:footnote>
  <w:footnote w:id="9">
    <w:p>
      <w:pPr>
        <w:pStyle w:val="FootnoteText"/>
        <w:rPr>
          <w:rStyle w:val="Hyperlink"/>
          <w:rFonts w:eastAsia="Calibri"/>
          <w:color w:val="auto"/>
          <w:u w:val="none"/>
          <w:lang w:eastAsia="en-GB"/>
        </w:rPr>
      </w:pPr>
      <w:r>
        <w:rPr>
          <w:rStyle w:val="FootnoteReference"/>
        </w:rPr>
        <w:footnoteRef/>
      </w:r>
      <w:r>
        <w:tab/>
      </w:r>
      <w:r>
        <w:rPr>
          <w:rStyle w:val="Hyperlink"/>
          <w:rFonts w:eastAsia="Calibri"/>
          <w:color w:val="auto"/>
          <w:u w:val="none"/>
          <w:lang w:eastAsia="en-GB"/>
        </w:rPr>
        <w:t>Директива 2012/34/ЕС на Европейския парламент и на Съвета от 21 ноември 2012 година за създаване на единно европейско железопътно пространство (</w:t>
      </w:r>
      <w:r>
        <w:rPr>
          <w:rStyle w:val="Hyperlink"/>
          <w:rFonts w:eastAsia="Calibri"/>
          <w:color w:val="auto"/>
          <w:u w:val="none"/>
          <w:lang w:val="nl-NL" w:eastAsia="en-GB"/>
        </w:rPr>
        <w:t>OB</w:t>
      </w:r>
      <w:r>
        <w:rPr>
          <w:rStyle w:val="Hyperlink"/>
          <w:rFonts w:eastAsia="Calibri"/>
          <w:color w:val="auto"/>
          <w:u w:val="none"/>
          <w:lang w:eastAsia="en-GB"/>
        </w:rPr>
        <w:t xml:space="preserve"> </w:t>
      </w:r>
      <w:r>
        <w:rPr>
          <w:rStyle w:val="Hyperlink"/>
          <w:rFonts w:eastAsia="Calibri"/>
          <w:color w:val="auto"/>
          <w:u w:val="none"/>
          <w:lang w:val="nl-NL" w:eastAsia="en-GB"/>
        </w:rPr>
        <w:t>L</w:t>
      </w:r>
      <w:r>
        <w:rPr>
          <w:rStyle w:val="Hyperlink"/>
          <w:rFonts w:eastAsia="Calibri"/>
          <w:color w:val="auto"/>
          <w:u w:val="none"/>
          <w:lang w:eastAsia="en-GB"/>
        </w:rPr>
        <w:t xml:space="preserve"> 343, 14.12.2012г., стр. 32).</w:t>
      </w:r>
    </w:p>
  </w:footnote>
  <w:footnote w:id="10">
    <w:p>
      <w:pPr>
        <w:pStyle w:val="FootnoteText"/>
      </w:pPr>
      <w:r>
        <w:rPr>
          <w:rStyle w:val="FootnoteReference"/>
        </w:rPr>
        <w:footnoteRef/>
      </w:r>
      <w:r>
        <w:tab/>
        <w:t>Регламент (ЕО) № 223/2009 на Европейския парламент и на Съвета от 11 март 2009 година относно европейската статистика и за отмяна на Регламент (ЕО, Евратом) № 1101/2008 за предоставянето на поверителна статистическа информация на Статистическата служба на Европейските общности, на Регламент (ЕО) № 322/97 на Съвета относно статистиката на Общността и на Решение 89/382/ЕИО, Евратом на Съвета за създаване на Статистически програмен комитет на Европейските общности (</w:t>
      </w:r>
      <w:r>
        <w:rPr>
          <w:lang w:val="en-GB"/>
        </w:rPr>
        <w:t>OB</w:t>
      </w:r>
      <w:r>
        <w:t xml:space="preserve"> </w:t>
      </w:r>
      <w:r>
        <w:rPr>
          <w:lang w:val="en-GB"/>
        </w:rPr>
        <w:t>L</w:t>
      </w:r>
      <w:r>
        <w:t xml:space="preserve"> 87, 31.3.2009г., стр. 164).</w:t>
      </w:r>
    </w:p>
  </w:footnote>
  <w:footnote w:id="11">
    <w:p>
      <w:pPr>
        <w:pStyle w:val="FootnoteText"/>
      </w:pPr>
      <w:r>
        <w:rPr>
          <w:rStyle w:val="FootnoteReference"/>
        </w:rPr>
        <w:footnoteRef/>
      </w:r>
      <w:r>
        <w:tab/>
      </w:r>
      <w:r>
        <w:rPr>
          <w:lang w:val="fr-BE"/>
        </w:rPr>
        <w:t>OB</w:t>
      </w:r>
      <w:r>
        <w:t xml:space="preserve"> </w:t>
      </w:r>
      <w:r>
        <w:rPr>
          <w:lang w:val="fr-BE"/>
        </w:rPr>
        <w:t>L</w:t>
      </w:r>
      <w:r>
        <w:t xml:space="preserve"> 123, 12.5.2016г., стр. 1.</w:t>
      </w:r>
    </w:p>
  </w:footnote>
  <w:footnote w:id="12">
    <w:p>
      <w:pPr>
        <w:pStyle w:val="FootnoteText"/>
      </w:pPr>
      <w:r>
        <w:rPr>
          <w:rStyle w:val="FootnoteReference"/>
        </w:rPr>
        <w:footnoteRef/>
      </w:r>
      <w:r>
        <w:tab/>
        <w:t>Регламент (ЕС) № 182/2011 на Европейския парламент и на Съвета от 16 февруари 2011 година за установяване на общите правила и принципи относно реда и условията за контрол от страна на държавите-членки върху упражняването на изпълнителните правомощия от страна на Комисията (</w:t>
      </w:r>
      <w:r>
        <w:rPr>
          <w:lang w:val="fr-BE"/>
        </w:rPr>
        <w:t>OB</w:t>
      </w:r>
      <w:r>
        <w:t xml:space="preserve"> </w:t>
      </w:r>
      <w:r>
        <w:rPr>
          <w:lang w:val="fr-BE"/>
        </w:rPr>
        <w:t>L</w:t>
      </w:r>
      <w:r>
        <w:t xml:space="preserve"> 55, 28.2.2011г., стр. 13).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5D2A9E8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A496A8C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2">
    <w:nsid w:val="FFFFFF7F"/>
    <w:multiLevelType w:val="singleLevel"/>
    <w:tmpl w:val="9498F4A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87EE377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8C0AC49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D32CCE7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43DA4CC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FFFFFF89"/>
    <w:multiLevelType w:val="singleLevel"/>
    <w:tmpl w:val="E7C2BC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21"/>
    <w:lvlOverride w:ilvl="0">
      <w:startOverride w:val="1"/>
    </w:lvlOverride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0"/>
  </w:num>
  <w:num w:numId="10">
    <w:abstractNumId w:val="18"/>
  </w:num>
  <w:num w:numId="11">
    <w:abstractNumId w:val="12"/>
  </w:num>
  <w:num w:numId="12">
    <w:abstractNumId w:val="20"/>
  </w:num>
  <w:num w:numId="13">
    <w:abstractNumId w:val="11"/>
  </w:num>
  <w:num w:numId="14">
    <w:abstractNumId w:val="13"/>
  </w:num>
  <w:num w:numId="15">
    <w:abstractNumId w:val="9"/>
  </w:num>
  <w:num w:numId="16">
    <w:abstractNumId w:val="19"/>
  </w:num>
  <w:num w:numId="17">
    <w:abstractNumId w:val="8"/>
  </w:num>
  <w:num w:numId="18">
    <w:abstractNumId w:val="14"/>
  </w:num>
  <w:num w:numId="19">
    <w:abstractNumId w:val="16"/>
  </w:num>
  <w:num w:numId="20">
    <w:abstractNumId w:val="17"/>
  </w:num>
  <w:num w:numId="21">
    <w:abstractNumId w:val="10"/>
  </w:num>
  <w:num w:numId="22">
    <w:abstractNumId w:val="15"/>
  </w:num>
  <w:num w:numId="23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displayBackgroundShape/>
  <w:hideSpellingErrors/>
  <w:hideGrammaticalErrors/>
  <w:attachedTemplate r:id="rId1"/>
  <w:revisionView w:markup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CR_Ref0" w:val="91/2003 \u1089?\u1098?\u1086?\u1073?\u1088?\u1072?\u1078?\u1077?\u1085?\u1080?\u1077? 1"/>
    <w:docVar w:name="CR_Ref1" w:val="2016/2032 \u1089?\u1098?\u1086?\u1073?\u1088?\u1072?\u1078?\u1077?\u1085?\u1080?\u1077? 1"/>
    <w:docVar w:name="CR_RefCount" w:val="2"/>
    <w:docVar w:name="CR_RefLast" w:val="4"/>
    <w:docVar w:name="CR_TimeStamp" w:val="14:06:25"/>
    <w:docVar w:name="DQCDateTime" w:val="2017-05-18 14:12:30"/>
    <w:docVar w:name="DQCResult_Distribution" w:val="-1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-1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Yellow"/>
    <w:docVar w:name="DQCVersion" w:val="3"/>
    <w:docVar w:name="DQCWithWarnings" w:val="1"/>
    <w:docVar w:name="LW_CONFIDENCE" w:val=" "/>
    <w:docVar w:name="LW_CONST_RESTREINT_UE" w:val="RESTREINT UE"/>
    <w:docVar w:name="LW_CORRIGENDUM" w:val="&lt;UNUSED&gt;"/>
    <w:docVar w:name="LW_COVERPAGE_GUID" w:val="C8B4EA625CCB4BBDABF360F4B1B8E102"/>
    <w:docVar w:name="LW_CROSSREFERENCE" w:val="&lt;UNUSED&gt;"/>
    <w:docVar w:name="LW_DocType" w:val="COM"/>
    <w:docVar w:name="LW_EMISSION" w:val="30.6.2017"/>
    <w:docVar w:name="LW_EMISSION_ISODATE" w:val="2017-06-30"/>
    <w:docVar w:name="LW_EMISSION_LOCATION" w:val="BRX"/>
    <w:docVar w:name="LW_EMISSION_PREFIX" w:val="Брюксел, "/>
    <w:docVar w:name="LW_EMISSION_SUFFIX" w:val=" \u1075?."/>
    <w:docVar w:name="LW_ID_DOCMODEL" w:val="SJ-023"/>
    <w:docVar w:name="LW_ID_DOCSIGNATURE" w:val="SJ-023"/>
    <w:docVar w:name="LW_ID_DOCSTRUCTURE" w:val="COM/PL/ORG"/>
    <w:docVar w:name="LW_ID_DOCTYPE" w:val="SJ-023"/>
    <w:docVar w:name="LW_ID_STATUT" w:val="SJ-023"/>
    <w:docVar w:name="LW_INTERETEEE.CP" w:val="&lt;UNUSED&gt;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I.NEW.CP" w:val="COD"/>
    <w:docVar w:name="LW_REF.II.NEW.CP_NUMBER" w:val="0146"/>
    <w:docVar w:name="LW_REF.II.NEW.CP_YEAR" w:val="2017"/>
    <w:docVar w:name="LW_REF.INST.NEW" w:val="COM"/>
    <w:docVar w:name="LW_REF.INST.NEW_ADOPTED" w:val="final"/>
    <w:docVar w:name="LW_REF.INST.NEW_TEXT" w:val="(2017) 353"/>
    <w:docVar w:name="LW_REF.INTERNE" w:val="&lt;UNUSED&gt;"/>
    <w:docVar w:name="LW_SOUS.TITRE.OBJ.CP" w:val="&lt;UNUSED&gt;"/>
    <w:docVar w:name="LW_STATUT.CP" w:val="\u1055?\u1088?\u1077?\u1076?\u1083?\u1086?\u1078?\u1077?\u1085?\u1080?\u1077? \u1079?\u1072?"/>
    <w:docVar w:name="LW_SUPERTITRE" w:val="&lt;UNUSED&gt;"/>
    <w:docVar w:name="LW_TITRE.OBJ.CP" w:val="\u1086?\u1090?\u1085?\u1086?\u1089?\u1085?\u1086? \u1089?\u1090?\u1072?\u1090?\u1080?\u1089?\u1090?\u1080?\u1082?\u1072?\u1090?\u1072? \u1079?\u1072? \u1078?\u1077?\u1083?\u1077?\u1079?\u1086?\u1087?\u1098?\u1090?\u1085?\u1080?\u1103? \u1090?\u1088?\u1072?\u1085?\u1089?\u1087?\u1086?\u1088?\u1090? (\u1087?\u1088?\u1077?\u1088?\u1072?\u1073?\u1086?\u1090?\u1077?\u1085? \u1090?\u1077?\u1082?\u1089?\u1090?)"/>
    <w:docVar w:name="LW_TYPE.DOC.CP" w:val="\u1056?\u1045?\u1043?\u1051?\u1040?\u1052?\u1045?\u1053?\u1058? \u1053?\u1040? \u1045?\u1042?\u1056?\u1054?\u1055?\u1045?\u1049?\u1057?\u1050?\u1048?\u1071? \u1055?\u1040?\u1056?\u1051?\u1040?\u1052?\u1045?\u1053?\u1058? \u1048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6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6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6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6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character" w:customStyle="1" w:styleId="CRMarker">
    <w:name w:val="CR Marker"/>
    <w:uiPriority w:val="99"/>
    <w:rPr>
      <w:rFonts w:ascii="Wingdings" w:hAnsi="Wingdings" w:cs="Wingdings"/>
    </w:rPr>
  </w:style>
  <w:style w:type="paragraph" w:customStyle="1" w:styleId="CRSeparator">
    <w:name w:val="CR Separator"/>
    <w:basedOn w:val="Normal"/>
    <w:next w:val="CRReference"/>
    <w:uiPriority w:val="99"/>
    <w:pPr>
      <w:keepNext/>
      <w:pBdr>
        <w:top w:val="single" w:sz="4" w:space="1" w:color="auto"/>
      </w:pBdr>
      <w:autoSpaceDE w:val="0"/>
      <w:autoSpaceDN w:val="0"/>
      <w:spacing w:before="0" w:after="0"/>
    </w:pPr>
    <w:rPr>
      <w:rFonts w:eastAsia="Times New Roman"/>
      <w:szCs w:val="24"/>
      <w:lang w:val="fr-FR" w:eastAsia="en-GB"/>
    </w:rPr>
  </w:style>
  <w:style w:type="paragraph" w:customStyle="1" w:styleId="CRReference">
    <w:name w:val="CR Reference"/>
    <w:basedOn w:val="Normal"/>
    <w:uiPriority w:val="9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spacing w:before="0" w:after="0"/>
      <w:ind w:left="5670"/>
      <w:jc w:val="left"/>
    </w:pPr>
    <w:rPr>
      <w:rFonts w:eastAsia="Times New Roman"/>
      <w:szCs w:val="24"/>
      <w:lang w:val="fr-FR" w:eastAsia="en-GB"/>
    </w:rPr>
  </w:style>
  <w:style w:type="character" w:customStyle="1" w:styleId="CRMinorChangeDeleted">
    <w:name w:val="CR Minor Change Deleted"/>
    <w:basedOn w:val="DefaultParagraphFont"/>
    <w:rPr>
      <w:strike w:val="0"/>
      <w:dstrike/>
      <w:u w:val="double"/>
    </w:rPr>
  </w:style>
  <w:style w:type="character" w:customStyle="1" w:styleId="CRRefonteDeleted">
    <w:name w:val="CR Refonte Deleted"/>
    <w:rPr>
      <w:strike w:val="0"/>
      <w:dstrike/>
      <w:noProof w:val="0"/>
    </w:rPr>
  </w:style>
  <w:style w:type="character" w:customStyle="1" w:styleId="CRDeleted">
    <w:name w:val="CR Deleted"/>
    <w:basedOn w:val="DefaultParagraphFont"/>
    <w:rPr>
      <w:strike w:val="0"/>
      <w:dstrike/>
    </w:r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7"/>
      </w:numPr>
      <w:contextualSpacing/>
    </w:pPr>
  </w:style>
  <w:style w:type="character" w:customStyle="1" w:styleId="CRMinorChangeAdded">
    <w:name w:val="CR Minor Change Added"/>
    <w:basedOn w:val="DefaultParagraphFont"/>
    <w:rPr>
      <w:u w:val="double"/>
      <w:lang w:val="bg-BG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bg-BG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bg-BG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bg-BG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bg-BG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0"/>
      </w:numPr>
    </w:pPr>
  </w:style>
  <w:style w:type="paragraph" w:customStyle="1" w:styleId="Tiret1">
    <w:name w:val="Tiret 1"/>
    <w:basedOn w:val="Point1"/>
    <w:pPr>
      <w:numPr>
        <w:numId w:val="11"/>
      </w:numPr>
    </w:pPr>
  </w:style>
  <w:style w:type="paragraph" w:customStyle="1" w:styleId="Tiret2">
    <w:name w:val="Tiret 2"/>
    <w:basedOn w:val="Point2"/>
    <w:pPr>
      <w:numPr>
        <w:numId w:val="12"/>
      </w:numPr>
    </w:pPr>
  </w:style>
  <w:style w:type="paragraph" w:customStyle="1" w:styleId="Tiret3">
    <w:name w:val="Tiret 3"/>
    <w:basedOn w:val="Point3"/>
    <w:pPr>
      <w:numPr>
        <w:numId w:val="13"/>
      </w:numPr>
    </w:pPr>
  </w:style>
  <w:style w:type="paragraph" w:customStyle="1" w:styleId="Tiret4">
    <w:name w:val="Tiret 4"/>
    <w:basedOn w:val="Point4"/>
    <w:pPr>
      <w:numPr>
        <w:numId w:val="14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5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5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5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5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7"/>
      </w:numPr>
    </w:pPr>
  </w:style>
  <w:style w:type="paragraph" w:customStyle="1" w:styleId="Point1number">
    <w:name w:val="Point 1 (number)"/>
    <w:basedOn w:val="Normal"/>
    <w:pPr>
      <w:numPr>
        <w:ilvl w:val="2"/>
        <w:numId w:val="17"/>
      </w:numPr>
    </w:pPr>
  </w:style>
  <w:style w:type="paragraph" w:customStyle="1" w:styleId="Point2number">
    <w:name w:val="Point 2 (number)"/>
    <w:basedOn w:val="Normal"/>
    <w:pPr>
      <w:numPr>
        <w:ilvl w:val="4"/>
        <w:numId w:val="17"/>
      </w:numPr>
    </w:pPr>
  </w:style>
  <w:style w:type="paragraph" w:customStyle="1" w:styleId="Point3number">
    <w:name w:val="Point 3 (number)"/>
    <w:basedOn w:val="Normal"/>
    <w:pPr>
      <w:numPr>
        <w:ilvl w:val="6"/>
        <w:numId w:val="17"/>
      </w:numPr>
    </w:pPr>
  </w:style>
  <w:style w:type="paragraph" w:customStyle="1" w:styleId="Point0letter">
    <w:name w:val="Point 0 (letter)"/>
    <w:basedOn w:val="Normal"/>
    <w:pPr>
      <w:numPr>
        <w:ilvl w:val="1"/>
        <w:numId w:val="17"/>
      </w:numPr>
    </w:pPr>
  </w:style>
  <w:style w:type="paragraph" w:customStyle="1" w:styleId="Point1letter">
    <w:name w:val="Point 1 (letter)"/>
    <w:basedOn w:val="Normal"/>
    <w:pPr>
      <w:numPr>
        <w:ilvl w:val="3"/>
        <w:numId w:val="17"/>
      </w:numPr>
    </w:pPr>
  </w:style>
  <w:style w:type="paragraph" w:customStyle="1" w:styleId="Point2letter">
    <w:name w:val="Point 2 (letter)"/>
    <w:basedOn w:val="Normal"/>
    <w:pPr>
      <w:numPr>
        <w:ilvl w:val="5"/>
        <w:numId w:val="17"/>
      </w:numPr>
    </w:pPr>
  </w:style>
  <w:style w:type="paragraph" w:customStyle="1" w:styleId="Point3letter">
    <w:name w:val="Point 3 (letter)"/>
    <w:basedOn w:val="Normal"/>
    <w:pPr>
      <w:numPr>
        <w:ilvl w:val="7"/>
        <w:numId w:val="17"/>
      </w:numPr>
    </w:pPr>
  </w:style>
  <w:style w:type="paragraph" w:customStyle="1" w:styleId="Point4letter">
    <w:name w:val="Point 4 (letter)"/>
    <w:basedOn w:val="Normal"/>
    <w:pPr>
      <w:numPr>
        <w:ilvl w:val="8"/>
        <w:numId w:val="17"/>
      </w:numPr>
    </w:pPr>
  </w:style>
  <w:style w:type="paragraph" w:customStyle="1" w:styleId="Bullet0">
    <w:name w:val="Bullet 0"/>
    <w:basedOn w:val="Normal"/>
    <w:pPr>
      <w:numPr>
        <w:numId w:val="18"/>
      </w:numPr>
    </w:pPr>
  </w:style>
  <w:style w:type="paragraph" w:customStyle="1" w:styleId="Bullet1">
    <w:name w:val="Bullet 1"/>
    <w:basedOn w:val="Normal"/>
    <w:pPr>
      <w:numPr>
        <w:numId w:val="19"/>
      </w:numPr>
    </w:pPr>
  </w:style>
  <w:style w:type="paragraph" w:customStyle="1" w:styleId="Bullet2">
    <w:name w:val="Bullet 2"/>
    <w:basedOn w:val="Normal"/>
    <w:pPr>
      <w:numPr>
        <w:numId w:val="20"/>
      </w:numPr>
    </w:pPr>
  </w:style>
  <w:style w:type="paragraph" w:customStyle="1" w:styleId="Bullet3">
    <w:name w:val="Bullet 3"/>
    <w:basedOn w:val="Normal"/>
    <w:pPr>
      <w:numPr>
        <w:numId w:val="21"/>
      </w:numPr>
    </w:pPr>
  </w:style>
  <w:style w:type="paragraph" w:customStyle="1" w:styleId="Bullet4">
    <w:name w:val="Bullet 4"/>
    <w:basedOn w:val="Normal"/>
    <w:pPr>
      <w:numPr>
        <w:numId w:val="22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3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6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6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6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6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character" w:customStyle="1" w:styleId="CRMarker">
    <w:name w:val="CR Marker"/>
    <w:uiPriority w:val="99"/>
    <w:rPr>
      <w:rFonts w:ascii="Wingdings" w:hAnsi="Wingdings" w:cs="Wingdings"/>
    </w:rPr>
  </w:style>
  <w:style w:type="paragraph" w:customStyle="1" w:styleId="CRSeparator">
    <w:name w:val="CR Separator"/>
    <w:basedOn w:val="Normal"/>
    <w:next w:val="CRReference"/>
    <w:uiPriority w:val="99"/>
    <w:pPr>
      <w:keepNext/>
      <w:pBdr>
        <w:top w:val="single" w:sz="4" w:space="1" w:color="auto"/>
      </w:pBdr>
      <w:autoSpaceDE w:val="0"/>
      <w:autoSpaceDN w:val="0"/>
      <w:spacing w:before="0" w:after="0"/>
    </w:pPr>
    <w:rPr>
      <w:rFonts w:eastAsia="Times New Roman"/>
      <w:szCs w:val="24"/>
      <w:lang w:val="fr-FR" w:eastAsia="en-GB"/>
    </w:rPr>
  </w:style>
  <w:style w:type="paragraph" w:customStyle="1" w:styleId="CRReference">
    <w:name w:val="CR Reference"/>
    <w:basedOn w:val="Normal"/>
    <w:uiPriority w:val="9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spacing w:before="0" w:after="0"/>
      <w:ind w:left="5670"/>
      <w:jc w:val="left"/>
    </w:pPr>
    <w:rPr>
      <w:rFonts w:eastAsia="Times New Roman"/>
      <w:szCs w:val="24"/>
      <w:lang w:val="fr-FR" w:eastAsia="en-GB"/>
    </w:rPr>
  </w:style>
  <w:style w:type="character" w:customStyle="1" w:styleId="CRMinorChangeDeleted">
    <w:name w:val="CR Minor Change Deleted"/>
    <w:basedOn w:val="DefaultParagraphFont"/>
    <w:rPr>
      <w:strike w:val="0"/>
      <w:dstrike/>
      <w:u w:val="double"/>
    </w:rPr>
  </w:style>
  <w:style w:type="character" w:customStyle="1" w:styleId="CRRefonteDeleted">
    <w:name w:val="CR Refonte Deleted"/>
    <w:rPr>
      <w:strike w:val="0"/>
      <w:dstrike/>
      <w:noProof w:val="0"/>
    </w:rPr>
  </w:style>
  <w:style w:type="character" w:customStyle="1" w:styleId="CRDeleted">
    <w:name w:val="CR Deleted"/>
    <w:basedOn w:val="DefaultParagraphFont"/>
    <w:rPr>
      <w:strike w:val="0"/>
      <w:dstrike/>
    </w:r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7"/>
      </w:numPr>
      <w:contextualSpacing/>
    </w:pPr>
  </w:style>
  <w:style w:type="character" w:customStyle="1" w:styleId="CRMinorChangeAdded">
    <w:name w:val="CR Minor Change Added"/>
    <w:basedOn w:val="DefaultParagraphFont"/>
    <w:rPr>
      <w:u w:val="double"/>
      <w:lang w:val="bg-BG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bg-BG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bg-BG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bg-BG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bg-BG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0"/>
      </w:numPr>
    </w:pPr>
  </w:style>
  <w:style w:type="paragraph" w:customStyle="1" w:styleId="Tiret1">
    <w:name w:val="Tiret 1"/>
    <w:basedOn w:val="Point1"/>
    <w:pPr>
      <w:numPr>
        <w:numId w:val="11"/>
      </w:numPr>
    </w:pPr>
  </w:style>
  <w:style w:type="paragraph" w:customStyle="1" w:styleId="Tiret2">
    <w:name w:val="Tiret 2"/>
    <w:basedOn w:val="Point2"/>
    <w:pPr>
      <w:numPr>
        <w:numId w:val="12"/>
      </w:numPr>
    </w:pPr>
  </w:style>
  <w:style w:type="paragraph" w:customStyle="1" w:styleId="Tiret3">
    <w:name w:val="Tiret 3"/>
    <w:basedOn w:val="Point3"/>
    <w:pPr>
      <w:numPr>
        <w:numId w:val="13"/>
      </w:numPr>
    </w:pPr>
  </w:style>
  <w:style w:type="paragraph" w:customStyle="1" w:styleId="Tiret4">
    <w:name w:val="Tiret 4"/>
    <w:basedOn w:val="Point4"/>
    <w:pPr>
      <w:numPr>
        <w:numId w:val="14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5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5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5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5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7"/>
      </w:numPr>
    </w:pPr>
  </w:style>
  <w:style w:type="paragraph" w:customStyle="1" w:styleId="Point1number">
    <w:name w:val="Point 1 (number)"/>
    <w:basedOn w:val="Normal"/>
    <w:pPr>
      <w:numPr>
        <w:ilvl w:val="2"/>
        <w:numId w:val="17"/>
      </w:numPr>
    </w:pPr>
  </w:style>
  <w:style w:type="paragraph" w:customStyle="1" w:styleId="Point2number">
    <w:name w:val="Point 2 (number)"/>
    <w:basedOn w:val="Normal"/>
    <w:pPr>
      <w:numPr>
        <w:ilvl w:val="4"/>
        <w:numId w:val="17"/>
      </w:numPr>
    </w:pPr>
  </w:style>
  <w:style w:type="paragraph" w:customStyle="1" w:styleId="Point3number">
    <w:name w:val="Point 3 (number)"/>
    <w:basedOn w:val="Normal"/>
    <w:pPr>
      <w:numPr>
        <w:ilvl w:val="6"/>
        <w:numId w:val="17"/>
      </w:numPr>
    </w:pPr>
  </w:style>
  <w:style w:type="paragraph" w:customStyle="1" w:styleId="Point0letter">
    <w:name w:val="Point 0 (letter)"/>
    <w:basedOn w:val="Normal"/>
    <w:pPr>
      <w:numPr>
        <w:ilvl w:val="1"/>
        <w:numId w:val="17"/>
      </w:numPr>
    </w:pPr>
  </w:style>
  <w:style w:type="paragraph" w:customStyle="1" w:styleId="Point1letter">
    <w:name w:val="Point 1 (letter)"/>
    <w:basedOn w:val="Normal"/>
    <w:pPr>
      <w:numPr>
        <w:ilvl w:val="3"/>
        <w:numId w:val="17"/>
      </w:numPr>
    </w:pPr>
  </w:style>
  <w:style w:type="paragraph" w:customStyle="1" w:styleId="Point2letter">
    <w:name w:val="Point 2 (letter)"/>
    <w:basedOn w:val="Normal"/>
    <w:pPr>
      <w:numPr>
        <w:ilvl w:val="5"/>
        <w:numId w:val="17"/>
      </w:numPr>
    </w:pPr>
  </w:style>
  <w:style w:type="paragraph" w:customStyle="1" w:styleId="Point3letter">
    <w:name w:val="Point 3 (letter)"/>
    <w:basedOn w:val="Normal"/>
    <w:pPr>
      <w:numPr>
        <w:ilvl w:val="7"/>
        <w:numId w:val="17"/>
      </w:numPr>
    </w:pPr>
  </w:style>
  <w:style w:type="paragraph" w:customStyle="1" w:styleId="Point4letter">
    <w:name w:val="Point 4 (letter)"/>
    <w:basedOn w:val="Normal"/>
    <w:pPr>
      <w:numPr>
        <w:ilvl w:val="8"/>
        <w:numId w:val="17"/>
      </w:numPr>
    </w:pPr>
  </w:style>
  <w:style w:type="paragraph" w:customStyle="1" w:styleId="Bullet0">
    <w:name w:val="Bullet 0"/>
    <w:basedOn w:val="Normal"/>
    <w:pPr>
      <w:numPr>
        <w:numId w:val="18"/>
      </w:numPr>
    </w:pPr>
  </w:style>
  <w:style w:type="paragraph" w:customStyle="1" w:styleId="Bullet1">
    <w:name w:val="Bullet 1"/>
    <w:basedOn w:val="Normal"/>
    <w:pPr>
      <w:numPr>
        <w:numId w:val="19"/>
      </w:numPr>
    </w:pPr>
  </w:style>
  <w:style w:type="paragraph" w:customStyle="1" w:styleId="Bullet2">
    <w:name w:val="Bullet 2"/>
    <w:basedOn w:val="Normal"/>
    <w:pPr>
      <w:numPr>
        <w:numId w:val="20"/>
      </w:numPr>
    </w:pPr>
  </w:style>
  <w:style w:type="paragraph" w:customStyle="1" w:styleId="Bullet3">
    <w:name w:val="Bullet 3"/>
    <w:basedOn w:val="Normal"/>
    <w:pPr>
      <w:numPr>
        <w:numId w:val="21"/>
      </w:numPr>
    </w:pPr>
  </w:style>
  <w:style w:type="paragraph" w:customStyle="1" w:styleId="Bullet4">
    <w:name w:val="Bullet 4"/>
    <w:basedOn w:val="Normal"/>
    <w:pPr>
      <w:numPr>
        <w:numId w:val="22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3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9F355-80B0-4797-8D66-FC975049C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6</TotalTime>
  <Pages>15</Pages>
  <Words>3890</Words>
  <Characters>22880</Characters>
  <Application>Microsoft Office Word</Application>
  <DocSecurity>0</DocSecurity>
  <Lines>520</Lines>
  <Paragraphs>219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DIGIT/A3</cp:lastModifiedBy>
  <cp:revision>19</cp:revision>
  <cp:lastPrinted>2017-05-18T12:12:00Z</cp:lastPrinted>
  <dcterms:created xsi:type="dcterms:W3CDTF">2017-05-18T12:11:00Z</dcterms:created>
  <dcterms:modified xsi:type="dcterms:W3CDTF">2017-06-23T14:55:00Z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COM/PL/ORG</vt:lpwstr>
  </property>
  <property fmtid="{D5CDD505-2E9C-101B-9397-08002B2CF9AE}" pid="3" name="Classification">
    <vt:lpwstr> </vt:lpwstr>
  </property>
  <property fmtid="{D5CDD505-2E9C-101B-9397-08002B2CF9AE}" pid="4" name="Version">
    <vt:lpwstr>5.84.2.0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5.8.4, Build 20150407</vt:lpwstr>
  </property>
  <property fmtid="{D5CDD505-2E9C-101B-9397-08002B2CF9AE}" pid="7" name="Part">
    <vt:lpwstr>1</vt:lpwstr>
  </property>
  <property fmtid="{D5CDD505-2E9C-101B-9397-08002B2CF9AE}" pid="8" name="Total parts">
    <vt:lpwstr>1</vt:lpwstr>
  </property>
  <property fmtid="{D5CDD505-2E9C-101B-9397-08002B2CF9AE}" pid="9" name="LWTemplateID">
    <vt:lpwstr>SJ-023</vt:lpwstr>
  </property>
  <property fmtid="{D5CDD505-2E9C-101B-9397-08002B2CF9AE}" pid="10" name="LWCR Document">
    <vt:lpwstr>True</vt:lpwstr>
  </property>
  <property fmtid="{D5CDD505-2E9C-101B-9397-08002B2CF9AE}" pid="11" name="LWCR Version">
    <vt:lpwstr>1.6.413</vt:lpwstr>
  </property>
  <property fmtid="{D5CDD505-2E9C-101B-9397-08002B2CF9AE}" pid="12" name="DQCStatus">
    <vt:lpwstr>Yellow (DQC version 03)</vt:lpwstr>
  </property>
</Properties>
</file>