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DC530C7A62F4CAB80759A3A93EE1B39" style="width:450.45pt;height:370.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CRSeparator"/>
        <w:rPr>
          <w:noProof/>
        </w:rPr>
      </w:pPr>
      <w:bookmarkStart w:id="0" w:name="_GoBack"/>
      <w:bookmarkEnd w:id="0"/>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91/2003</w:t>
      </w:r>
    </w:p>
    <w:p>
      <w:pPr>
        <w:pStyle w:val="Annexetitre"/>
        <w:rPr>
          <w:noProof/>
        </w:rPr>
      </w:pPr>
      <w:r>
        <w:rPr>
          <w:noProof/>
        </w:rPr>
        <w:t>ANNEXE I</w:t>
      </w:r>
    </w:p>
    <w:tbl>
      <w:tblPr>
        <w:tblW w:w="0" w:type="auto"/>
        <w:tblLayout w:type="fixed"/>
        <w:tblLook w:val="0000" w:firstRow="0" w:lastRow="0" w:firstColumn="0" w:lastColumn="0" w:noHBand="0" w:noVBand="0"/>
      </w:tblPr>
      <w:tblGrid>
        <w:gridCol w:w="1857"/>
        <w:gridCol w:w="7429"/>
      </w:tblGrid>
      <w:tr>
        <w:tc>
          <w:tcPr>
            <w:tcW w:w="9286" w:type="dxa"/>
            <w:gridSpan w:val="2"/>
            <w:tcBorders>
              <w:top w:val="single" w:sz="2" w:space="0" w:color="auto"/>
              <w:left w:val="single" w:sz="2" w:space="0" w:color="auto"/>
              <w:bottom w:val="single" w:sz="2" w:space="0" w:color="auto"/>
              <w:right w:val="single" w:sz="2" w:space="0" w:color="auto"/>
            </w:tcBorders>
          </w:tcPr>
          <w:p>
            <w:pPr>
              <w:pStyle w:val="NormalCentered"/>
              <w:rPr>
                <w:noProof/>
              </w:rPr>
            </w:pPr>
            <w:r>
              <w:rPr>
                <w:noProof/>
              </w:rPr>
              <w:t>STATISTIQUES ANNUELLES SUR LE TRANSPORT DE MARCHANDISES — DÉCLARATION DÉTAILLÉE</w:t>
            </w:r>
          </w:p>
        </w:tc>
      </w:tr>
      <w:tr>
        <w:tc>
          <w:tcPr>
            <w:tcW w:w="18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Liste des variables et unités de mesure</w:t>
            </w:r>
          </w:p>
        </w:tc>
        <w:tc>
          <w:tcPr>
            <w:tcW w:w="742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Marchandises transportées en:</w:t>
            </w:r>
          </w:p>
          <w:p>
            <w:pPr>
              <w:pStyle w:val="Tiret0"/>
              <w:numPr>
                <w:ilvl w:val="0"/>
                <w:numId w:val="5"/>
              </w:numPr>
              <w:ind w:left="851"/>
              <w:rPr>
                <w:noProof/>
              </w:rPr>
            </w:pPr>
            <w:r>
              <w:rPr>
                <w:noProof/>
              </w:rPr>
              <w:t>tonnes</w:t>
            </w:r>
          </w:p>
          <w:p>
            <w:pPr>
              <w:pStyle w:val="Tiret0"/>
              <w:ind w:left="851"/>
              <w:rPr>
                <w:noProof/>
              </w:rPr>
            </w:pPr>
            <w:r>
              <w:rPr>
                <w:noProof/>
              </w:rPr>
              <w:t>tonnes-kilomètre</w:t>
            </w:r>
          </w:p>
          <w:p>
            <w:pPr>
              <w:pStyle w:val="NormalLeft"/>
              <w:rPr>
                <w:noProof/>
              </w:rPr>
            </w:pPr>
            <w:r>
              <w:rPr>
                <w:noProof/>
              </w:rPr>
              <w:t>Mouvements de trains de marchandise en:</w:t>
            </w:r>
          </w:p>
          <w:p>
            <w:pPr>
              <w:pStyle w:val="Tiret0"/>
              <w:ind w:left="851"/>
              <w:rPr>
                <w:noProof/>
              </w:rPr>
            </w:pPr>
            <w:r>
              <w:rPr>
                <w:noProof/>
              </w:rPr>
              <w:t>trains-kilomètre</w:t>
            </w:r>
          </w:p>
          <w:p>
            <w:pPr>
              <w:pStyle w:val="NormalLeft"/>
              <w:rPr>
                <w:noProof/>
              </w:rPr>
            </w:pPr>
            <w:r>
              <w:rPr>
                <w:noProof/>
              </w:rPr>
              <w:t>Nombre d'unités de transport intermodal transportées en:</w:t>
            </w:r>
          </w:p>
          <w:p>
            <w:pPr>
              <w:pStyle w:val="Tiret0"/>
              <w:ind w:left="851"/>
              <w:rPr>
                <w:noProof/>
              </w:rPr>
            </w:pPr>
            <w:r>
              <w:rPr>
                <w:noProof/>
              </w:rPr>
              <w:t>nombre</w:t>
            </w:r>
          </w:p>
          <w:p>
            <w:pPr>
              <w:pStyle w:val="Tiret0"/>
              <w:ind w:left="851"/>
              <w:rPr>
                <w:noProof/>
              </w:rPr>
            </w:pPr>
            <w:r>
              <w:rPr>
                <w:noProof/>
              </w:rPr>
              <w:t>EVP (équivalent-vingt pieds) (pour les conteneurs et les caisses mobiles)</w:t>
            </w:r>
          </w:p>
        </w:tc>
      </w:tr>
      <w:tr>
        <w:tc>
          <w:tcPr>
            <w:tcW w:w="18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Période de référence</w:t>
            </w:r>
          </w:p>
        </w:tc>
        <w:tc>
          <w:tcPr>
            <w:tcW w:w="742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Une année</w:t>
            </w:r>
          </w:p>
        </w:tc>
      </w:tr>
      <w:tr>
        <w:tc>
          <w:tcPr>
            <w:tcW w:w="18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Fréquence</w:t>
            </w:r>
          </w:p>
        </w:tc>
        <w:tc>
          <w:tcPr>
            <w:tcW w:w="742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Chaque année</w:t>
            </w:r>
          </w:p>
        </w:tc>
      </w:tr>
      <w:tr>
        <w:tc>
          <w:tcPr>
            <w:tcW w:w="18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Liste des tableaux et ventilation par tableau</w:t>
            </w:r>
          </w:p>
        </w:tc>
        <w:tc>
          <w:tcPr>
            <w:tcW w:w="7429"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Tableau I1: marchandises transportées, par type de transport</w:t>
            </w:r>
          </w:p>
          <w:p>
            <w:pPr>
              <w:pStyle w:val="NormalLeft"/>
              <w:jc w:val="both"/>
              <w:rPr>
                <w:noProof/>
              </w:rPr>
            </w:pPr>
            <w:r>
              <w:rPr>
                <w:noProof/>
              </w:rPr>
              <w:t>Tableau I2: marchandises transportées, par type de marchandise (annexe VI)</w:t>
            </w:r>
          </w:p>
          <w:p>
            <w:pPr>
              <w:pStyle w:val="NormalLeft"/>
              <w:jc w:val="both"/>
              <w:rPr>
                <w:noProof/>
              </w:rPr>
            </w:pPr>
            <w:r>
              <w:rPr>
                <w:noProof/>
              </w:rPr>
              <w:t>Tableau I3: marchandises transportées (pour le transport international et de transit) par pays de chargement et pays de déchargement</w:t>
            </w:r>
          </w:p>
          <w:p>
            <w:pPr>
              <w:pStyle w:val="NormalLeft"/>
              <w:jc w:val="both"/>
              <w:rPr>
                <w:noProof/>
              </w:rPr>
            </w:pPr>
            <w:r>
              <w:rPr>
                <w:noProof/>
              </w:rPr>
              <w:t>Tableau I4: marchandises transportées, par catégorie de marchandises dangereuses (annexe VII)</w:t>
            </w:r>
          </w:p>
          <w:p>
            <w:pPr>
              <w:pStyle w:val="NormalLeft"/>
              <w:jc w:val="both"/>
              <w:rPr>
                <w:noProof/>
              </w:rPr>
            </w:pPr>
            <w:r>
              <w:rPr>
                <w:noProof/>
              </w:rPr>
              <w:t>Tableau I5: marchandises transportées, par type d'envoi (facultatif)</w:t>
            </w:r>
          </w:p>
          <w:p>
            <w:pPr>
              <w:pStyle w:val="NormalLeft"/>
              <w:jc w:val="both"/>
              <w:rPr>
                <w:noProof/>
              </w:rPr>
            </w:pPr>
            <w:r>
              <w:rPr>
                <w:noProof/>
              </w:rPr>
              <w:t>Tableau I6: marchandises transportées en unités de transport intermodal, par type de transport et par type d'unité de transport</w:t>
            </w:r>
          </w:p>
          <w:p>
            <w:pPr>
              <w:pStyle w:val="NormalLeft"/>
              <w:jc w:val="both"/>
              <w:rPr>
                <w:noProof/>
              </w:rPr>
            </w:pPr>
            <w:r>
              <w:rPr>
                <w:noProof/>
              </w:rPr>
              <w:t>Tableau I7: nombre d'unités de transport intermodal chargées transportées, par type de transport et par type d'unité de transport</w:t>
            </w:r>
          </w:p>
          <w:p>
            <w:pPr>
              <w:pStyle w:val="NormalLeft"/>
              <w:jc w:val="both"/>
              <w:rPr>
                <w:noProof/>
              </w:rPr>
            </w:pPr>
            <w:r>
              <w:rPr>
                <w:noProof/>
              </w:rPr>
              <w:t>Tableau I8: nombre d'unités de transport intermodal vides transportées, par type de transport et par type d'unité de transport</w:t>
            </w:r>
          </w:p>
          <w:p>
            <w:pPr>
              <w:pStyle w:val="NormalLeft"/>
              <w:jc w:val="both"/>
              <w:rPr>
                <w:noProof/>
              </w:rPr>
            </w:pPr>
            <w:r>
              <w:rPr>
                <w:noProof/>
              </w:rPr>
              <w:t>Tableau I9: mouvements des trains de marchandises</w:t>
            </w:r>
          </w:p>
        </w:tc>
      </w:tr>
      <w:tr>
        <w:tc>
          <w:tcPr>
            <w:tcW w:w="18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Délai pour la transmission des données</w:t>
            </w:r>
          </w:p>
        </w:tc>
        <w:tc>
          <w:tcPr>
            <w:tcW w:w="742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Cinq mois après la fin de la période de référence</w:t>
            </w:r>
          </w:p>
        </w:tc>
      </w:tr>
      <w:tr>
        <w:tc>
          <w:tcPr>
            <w:tcW w:w="1857" w:type="dxa"/>
            <w:tcBorders>
              <w:top w:val="single" w:sz="2" w:space="0" w:color="auto"/>
              <w:left w:val="single" w:sz="2" w:space="0" w:color="auto"/>
              <w:bottom w:val="single" w:sz="2" w:space="0" w:color="auto"/>
              <w:right w:val="single" w:sz="2" w:space="0" w:color="auto"/>
            </w:tcBorders>
          </w:tcPr>
          <w:p>
            <w:pPr>
              <w:pStyle w:val="NormalLeft"/>
              <w:keepNext/>
              <w:rPr>
                <w:noProof/>
              </w:rPr>
            </w:pPr>
            <w:r>
              <w:rPr>
                <w:noProof/>
              </w:rPr>
              <w:lastRenderedPageBreak/>
              <w:t>Première période de référence pour les tableaux I1, I2 et I3</w:t>
            </w:r>
          </w:p>
        </w:tc>
        <w:tc>
          <w:tcPr>
            <w:tcW w:w="7429" w:type="dxa"/>
            <w:tcBorders>
              <w:top w:val="single" w:sz="2" w:space="0" w:color="auto"/>
              <w:left w:val="single" w:sz="2" w:space="0" w:color="auto"/>
              <w:bottom w:val="single" w:sz="2" w:space="0" w:color="auto"/>
              <w:right w:val="single" w:sz="2" w:space="0" w:color="auto"/>
            </w:tcBorders>
          </w:tcPr>
          <w:p>
            <w:pPr>
              <w:pStyle w:val="NormalLeft"/>
              <w:keepNext/>
              <w:rPr>
                <w:noProof/>
              </w:rPr>
            </w:pPr>
            <w:r>
              <w:rPr>
                <w:noProof/>
              </w:rPr>
              <w:t>2003</w:t>
            </w:r>
          </w:p>
        </w:tc>
      </w:tr>
      <w:tr>
        <w:tc>
          <w:tcPr>
            <w:tcW w:w="18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Première période de référence pour les tableaux I4, I5, I6, I7, I8 et II9</w:t>
            </w:r>
          </w:p>
        </w:tc>
        <w:tc>
          <w:tcPr>
            <w:tcW w:w="742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2004</w:t>
            </w:r>
          </w:p>
        </w:tc>
      </w:tr>
      <w:tr>
        <w:tc>
          <w:tcPr>
            <w:tcW w:w="18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Remarques</w:t>
            </w:r>
          </w:p>
        </w:tc>
        <w:tc>
          <w:tcPr>
            <w:tcW w:w="7429"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1.</w:t>
            </w:r>
            <w:r>
              <w:rPr>
                <w:noProof/>
              </w:rPr>
              <w:tab/>
              <w:t>Les types de transport sont ventilés comme suit:</w:t>
            </w:r>
          </w:p>
          <w:p>
            <w:pPr>
              <w:pStyle w:val="Tiret0"/>
              <w:tabs>
                <w:tab w:val="clear" w:pos="850"/>
                <w:tab w:val="num" w:pos="1120"/>
              </w:tabs>
              <w:ind w:left="978" w:hanging="283"/>
              <w:rPr>
                <w:noProof/>
              </w:rPr>
            </w:pPr>
            <w:r>
              <w:rPr>
                <w:noProof/>
              </w:rPr>
              <w:t>national</w:t>
            </w:r>
          </w:p>
          <w:p>
            <w:pPr>
              <w:pStyle w:val="Tiret0"/>
              <w:tabs>
                <w:tab w:val="clear" w:pos="850"/>
                <w:tab w:val="num" w:pos="1120"/>
              </w:tabs>
              <w:ind w:left="978" w:hanging="283"/>
              <w:rPr>
                <w:noProof/>
              </w:rPr>
            </w:pPr>
            <w:r>
              <w:rPr>
                <w:noProof/>
              </w:rPr>
              <w:t>international-entrant</w:t>
            </w:r>
          </w:p>
          <w:p>
            <w:pPr>
              <w:pStyle w:val="Tiret0"/>
              <w:tabs>
                <w:tab w:val="clear" w:pos="850"/>
                <w:tab w:val="num" w:pos="1120"/>
              </w:tabs>
              <w:ind w:left="978" w:hanging="283"/>
              <w:rPr>
                <w:noProof/>
              </w:rPr>
            </w:pPr>
            <w:r>
              <w:rPr>
                <w:noProof/>
              </w:rPr>
              <w:t>international-sortant</w:t>
            </w:r>
          </w:p>
          <w:p>
            <w:pPr>
              <w:pStyle w:val="Tiret0"/>
              <w:tabs>
                <w:tab w:val="clear" w:pos="850"/>
                <w:tab w:val="num" w:pos="1120"/>
              </w:tabs>
              <w:ind w:left="978" w:hanging="283"/>
              <w:rPr>
                <w:noProof/>
              </w:rPr>
            </w:pPr>
            <w:r>
              <w:rPr>
                <w:noProof/>
              </w:rPr>
              <w:t>transit</w:t>
            </w:r>
          </w:p>
          <w:p>
            <w:pPr>
              <w:pStyle w:val="NormalLeft"/>
              <w:jc w:val="both"/>
              <w:rPr>
                <w:noProof/>
              </w:rPr>
            </w:pPr>
            <w:r>
              <w:rPr>
                <w:noProof/>
              </w:rPr>
              <w:t>2.</w:t>
            </w:r>
            <w:r>
              <w:rPr>
                <w:noProof/>
              </w:rPr>
              <w:tab/>
              <w:t>Les types d'envoi peuvent être ventilés comme suit:</w:t>
            </w:r>
          </w:p>
          <w:p>
            <w:pPr>
              <w:pStyle w:val="Tiret0"/>
              <w:tabs>
                <w:tab w:val="clear" w:pos="850"/>
                <w:tab w:val="num" w:pos="1120"/>
              </w:tabs>
              <w:ind w:left="978" w:hanging="283"/>
              <w:rPr>
                <w:noProof/>
              </w:rPr>
            </w:pPr>
            <w:r>
              <w:rPr>
                <w:noProof/>
              </w:rPr>
              <w:t>envois par train complet</w:t>
            </w:r>
          </w:p>
          <w:p>
            <w:pPr>
              <w:pStyle w:val="Tiret0"/>
              <w:tabs>
                <w:tab w:val="clear" w:pos="850"/>
                <w:tab w:val="num" w:pos="1120"/>
              </w:tabs>
              <w:ind w:left="978" w:hanging="283"/>
              <w:rPr>
                <w:noProof/>
              </w:rPr>
            </w:pPr>
            <w:r>
              <w:rPr>
                <w:noProof/>
              </w:rPr>
              <w:t>envois par wagon complet</w:t>
            </w:r>
          </w:p>
          <w:p>
            <w:pPr>
              <w:pStyle w:val="Tiret0"/>
              <w:tabs>
                <w:tab w:val="clear" w:pos="850"/>
                <w:tab w:val="num" w:pos="1120"/>
              </w:tabs>
              <w:ind w:left="978" w:hanging="283"/>
              <w:rPr>
                <w:noProof/>
              </w:rPr>
            </w:pPr>
            <w:r>
              <w:rPr>
                <w:noProof/>
              </w:rPr>
              <w:t>autres</w:t>
            </w:r>
          </w:p>
          <w:p>
            <w:pPr>
              <w:pStyle w:val="NormalLeft"/>
              <w:jc w:val="both"/>
              <w:rPr>
                <w:noProof/>
              </w:rPr>
            </w:pPr>
            <w:r>
              <w:rPr>
                <w:noProof/>
              </w:rPr>
              <w:t>3.</w:t>
            </w:r>
            <w:r>
              <w:rPr>
                <w:noProof/>
              </w:rPr>
              <w:tab/>
              <w:t>Les types d'unité de transport sont ventilés comme suit:</w:t>
            </w:r>
          </w:p>
          <w:p>
            <w:pPr>
              <w:pStyle w:val="Tiret0"/>
              <w:tabs>
                <w:tab w:val="clear" w:pos="850"/>
                <w:tab w:val="num" w:pos="1120"/>
              </w:tabs>
              <w:ind w:left="978" w:hanging="283"/>
              <w:rPr>
                <w:noProof/>
              </w:rPr>
            </w:pPr>
            <w:r>
              <w:rPr>
                <w:noProof/>
              </w:rPr>
              <w:t>conteneurs et caisses mobiles</w:t>
            </w:r>
          </w:p>
          <w:p>
            <w:pPr>
              <w:pStyle w:val="Tiret0"/>
              <w:tabs>
                <w:tab w:val="clear" w:pos="850"/>
                <w:tab w:val="num" w:pos="1120"/>
              </w:tabs>
              <w:ind w:left="978" w:hanging="283"/>
              <w:rPr>
                <w:noProof/>
              </w:rPr>
            </w:pPr>
            <w:r>
              <w:rPr>
                <w:noProof/>
              </w:rPr>
              <w:t>semi-remorques (non accompagnés)</w:t>
            </w:r>
          </w:p>
          <w:p>
            <w:pPr>
              <w:pStyle w:val="Tiret0"/>
              <w:tabs>
                <w:tab w:val="clear" w:pos="850"/>
                <w:tab w:val="num" w:pos="1120"/>
              </w:tabs>
              <w:ind w:left="978" w:hanging="283"/>
              <w:rPr>
                <w:noProof/>
              </w:rPr>
            </w:pPr>
            <w:r>
              <w:rPr>
                <w:noProof/>
              </w:rPr>
              <w:t>véhicules routiers (accompagnés)</w:t>
            </w:r>
          </w:p>
          <w:p>
            <w:pPr>
              <w:pStyle w:val="NormalLeft"/>
              <w:ind w:left="720" w:hanging="720"/>
              <w:jc w:val="both"/>
              <w:rPr>
                <w:noProof/>
              </w:rPr>
            </w:pPr>
            <w:r>
              <w:rPr>
                <w:noProof/>
              </w:rPr>
              <w:t>4.</w:t>
            </w:r>
            <w:r>
              <w:rPr>
                <w:noProof/>
              </w:rPr>
              <w:tab/>
              <w:t>Pour le tableau I3, Eurostat et les États membres peuvent adopter des dispositions destinées à faciliter la consolidation des données provenant d'entreprises d'autres États membres, afin de garantir la cohérence de ces données.</w:t>
            </w:r>
          </w:p>
          <w:p>
            <w:pPr>
              <w:pStyle w:val="NormalLeft"/>
              <w:ind w:left="720" w:hanging="720"/>
              <w:jc w:val="both"/>
              <w:rPr>
                <w:noProof/>
              </w:rPr>
            </w:pPr>
            <w:r>
              <w:rPr>
                <w:noProof/>
              </w:rPr>
              <w:t>5.</w:t>
            </w:r>
            <w:r>
              <w:rPr>
                <w:noProof/>
              </w:rPr>
              <w:tab/>
              <w:t>Pour le tableau I4, les États membres indiquent quelles catégories de transport, le cas échéant, ne sont pas couvertes par les données.</w:t>
            </w:r>
          </w:p>
          <w:p>
            <w:pPr>
              <w:pStyle w:val="NormalLeft"/>
              <w:ind w:left="720" w:hanging="720"/>
              <w:jc w:val="both"/>
              <w:rPr>
                <w:noProof/>
              </w:rPr>
            </w:pPr>
            <w:r>
              <w:rPr>
                <w:noProof/>
              </w:rPr>
              <w:t>6.</w:t>
            </w:r>
            <w:r>
              <w:rPr>
                <w:noProof/>
              </w:rPr>
              <w:tab/>
              <w:t>Pour les tableaux I2 à I8, lorsque des informations complètes sur le transport de transit ne sont pas disponibles, les États membres communiquent toutes les données disponibles.</w:t>
            </w:r>
          </w:p>
        </w:tc>
      </w:tr>
    </w:tbl>
    <w:p>
      <w:pPr>
        <w:adjustRightInd w:val="0"/>
        <w:spacing w:before="0" w:after="0"/>
        <w:jc w:val="center"/>
        <w:rPr>
          <w:noProof/>
          <w:lang w:val="da-DK"/>
        </w:rPr>
      </w:pPr>
      <w:r>
        <w:rPr>
          <w:noProof/>
          <w:lang w:val="da-DK"/>
        </w:rPr>
        <w:t>____________________</w:t>
      </w:r>
    </w:p>
    <w:p>
      <w:pPr>
        <w:adjustRightInd w:val="0"/>
        <w:spacing w:before="0" w:after="0"/>
        <w:jc w:val="left"/>
        <w:rPr>
          <w:noProof/>
          <w:lang w:val="da-DK"/>
        </w:rPr>
        <w:sectPr>
          <w:footerReference w:type="default" r:id="rId16"/>
          <w:footerReference w:type="first" r:id="rId17"/>
          <w:pgSz w:w="11906" w:h="16838"/>
          <w:pgMar w:top="1134" w:right="1418" w:bottom="1134" w:left="1418" w:header="709" w:footer="709" w:gutter="0"/>
          <w:pgNumType w:chapStyle="1"/>
          <w:cols w:space="709"/>
          <w:docGrid w:linePitch="326"/>
        </w:sectPr>
      </w:pPr>
    </w:p>
    <w:p>
      <w:pPr>
        <w:pStyle w:val="CRSeparator"/>
        <w:rPr>
          <w:noProof/>
          <w:lang w:val="da-DK"/>
        </w:rPr>
      </w:pPr>
    </w:p>
    <w:p>
      <w:pPr>
        <w:pStyle w:val="CRReference"/>
        <w:rPr>
          <w:noProof/>
          <w:lang w:val="da-DK"/>
        </w:rPr>
      </w:pPr>
      <w:r>
        <w:rPr>
          <w:noProof/>
        </w:rPr>
        <w:fldChar w:fldCharType="begin"/>
      </w:r>
      <w:r>
        <w:rPr>
          <w:noProof/>
          <w:lang w:val="da-DK"/>
        </w:rPr>
        <w:instrText xml:space="preserve"> QUOTE "</w:instrText>
      </w:r>
      <w:r>
        <w:rPr>
          <w:rStyle w:val="CRMarker"/>
          <w:noProof/>
          <w:lang w:val="da-DK"/>
        </w:rPr>
        <w:instrText>ê</w:instrText>
      </w:r>
      <w:r>
        <w:rPr>
          <w:noProof/>
          <w:lang w:val="da-DK"/>
        </w:rPr>
        <w:instrText xml:space="preserve">" </w:instrText>
      </w:r>
      <w:r>
        <w:rPr>
          <w:noProof/>
        </w:rPr>
        <w:fldChar w:fldCharType="separate"/>
      </w:r>
      <w:r>
        <w:rPr>
          <w:rStyle w:val="CRMarker"/>
          <w:noProof/>
          <w:lang w:val="da-DK"/>
        </w:rPr>
        <w:t>ê</w:t>
      </w:r>
      <w:r>
        <w:rPr>
          <w:noProof/>
        </w:rPr>
        <w:fldChar w:fldCharType="end"/>
      </w:r>
      <w:r>
        <w:rPr>
          <w:noProof/>
          <w:lang w:val="da-DK"/>
        </w:rPr>
        <w:t> 2016/2032 Art. 1, pt. 11 et Annexe I</w:t>
      </w:r>
    </w:p>
    <w:p>
      <w:pPr>
        <w:pStyle w:val="Annexetitre"/>
        <w:rPr>
          <w:noProof/>
          <w:lang w:val="da-DK"/>
        </w:rPr>
      </w:pPr>
      <w:r>
        <w:rPr>
          <w:noProof/>
          <w:lang w:val="da-DK"/>
        </w:rPr>
        <w:t>ANNEXE II</w:t>
      </w:r>
    </w:p>
    <w:tbl>
      <w:tblPr>
        <w:tblW w:w="0" w:type="auto"/>
        <w:tblLayout w:type="fixed"/>
        <w:tblLook w:val="0000" w:firstRow="0" w:lastRow="0" w:firstColumn="0" w:lastColumn="0" w:noHBand="0" w:noVBand="0"/>
      </w:tblPr>
      <w:tblGrid>
        <w:gridCol w:w="2136"/>
        <w:gridCol w:w="7150"/>
      </w:tblGrid>
      <w:tr>
        <w:tc>
          <w:tcPr>
            <w:tcW w:w="9286" w:type="dxa"/>
            <w:gridSpan w:val="2"/>
            <w:tcBorders>
              <w:top w:val="single" w:sz="2" w:space="0" w:color="auto"/>
              <w:left w:val="single" w:sz="2" w:space="0" w:color="auto"/>
              <w:bottom w:val="single" w:sz="2" w:space="0" w:color="auto"/>
              <w:right w:val="single" w:sz="2" w:space="0" w:color="auto"/>
            </w:tcBorders>
          </w:tcPr>
          <w:p>
            <w:pPr>
              <w:pStyle w:val="NormalCentered"/>
              <w:rPr>
                <w:noProof/>
              </w:rPr>
            </w:pPr>
            <w:r>
              <w:rPr>
                <w:noProof/>
              </w:rPr>
              <w:t>STATISTIQUES ANNUELLES SUR LE TRANSPORT DE VOYAGEURS — DÉCLARATION DÉTAILLÉE</w:t>
            </w:r>
          </w:p>
        </w:tc>
      </w:tr>
      <w:tr>
        <w:tc>
          <w:tcPr>
            <w:tcW w:w="213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Liste des variables et unités de mesure</w:t>
            </w:r>
          </w:p>
        </w:tc>
        <w:tc>
          <w:tcPr>
            <w:tcW w:w="71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Voyageurs transportés en:</w:t>
            </w:r>
          </w:p>
          <w:p>
            <w:pPr>
              <w:pStyle w:val="Tiret0"/>
              <w:ind w:left="851"/>
              <w:rPr>
                <w:noProof/>
              </w:rPr>
            </w:pPr>
            <w:r>
              <w:rPr>
                <w:noProof/>
              </w:rPr>
              <w:t>nombre de voyageurs</w:t>
            </w:r>
          </w:p>
          <w:p>
            <w:pPr>
              <w:pStyle w:val="Tiret0"/>
              <w:ind w:left="851"/>
              <w:rPr>
                <w:noProof/>
              </w:rPr>
            </w:pPr>
            <w:r>
              <w:rPr>
                <w:noProof/>
              </w:rPr>
              <w:t>voyageurs-kilomètres</w:t>
            </w:r>
          </w:p>
          <w:p>
            <w:pPr>
              <w:pStyle w:val="NormalLeft"/>
              <w:rPr>
                <w:noProof/>
              </w:rPr>
            </w:pPr>
            <w:r>
              <w:rPr>
                <w:noProof/>
              </w:rPr>
              <w:t>Mouvements de trains de voyageurs en:</w:t>
            </w:r>
          </w:p>
          <w:p>
            <w:pPr>
              <w:pStyle w:val="Tiret0"/>
              <w:ind w:left="851"/>
              <w:rPr>
                <w:noProof/>
              </w:rPr>
            </w:pPr>
            <w:r>
              <w:rPr>
                <w:noProof/>
              </w:rPr>
              <w:t>trains-kilomètres</w:t>
            </w:r>
          </w:p>
        </w:tc>
      </w:tr>
      <w:tr>
        <w:tc>
          <w:tcPr>
            <w:tcW w:w="213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Période de référence</w:t>
            </w:r>
          </w:p>
        </w:tc>
        <w:tc>
          <w:tcPr>
            <w:tcW w:w="71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Une année</w:t>
            </w:r>
          </w:p>
        </w:tc>
      </w:tr>
      <w:tr>
        <w:tc>
          <w:tcPr>
            <w:tcW w:w="213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Fréquence</w:t>
            </w:r>
          </w:p>
        </w:tc>
        <w:tc>
          <w:tcPr>
            <w:tcW w:w="71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Chaque année</w:t>
            </w:r>
          </w:p>
        </w:tc>
      </w:tr>
      <w:tr>
        <w:tc>
          <w:tcPr>
            <w:tcW w:w="213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Liste des tableaux et ventilation par tableau</w:t>
            </w:r>
          </w:p>
        </w:tc>
        <w:tc>
          <w:tcPr>
            <w:tcW w:w="7150"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Tableau II1: voyageurs transportés, par type de transport</w:t>
            </w:r>
          </w:p>
          <w:p>
            <w:pPr>
              <w:pStyle w:val="NormalLeft"/>
              <w:jc w:val="both"/>
              <w:rPr>
                <w:noProof/>
              </w:rPr>
            </w:pPr>
            <w:r>
              <w:rPr>
                <w:noProof/>
              </w:rPr>
              <w:t>Tableau II2: voyageurs internationaux transportés, par pays d'embarquement et par pays de débarquement</w:t>
            </w:r>
          </w:p>
          <w:p>
            <w:pPr>
              <w:pStyle w:val="NormalLeft"/>
              <w:jc w:val="both"/>
              <w:rPr>
                <w:noProof/>
              </w:rPr>
            </w:pPr>
            <w:r>
              <w:rPr>
                <w:noProof/>
              </w:rPr>
              <w:t>Tableau II3: mouvements des trains de voyageurs</w:t>
            </w:r>
          </w:p>
        </w:tc>
      </w:tr>
      <w:tr>
        <w:tc>
          <w:tcPr>
            <w:tcW w:w="213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Délai pour la transmission des données</w:t>
            </w:r>
          </w:p>
        </w:tc>
        <w:tc>
          <w:tcPr>
            <w:tcW w:w="71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Huit mois après la fin de la période de référence</w:t>
            </w:r>
          </w:p>
        </w:tc>
      </w:tr>
      <w:tr>
        <w:tc>
          <w:tcPr>
            <w:tcW w:w="213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Première période de référence</w:t>
            </w:r>
          </w:p>
        </w:tc>
        <w:tc>
          <w:tcPr>
            <w:tcW w:w="71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2016</w:t>
            </w:r>
          </w:p>
        </w:tc>
      </w:tr>
      <w:tr>
        <w:tc>
          <w:tcPr>
            <w:tcW w:w="213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Remarques</w:t>
            </w:r>
          </w:p>
        </w:tc>
        <w:tc>
          <w:tcPr>
            <w:tcW w:w="7150" w:type="dxa"/>
            <w:tcBorders>
              <w:top w:val="single" w:sz="2" w:space="0" w:color="auto"/>
              <w:left w:val="single" w:sz="2" w:space="0" w:color="auto"/>
              <w:bottom w:val="single" w:sz="2" w:space="0" w:color="auto"/>
              <w:right w:val="single" w:sz="2" w:space="0" w:color="auto"/>
            </w:tcBorders>
          </w:tcPr>
          <w:p>
            <w:pPr>
              <w:pStyle w:val="Point0"/>
              <w:rPr>
                <w:noProof/>
              </w:rPr>
            </w:pPr>
            <w:r>
              <w:rPr>
                <w:noProof/>
              </w:rPr>
              <w:t>1.</w:t>
            </w:r>
            <w:r>
              <w:rPr>
                <w:noProof/>
              </w:rPr>
              <w:tab/>
              <w:t>Les types de transport sont ventilés comme suit:</w:t>
            </w:r>
          </w:p>
          <w:p>
            <w:pPr>
              <w:pStyle w:val="Tiret1"/>
              <w:numPr>
                <w:ilvl w:val="0"/>
                <w:numId w:val="6"/>
              </w:numPr>
              <w:ind w:left="1418"/>
              <w:rPr>
                <w:noProof/>
              </w:rPr>
            </w:pPr>
            <w:r>
              <w:rPr>
                <w:noProof/>
              </w:rPr>
              <w:t>national,</w:t>
            </w:r>
          </w:p>
          <w:p>
            <w:pPr>
              <w:pStyle w:val="Tiret1"/>
              <w:ind w:left="1418"/>
              <w:rPr>
                <w:noProof/>
              </w:rPr>
            </w:pPr>
            <w:r>
              <w:rPr>
                <w:noProof/>
              </w:rPr>
              <w:t>international.</w:t>
            </w:r>
          </w:p>
          <w:p>
            <w:pPr>
              <w:pStyle w:val="Point0"/>
              <w:rPr>
                <w:noProof/>
              </w:rPr>
            </w:pPr>
            <w:r>
              <w:rPr>
                <w:noProof/>
              </w:rPr>
              <w:t>2.</w:t>
            </w:r>
            <w:r>
              <w:rPr>
                <w:noProof/>
              </w:rPr>
              <w:tab/>
              <w:t>Pour les tableaux II1 et II2, les États membres déclarent des données qui contiennent également des informations sur les billets vendus à l'extérieur du pays déclarant. Ces informations peuvent être obtenues soit directement auprès des autorités nationales d'autres pays, soit via des mécanismes internationaux de compensation des billets.</w:t>
            </w:r>
          </w:p>
        </w:tc>
      </w:tr>
    </w:tbl>
    <w:p>
      <w:pPr>
        <w:adjustRightInd w:val="0"/>
        <w:spacing w:before="0" w:after="0"/>
        <w:jc w:val="center"/>
        <w:rPr>
          <w:noProof/>
          <w:lang w:val="da-DK"/>
        </w:rPr>
      </w:pPr>
      <w:r>
        <w:rPr>
          <w:noProof/>
          <w:lang w:val="da-DK"/>
        </w:rPr>
        <w:t>____________________</w:t>
      </w:r>
    </w:p>
    <w:p>
      <w:pPr>
        <w:adjustRightInd w:val="0"/>
        <w:spacing w:before="0" w:after="0"/>
        <w:jc w:val="left"/>
        <w:rPr>
          <w:noProof/>
          <w:lang w:val="en-US"/>
        </w:rPr>
        <w:sectPr>
          <w:pgSz w:w="11906" w:h="16838"/>
          <w:pgMar w:top="1134" w:right="1418" w:bottom="1134" w:left="1418" w:header="709" w:footer="709" w:gutter="0"/>
          <w:cols w:space="709"/>
          <w:docGrid w:linePitch="326"/>
        </w:sectPr>
      </w:pP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91/2003</w:t>
      </w:r>
    </w:p>
    <w:p>
      <w:pPr>
        <w:pStyle w:val="Annexetitre"/>
        <w:rPr>
          <w:noProof/>
        </w:rPr>
      </w:pPr>
      <w:r>
        <w:rPr>
          <w:noProof/>
        </w:rPr>
        <w:t>ANNEXE III</w:t>
      </w:r>
    </w:p>
    <w:tbl>
      <w:tblPr>
        <w:tblW w:w="0" w:type="auto"/>
        <w:tblLayout w:type="fixed"/>
        <w:tblLook w:val="0000" w:firstRow="0" w:lastRow="0" w:firstColumn="0" w:lastColumn="0" w:noHBand="0" w:noVBand="0"/>
      </w:tblPr>
      <w:tblGrid>
        <w:gridCol w:w="2229"/>
        <w:gridCol w:w="7057"/>
      </w:tblGrid>
      <w:tr>
        <w:tc>
          <w:tcPr>
            <w:tcW w:w="9286" w:type="dxa"/>
            <w:gridSpan w:val="2"/>
            <w:tcBorders>
              <w:top w:val="single" w:sz="2" w:space="0" w:color="auto"/>
              <w:left w:val="single" w:sz="2" w:space="0" w:color="auto"/>
              <w:bottom w:val="single" w:sz="2" w:space="0" w:color="auto"/>
              <w:right w:val="single" w:sz="2" w:space="0" w:color="auto"/>
            </w:tcBorders>
          </w:tcPr>
          <w:p>
            <w:pPr>
              <w:pStyle w:val="NormalCentered"/>
              <w:rPr>
                <w:noProof/>
              </w:rPr>
            </w:pPr>
            <w:r>
              <w:rPr>
                <w:noProof/>
              </w:rPr>
              <w:t>STATISTIQUES TRIMESTRIELLES SUR LE TRANSPORT DE MARCHANDISES ET DE VOYAGEURS</w:t>
            </w:r>
          </w:p>
        </w:tc>
      </w:tr>
      <w:tr>
        <w:tc>
          <w:tcPr>
            <w:tcW w:w="222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Liste des variables et unités de mesure</w:t>
            </w:r>
          </w:p>
        </w:tc>
        <w:tc>
          <w:tcPr>
            <w:tcW w:w="70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Marchandises transportées en:</w:t>
            </w:r>
          </w:p>
          <w:p>
            <w:pPr>
              <w:pStyle w:val="Tiret0"/>
              <w:ind w:left="851"/>
              <w:rPr>
                <w:noProof/>
              </w:rPr>
            </w:pPr>
            <w:r>
              <w:rPr>
                <w:noProof/>
              </w:rPr>
              <w:t>tonnes</w:t>
            </w:r>
          </w:p>
          <w:p>
            <w:pPr>
              <w:pStyle w:val="Tiret0"/>
              <w:ind w:left="851"/>
              <w:rPr>
                <w:noProof/>
              </w:rPr>
            </w:pPr>
            <w:r>
              <w:rPr>
                <w:noProof/>
              </w:rPr>
              <w:t>tonnes-kilomètre</w:t>
            </w:r>
          </w:p>
          <w:p>
            <w:pPr>
              <w:pStyle w:val="NormalLeft"/>
              <w:rPr>
                <w:noProof/>
              </w:rPr>
            </w:pPr>
            <w:r>
              <w:rPr>
                <w:noProof/>
              </w:rPr>
              <w:t>Voyageurs transportés en:</w:t>
            </w:r>
          </w:p>
          <w:p>
            <w:pPr>
              <w:pStyle w:val="Tiret0"/>
              <w:ind w:left="851"/>
              <w:rPr>
                <w:noProof/>
              </w:rPr>
            </w:pPr>
            <w:r>
              <w:rPr>
                <w:noProof/>
              </w:rPr>
              <w:t>nombre de voyageurs</w:t>
            </w:r>
          </w:p>
          <w:p>
            <w:pPr>
              <w:pStyle w:val="Tiret0"/>
              <w:ind w:left="851"/>
              <w:rPr>
                <w:noProof/>
              </w:rPr>
            </w:pPr>
            <w:r>
              <w:rPr>
                <w:noProof/>
              </w:rPr>
              <w:t>voyageurs-kilomètre</w:t>
            </w:r>
          </w:p>
        </w:tc>
      </w:tr>
      <w:tr>
        <w:tc>
          <w:tcPr>
            <w:tcW w:w="222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Période de référence</w:t>
            </w:r>
          </w:p>
        </w:tc>
        <w:tc>
          <w:tcPr>
            <w:tcW w:w="70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Un trimestre</w:t>
            </w:r>
          </w:p>
        </w:tc>
      </w:tr>
      <w:tr>
        <w:tc>
          <w:tcPr>
            <w:tcW w:w="222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Fréquence</w:t>
            </w:r>
          </w:p>
        </w:tc>
        <w:tc>
          <w:tcPr>
            <w:tcW w:w="70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Chaque trimestre</w:t>
            </w:r>
          </w:p>
        </w:tc>
      </w:tr>
      <w:tr>
        <w:tc>
          <w:tcPr>
            <w:tcW w:w="222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Liste des tableaux et ventilation par tableau</w:t>
            </w:r>
          </w:p>
        </w:tc>
        <w:tc>
          <w:tcPr>
            <w:tcW w:w="70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Tableau III1: marchandises transportées</w:t>
            </w:r>
          </w:p>
          <w:p>
            <w:pPr>
              <w:pStyle w:val="NormalLeft"/>
              <w:rPr>
                <w:noProof/>
              </w:rPr>
            </w:pPr>
            <w:r>
              <w:rPr>
                <w:noProof/>
              </w:rPr>
              <w:t>Tableau III2: voyageurs transportés</w:t>
            </w:r>
          </w:p>
        </w:tc>
      </w:tr>
      <w:tr>
        <w:tc>
          <w:tcPr>
            <w:tcW w:w="222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Délai pour la transmission des données</w:t>
            </w:r>
          </w:p>
        </w:tc>
        <w:tc>
          <w:tcPr>
            <w:tcW w:w="70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Trois mois après la fin de la période de référence</w:t>
            </w:r>
          </w:p>
        </w:tc>
      </w:tr>
      <w:tr>
        <w:tc>
          <w:tcPr>
            <w:tcW w:w="222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Première période de référence</w:t>
            </w:r>
          </w:p>
        </w:tc>
        <w:tc>
          <w:tcPr>
            <w:tcW w:w="70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Premier trimestre de 2004</w:t>
            </w:r>
          </w:p>
        </w:tc>
      </w:tr>
      <w:tr>
        <w:tc>
          <w:tcPr>
            <w:tcW w:w="222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Remarques</w:t>
            </w:r>
          </w:p>
        </w:tc>
        <w:tc>
          <w:tcPr>
            <w:tcW w:w="7057" w:type="dxa"/>
            <w:tcBorders>
              <w:top w:val="single" w:sz="2" w:space="0" w:color="auto"/>
              <w:left w:val="single" w:sz="2" w:space="0" w:color="auto"/>
              <w:bottom w:val="single" w:sz="2" w:space="0" w:color="auto"/>
              <w:right w:val="single" w:sz="2" w:space="0" w:color="auto"/>
            </w:tcBorders>
          </w:tcPr>
          <w:p>
            <w:pPr>
              <w:pStyle w:val="NormalLeft"/>
              <w:ind w:left="720" w:hanging="720"/>
              <w:jc w:val="both"/>
              <w:rPr>
                <w:noProof/>
              </w:rPr>
            </w:pPr>
            <w:r>
              <w:rPr>
                <w:noProof/>
              </w:rPr>
              <w:t>1.</w:t>
            </w:r>
            <w:r>
              <w:rPr>
                <w:noProof/>
              </w:rPr>
              <w:tab/>
              <w:t>Les tableaux III1 et III2 peuvent être établis sur la base de données provisoires ou d'estimations. Pour le tableau III2, les États membres peuvent déclarer des données basées sur les billets vendus à l'intérieur du pays déclarant ou toute autre source disponible</w:t>
            </w:r>
          </w:p>
          <w:p>
            <w:pPr>
              <w:pStyle w:val="NormalLeft"/>
              <w:ind w:left="720" w:hanging="720"/>
              <w:jc w:val="both"/>
              <w:rPr>
                <w:noProof/>
              </w:rPr>
            </w:pPr>
            <w:r>
              <w:rPr>
                <w:noProof/>
              </w:rPr>
              <w:t>2.</w:t>
            </w:r>
            <w:r>
              <w:rPr>
                <w:noProof/>
              </w:rPr>
              <w:tab/>
              <w:t>Ces statistiques sont transmises pour les entreprises couvertes par les annexes I et II</w:t>
            </w:r>
          </w:p>
        </w:tc>
      </w:tr>
    </w:tbl>
    <w:p>
      <w:pPr>
        <w:adjustRightInd w:val="0"/>
        <w:spacing w:before="0" w:after="0"/>
        <w:jc w:val="center"/>
        <w:rPr>
          <w:noProof/>
          <w:lang w:val="da-DK"/>
        </w:rPr>
      </w:pPr>
      <w:r>
        <w:rPr>
          <w:noProof/>
          <w:lang w:val="da-DK"/>
        </w:rPr>
        <w:t>____________________</w:t>
      </w:r>
    </w:p>
    <w:p>
      <w:pPr>
        <w:adjustRightInd w:val="0"/>
        <w:spacing w:before="0" w:after="0"/>
        <w:jc w:val="left"/>
        <w:rPr>
          <w:noProof/>
          <w:lang w:val="fr-BE"/>
        </w:rPr>
        <w:sectPr>
          <w:pgSz w:w="11906" w:h="16838"/>
          <w:pgMar w:top="1134" w:right="1418" w:bottom="1134" w:left="1418" w:header="709" w:footer="709" w:gutter="0"/>
          <w:cols w:space="709"/>
          <w:docGrid w:linePitch="326"/>
        </w:sectPr>
      </w:pPr>
    </w:p>
    <w:p>
      <w:pPr>
        <w:pStyle w:val="Annexetitre"/>
        <w:rPr>
          <w:noProof/>
        </w:rPr>
      </w:pPr>
      <w:r>
        <w:rPr>
          <w:noProof/>
        </w:rPr>
        <w:lastRenderedPageBreak/>
        <w:t>ANNEXE IV</w:t>
      </w:r>
    </w:p>
    <w:tbl>
      <w:tblPr>
        <w:tblW w:w="0" w:type="auto"/>
        <w:tblLayout w:type="fixed"/>
        <w:tblLook w:val="0000" w:firstRow="0" w:lastRow="0" w:firstColumn="0" w:lastColumn="0" w:noHBand="0" w:noVBand="0"/>
      </w:tblPr>
      <w:tblGrid>
        <w:gridCol w:w="1857"/>
        <w:gridCol w:w="7429"/>
      </w:tblGrid>
      <w:tr>
        <w:tc>
          <w:tcPr>
            <w:tcW w:w="9286" w:type="dxa"/>
            <w:gridSpan w:val="2"/>
            <w:tcBorders>
              <w:top w:val="single" w:sz="2" w:space="0" w:color="auto"/>
              <w:left w:val="single" w:sz="2" w:space="0" w:color="auto"/>
              <w:bottom w:val="single" w:sz="2" w:space="0" w:color="auto"/>
              <w:right w:val="single" w:sz="2" w:space="0" w:color="auto"/>
            </w:tcBorders>
          </w:tcPr>
          <w:p>
            <w:pPr>
              <w:pStyle w:val="NormalCentered"/>
              <w:rPr>
                <w:noProof/>
              </w:rPr>
            </w:pPr>
            <w:r>
              <w:rPr>
                <w:noProof/>
              </w:rPr>
              <w:t>STATISTIQUES RÉGIONALES SUR LE TRANSPORT DE MARCHANDISES ET DE VOYAGEURS</w:t>
            </w:r>
          </w:p>
        </w:tc>
      </w:tr>
      <w:tr>
        <w:tc>
          <w:tcPr>
            <w:tcW w:w="18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Liste des variables et unités de mesure</w:t>
            </w:r>
          </w:p>
        </w:tc>
        <w:tc>
          <w:tcPr>
            <w:tcW w:w="742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Marchandises transportées en:</w:t>
            </w:r>
          </w:p>
          <w:p>
            <w:pPr>
              <w:pStyle w:val="Tiret0"/>
              <w:ind w:left="851"/>
              <w:rPr>
                <w:noProof/>
              </w:rPr>
            </w:pPr>
            <w:r>
              <w:rPr>
                <w:noProof/>
              </w:rPr>
              <w:t>tonnes</w:t>
            </w:r>
          </w:p>
          <w:p>
            <w:pPr>
              <w:pStyle w:val="NormalLeft"/>
              <w:rPr>
                <w:noProof/>
              </w:rPr>
            </w:pPr>
            <w:r>
              <w:rPr>
                <w:noProof/>
              </w:rPr>
              <w:t>Voyageurs transportés en:</w:t>
            </w:r>
          </w:p>
          <w:p>
            <w:pPr>
              <w:pStyle w:val="Tiret0"/>
              <w:ind w:left="851"/>
              <w:rPr>
                <w:noProof/>
              </w:rPr>
            </w:pPr>
            <w:r>
              <w:rPr>
                <w:noProof/>
              </w:rPr>
              <w:t>nombre de voyageurs</w:t>
            </w:r>
          </w:p>
        </w:tc>
      </w:tr>
      <w:tr>
        <w:tc>
          <w:tcPr>
            <w:tcW w:w="18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Période de référence</w:t>
            </w:r>
          </w:p>
        </w:tc>
        <w:tc>
          <w:tcPr>
            <w:tcW w:w="742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Une année</w:t>
            </w:r>
          </w:p>
        </w:tc>
      </w:tr>
      <w:tr>
        <w:tc>
          <w:tcPr>
            <w:tcW w:w="18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Fréquence</w:t>
            </w:r>
          </w:p>
        </w:tc>
        <w:tc>
          <w:tcPr>
            <w:tcW w:w="742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Tous les cinq ans</w:t>
            </w:r>
          </w:p>
        </w:tc>
      </w:tr>
      <w:tr>
        <w:tc>
          <w:tcPr>
            <w:tcW w:w="18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Liste des tableaux et ventilation par tableau</w:t>
            </w:r>
          </w:p>
        </w:tc>
        <w:tc>
          <w:tcPr>
            <w:tcW w:w="7429"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Tableau IV1: transport national de marchandises par région de chargement et de déchargement (NUTS 2)</w:t>
            </w:r>
          </w:p>
          <w:p>
            <w:pPr>
              <w:pStyle w:val="NormalLeft"/>
              <w:jc w:val="both"/>
              <w:rPr>
                <w:noProof/>
              </w:rPr>
            </w:pPr>
            <w:r>
              <w:rPr>
                <w:noProof/>
              </w:rPr>
              <w:t>Tableau IV2: transport international de marchandises par région de chargement et de déchargement (NUTS 2)</w:t>
            </w:r>
          </w:p>
          <w:p>
            <w:pPr>
              <w:pStyle w:val="NormalLeft"/>
              <w:jc w:val="both"/>
              <w:rPr>
                <w:noProof/>
              </w:rPr>
            </w:pPr>
            <w:r>
              <w:rPr>
                <w:noProof/>
              </w:rPr>
              <w:t>Tableau IV3: transport national de voyageurs par région d'embarquement et de débarquement (NUTS 2)</w:t>
            </w:r>
          </w:p>
          <w:p>
            <w:pPr>
              <w:pStyle w:val="NormalLeft"/>
              <w:jc w:val="both"/>
              <w:rPr>
                <w:noProof/>
              </w:rPr>
            </w:pPr>
            <w:r>
              <w:rPr>
                <w:noProof/>
              </w:rPr>
              <w:t>Tableau IV4: transport international de voyageurs par région d'embarquement et de débarquement (NUTS 2)</w:t>
            </w:r>
          </w:p>
        </w:tc>
      </w:tr>
      <w:tr>
        <w:tc>
          <w:tcPr>
            <w:tcW w:w="18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Délai pour la transmission des données</w:t>
            </w:r>
          </w:p>
        </w:tc>
        <w:tc>
          <w:tcPr>
            <w:tcW w:w="742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Douze mois après la fin de la période de référence</w:t>
            </w:r>
          </w:p>
        </w:tc>
      </w:tr>
      <w:tr>
        <w:tc>
          <w:tcPr>
            <w:tcW w:w="18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Première période de référence</w:t>
            </w:r>
          </w:p>
        </w:tc>
        <w:tc>
          <w:tcPr>
            <w:tcW w:w="742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2005</w:t>
            </w:r>
          </w:p>
        </w:tc>
      </w:tr>
      <w:tr>
        <w:tc>
          <w:tcPr>
            <w:tcW w:w="18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Remarques</w:t>
            </w:r>
          </w:p>
        </w:tc>
        <w:tc>
          <w:tcPr>
            <w:tcW w:w="7429" w:type="dxa"/>
            <w:tcBorders>
              <w:top w:val="single" w:sz="2" w:space="0" w:color="auto"/>
              <w:left w:val="single" w:sz="2" w:space="0" w:color="auto"/>
              <w:bottom w:val="single" w:sz="2" w:space="0" w:color="auto"/>
              <w:right w:val="single" w:sz="2" w:space="0" w:color="auto"/>
            </w:tcBorders>
          </w:tcPr>
          <w:p>
            <w:pPr>
              <w:pStyle w:val="NormalLeft"/>
              <w:ind w:left="720" w:hanging="720"/>
              <w:jc w:val="both"/>
              <w:rPr>
                <w:noProof/>
              </w:rPr>
            </w:pPr>
            <w:r>
              <w:rPr>
                <w:noProof/>
              </w:rPr>
              <w:t>1.</w:t>
            </w:r>
            <w:r>
              <w:rPr>
                <w:noProof/>
              </w:rPr>
              <w:tab/>
              <w:t>Lorsque le lieu de chargement ou de déchargement (tableaux IV1, IV2) ou le lieu d'embarquement ou de débarquement (tableaux IV3, IV4) est situé en dehors de l'Espace économique européen, les États membres déclarent uniquement le pays</w:t>
            </w:r>
          </w:p>
          <w:p>
            <w:pPr>
              <w:pStyle w:val="NormalLeft"/>
              <w:ind w:left="720" w:hanging="720"/>
              <w:jc w:val="both"/>
              <w:rPr>
                <w:noProof/>
              </w:rPr>
            </w:pPr>
            <w:r>
              <w:rPr>
                <w:noProof/>
              </w:rPr>
              <w:t>2.</w:t>
            </w:r>
            <w:r>
              <w:rPr>
                <w:noProof/>
              </w:rPr>
              <w:tab/>
              <w:t>Afin d'aider les États membres à élaborer ces tableaux, Eurostat leur fournit une liste de codes de gare de l'UIC avec les codes NUTS correspondants</w:t>
            </w:r>
          </w:p>
          <w:p>
            <w:pPr>
              <w:pStyle w:val="NormalLeft"/>
              <w:ind w:left="720" w:hanging="720"/>
              <w:jc w:val="both"/>
              <w:rPr>
                <w:noProof/>
              </w:rPr>
            </w:pPr>
            <w:r>
              <w:rPr>
                <w:noProof/>
              </w:rPr>
              <w:t>3.</w:t>
            </w:r>
            <w:r>
              <w:rPr>
                <w:noProof/>
              </w:rPr>
              <w:tab/>
              <w:t>Pour les tableaux IV3 et IV4, les États membres peuvent déclarer des données basées sur les billets vendus ou toute autre source disponible</w:t>
            </w:r>
          </w:p>
          <w:p>
            <w:pPr>
              <w:pStyle w:val="NormalLeft"/>
              <w:ind w:left="720" w:hanging="720"/>
              <w:jc w:val="both"/>
              <w:rPr>
                <w:noProof/>
              </w:rPr>
            </w:pPr>
            <w:r>
              <w:rPr>
                <w:noProof/>
              </w:rPr>
              <w:t>4.</w:t>
            </w:r>
            <w:r>
              <w:rPr>
                <w:noProof/>
              </w:rPr>
              <w:tab/>
              <w:t>Ces statistiques sont transmises pour les entreprises couvertes par les annexes I et II</w:t>
            </w:r>
          </w:p>
        </w:tc>
      </w:tr>
    </w:tbl>
    <w:p>
      <w:pPr>
        <w:adjustRightInd w:val="0"/>
        <w:spacing w:before="0" w:after="0"/>
        <w:jc w:val="center"/>
        <w:rPr>
          <w:noProof/>
          <w:lang w:val="da-DK"/>
        </w:rPr>
      </w:pPr>
      <w:r>
        <w:rPr>
          <w:noProof/>
          <w:lang w:val="da-DK"/>
        </w:rPr>
        <w:t>____________________</w:t>
      </w:r>
    </w:p>
    <w:p>
      <w:pPr>
        <w:adjustRightInd w:val="0"/>
        <w:spacing w:before="0" w:after="0"/>
        <w:jc w:val="left"/>
        <w:rPr>
          <w:noProof/>
          <w:lang w:val="fr-BE"/>
        </w:rPr>
        <w:sectPr>
          <w:pgSz w:w="11906" w:h="16838"/>
          <w:pgMar w:top="1134" w:right="1418" w:bottom="1134" w:left="1418" w:header="709" w:footer="709" w:gutter="0"/>
          <w:cols w:space="709"/>
          <w:docGrid w:linePitch="326"/>
        </w:sectPr>
      </w:pPr>
    </w:p>
    <w:p>
      <w:pPr>
        <w:pStyle w:val="Annexetitre"/>
        <w:spacing w:before="0"/>
        <w:rPr>
          <w:noProof/>
        </w:rPr>
      </w:pPr>
      <w:r>
        <w:rPr>
          <w:noProof/>
        </w:rPr>
        <w:lastRenderedPageBreak/>
        <w:t>ANNEXE V</w:t>
      </w:r>
    </w:p>
    <w:tbl>
      <w:tblPr>
        <w:tblW w:w="0" w:type="auto"/>
        <w:tblLayout w:type="fixed"/>
        <w:tblLook w:val="0000" w:firstRow="0" w:lastRow="0" w:firstColumn="0" w:lastColumn="0" w:noHBand="0" w:noVBand="0"/>
      </w:tblPr>
      <w:tblGrid>
        <w:gridCol w:w="4457"/>
        <w:gridCol w:w="4829"/>
      </w:tblGrid>
      <w:tr>
        <w:tc>
          <w:tcPr>
            <w:tcW w:w="9286" w:type="dxa"/>
            <w:gridSpan w:val="2"/>
            <w:tcBorders>
              <w:top w:val="single" w:sz="2" w:space="0" w:color="auto"/>
              <w:left w:val="single" w:sz="2" w:space="0" w:color="auto"/>
              <w:bottom w:val="single" w:sz="2" w:space="0" w:color="auto"/>
              <w:right w:val="single" w:sz="2" w:space="0" w:color="auto"/>
            </w:tcBorders>
          </w:tcPr>
          <w:p>
            <w:pPr>
              <w:pStyle w:val="NormalCentered"/>
              <w:rPr>
                <w:noProof/>
              </w:rPr>
            </w:pPr>
            <w:r>
              <w:rPr>
                <w:noProof/>
              </w:rPr>
              <w:t>STATISTIQUES SUR LES FLUX DE TRANSPORT SUR LE RÉSEAU FERROVIAIRE</w:t>
            </w:r>
          </w:p>
        </w:tc>
      </w:tr>
      <w:tr>
        <w:tc>
          <w:tcPr>
            <w:tcW w:w="44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Liste des variables et unités de mesure</w:t>
            </w:r>
          </w:p>
        </w:tc>
        <w:tc>
          <w:tcPr>
            <w:tcW w:w="4829"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Transport de marchandises:</w:t>
            </w:r>
          </w:p>
          <w:p>
            <w:pPr>
              <w:pStyle w:val="Tiret0"/>
              <w:ind w:left="851"/>
              <w:rPr>
                <w:noProof/>
              </w:rPr>
            </w:pPr>
            <w:r>
              <w:rPr>
                <w:noProof/>
              </w:rPr>
              <w:t>nombre de trains</w:t>
            </w:r>
          </w:p>
          <w:p>
            <w:pPr>
              <w:pStyle w:val="NormalLeft"/>
              <w:jc w:val="both"/>
              <w:rPr>
                <w:noProof/>
              </w:rPr>
            </w:pPr>
            <w:r>
              <w:rPr>
                <w:noProof/>
              </w:rPr>
              <w:t>Transport de voyageurs:</w:t>
            </w:r>
          </w:p>
          <w:p>
            <w:pPr>
              <w:pStyle w:val="Tiret0"/>
              <w:ind w:left="851"/>
              <w:rPr>
                <w:noProof/>
              </w:rPr>
            </w:pPr>
            <w:r>
              <w:rPr>
                <w:noProof/>
              </w:rPr>
              <w:t>nombre de trains</w:t>
            </w:r>
          </w:p>
          <w:p>
            <w:pPr>
              <w:pStyle w:val="NormalLeft"/>
              <w:jc w:val="both"/>
              <w:rPr>
                <w:noProof/>
              </w:rPr>
            </w:pPr>
            <w:r>
              <w:rPr>
                <w:noProof/>
              </w:rPr>
              <w:t>Autres (services, etc.) (facultatif):</w:t>
            </w:r>
          </w:p>
          <w:p>
            <w:pPr>
              <w:pStyle w:val="Tiret0"/>
              <w:ind w:left="851"/>
              <w:rPr>
                <w:noProof/>
              </w:rPr>
            </w:pPr>
            <w:r>
              <w:rPr>
                <w:noProof/>
              </w:rPr>
              <w:t>nombre de trains</w:t>
            </w:r>
          </w:p>
        </w:tc>
      </w:tr>
      <w:tr>
        <w:tc>
          <w:tcPr>
            <w:tcW w:w="44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Période de référence</w:t>
            </w:r>
          </w:p>
        </w:tc>
        <w:tc>
          <w:tcPr>
            <w:tcW w:w="4829"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Une année</w:t>
            </w:r>
          </w:p>
        </w:tc>
      </w:tr>
      <w:tr>
        <w:tc>
          <w:tcPr>
            <w:tcW w:w="44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Fréquence</w:t>
            </w:r>
          </w:p>
        </w:tc>
        <w:tc>
          <w:tcPr>
            <w:tcW w:w="4829"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Tous les cinq ans</w:t>
            </w:r>
          </w:p>
        </w:tc>
      </w:tr>
      <w:tr>
        <w:tc>
          <w:tcPr>
            <w:tcW w:w="44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Liste des tableaux et ventilation par tableau</w:t>
            </w:r>
          </w:p>
        </w:tc>
        <w:tc>
          <w:tcPr>
            <w:tcW w:w="4829"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Tableau V1: transport de marchandises, par segment de réseau</w:t>
            </w:r>
          </w:p>
          <w:p>
            <w:pPr>
              <w:pStyle w:val="NormalLeft"/>
              <w:jc w:val="both"/>
              <w:rPr>
                <w:noProof/>
              </w:rPr>
            </w:pPr>
            <w:r>
              <w:rPr>
                <w:noProof/>
              </w:rPr>
              <w:t>Tableau V2: transport de voyageurs, par segment de réseau</w:t>
            </w:r>
          </w:p>
          <w:p>
            <w:pPr>
              <w:pStyle w:val="NormalLeft"/>
              <w:jc w:val="both"/>
              <w:rPr>
                <w:noProof/>
              </w:rPr>
            </w:pPr>
            <w:r>
              <w:rPr>
                <w:noProof/>
              </w:rPr>
              <w:t>Tableau V3: autres (services, etc.), par segment de réseau (facultatif)</w:t>
            </w:r>
          </w:p>
        </w:tc>
      </w:tr>
      <w:tr>
        <w:tc>
          <w:tcPr>
            <w:tcW w:w="44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Délai pour la transmission des données</w:t>
            </w:r>
          </w:p>
        </w:tc>
        <w:tc>
          <w:tcPr>
            <w:tcW w:w="4829"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Dix-huit mois après la fin de la période de référence</w:t>
            </w:r>
          </w:p>
        </w:tc>
      </w:tr>
      <w:tr>
        <w:tc>
          <w:tcPr>
            <w:tcW w:w="44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Première période de référence</w:t>
            </w:r>
          </w:p>
        </w:tc>
        <w:tc>
          <w:tcPr>
            <w:tcW w:w="4829"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2005</w:t>
            </w:r>
          </w:p>
        </w:tc>
      </w:tr>
      <w:tr>
        <w:tc>
          <w:tcPr>
            <w:tcW w:w="44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Remarques</w:t>
            </w:r>
          </w:p>
        </w:tc>
        <w:tc>
          <w:tcPr>
            <w:tcW w:w="4829" w:type="dxa"/>
            <w:tcBorders>
              <w:top w:val="single" w:sz="2" w:space="0" w:color="auto"/>
              <w:left w:val="single" w:sz="2" w:space="0" w:color="auto"/>
              <w:bottom w:val="single" w:sz="2" w:space="0" w:color="auto"/>
              <w:right w:val="single" w:sz="2" w:space="0" w:color="auto"/>
            </w:tcBorders>
          </w:tcPr>
          <w:p>
            <w:pPr>
              <w:pStyle w:val="NormalLeft"/>
              <w:ind w:left="720" w:hanging="720"/>
              <w:jc w:val="both"/>
              <w:rPr>
                <w:noProof/>
              </w:rPr>
            </w:pPr>
            <w:r>
              <w:rPr>
                <w:noProof/>
              </w:rPr>
              <w:t>1.</w:t>
            </w:r>
            <w:r>
              <w:rPr>
                <w:noProof/>
              </w:rPr>
              <w:tab/>
              <w:t>Les États membres définissent une série de segments de réseau incluant au moins le réseau transeuropéen (RTE) ferroviaire situé sur leur territoire national. Ils transmettent à Eurostat:</w:t>
            </w:r>
          </w:p>
          <w:p>
            <w:pPr>
              <w:pStyle w:val="Tiret0"/>
              <w:tabs>
                <w:tab w:val="clear" w:pos="850"/>
                <w:tab w:val="num" w:pos="1120"/>
              </w:tabs>
              <w:ind w:left="978" w:hanging="283"/>
              <w:rPr>
                <w:noProof/>
              </w:rPr>
            </w:pPr>
            <w:r>
              <w:rPr>
                <w:noProof/>
              </w:rPr>
              <w:t>les coordonnées géographiques et autres données nécessaires pour identifier et représenter sur une carte chaque segment de réseau ainsi que les liens entre les segments</w:t>
            </w:r>
          </w:p>
          <w:p>
            <w:pPr>
              <w:pStyle w:val="Tiret0"/>
              <w:tabs>
                <w:tab w:val="clear" w:pos="850"/>
                <w:tab w:val="num" w:pos="1120"/>
              </w:tabs>
              <w:ind w:left="978" w:hanging="283"/>
              <w:rPr>
                <w:noProof/>
              </w:rPr>
            </w:pPr>
            <w:r>
              <w:rPr>
                <w:noProof/>
              </w:rPr>
              <w:t>des informations sur les caractéristiques (y compris la capacité) des trains circulant sur chaque segment de réseau</w:t>
            </w:r>
          </w:p>
          <w:p>
            <w:pPr>
              <w:pStyle w:val="NormalLeft"/>
              <w:ind w:left="720" w:hanging="720"/>
              <w:jc w:val="both"/>
              <w:rPr>
                <w:noProof/>
              </w:rPr>
            </w:pPr>
            <w:r>
              <w:rPr>
                <w:noProof/>
              </w:rPr>
              <w:t>2.</w:t>
            </w:r>
            <w:r>
              <w:rPr>
                <w:noProof/>
              </w:rPr>
              <w:tab/>
              <w:t xml:space="preserve">Chaque segment de réseau faisant partie du RTE ferroviaire est identifié à l'aide d'un attribut supplémentaire dans le fichier des données, afin de pouvoir </w:t>
            </w:r>
            <w:r>
              <w:rPr>
                <w:noProof/>
              </w:rPr>
              <w:lastRenderedPageBreak/>
              <w:t>quantifier le transport sur ledit réseau</w:t>
            </w:r>
          </w:p>
        </w:tc>
      </w:tr>
    </w:tbl>
    <w:p>
      <w:pPr>
        <w:adjustRightInd w:val="0"/>
        <w:spacing w:before="0" w:after="0"/>
        <w:jc w:val="center"/>
        <w:rPr>
          <w:noProof/>
          <w:lang w:val="da-DK"/>
        </w:rPr>
      </w:pPr>
      <w:r>
        <w:rPr>
          <w:noProof/>
          <w:lang w:val="da-DK"/>
        </w:rPr>
        <w:lastRenderedPageBreak/>
        <w:t>____________________</w:t>
      </w:r>
    </w:p>
    <w:p>
      <w:pPr>
        <w:adjustRightInd w:val="0"/>
        <w:spacing w:before="0" w:after="0"/>
        <w:jc w:val="left"/>
        <w:rPr>
          <w:noProof/>
          <w:lang w:val="da-DK"/>
        </w:rPr>
        <w:sectPr>
          <w:pgSz w:w="11906" w:h="16838"/>
          <w:pgMar w:top="1134" w:right="1418" w:bottom="1134" w:left="1418" w:header="709" w:footer="709" w:gutter="0"/>
          <w:cols w:space="709"/>
          <w:docGrid w:linePitch="326"/>
        </w:sectPr>
      </w:pPr>
    </w:p>
    <w:p>
      <w:pPr>
        <w:pStyle w:val="CRSeparator"/>
        <w:rPr>
          <w:noProof/>
          <w:lang w:val="da-DK"/>
        </w:rPr>
      </w:pPr>
    </w:p>
    <w:p>
      <w:pPr>
        <w:pStyle w:val="CRReference"/>
        <w:rPr>
          <w:noProof/>
          <w:lang w:val="da-DK"/>
        </w:rPr>
      </w:pPr>
      <w:r>
        <w:rPr>
          <w:noProof/>
        </w:rPr>
        <w:fldChar w:fldCharType="begin"/>
      </w:r>
      <w:r>
        <w:rPr>
          <w:noProof/>
          <w:lang w:val="da-DK"/>
        </w:rPr>
        <w:instrText xml:space="preserve"> QUOTE "</w:instrText>
      </w:r>
      <w:r>
        <w:rPr>
          <w:rStyle w:val="CRMarker"/>
          <w:noProof/>
          <w:lang w:val="da-DK"/>
        </w:rPr>
        <w:instrText>ê</w:instrText>
      </w:r>
      <w:r>
        <w:rPr>
          <w:noProof/>
          <w:lang w:val="da-DK"/>
        </w:rPr>
        <w:instrText xml:space="preserve">" </w:instrText>
      </w:r>
      <w:r>
        <w:rPr>
          <w:noProof/>
        </w:rPr>
        <w:fldChar w:fldCharType="separate"/>
      </w:r>
      <w:r>
        <w:rPr>
          <w:rStyle w:val="CRMarker"/>
          <w:noProof/>
          <w:lang w:val="da-DK"/>
        </w:rPr>
        <w:t>ê</w:t>
      </w:r>
      <w:r>
        <w:rPr>
          <w:noProof/>
        </w:rPr>
        <w:fldChar w:fldCharType="end"/>
      </w:r>
      <w:r>
        <w:rPr>
          <w:noProof/>
          <w:lang w:val="da-DK"/>
        </w:rPr>
        <w:t xml:space="preserve"> 1304/2007 Art. 3 et Annexe </w:t>
      </w:r>
    </w:p>
    <w:p>
      <w:pPr>
        <w:pStyle w:val="Annexetitre"/>
        <w:rPr>
          <w:noProof/>
          <w:lang w:val="da-DK"/>
        </w:rPr>
      </w:pPr>
      <w:r>
        <w:rPr>
          <w:noProof/>
          <w:lang w:val="da-DK"/>
        </w:rPr>
        <w:t>ANNEXE VI</w:t>
      </w:r>
    </w:p>
    <w:p>
      <w:pPr>
        <w:pStyle w:val="NormalCentered"/>
        <w:rPr>
          <w:b/>
          <w:bCs/>
          <w:noProof/>
        </w:rPr>
      </w:pPr>
      <w:r>
        <w:rPr>
          <w:b/>
          <w:bCs/>
          <w:noProof/>
        </w:rPr>
        <w:t>NST 2007</w:t>
      </w:r>
    </w:p>
    <w:tbl>
      <w:tblPr>
        <w:tblW w:w="0" w:type="auto"/>
        <w:tblLayout w:type="fixed"/>
        <w:tblLook w:val="0000" w:firstRow="0" w:lastRow="0" w:firstColumn="0" w:lastColumn="0" w:noHBand="0" w:noVBand="0"/>
      </w:tblPr>
      <w:tblGrid>
        <w:gridCol w:w="1207"/>
        <w:gridCol w:w="8079"/>
      </w:tblGrid>
      <w:tr>
        <w:tc>
          <w:tcPr>
            <w:tcW w:w="1207"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Division</w:t>
            </w:r>
          </w:p>
        </w:tc>
        <w:tc>
          <w:tcPr>
            <w:tcW w:w="8079"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Description</w:t>
            </w:r>
          </w:p>
        </w:tc>
      </w:tr>
      <w:tr>
        <w:tc>
          <w:tcPr>
            <w:tcW w:w="120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01</w:t>
            </w:r>
          </w:p>
        </w:tc>
        <w:tc>
          <w:tcPr>
            <w:tcW w:w="8079"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Produits de l’agriculture, de la chasse et de la forêt; poissons et autres produits de pêche</w:t>
            </w:r>
          </w:p>
        </w:tc>
      </w:tr>
      <w:tr>
        <w:tc>
          <w:tcPr>
            <w:tcW w:w="120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02</w:t>
            </w:r>
          </w:p>
        </w:tc>
        <w:tc>
          <w:tcPr>
            <w:tcW w:w="8079"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Houille et lignite; pétrole brut et gaz naturel</w:t>
            </w:r>
          </w:p>
        </w:tc>
      </w:tr>
      <w:tr>
        <w:tc>
          <w:tcPr>
            <w:tcW w:w="120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03</w:t>
            </w:r>
          </w:p>
        </w:tc>
        <w:tc>
          <w:tcPr>
            <w:tcW w:w="8079"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Minerais métalliques et autres produits d’extraction; tourbe; minerais d’uranium et thorium</w:t>
            </w:r>
          </w:p>
        </w:tc>
      </w:tr>
      <w:tr>
        <w:tc>
          <w:tcPr>
            <w:tcW w:w="120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04</w:t>
            </w:r>
          </w:p>
        </w:tc>
        <w:tc>
          <w:tcPr>
            <w:tcW w:w="8079"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Produits alimentaires, boissons et tabac</w:t>
            </w:r>
          </w:p>
        </w:tc>
      </w:tr>
      <w:tr>
        <w:tc>
          <w:tcPr>
            <w:tcW w:w="120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05</w:t>
            </w:r>
          </w:p>
        </w:tc>
        <w:tc>
          <w:tcPr>
            <w:tcW w:w="8079"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Textiles et produits textiles; cuir et articles en cuir</w:t>
            </w:r>
          </w:p>
        </w:tc>
      </w:tr>
      <w:tr>
        <w:tc>
          <w:tcPr>
            <w:tcW w:w="120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06</w:t>
            </w:r>
          </w:p>
        </w:tc>
        <w:tc>
          <w:tcPr>
            <w:tcW w:w="8079"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Bois et produits du bois et du liège (hormis les meubles); vannerie et sparterie, pâte à papier, papier et articles en papier, produits imprimés ou supports enregistrés</w:t>
            </w:r>
          </w:p>
        </w:tc>
      </w:tr>
      <w:tr>
        <w:tc>
          <w:tcPr>
            <w:tcW w:w="120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07</w:t>
            </w:r>
          </w:p>
        </w:tc>
        <w:tc>
          <w:tcPr>
            <w:tcW w:w="8079"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Coke et produits pétroliers raffinés</w:t>
            </w:r>
          </w:p>
        </w:tc>
      </w:tr>
      <w:tr>
        <w:tc>
          <w:tcPr>
            <w:tcW w:w="120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08</w:t>
            </w:r>
          </w:p>
        </w:tc>
        <w:tc>
          <w:tcPr>
            <w:tcW w:w="8079"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Produits chimiques et fibres synthétiques, produits en caoutchouc ou en plastique; produits des industries nucléaires</w:t>
            </w:r>
          </w:p>
        </w:tc>
      </w:tr>
      <w:tr>
        <w:tc>
          <w:tcPr>
            <w:tcW w:w="120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09</w:t>
            </w:r>
          </w:p>
        </w:tc>
        <w:tc>
          <w:tcPr>
            <w:tcW w:w="8079"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Autres produits minéraux non métalliques</w:t>
            </w:r>
          </w:p>
        </w:tc>
      </w:tr>
      <w:tr>
        <w:tc>
          <w:tcPr>
            <w:tcW w:w="120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w:t>
            </w:r>
          </w:p>
        </w:tc>
        <w:tc>
          <w:tcPr>
            <w:tcW w:w="8079"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Métaux de base, produits du travail des métaux, sauf machines et matériels</w:t>
            </w:r>
          </w:p>
        </w:tc>
      </w:tr>
      <w:tr>
        <w:tc>
          <w:tcPr>
            <w:tcW w:w="120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11</w:t>
            </w:r>
          </w:p>
        </w:tc>
        <w:tc>
          <w:tcPr>
            <w:tcW w:w="8079"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Machines et matériel n.c.a., machines de bureau et matériel informatique; machines et appareils électriques, n.c.a.; équipements de radio, de télévision et de communication; instruments médicaux, de précision et d’optique; montres, pendules et horloges</w:t>
            </w:r>
          </w:p>
        </w:tc>
      </w:tr>
      <w:tr>
        <w:tc>
          <w:tcPr>
            <w:tcW w:w="120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12</w:t>
            </w:r>
          </w:p>
        </w:tc>
        <w:tc>
          <w:tcPr>
            <w:tcW w:w="8079"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Matériel de transport</w:t>
            </w:r>
          </w:p>
        </w:tc>
      </w:tr>
      <w:tr>
        <w:tc>
          <w:tcPr>
            <w:tcW w:w="120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13</w:t>
            </w:r>
          </w:p>
        </w:tc>
        <w:tc>
          <w:tcPr>
            <w:tcW w:w="8079"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Meubles et autres articles manufacturés n.c.a.</w:t>
            </w:r>
          </w:p>
        </w:tc>
      </w:tr>
      <w:tr>
        <w:tc>
          <w:tcPr>
            <w:tcW w:w="120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14</w:t>
            </w:r>
          </w:p>
        </w:tc>
        <w:tc>
          <w:tcPr>
            <w:tcW w:w="8079"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Matières premières secondaires; déchets de voirie et autres déchets</w:t>
            </w:r>
          </w:p>
        </w:tc>
      </w:tr>
      <w:tr>
        <w:tc>
          <w:tcPr>
            <w:tcW w:w="120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15</w:t>
            </w:r>
          </w:p>
        </w:tc>
        <w:tc>
          <w:tcPr>
            <w:tcW w:w="8079"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Courrier, colis</w:t>
            </w:r>
          </w:p>
        </w:tc>
      </w:tr>
      <w:tr>
        <w:tc>
          <w:tcPr>
            <w:tcW w:w="120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16</w:t>
            </w:r>
          </w:p>
        </w:tc>
        <w:tc>
          <w:tcPr>
            <w:tcW w:w="8079"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Équipement et matériels utilisés dans le transport de marchandises</w:t>
            </w:r>
          </w:p>
        </w:tc>
      </w:tr>
      <w:tr>
        <w:tc>
          <w:tcPr>
            <w:tcW w:w="120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17</w:t>
            </w:r>
          </w:p>
        </w:tc>
        <w:tc>
          <w:tcPr>
            <w:tcW w:w="8079"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 xml:space="preserve">Marchandises transportées dans le cadre de déménagements (biens d’équipement </w:t>
            </w:r>
            <w:r>
              <w:rPr>
                <w:noProof/>
              </w:rPr>
              <w:lastRenderedPageBreak/>
              <w:t>ménager et mobilier de bureau), bagages transportés séparément des passagers; véhicules automobiles transportés pour réparation; autres biens non marchands n.c.a.</w:t>
            </w:r>
          </w:p>
        </w:tc>
      </w:tr>
      <w:tr>
        <w:tc>
          <w:tcPr>
            <w:tcW w:w="120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lastRenderedPageBreak/>
              <w:t>18</w:t>
            </w:r>
          </w:p>
        </w:tc>
        <w:tc>
          <w:tcPr>
            <w:tcW w:w="8079"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Marchandises groupées: mélange de types de marchandises qui sont transportées ensemble</w:t>
            </w:r>
          </w:p>
        </w:tc>
      </w:tr>
      <w:tr>
        <w:tc>
          <w:tcPr>
            <w:tcW w:w="120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19</w:t>
            </w:r>
          </w:p>
        </w:tc>
        <w:tc>
          <w:tcPr>
            <w:tcW w:w="8079"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Marchandises non identifiables; marchandises qui, pour une raison ou pour une autre, ne peuvent pas être identifiées et ne peuvent donc pas être classées dans l’un des groupes 1 à 16</w:t>
            </w:r>
          </w:p>
        </w:tc>
      </w:tr>
      <w:tr>
        <w:tc>
          <w:tcPr>
            <w:tcW w:w="120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w:t>
            </w:r>
          </w:p>
        </w:tc>
        <w:tc>
          <w:tcPr>
            <w:tcW w:w="8079"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Autres marchandises, n.c.a.</w:t>
            </w:r>
          </w:p>
        </w:tc>
      </w:tr>
    </w:tbl>
    <w:p>
      <w:pPr>
        <w:adjustRightInd w:val="0"/>
        <w:spacing w:before="0" w:after="0"/>
        <w:jc w:val="center"/>
        <w:rPr>
          <w:noProof/>
          <w:lang w:val="fr-BE"/>
        </w:rPr>
      </w:pPr>
      <w:r>
        <w:rPr>
          <w:noProof/>
          <w:lang w:val="fr-BE"/>
        </w:rPr>
        <w:t>____________________</w:t>
      </w:r>
    </w:p>
    <w:p>
      <w:pPr>
        <w:adjustRightInd w:val="0"/>
        <w:spacing w:before="0" w:after="0"/>
        <w:jc w:val="left"/>
        <w:rPr>
          <w:noProof/>
          <w:lang w:val="fr-BE"/>
        </w:rPr>
        <w:sectPr>
          <w:pgSz w:w="11906" w:h="16838"/>
          <w:pgMar w:top="1134" w:right="1418" w:bottom="1134" w:left="1418" w:header="709" w:footer="709" w:gutter="0"/>
          <w:cols w:space="709"/>
          <w:docGrid w:linePitch="326"/>
        </w:sectPr>
      </w:pP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91/2003</w:t>
      </w:r>
    </w:p>
    <w:p>
      <w:pPr>
        <w:pStyle w:val="Annexetitre"/>
        <w:rPr>
          <w:noProof/>
        </w:rPr>
      </w:pPr>
      <w:r>
        <w:rPr>
          <w:noProof/>
        </w:rPr>
        <w:t>ANNEXE VII</w:t>
      </w:r>
    </w:p>
    <w:p>
      <w:pPr>
        <w:pStyle w:val="NormalCentered"/>
        <w:rPr>
          <w:b/>
          <w:bCs/>
          <w:noProof/>
        </w:rPr>
      </w:pPr>
      <w:r>
        <w:rPr>
          <w:b/>
          <w:bCs/>
          <w:noProof/>
        </w:rPr>
        <w:t>NOMENCLATURE DES MARCHANDISES DANGEREUSES</w:t>
      </w:r>
    </w:p>
    <w:p>
      <w:pPr>
        <w:rPr>
          <w:noProof/>
        </w:rPr>
      </w:pPr>
      <w:r>
        <w:rPr>
          <w:noProof/>
        </w:rPr>
        <w:t>1.</w:t>
      </w:r>
      <w:r>
        <w:rPr>
          <w:noProof/>
        </w:rPr>
        <w:tab/>
        <w:t>Matières et objets explosibles</w:t>
      </w:r>
    </w:p>
    <w:p>
      <w:pPr>
        <w:rPr>
          <w:noProof/>
        </w:rPr>
      </w:pPr>
      <w:r>
        <w:rPr>
          <w:noProof/>
        </w:rPr>
        <w:t>2.</w:t>
      </w:r>
      <w:r>
        <w:rPr>
          <w:noProof/>
        </w:rPr>
        <w:tab/>
        <w:t>Gaz comprimés, liquéfiés ou dissous sous pression</w:t>
      </w:r>
    </w:p>
    <w:p>
      <w:pPr>
        <w:rPr>
          <w:noProof/>
        </w:rPr>
      </w:pPr>
      <w:r>
        <w:rPr>
          <w:noProof/>
        </w:rPr>
        <w:t>3.</w:t>
      </w:r>
      <w:r>
        <w:rPr>
          <w:noProof/>
        </w:rPr>
        <w:tab/>
        <w:t>Matières liquides inflammables</w:t>
      </w:r>
    </w:p>
    <w:p>
      <w:pPr>
        <w:rPr>
          <w:noProof/>
        </w:rPr>
      </w:pPr>
      <w:r>
        <w:rPr>
          <w:noProof/>
        </w:rPr>
        <w:t>4.1.</w:t>
      </w:r>
      <w:r>
        <w:rPr>
          <w:noProof/>
        </w:rPr>
        <w:tab/>
        <w:t>Matières solides inflammables</w:t>
      </w:r>
    </w:p>
    <w:p>
      <w:pPr>
        <w:rPr>
          <w:noProof/>
        </w:rPr>
      </w:pPr>
      <w:r>
        <w:rPr>
          <w:noProof/>
        </w:rPr>
        <w:t>4.2.</w:t>
      </w:r>
      <w:r>
        <w:rPr>
          <w:noProof/>
        </w:rPr>
        <w:tab/>
        <w:t>Matières sujettes à l'inflammation spontanée</w:t>
      </w:r>
    </w:p>
    <w:p>
      <w:pPr>
        <w:rPr>
          <w:noProof/>
        </w:rPr>
      </w:pPr>
      <w:r>
        <w:rPr>
          <w:noProof/>
        </w:rPr>
        <w:t>4.3.</w:t>
      </w:r>
      <w:r>
        <w:rPr>
          <w:noProof/>
        </w:rPr>
        <w:tab/>
        <w:t>Matières qui, au contact de l'eau, dégagent des gaz inflammables</w:t>
      </w:r>
    </w:p>
    <w:p>
      <w:pPr>
        <w:rPr>
          <w:noProof/>
        </w:rPr>
      </w:pPr>
      <w:r>
        <w:rPr>
          <w:noProof/>
        </w:rPr>
        <w:t>5.1.</w:t>
      </w:r>
      <w:r>
        <w:rPr>
          <w:noProof/>
        </w:rPr>
        <w:tab/>
        <w:t>Matières comburantes</w:t>
      </w:r>
    </w:p>
    <w:p>
      <w:pPr>
        <w:rPr>
          <w:noProof/>
        </w:rPr>
      </w:pPr>
      <w:r>
        <w:rPr>
          <w:noProof/>
        </w:rPr>
        <w:t>5.2.</w:t>
      </w:r>
      <w:r>
        <w:rPr>
          <w:noProof/>
        </w:rPr>
        <w:tab/>
        <w:t>Peroxydes organiques</w:t>
      </w:r>
    </w:p>
    <w:p>
      <w:pPr>
        <w:rPr>
          <w:noProof/>
        </w:rPr>
      </w:pPr>
      <w:r>
        <w:rPr>
          <w:noProof/>
        </w:rPr>
        <w:t>6.1.</w:t>
      </w:r>
      <w:r>
        <w:rPr>
          <w:noProof/>
        </w:rPr>
        <w:tab/>
        <w:t>Matières toxiques</w:t>
      </w:r>
    </w:p>
    <w:p>
      <w:pPr>
        <w:rPr>
          <w:noProof/>
        </w:rPr>
      </w:pPr>
      <w:r>
        <w:rPr>
          <w:noProof/>
        </w:rPr>
        <w:t>6.2.</w:t>
      </w:r>
      <w:r>
        <w:rPr>
          <w:noProof/>
        </w:rPr>
        <w:tab/>
        <w:t>Matières infectieuses</w:t>
      </w:r>
    </w:p>
    <w:p>
      <w:pPr>
        <w:rPr>
          <w:noProof/>
        </w:rPr>
      </w:pPr>
      <w:r>
        <w:rPr>
          <w:noProof/>
        </w:rPr>
        <w:t>7.</w:t>
      </w:r>
      <w:r>
        <w:rPr>
          <w:noProof/>
        </w:rPr>
        <w:tab/>
        <w:t>Matières radioactives</w:t>
      </w:r>
    </w:p>
    <w:p>
      <w:pPr>
        <w:rPr>
          <w:noProof/>
        </w:rPr>
      </w:pPr>
      <w:r>
        <w:rPr>
          <w:noProof/>
        </w:rPr>
        <w:t>8.</w:t>
      </w:r>
      <w:r>
        <w:rPr>
          <w:noProof/>
        </w:rPr>
        <w:tab/>
        <w:t>Matières corrosives</w:t>
      </w:r>
    </w:p>
    <w:p>
      <w:pPr>
        <w:rPr>
          <w:noProof/>
        </w:rPr>
      </w:pPr>
      <w:r>
        <w:rPr>
          <w:noProof/>
        </w:rPr>
        <w:t>9.</w:t>
      </w:r>
      <w:r>
        <w:rPr>
          <w:noProof/>
        </w:rPr>
        <w:tab/>
        <w:t>Matières et objets dangereux divers</w:t>
      </w:r>
    </w:p>
    <w:p>
      <w:pPr>
        <w:rPr>
          <w:noProof/>
        </w:rPr>
      </w:pPr>
      <w:r>
        <w:rPr>
          <w:b/>
          <w:bCs/>
          <w:noProof/>
        </w:rPr>
        <w:t>Remarque:</w:t>
      </w:r>
    </w:p>
    <w:p>
      <w:pPr>
        <w:pStyle w:val="Point0"/>
        <w:rPr>
          <w:noProof/>
        </w:rPr>
      </w:pPr>
      <w:r>
        <w:rPr>
          <w:noProof/>
        </w:rPr>
        <w:tab/>
        <w:t>Ces catégories correspondent aux catégories définies dans le règlement concernant le transport international ferroviaire des marchandises dangereuses, communément appelé le RID, adopté au titre de la directive 2008/68/CE du Parlement européen et du Conseil</w:t>
      </w:r>
      <w:r>
        <w:rPr>
          <w:rStyle w:val="FootnoteReference"/>
          <w:noProof/>
        </w:rPr>
        <w:footnoteReference w:id="1"/>
      </w:r>
      <w:r>
        <w:rPr>
          <w:noProof/>
        </w:rPr>
        <w:t>.</w:t>
      </w:r>
    </w:p>
    <w:p>
      <w:pPr>
        <w:pStyle w:val="NormalCentered"/>
        <w:rPr>
          <w:noProof/>
        </w:rPr>
      </w:pPr>
      <w:r>
        <w:rPr>
          <w:noProof/>
        </w:rPr>
        <w:t>____________________</w:t>
      </w:r>
    </w:p>
    <w:p>
      <w:pPr>
        <w:adjustRightInd w:val="0"/>
        <w:spacing w:before="0" w:after="0"/>
        <w:jc w:val="left"/>
        <w:rPr>
          <w:noProof/>
          <w:lang w:val="fr-BE"/>
        </w:rPr>
        <w:sectPr>
          <w:pgSz w:w="11906" w:h="16838"/>
          <w:pgMar w:top="1134" w:right="1418" w:bottom="1134" w:left="1418" w:header="709" w:footer="709" w:gutter="0"/>
          <w:cols w:space="709"/>
          <w:docGrid w:linePitch="326"/>
        </w:sectPr>
      </w:pP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2016/2032 Art. 1, pt. 12 et Annexe II</w:t>
      </w:r>
    </w:p>
    <w:p>
      <w:pPr>
        <w:pStyle w:val="Annexetitre"/>
        <w:rPr>
          <w:noProof/>
        </w:rPr>
      </w:pPr>
      <w:r>
        <w:rPr>
          <w:noProof/>
        </w:rPr>
        <w:t>ANNEXE VIII</w:t>
      </w:r>
    </w:p>
    <w:tbl>
      <w:tblPr>
        <w:tblW w:w="0" w:type="auto"/>
        <w:tblLayout w:type="fixed"/>
        <w:tblLook w:val="0000" w:firstRow="0" w:lastRow="0" w:firstColumn="0" w:lastColumn="0" w:noHBand="0" w:noVBand="0"/>
      </w:tblPr>
      <w:tblGrid>
        <w:gridCol w:w="3993"/>
        <w:gridCol w:w="5293"/>
      </w:tblGrid>
      <w:tr>
        <w:tc>
          <w:tcPr>
            <w:tcW w:w="9286" w:type="dxa"/>
            <w:gridSpan w:val="2"/>
            <w:tcBorders>
              <w:top w:val="single" w:sz="2" w:space="0" w:color="auto"/>
              <w:left w:val="single" w:sz="2" w:space="0" w:color="auto"/>
              <w:bottom w:val="single" w:sz="2" w:space="0" w:color="auto"/>
              <w:right w:val="single" w:sz="2" w:space="0" w:color="auto"/>
            </w:tcBorders>
          </w:tcPr>
          <w:p>
            <w:pPr>
              <w:pStyle w:val="NormalCentered"/>
              <w:rPr>
                <w:noProof/>
              </w:rPr>
            </w:pPr>
            <w:r>
              <w:rPr>
                <w:noProof/>
              </w:rPr>
              <w:t>Tableau VIII.1</w:t>
            </w:r>
          </w:p>
        </w:tc>
      </w:tr>
      <w:tr>
        <w:tc>
          <w:tcPr>
            <w:tcW w:w="9286" w:type="dxa"/>
            <w:gridSpan w:val="2"/>
            <w:tcBorders>
              <w:top w:val="single" w:sz="2" w:space="0" w:color="auto"/>
              <w:left w:val="single" w:sz="2" w:space="0" w:color="auto"/>
              <w:bottom w:val="single" w:sz="2" w:space="0" w:color="auto"/>
              <w:right w:val="single" w:sz="2" w:space="0" w:color="auto"/>
            </w:tcBorders>
          </w:tcPr>
          <w:p>
            <w:pPr>
              <w:pStyle w:val="NormalCentered"/>
              <w:rPr>
                <w:noProof/>
              </w:rPr>
            </w:pPr>
            <w:r>
              <w:rPr>
                <w:noProof/>
              </w:rPr>
              <w:t>NIVEAU D'ACTIVITÉ DE TRANSPORT DE MARCHANDISES</w:t>
            </w:r>
          </w:p>
        </w:tc>
      </w:tr>
      <w:tr>
        <w:tc>
          <w:tcPr>
            <w:tcW w:w="399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Liste des variables et unités de mesure</w:t>
            </w:r>
          </w:p>
        </w:tc>
        <w:tc>
          <w:tcPr>
            <w:tcW w:w="5293"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Marchandises transportées en:</w:t>
            </w:r>
          </w:p>
          <w:p>
            <w:pPr>
              <w:pStyle w:val="Tiret0"/>
              <w:ind w:left="851"/>
              <w:rPr>
                <w:noProof/>
              </w:rPr>
            </w:pPr>
            <w:r>
              <w:rPr>
                <w:noProof/>
              </w:rPr>
              <w:t>nombre total de tonnes</w:t>
            </w:r>
          </w:p>
          <w:p>
            <w:pPr>
              <w:pStyle w:val="Tiret0"/>
              <w:ind w:left="851"/>
              <w:rPr>
                <w:noProof/>
              </w:rPr>
            </w:pPr>
            <w:r>
              <w:rPr>
                <w:noProof/>
              </w:rPr>
              <w:t>nombre total de tonnes-kilomètres</w:t>
            </w:r>
          </w:p>
          <w:p>
            <w:pPr>
              <w:pStyle w:val="NormalLeft"/>
              <w:jc w:val="both"/>
              <w:rPr>
                <w:noProof/>
              </w:rPr>
            </w:pPr>
            <w:r>
              <w:rPr>
                <w:noProof/>
              </w:rPr>
              <w:t>Mouvements de trains de marchandises en:</w:t>
            </w:r>
          </w:p>
          <w:p>
            <w:pPr>
              <w:pStyle w:val="Tiret0"/>
              <w:ind w:left="851"/>
              <w:rPr>
                <w:noProof/>
              </w:rPr>
            </w:pPr>
            <w:r>
              <w:rPr>
                <w:noProof/>
              </w:rPr>
              <w:t>nombre total de trains-kilomètres</w:t>
            </w:r>
          </w:p>
        </w:tc>
      </w:tr>
      <w:tr>
        <w:tc>
          <w:tcPr>
            <w:tcW w:w="399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Période de référence</w:t>
            </w:r>
          </w:p>
        </w:tc>
        <w:tc>
          <w:tcPr>
            <w:tcW w:w="5293"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Une année</w:t>
            </w:r>
          </w:p>
        </w:tc>
      </w:tr>
      <w:tr>
        <w:tc>
          <w:tcPr>
            <w:tcW w:w="399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Fréquence</w:t>
            </w:r>
          </w:p>
        </w:tc>
        <w:tc>
          <w:tcPr>
            <w:tcW w:w="5293"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Chaque année</w:t>
            </w:r>
          </w:p>
        </w:tc>
      </w:tr>
      <w:tr>
        <w:tc>
          <w:tcPr>
            <w:tcW w:w="399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Délai pour la transmission des données</w:t>
            </w:r>
          </w:p>
        </w:tc>
        <w:tc>
          <w:tcPr>
            <w:tcW w:w="5293"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Cinq mois après la fin de la période de référence</w:t>
            </w:r>
          </w:p>
        </w:tc>
      </w:tr>
      <w:tr>
        <w:tc>
          <w:tcPr>
            <w:tcW w:w="399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Première période de référence</w:t>
            </w:r>
          </w:p>
        </w:tc>
        <w:tc>
          <w:tcPr>
            <w:tcW w:w="5293"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2017</w:t>
            </w:r>
          </w:p>
        </w:tc>
      </w:tr>
      <w:tr>
        <w:tc>
          <w:tcPr>
            <w:tcW w:w="399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Remarques</w:t>
            </w:r>
          </w:p>
        </w:tc>
        <w:tc>
          <w:tcPr>
            <w:tcW w:w="5293"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Uniquement pour les entreprises dont le volume total de transport de marchandises est inférieur à 200 000 000 de tonnes-kilomètres et à 500 000 tonnes et qui ne déclarent pas de données dans le cadre de l'annexe I (déclaration détaillée).</w:t>
            </w:r>
          </w:p>
        </w:tc>
      </w:tr>
    </w:tbl>
    <w:p>
      <w:pPr>
        <w:rPr>
          <w:noProof/>
        </w:rPr>
      </w:pPr>
    </w:p>
    <w:tbl>
      <w:tblPr>
        <w:tblW w:w="0" w:type="auto"/>
        <w:tblLayout w:type="fixed"/>
        <w:tblLook w:val="0000" w:firstRow="0" w:lastRow="0" w:firstColumn="0" w:lastColumn="0" w:noHBand="0" w:noVBand="0"/>
      </w:tblPr>
      <w:tblGrid>
        <w:gridCol w:w="3993"/>
        <w:gridCol w:w="5293"/>
      </w:tblGrid>
      <w:tr>
        <w:tc>
          <w:tcPr>
            <w:tcW w:w="9286" w:type="dxa"/>
            <w:gridSpan w:val="2"/>
            <w:tcBorders>
              <w:top w:val="single" w:sz="2" w:space="0" w:color="auto"/>
              <w:left w:val="single" w:sz="2" w:space="0" w:color="auto"/>
              <w:bottom w:val="single" w:sz="2" w:space="0" w:color="auto"/>
              <w:right w:val="single" w:sz="2" w:space="0" w:color="auto"/>
            </w:tcBorders>
          </w:tcPr>
          <w:p>
            <w:pPr>
              <w:pStyle w:val="NormalCentered"/>
              <w:rPr>
                <w:noProof/>
              </w:rPr>
            </w:pPr>
            <w:r>
              <w:rPr>
                <w:noProof/>
              </w:rPr>
              <w:t>Tableau VIII.2</w:t>
            </w:r>
          </w:p>
        </w:tc>
      </w:tr>
      <w:tr>
        <w:tc>
          <w:tcPr>
            <w:tcW w:w="9286" w:type="dxa"/>
            <w:gridSpan w:val="2"/>
            <w:tcBorders>
              <w:top w:val="single" w:sz="2" w:space="0" w:color="auto"/>
              <w:left w:val="single" w:sz="2" w:space="0" w:color="auto"/>
              <w:bottom w:val="single" w:sz="2" w:space="0" w:color="auto"/>
              <w:right w:val="single" w:sz="2" w:space="0" w:color="auto"/>
            </w:tcBorders>
          </w:tcPr>
          <w:p>
            <w:pPr>
              <w:pStyle w:val="NormalCentered"/>
              <w:rPr>
                <w:noProof/>
              </w:rPr>
            </w:pPr>
            <w:r>
              <w:rPr>
                <w:noProof/>
              </w:rPr>
              <w:t>NIVEAU D'ACTIVITÉ DE TRANSPORT DE VOYAGEURS</w:t>
            </w:r>
          </w:p>
        </w:tc>
      </w:tr>
      <w:tr>
        <w:tc>
          <w:tcPr>
            <w:tcW w:w="399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Liste des variables et unités de mesure</w:t>
            </w:r>
          </w:p>
        </w:tc>
        <w:tc>
          <w:tcPr>
            <w:tcW w:w="5293"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Voyageurs transportés en:</w:t>
            </w:r>
          </w:p>
          <w:p>
            <w:pPr>
              <w:pStyle w:val="Tiret0"/>
              <w:ind w:left="851"/>
              <w:rPr>
                <w:noProof/>
              </w:rPr>
            </w:pPr>
            <w:r>
              <w:rPr>
                <w:noProof/>
              </w:rPr>
              <w:t>nombre total de voyageurs</w:t>
            </w:r>
          </w:p>
          <w:p>
            <w:pPr>
              <w:pStyle w:val="Tiret0"/>
              <w:ind w:left="851"/>
              <w:rPr>
                <w:noProof/>
              </w:rPr>
            </w:pPr>
            <w:r>
              <w:rPr>
                <w:noProof/>
              </w:rPr>
              <w:t>nombre total de voyageurs-kilomètres</w:t>
            </w:r>
          </w:p>
          <w:p>
            <w:pPr>
              <w:pStyle w:val="NormalLeft"/>
              <w:jc w:val="both"/>
              <w:rPr>
                <w:noProof/>
              </w:rPr>
            </w:pPr>
            <w:r>
              <w:rPr>
                <w:noProof/>
              </w:rPr>
              <w:t>Mouvements de trains de voyageurs en:</w:t>
            </w:r>
          </w:p>
          <w:p>
            <w:pPr>
              <w:pStyle w:val="Tiret0"/>
              <w:ind w:left="851"/>
              <w:rPr>
                <w:noProof/>
              </w:rPr>
            </w:pPr>
            <w:r>
              <w:rPr>
                <w:noProof/>
              </w:rPr>
              <w:t>nombre total de trains-kilomètres</w:t>
            </w:r>
          </w:p>
        </w:tc>
      </w:tr>
      <w:tr>
        <w:tc>
          <w:tcPr>
            <w:tcW w:w="399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Période de référence</w:t>
            </w:r>
          </w:p>
        </w:tc>
        <w:tc>
          <w:tcPr>
            <w:tcW w:w="5293"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Une année</w:t>
            </w:r>
          </w:p>
        </w:tc>
      </w:tr>
      <w:tr>
        <w:tc>
          <w:tcPr>
            <w:tcW w:w="399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Fréquence</w:t>
            </w:r>
          </w:p>
        </w:tc>
        <w:tc>
          <w:tcPr>
            <w:tcW w:w="5293"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Chaque année</w:t>
            </w:r>
          </w:p>
        </w:tc>
      </w:tr>
      <w:tr>
        <w:tc>
          <w:tcPr>
            <w:tcW w:w="399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Délai pour la transmission des données</w:t>
            </w:r>
          </w:p>
        </w:tc>
        <w:tc>
          <w:tcPr>
            <w:tcW w:w="5293"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Huit mois après la fin de la période de référence</w:t>
            </w:r>
          </w:p>
        </w:tc>
      </w:tr>
      <w:tr>
        <w:tc>
          <w:tcPr>
            <w:tcW w:w="399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lastRenderedPageBreak/>
              <w:t>Première période de référence</w:t>
            </w:r>
          </w:p>
        </w:tc>
        <w:tc>
          <w:tcPr>
            <w:tcW w:w="5293"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2017</w:t>
            </w:r>
          </w:p>
        </w:tc>
      </w:tr>
      <w:tr>
        <w:tc>
          <w:tcPr>
            <w:tcW w:w="399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Remarques</w:t>
            </w:r>
          </w:p>
        </w:tc>
        <w:tc>
          <w:tcPr>
            <w:tcW w:w="5293"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Uniquement pour les entreprises dont le volume total de transport de voyageurs est inférieur à 100 000 000 de voyageurs-kilomètres et qui ne déclarent pas de données dans le cadre de l'annexe II (déclaration détaillée).</w:t>
            </w:r>
          </w:p>
        </w:tc>
      </w:tr>
    </w:tbl>
    <w:p>
      <w:pPr>
        <w:adjustRightInd w:val="0"/>
        <w:spacing w:before="0" w:after="0"/>
        <w:jc w:val="center"/>
        <w:rPr>
          <w:noProof/>
          <w:lang w:val="fr-BE"/>
        </w:rPr>
      </w:pPr>
      <w:r>
        <w:rPr>
          <w:noProof/>
          <w:lang w:val="fr-BE"/>
        </w:rPr>
        <w:t>__________________</w:t>
      </w:r>
    </w:p>
    <w:p>
      <w:pPr>
        <w:adjustRightInd w:val="0"/>
        <w:spacing w:before="0" w:after="0"/>
        <w:jc w:val="left"/>
        <w:rPr>
          <w:noProof/>
          <w:lang w:val="fr-BE"/>
        </w:rPr>
        <w:sectPr>
          <w:pgSz w:w="11906" w:h="16838"/>
          <w:pgMar w:top="1134" w:right="1418" w:bottom="1134" w:left="1418" w:header="709" w:footer="709" w:gutter="0"/>
          <w:cols w:space="709"/>
          <w:docGrid w:linePitch="326"/>
        </w:sectPr>
      </w:pPr>
    </w:p>
    <w:p>
      <w:pPr>
        <w:adjustRightInd w:val="0"/>
        <w:spacing w:before="0" w:after="0"/>
        <w:jc w:val="left"/>
        <w:rPr>
          <w:noProof/>
          <w:lang w:val="fr-BE"/>
        </w:rPr>
      </w:pP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é</w:instrText>
      </w:r>
      <w:r>
        <w:rPr>
          <w:noProof/>
        </w:rPr>
        <w:instrText xml:space="preserve">" </w:instrText>
      </w:r>
      <w:r>
        <w:rPr>
          <w:noProof/>
        </w:rPr>
        <w:fldChar w:fldCharType="separate"/>
      </w:r>
      <w:r>
        <w:rPr>
          <w:rStyle w:val="CRMarker"/>
          <w:noProof/>
        </w:rPr>
        <w:t>é</w:t>
      </w:r>
      <w:r>
        <w:rPr>
          <w:noProof/>
        </w:rPr>
        <w:fldChar w:fldCharType="end"/>
      </w:r>
    </w:p>
    <w:p>
      <w:pPr>
        <w:pStyle w:val="Annexetitre"/>
        <w:rPr>
          <w:noProof/>
        </w:rPr>
      </w:pPr>
      <w:r>
        <w:rPr>
          <w:noProof/>
        </w:rPr>
        <w:t>ANNEXE IX</w:t>
      </w:r>
    </w:p>
    <w:p>
      <w:pPr>
        <w:jc w:val="center"/>
        <w:rPr>
          <w:b/>
          <w:noProof/>
        </w:rPr>
      </w:pPr>
      <w:bookmarkStart w:id="1" w:name="_CopyToNewDocument_"/>
      <w:bookmarkEnd w:id="1"/>
      <w:r>
        <w:rPr>
          <w:b/>
          <w:noProof/>
        </w:rPr>
        <w:t>Règlement abrogé avec la liste de ses modifications successives</w:t>
      </w:r>
    </w:p>
    <w:tbl>
      <w:tblPr>
        <w:tblW w:w="9692" w:type="dxa"/>
        <w:tblLayout w:type="fixed"/>
        <w:tblLook w:val="0000" w:firstRow="0" w:lastRow="0" w:firstColumn="0" w:lastColumn="0" w:noHBand="0" w:noVBand="0"/>
      </w:tblPr>
      <w:tblGrid>
        <w:gridCol w:w="348"/>
        <w:gridCol w:w="5289"/>
        <w:gridCol w:w="425"/>
        <w:gridCol w:w="142"/>
        <w:gridCol w:w="141"/>
        <w:gridCol w:w="2237"/>
        <w:gridCol w:w="402"/>
        <w:gridCol w:w="425"/>
        <w:gridCol w:w="142"/>
        <w:gridCol w:w="141"/>
      </w:tblGrid>
      <w:tr>
        <w:trPr>
          <w:gridAfter w:val="4"/>
          <w:wAfter w:w="1110" w:type="dxa"/>
          <w:cantSplit/>
        </w:trPr>
        <w:tc>
          <w:tcPr>
            <w:tcW w:w="6204" w:type="dxa"/>
            <w:gridSpan w:val="4"/>
            <w:shd w:val="clear" w:color="auto" w:fill="auto"/>
          </w:tcPr>
          <w:p>
            <w:pPr>
              <w:jc w:val="left"/>
              <w:rPr>
                <w:noProof/>
                <w:szCs w:val="20"/>
                <w:lang w:val="fr-BE"/>
              </w:rPr>
            </w:pPr>
            <w:r>
              <w:rPr>
                <w:noProof/>
                <w:lang w:val="fr-BE"/>
              </w:rPr>
              <w:t>Règlement (CE) n° 91/2003 du Parlement européen et du Conseil</w:t>
            </w:r>
            <w:r>
              <w:rPr>
                <w:noProof/>
                <w:lang w:val="fr-BE"/>
              </w:rPr>
              <w:br/>
            </w:r>
            <w:r>
              <w:rPr>
                <w:noProof/>
                <w:szCs w:val="20"/>
                <w:lang w:val="fr-BE"/>
              </w:rPr>
              <w:t>(JO</w:t>
            </w:r>
            <w:r>
              <w:rPr>
                <w:noProof/>
                <w:lang w:val="fr-BE"/>
              </w:rPr>
              <w:t xml:space="preserve"> L 14 du 21.1.2003, p. 1)</w:t>
            </w:r>
          </w:p>
        </w:tc>
        <w:tc>
          <w:tcPr>
            <w:tcW w:w="2378" w:type="dxa"/>
            <w:gridSpan w:val="2"/>
            <w:shd w:val="clear" w:color="auto" w:fill="auto"/>
          </w:tcPr>
          <w:p>
            <w:pPr>
              <w:ind w:left="175"/>
              <w:rPr>
                <w:noProof/>
                <w:szCs w:val="20"/>
                <w:lang w:val="fr-BE"/>
              </w:rPr>
            </w:pPr>
          </w:p>
        </w:tc>
      </w:tr>
      <w:tr>
        <w:trPr>
          <w:gridBefore w:val="1"/>
          <w:gridAfter w:val="3"/>
          <w:wBefore w:w="348" w:type="dxa"/>
          <w:wAfter w:w="708" w:type="dxa"/>
          <w:cantSplit/>
        </w:trPr>
        <w:tc>
          <w:tcPr>
            <w:tcW w:w="5289" w:type="dxa"/>
            <w:shd w:val="clear" w:color="auto" w:fill="auto"/>
          </w:tcPr>
          <w:p>
            <w:pPr>
              <w:jc w:val="left"/>
              <w:rPr>
                <w:noProof/>
                <w:lang w:val="fr-BE"/>
              </w:rPr>
            </w:pPr>
            <w:r>
              <w:rPr>
                <w:noProof/>
                <w:lang w:val="fr-BE"/>
              </w:rPr>
              <w:t xml:space="preserve">Règlement (CE) n° 1192/2003 de la Commission </w:t>
            </w:r>
            <w:r>
              <w:rPr>
                <w:noProof/>
                <w:lang w:val="fr-BE"/>
              </w:rPr>
              <w:br/>
            </w:r>
            <w:r>
              <w:rPr>
                <w:noProof/>
                <w:szCs w:val="20"/>
                <w:lang w:val="fr-BE"/>
              </w:rPr>
              <w:t>(JO</w:t>
            </w:r>
            <w:r>
              <w:rPr>
                <w:noProof/>
                <w:lang w:val="fr-BE"/>
              </w:rPr>
              <w:t xml:space="preserve"> L 167 du 4.7.2003, p. 13)</w:t>
            </w:r>
          </w:p>
        </w:tc>
        <w:tc>
          <w:tcPr>
            <w:tcW w:w="3347" w:type="dxa"/>
            <w:gridSpan w:val="5"/>
            <w:shd w:val="clear" w:color="auto" w:fill="auto"/>
          </w:tcPr>
          <w:p>
            <w:pPr>
              <w:ind w:left="175"/>
              <w:jc w:val="left"/>
              <w:rPr>
                <w:noProof/>
                <w:szCs w:val="20"/>
                <w:lang w:val="fr-BE"/>
              </w:rPr>
            </w:pPr>
          </w:p>
        </w:tc>
      </w:tr>
      <w:tr>
        <w:trPr>
          <w:gridBefore w:val="1"/>
          <w:gridAfter w:val="2"/>
          <w:wBefore w:w="348" w:type="dxa"/>
          <w:wAfter w:w="283" w:type="dxa"/>
          <w:cantSplit/>
        </w:trPr>
        <w:tc>
          <w:tcPr>
            <w:tcW w:w="5714" w:type="dxa"/>
            <w:gridSpan w:val="2"/>
            <w:shd w:val="clear" w:color="auto" w:fill="auto"/>
          </w:tcPr>
          <w:p>
            <w:pPr>
              <w:jc w:val="left"/>
              <w:rPr>
                <w:noProof/>
                <w:szCs w:val="20"/>
                <w:lang w:val="fr-BE"/>
              </w:rPr>
            </w:pPr>
            <w:r>
              <w:rPr>
                <w:noProof/>
                <w:lang w:val="fr-BE"/>
              </w:rPr>
              <w:t>Règlement (CE) n° 1304/2007 de la Commission</w:t>
            </w:r>
            <w:r>
              <w:rPr>
                <w:noProof/>
                <w:lang w:val="fr-BE"/>
              </w:rPr>
              <w:br/>
              <w:t>(JO L 290 du 8.11.2007, p. 14)</w:t>
            </w:r>
          </w:p>
        </w:tc>
        <w:tc>
          <w:tcPr>
            <w:tcW w:w="3347" w:type="dxa"/>
            <w:gridSpan w:val="5"/>
            <w:shd w:val="clear" w:color="auto" w:fill="auto"/>
          </w:tcPr>
          <w:p>
            <w:pPr>
              <w:ind w:left="175"/>
              <w:jc w:val="left"/>
              <w:rPr>
                <w:noProof/>
                <w:szCs w:val="20"/>
                <w:lang w:val="fr-BE"/>
              </w:rPr>
            </w:pPr>
            <w:r>
              <w:rPr>
                <w:noProof/>
                <w:szCs w:val="20"/>
                <w:lang w:val="fr-BE"/>
              </w:rPr>
              <w:t>Uniquement l'article 3</w:t>
            </w:r>
          </w:p>
        </w:tc>
      </w:tr>
      <w:tr>
        <w:trPr>
          <w:gridBefore w:val="1"/>
          <w:wBefore w:w="348" w:type="dxa"/>
          <w:cantSplit/>
        </w:trPr>
        <w:tc>
          <w:tcPr>
            <w:tcW w:w="5997" w:type="dxa"/>
            <w:gridSpan w:val="4"/>
          </w:tcPr>
          <w:p>
            <w:pPr>
              <w:jc w:val="left"/>
              <w:rPr>
                <w:noProof/>
              </w:rPr>
            </w:pPr>
            <w:r>
              <w:rPr>
                <w:noProof/>
                <w:lang w:val="fr-BE"/>
              </w:rPr>
              <w:t>Règlement (CE) n° 219/2009 du Parlement européen et du Conseil</w:t>
            </w:r>
            <w:r>
              <w:rPr>
                <w:noProof/>
                <w:lang w:val="fr-BE"/>
              </w:rPr>
              <w:br/>
            </w:r>
            <w:r>
              <w:rPr>
                <w:noProof/>
              </w:rPr>
              <w:t>(JO L 87 du 31.3.2009, p. 109)</w:t>
            </w:r>
          </w:p>
        </w:tc>
        <w:tc>
          <w:tcPr>
            <w:tcW w:w="3347" w:type="dxa"/>
            <w:gridSpan w:val="5"/>
          </w:tcPr>
          <w:p>
            <w:pPr>
              <w:ind w:left="175"/>
              <w:jc w:val="left"/>
              <w:rPr>
                <w:noProof/>
                <w:szCs w:val="20"/>
              </w:rPr>
            </w:pPr>
            <w:r>
              <w:rPr>
                <w:noProof/>
                <w:szCs w:val="20"/>
              </w:rPr>
              <w:t>Uniquement le point 4.4 de l'annexe</w:t>
            </w:r>
          </w:p>
        </w:tc>
      </w:tr>
      <w:tr>
        <w:trPr>
          <w:gridBefore w:val="1"/>
          <w:gridAfter w:val="1"/>
          <w:wBefore w:w="348" w:type="dxa"/>
          <w:wAfter w:w="141" w:type="dxa"/>
          <w:cantSplit/>
        </w:trPr>
        <w:tc>
          <w:tcPr>
            <w:tcW w:w="5856" w:type="dxa"/>
            <w:gridSpan w:val="3"/>
          </w:tcPr>
          <w:p>
            <w:pPr>
              <w:jc w:val="left"/>
              <w:rPr>
                <w:noProof/>
                <w:szCs w:val="20"/>
              </w:rPr>
            </w:pPr>
            <w:r>
              <w:rPr>
                <w:bCs/>
                <w:noProof/>
                <w:lang w:val="fr-BE"/>
              </w:rPr>
              <w:t>Règlement (UE) 2016/2032 du Parlement européen et du Conseil</w:t>
            </w:r>
            <w:r>
              <w:rPr>
                <w:bCs/>
                <w:noProof/>
                <w:lang w:val="fr-BE"/>
              </w:rPr>
              <w:br/>
            </w:r>
            <w:r>
              <w:rPr>
                <w:noProof/>
              </w:rPr>
              <w:t>(JO L 317 du 23.11.2016, p. 105)</w:t>
            </w:r>
          </w:p>
        </w:tc>
        <w:tc>
          <w:tcPr>
            <w:tcW w:w="3347" w:type="dxa"/>
            <w:gridSpan w:val="5"/>
          </w:tcPr>
          <w:p>
            <w:pPr>
              <w:ind w:left="175"/>
              <w:jc w:val="left"/>
              <w:rPr>
                <w:noProof/>
                <w:szCs w:val="20"/>
              </w:rPr>
            </w:pPr>
          </w:p>
        </w:tc>
      </w:tr>
    </w:tbl>
    <w:p>
      <w:pPr>
        <w:jc w:val="center"/>
        <w:rPr>
          <w:noProof/>
        </w:rPr>
      </w:pPr>
      <w:r>
        <w:rPr>
          <w:noProof/>
        </w:rPr>
        <w:t>______________________</w:t>
      </w:r>
    </w:p>
    <w:p>
      <w:pPr>
        <w:jc w:val="center"/>
        <w:rPr>
          <w:noProof/>
        </w:rPr>
        <w:sectPr>
          <w:pgSz w:w="11907" w:h="16839"/>
          <w:pgMar w:top="1134" w:right="1417" w:bottom="1134" w:left="1417" w:header="709" w:footer="709" w:gutter="0"/>
          <w:cols w:space="720"/>
          <w:docGrid w:linePitch="360"/>
        </w:sectPr>
      </w:pPr>
    </w:p>
    <w:p>
      <w:pPr>
        <w:jc w:val="center"/>
        <w:rPr>
          <w:b/>
          <w:noProof/>
          <w:u w:val="single"/>
        </w:rPr>
      </w:pPr>
      <w:r>
        <w:rPr>
          <w:b/>
          <w:noProof/>
          <w:u w:val="single"/>
        </w:rPr>
        <w:lastRenderedPageBreak/>
        <w:t>ANNEXE X</w:t>
      </w:r>
    </w:p>
    <w:p>
      <w:pPr>
        <w:pStyle w:val="ManualHeading1"/>
        <w:ind w:left="851" w:hanging="851"/>
        <w:jc w:val="center"/>
        <w:rPr>
          <w:noProof/>
          <w:lang w:eastAsia="de-DE"/>
        </w:rPr>
      </w:pPr>
      <w:r>
        <w:rPr>
          <w:noProof/>
          <w:lang w:eastAsia="de-DE"/>
        </w:rPr>
        <w:t>Tableau de correspondance</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4"/>
        <w:gridCol w:w="4674"/>
      </w:tblGrid>
      <w:tr>
        <w:tc>
          <w:tcPr>
            <w:tcW w:w="4674" w:type="dxa"/>
            <w:tcBorders>
              <w:left w:val="nil"/>
            </w:tcBorders>
            <w:shd w:val="clear" w:color="auto" w:fill="auto"/>
          </w:tcPr>
          <w:p>
            <w:pPr>
              <w:jc w:val="center"/>
              <w:rPr>
                <w:noProof/>
                <w:szCs w:val="20"/>
              </w:rPr>
            </w:pPr>
            <w:r>
              <w:rPr>
                <w:noProof/>
                <w:szCs w:val="20"/>
              </w:rPr>
              <w:t>Règlement (CE) n° 91/2003</w:t>
            </w:r>
          </w:p>
        </w:tc>
        <w:tc>
          <w:tcPr>
            <w:tcW w:w="4674" w:type="dxa"/>
            <w:tcBorders>
              <w:right w:val="nil"/>
            </w:tcBorders>
            <w:shd w:val="clear" w:color="auto" w:fill="auto"/>
          </w:tcPr>
          <w:p>
            <w:pPr>
              <w:jc w:val="center"/>
              <w:rPr>
                <w:noProof/>
                <w:szCs w:val="20"/>
              </w:rPr>
            </w:pPr>
            <w:r>
              <w:rPr>
                <w:noProof/>
                <w:szCs w:val="20"/>
              </w:rPr>
              <w:t>Présent règlement</w:t>
            </w:r>
          </w:p>
        </w:tc>
      </w:tr>
      <w:tr>
        <w:tc>
          <w:tcPr>
            <w:tcW w:w="4674" w:type="dxa"/>
            <w:tcBorders>
              <w:top w:val="nil"/>
              <w:left w:val="nil"/>
              <w:bottom w:val="nil"/>
            </w:tcBorders>
          </w:tcPr>
          <w:p>
            <w:pPr>
              <w:rPr>
                <w:noProof/>
                <w:szCs w:val="20"/>
              </w:rPr>
            </w:pPr>
            <w:r>
              <w:rPr>
                <w:noProof/>
                <w:szCs w:val="20"/>
              </w:rPr>
              <w:t>Articles 1</w:t>
            </w:r>
            <w:r>
              <w:rPr>
                <w:noProof/>
                <w:szCs w:val="20"/>
                <w:vertAlign w:val="superscript"/>
              </w:rPr>
              <w:t>er</w:t>
            </w:r>
            <w:r>
              <w:rPr>
                <w:noProof/>
                <w:szCs w:val="20"/>
              </w:rPr>
              <w:t>, 2 et 3</w:t>
            </w:r>
          </w:p>
        </w:tc>
        <w:tc>
          <w:tcPr>
            <w:tcW w:w="4674" w:type="dxa"/>
            <w:tcBorders>
              <w:top w:val="nil"/>
              <w:bottom w:val="nil"/>
              <w:right w:val="nil"/>
            </w:tcBorders>
          </w:tcPr>
          <w:p>
            <w:pPr>
              <w:rPr>
                <w:noProof/>
                <w:szCs w:val="20"/>
              </w:rPr>
            </w:pPr>
            <w:r>
              <w:rPr>
                <w:noProof/>
                <w:szCs w:val="20"/>
              </w:rPr>
              <w:t>Articles 1</w:t>
            </w:r>
            <w:r>
              <w:rPr>
                <w:noProof/>
                <w:szCs w:val="20"/>
                <w:vertAlign w:val="superscript"/>
              </w:rPr>
              <w:t>er</w:t>
            </w:r>
            <w:r>
              <w:rPr>
                <w:noProof/>
                <w:szCs w:val="20"/>
              </w:rPr>
              <w:t>, 2 et 3</w:t>
            </w:r>
          </w:p>
        </w:tc>
      </w:tr>
      <w:tr>
        <w:tc>
          <w:tcPr>
            <w:tcW w:w="4674" w:type="dxa"/>
            <w:tcBorders>
              <w:top w:val="nil"/>
              <w:left w:val="nil"/>
              <w:bottom w:val="nil"/>
            </w:tcBorders>
          </w:tcPr>
          <w:p>
            <w:pPr>
              <w:rPr>
                <w:noProof/>
                <w:szCs w:val="20"/>
              </w:rPr>
            </w:pPr>
            <w:r>
              <w:rPr>
                <w:noProof/>
                <w:szCs w:val="20"/>
              </w:rPr>
              <w:t>Article 4, paragraphe 1, phrase introductive</w:t>
            </w:r>
          </w:p>
        </w:tc>
        <w:tc>
          <w:tcPr>
            <w:tcW w:w="4674" w:type="dxa"/>
            <w:tcBorders>
              <w:top w:val="nil"/>
              <w:bottom w:val="nil"/>
              <w:right w:val="nil"/>
            </w:tcBorders>
          </w:tcPr>
          <w:p>
            <w:pPr>
              <w:rPr>
                <w:noProof/>
                <w:szCs w:val="20"/>
              </w:rPr>
            </w:pPr>
            <w:r>
              <w:rPr>
                <w:noProof/>
                <w:szCs w:val="20"/>
              </w:rPr>
              <w:t>Article 4, paragraphe 1, phrase introductive</w:t>
            </w:r>
          </w:p>
        </w:tc>
      </w:tr>
      <w:tr>
        <w:tc>
          <w:tcPr>
            <w:tcW w:w="4674" w:type="dxa"/>
            <w:tcBorders>
              <w:top w:val="nil"/>
              <w:left w:val="nil"/>
              <w:bottom w:val="nil"/>
            </w:tcBorders>
          </w:tcPr>
          <w:p>
            <w:pPr>
              <w:rPr>
                <w:noProof/>
                <w:szCs w:val="20"/>
              </w:rPr>
            </w:pPr>
            <w:r>
              <w:rPr>
                <w:noProof/>
                <w:szCs w:val="20"/>
              </w:rPr>
              <w:t>Article 4, paragraphe 1, point a)</w:t>
            </w:r>
          </w:p>
        </w:tc>
        <w:tc>
          <w:tcPr>
            <w:tcW w:w="4674" w:type="dxa"/>
            <w:tcBorders>
              <w:top w:val="nil"/>
              <w:bottom w:val="nil"/>
              <w:right w:val="nil"/>
            </w:tcBorders>
          </w:tcPr>
          <w:p>
            <w:pPr>
              <w:rPr>
                <w:noProof/>
                <w:szCs w:val="20"/>
              </w:rPr>
            </w:pPr>
            <w:r>
              <w:rPr>
                <w:noProof/>
                <w:szCs w:val="20"/>
              </w:rPr>
              <w:t>Article 4, paragraphe 1, point a)</w:t>
            </w:r>
          </w:p>
        </w:tc>
      </w:tr>
      <w:tr>
        <w:tc>
          <w:tcPr>
            <w:tcW w:w="4674" w:type="dxa"/>
            <w:tcBorders>
              <w:top w:val="nil"/>
              <w:left w:val="nil"/>
              <w:bottom w:val="nil"/>
            </w:tcBorders>
          </w:tcPr>
          <w:p>
            <w:pPr>
              <w:rPr>
                <w:noProof/>
                <w:szCs w:val="20"/>
              </w:rPr>
            </w:pPr>
            <w:r>
              <w:rPr>
                <w:noProof/>
                <w:szCs w:val="20"/>
              </w:rPr>
              <w:t>Article 4, paragraphe 1, point c)</w:t>
            </w:r>
          </w:p>
        </w:tc>
        <w:tc>
          <w:tcPr>
            <w:tcW w:w="4674" w:type="dxa"/>
            <w:tcBorders>
              <w:top w:val="nil"/>
              <w:bottom w:val="nil"/>
              <w:right w:val="nil"/>
            </w:tcBorders>
          </w:tcPr>
          <w:p>
            <w:pPr>
              <w:rPr>
                <w:noProof/>
                <w:szCs w:val="20"/>
              </w:rPr>
            </w:pPr>
            <w:r>
              <w:rPr>
                <w:noProof/>
                <w:szCs w:val="20"/>
              </w:rPr>
              <w:t>Article 4, paragraphe 1, point b)</w:t>
            </w:r>
          </w:p>
        </w:tc>
      </w:tr>
      <w:tr>
        <w:tc>
          <w:tcPr>
            <w:tcW w:w="4674" w:type="dxa"/>
            <w:tcBorders>
              <w:top w:val="nil"/>
              <w:left w:val="nil"/>
              <w:bottom w:val="nil"/>
            </w:tcBorders>
          </w:tcPr>
          <w:p>
            <w:pPr>
              <w:rPr>
                <w:noProof/>
                <w:szCs w:val="20"/>
              </w:rPr>
            </w:pPr>
            <w:r>
              <w:rPr>
                <w:noProof/>
                <w:szCs w:val="20"/>
              </w:rPr>
              <w:t>Article 4, paragraphe 1, point e)</w:t>
            </w:r>
          </w:p>
        </w:tc>
        <w:tc>
          <w:tcPr>
            <w:tcW w:w="4674" w:type="dxa"/>
            <w:tcBorders>
              <w:top w:val="nil"/>
              <w:bottom w:val="nil"/>
              <w:right w:val="nil"/>
            </w:tcBorders>
          </w:tcPr>
          <w:p>
            <w:pPr>
              <w:rPr>
                <w:noProof/>
                <w:szCs w:val="20"/>
              </w:rPr>
            </w:pPr>
            <w:r>
              <w:rPr>
                <w:noProof/>
                <w:szCs w:val="20"/>
              </w:rPr>
              <w:t>Article 4, paragraphe 1, point c)</w:t>
            </w:r>
          </w:p>
        </w:tc>
      </w:tr>
      <w:tr>
        <w:tc>
          <w:tcPr>
            <w:tcW w:w="4674" w:type="dxa"/>
            <w:tcBorders>
              <w:top w:val="nil"/>
              <w:left w:val="nil"/>
              <w:bottom w:val="nil"/>
            </w:tcBorders>
          </w:tcPr>
          <w:p>
            <w:pPr>
              <w:rPr>
                <w:noProof/>
                <w:szCs w:val="20"/>
              </w:rPr>
            </w:pPr>
            <w:r>
              <w:rPr>
                <w:noProof/>
                <w:szCs w:val="20"/>
              </w:rPr>
              <w:t>Article 4, paragraphe 1, point f)</w:t>
            </w:r>
          </w:p>
        </w:tc>
        <w:tc>
          <w:tcPr>
            <w:tcW w:w="4674" w:type="dxa"/>
            <w:tcBorders>
              <w:top w:val="nil"/>
              <w:bottom w:val="nil"/>
              <w:right w:val="nil"/>
            </w:tcBorders>
          </w:tcPr>
          <w:p>
            <w:pPr>
              <w:rPr>
                <w:noProof/>
                <w:szCs w:val="20"/>
              </w:rPr>
            </w:pPr>
            <w:r>
              <w:rPr>
                <w:noProof/>
                <w:szCs w:val="20"/>
              </w:rPr>
              <w:t>Article 4, paragraphe 1, point d)</w:t>
            </w:r>
          </w:p>
        </w:tc>
      </w:tr>
      <w:tr>
        <w:tc>
          <w:tcPr>
            <w:tcW w:w="4674" w:type="dxa"/>
            <w:tcBorders>
              <w:top w:val="nil"/>
              <w:left w:val="nil"/>
              <w:bottom w:val="nil"/>
            </w:tcBorders>
          </w:tcPr>
          <w:p>
            <w:pPr>
              <w:rPr>
                <w:noProof/>
                <w:szCs w:val="20"/>
              </w:rPr>
            </w:pPr>
            <w:r>
              <w:rPr>
                <w:noProof/>
                <w:szCs w:val="20"/>
              </w:rPr>
              <w:t>Article 4, paragraphe 1, point g)</w:t>
            </w:r>
          </w:p>
        </w:tc>
        <w:tc>
          <w:tcPr>
            <w:tcW w:w="4674" w:type="dxa"/>
            <w:tcBorders>
              <w:top w:val="nil"/>
              <w:bottom w:val="nil"/>
              <w:right w:val="nil"/>
            </w:tcBorders>
          </w:tcPr>
          <w:p>
            <w:pPr>
              <w:rPr>
                <w:noProof/>
                <w:szCs w:val="20"/>
              </w:rPr>
            </w:pPr>
            <w:r>
              <w:rPr>
                <w:noProof/>
                <w:szCs w:val="20"/>
              </w:rPr>
              <w:t>Article 4, paragraphe 1, point e)</w:t>
            </w:r>
          </w:p>
        </w:tc>
      </w:tr>
      <w:tr>
        <w:tc>
          <w:tcPr>
            <w:tcW w:w="4674" w:type="dxa"/>
            <w:tcBorders>
              <w:top w:val="nil"/>
              <w:left w:val="nil"/>
              <w:bottom w:val="nil"/>
            </w:tcBorders>
          </w:tcPr>
          <w:p>
            <w:pPr>
              <w:rPr>
                <w:noProof/>
                <w:szCs w:val="20"/>
              </w:rPr>
            </w:pPr>
            <w:r>
              <w:rPr>
                <w:noProof/>
                <w:szCs w:val="20"/>
              </w:rPr>
              <w:t>Article 4, paragraphes 2, 3 et 4</w:t>
            </w:r>
          </w:p>
        </w:tc>
        <w:tc>
          <w:tcPr>
            <w:tcW w:w="4674" w:type="dxa"/>
            <w:tcBorders>
              <w:top w:val="nil"/>
              <w:bottom w:val="nil"/>
              <w:right w:val="nil"/>
            </w:tcBorders>
          </w:tcPr>
          <w:p>
            <w:pPr>
              <w:rPr>
                <w:noProof/>
                <w:szCs w:val="20"/>
              </w:rPr>
            </w:pPr>
            <w:r>
              <w:rPr>
                <w:noProof/>
                <w:szCs w:val="20"/>
              </w:rPr>
              <w:t>Article 4, paragraphes 2, 3 et 4</w:t>
            </w:r>
          </w:p>
        </w:tc>
      </w:tr>
      <w:tr>
        <w:tc>
          <w:tcPr>
            <w:tcW w:w="4674" w:type="dxa"/>
            <w:tcBorders>
              <w:top w:val="nil"/>
              <w:left w:val="nil"/>
              <w:bottom w:val="nil"/>
            </w:tcBorders>
          </w:tcPr>
          <w:p>
            <w:pPr>
              <w:rPr>
                <w:noProof/>
                <w:szCs w:val="20"/>
              </w:rPr>
            </w:pPr>
            <w:r>
              <w:rPr>
                <w:noProof/>
                <w:szCs w:val="20"/>
              </w:rPr>
              <w:t>Article 4, paragraphe 5</w:t>
            </w:r>
          </w:p>
        </w:tc>
        <w:tc>
          <w:tcPr>
            <w:tcW w:w="4674" w:type="dxa"/>
            <w:tcBorders>
              <w:top w:val="nil"/>
              <w:bottom w:val="nil"/>
              <w:right w:val="nil"/>
            </w:tcBorders>
          </w:tcPr>
          <w:p>
            <w:pPr>
              <w:rPr>
                <w:noProof/>
                <w:szCs w:val="20"/>
              </w:rPr>
            </w:pPr>
            <w:r>
              <w:rPr>
                <w:noProof/>
                <w:szCs w:val="20"/>
              </w:rPr>
              <w:t>-</w:t>
            </w:r>
          </w:p>
        </w:tc>
      </w:tr>
      <w:tr>
        <w:tc>
          <w:tcPr>
            <w:tcW w:w="4674" w:type="dxa"/>
            <w:tcBorders>
              <w:top w:val="nil"/>
              <w:left w:val="nil"/>
              <w:bottom w:val="nil"/>
            </w:tcBorders>
          </w:tcPr>
          <w:p>
            <w:pPr>
              <w:rPr>
                <w:noProof/>
                <w:szCs w:val="20"/>
              </w:rPr>
            </w:pPr>
            <w:r>
              <w:rPr>
                <w:noProof/>
                <w:szCs w:val="20"/>
              </w:rPr>
              <w:t>Articles 5, 6 et 7</w:t>
            </w:r>
          </w:p>
        </w:tc>
        <w:tc>
          <w:tcPr>
            <w:tcW w:w="4674" w:type="dxa"/>
            <w:tcBorders>
              <w:top w:val="nil"/>
              <w:bottom w:val="nil"/>
              <w:right w:val="nil"/>
            </w:tcBorders>
          </w:tcPr>
          <w:p>
            <w:pPr>
              <w:rPr>
                <w:noProof/>
                <w:szCs w:val="20"/>
              </w:rPr>
            </w:pPr>
            <w:r>
              <w:rPr>
                <w:noProof/>
                <w:szCs w:val="20"/>
              </w:rPr>
              <w:t>Articles 5, 6 et 7</w:t>
            </w:r>
          </w:p>
        </w:tc>
      </w:tr>
      <w:tr>
        <w:tc>
          <w:tcPr>
            <w:tcW w:w="4674" w:type="dxa"/>
            <w:tcBorders>
              <w:top w:val="nil"/>
              <w:left w:val="nil"/>
              <w:bottom w:val="nil"/>
            </w:tcBorders>
          </w:tcPr>
          <w:p>
            <w:pPr>
              <w:rPr>
                <w:noProof/>
                <w:szCs w:val="20"/>
              </w:rPr>
            </w:pPr>
            <w:r>
              <w:rPr>
                <w:noProof/>
                <w:szCs w:val="20"/>
              </w:rPr>
              <w:t>Article 8, paragraphe 1</w:t>
            </w:r>
          </w:p>
        </w:tc>
        <w:tc>
          <w:tcPr>
            <w:tcW w:w="4674" w:type="dxa"/>
            <w:tcBorders>
              <w:top w:val="nil"/>
              <w:bottom w:val="nil"/>
              <w:right w:val="nil"/>
            </w:tcBorders>
          </w:tcPr>
          <w:p>
            <w:pPr>
              <w:rPr>
                <w:noProof/>
                <w:szCs w:val="20"/>
              </w:rPr>
            </w:pPr>
            <w:r>
              <w:rPr>
                <w:noProof/>
                <w:szCs w:val="20"/>
              </w:rPr>
              <w:t>Article 8, paragraphe 1</w:t>
            </w:r>
          </w:p>
        </w:tc>
      </w:tr>
      <w:tr>
        <w:tc>
          <w:tcPr>
            <w:tcW w:w="4674" w:type="dxa"/>
            <w:tcBorders>
              <w:top w:val="nil"/>
              <w:left w:val="nil"/>
              <w:bottom w:val="nil"/>
            </w:tcBorders>
          </w:tcPr>
          <w:p>
            <w:pPr>
              <w:rPr>
                <w:noProof/>
                <w:szCs w:val="20"/>
              </w:rPr>
            </w:pPr>
            <w:r>
              <w:rPr>
                <w:noProof/>
                <w:szCs w:val="20"/>
              </w:rPr>
              <w:t>Article 8, paragraphe 1, point a)</w:t>
            </w:r>
          </w:p>
        </w:tc>
        <w:tc>
          <w:tcPr>
            <w:tcW w:w="4674" w:type="dxa"/>
            <w:tcBorders>
              <w:top w:val="nil"/>
              <w:bottom w:val="nil"/>
              <w:right w:val="nil"/>
            </w:tcBorders>
          </w:tcPr>
          <w:p>
            <w:pPr>
              <w:rPr>
                <w:noProof/>
                <w:szCs w:val="20"/>
              </w:rPr>
            </w:pPr>
            <w:r>
              <w:rPr>
                <w:noProof/>
                <w:szCs w:val="20"/>
              </w:rPr>
              <w:t>Article 8, paragraphe 2</w:t>
            </w:r>
          </w:p>
        </w:tc>
      </w:tr>
      <w:tr>
        <w:tc>
          <w:tcPr>
            <w:tcW w:w="4674" w:type="dxa"/>
            <w:tcBorders>
              <w:top w:val="nil"/>
              <w:left w:val="nil"/>
              <w:bottom w:val="nil"/>
            </w:tcBorders>
          </w:tcPr>
          <w:p>
            <w:pPr>
              <w:rPr>
                <w:noProof/>
                <w:szCs w:val="20"/>
              </w:rPr>
            </w:pPr>
            <w:r>
              <w:rPr>
                <w:noProof/>
                <w:szCs w:val="20"/>
              </w:rPr>
              <w:t>Article 8, paragraphe 2</w:t>
            </w:r>
          </w:p>
        </w:tc>
        <w:tc>
          <w:tcPr>
            <w:tcW w:w="4674" w:type="dxa"/>
            <w:tcBorders>
              <w:top w:val="nil"/>
              <w:bottom w:val="nil"/>
              <w:right w:val="nil"/>
            </w:tcBorders>
          </w:tcPr>
          <w:p>
            <w:pPr>
              <w:rPr>
                <w:noProof/>
                <w:szCs w:val="20"/>
              </w:rPr>
            </w:pPr>
            <w:r>
              <w:rPr>
                <w:noProof/>
                <w:szCs w:val="20"/>
              </w:rPr>
              <w:t>Article 8, paragraphe 3</w:t>
            </w:r>
          </w:p>
        </w:tc>
      </w:tr>
      <w:tr>
        <w:tc>
          <w:tcPr>
            <w:tcW w:w="4674" w:type="dxa"/>
            <w:tcBorders>
              <w:top w:val="nil"/>
              <w:left w:val="nil"/>
              <w:bottom w:val="nil"/>
            </w:tcBorders>
          </w:tcPr>
          <w:p>
            <w:pPr>
              <w:rPr>
                <w:noProof/>
                <w:szCs w:val="20"/>
              </w:rPr>
            </w:pPr>
            <w:r>
              <w:rPr>
                <w:noProof/>
                <w:szCs w:val="20"/>
              </w:rPr>
              <w:t>Article 8, paragraphe 3</w:t>
            </w:r>
          </w:p>
        </w:tc>
        <w:tc>
          <w:tcPr>
            <w:tcW w:w="4674" w:type="dxa"/>
            <w:tcBorders>
              <w:top w:val="nil"/>
              <w:bottom w:val="nil"/>
              <w:right w:val="nil"/>
            </w:tcBorders>
          </w:tcPr>
          <w:p>
            <w:pPr>
              <w:rPr>
                <w:noProof/>
                <w:szCs w:val="20"/>
              </w:rPr>
            </w:pPr>
            <w:r>
              <w:rPr>
                <w:noProof/>
                <w:szCs w:val="20"/>
              </w:rPr>
              <w:t>Article 8, paragraphe 4</w:t>
            </w:r>
          </w:p>
        </w:tc>
      </w:tr>
      <w:tr>
        <w:tc>
          <w:tcPr>
            <w:tcW w:w="4674" w:type="dxa"/>
            <w:tcBorders>
              <w:top w:val="nil"/>
              <w:left w:val="nil"/>
              <w:bottom w:val="nil"/>
            </w:tcBorders>
          </w:tcPr>
          <w:p>
            <w:pPr>
              <w:rPr>
                <w:noProof/>
                <w:szCs w:val="20"/>
              </w:rPr>
            </w:pPr>
            <w:r>
              <w:rPr>
                <w:noProof/>
                <w:szCs w:val="20"/>
              </w:rPr>
              <w:t>Article 8, paragraphe 4</w:t>
            </w:r>
          </w:p>
        </w:tc>
        <w:tc>
          <w:tcPr>
            <w:tcW w:w="4674" w:type="dxa"/>
            <w:tcBorders>
              <w:top w:val="nil"/>
              <w:bottom w:val="nil"/>
              <w:right w:val="nil"/>
            </w:tcBorders>
          </w:tcPr>
          <w:p>
            <w:pPr>
              <w:rPr>
                <w:noProof/>
                <w:szCs w:val="20"/>
              </w:rPr>
            </w:pPr>
            <w:r>
              <w:rPr>
                <w:noProof/>
                <w:szCs w:val="20"/>
              </w:rPr>
              <w:t>Article 8, paragraphe 5</w:t>
            </w:r>
          </w:p>
        </w:tc>
      </w:tr>
      <w:tr>
        <w:tc>
          <w:tcPr>
            <w:tcW w:w="4674" w:type="dxa"/>
            <w:tcBorders>
              <w:top w:val="nil"/>
              <w:left w:val="nil"/>
              <w:bottom w:val="nil"/>
            </w:tcBorders>
          </w:tcPr>
          <w:p>
            <w:pPr>
              <w:rPr>
                <w:noProof/>
                <w:szCs w:val="20"/>
              </w:rPr>
            </w:pPr>
            <w:r>
              <w:rPr>
                <w:noProof/>
                <w:szCs w:val="20"/>
              </w:rPr>
              <w:t>Articles 9, 10 et 11</w:t>
            </w:r>
          </w:p>
        </w:tc>
        <w:tc>
          <w:tcPr>
            <w:tcW w:w="4674" w:type="dxa"/>
            <w:tcBorders>
              <w:top w:val="nil"/>
              <w:bottom w:val="nil"/>
              <w:right w:val="nil"/>
            </w:tcBorders>
          </w:tcPr>
          <w:p>
            <w:pPr>
              <w:rPr>
                <w:noProof/>
                <w:szCs w:val="20"/>
              </w:rPr>
            </w:pPr>
            <w:r>
              <w:rPr>
                <w:noProof/>
                <w:szCs w:val="20"/>
              </w:rPr>
              <w:t>Articles 9, 10 et 11</w:t>
            </w:r>
          </w:p>
        </w:tc>
      </w:tr>
      <w:tr>
        <w:tc>
          <w:tcPr>
            <w:tcW w:w="4674" w:type="dxa"/>
            <w:tcBorders>
              <w:top w:val="nil"/>
              <w:left w:val="nil"/>
              <w:bottom w:val="nil"/>
            </w:tcBorders>
          </w:tcPr>
          <w:p>
            <w:pPr>
              <w:rPr>
                <w:noProof/>
                <w:szCs w:val="20"/>
              </w:rPr>
            </w:pPr>
            <w:r>
              <w:rPr>
                <w:noProof/>
                <w:szCs w:val="20"/>
              </w:rPr>
              <w:t>-</w:t>
            </w:r>
          </w:p>
        </w:tc>
        <w:tc>
          <w:tcPr>
            <w:tcW w:w="4674" w:type="dxa"/>
            <w:tcBorders>
              <w:top w:val="nil"/>
              <w:bottom w:val="nil"/>
              <w:right w:val="nil"/>
            </w:tcBorders>
          </w:tcPr>
          <w:p>
            <w:pPr>
              <w:rPr>
                <w:noProof/>
                <w:szCs w:val="20"/>
              </w:rPr>
            </w:pPr>
            <w:r>
              <w:rPr>
                <w:noProof/>
                <w:szCs w:val="20"/>
              </w:rPr>
              <w:t>Article 12</w:t>
            </w:r>
          </w:p>
        </w:tc>
      </w:tr>
      <w:tr>
        <w:tc>
          <w:tcPr>
            <w:tcW w:w="4674" w:type="dxa"/>
            <w:tcBorders>
              <w:top w:val="nil"/>
              <w:left w:val="nil"/>
              <w:bottom w:val="nil"/>
            </w:tcBorders>
          </w:tcPr>
          <w:p>
            <w:pPr>
              <w:rPr>
                <w:noProof/>
                <w:szCs w:val="20"/>
              </w:rPr>
            </w:pPr>
            <w:r>
              <w:rPr>
                <w:noProof/>
                <w:szCs w:val="20"/>
              </w:rPr>
              <w:t>Article 13</w:t>
            </w:r>
          </w:p>
        </w:tc>
        <w:tc>
          <w:tcPr>
            <w:tcW w:w="4674" w:type="dxa"/>
            <w:tcBorders>
              <w:top w:val="nil"/>
              <w:bottom w:val="nil"/>
              <w:right w:val="nil"/>
            </w:tcBorders>
          </w:tcPr>
          <w:p>
            <w:pPr>
              <w:rPr>
                <w:noProof/>
                <w:szCs w:val="20"/>
              </w:rPr>
            </w:pPr>
            <w:r>
              <w:rPr>
                <w:noProof/>
                <w:szCs w:val="20"/>
              </w:rPr>
              <w:t>Article 13</w:t>
            </w:r>
          </w:p>
        </w:tc>
      </w:tr>
      <w:tr>
        <w:tc>
          <w:tcPr>
            <w:tcW w:w="4674" w:type="dxa"/>
            <w:tcBorders>
              <w:top w:val="nil"/>
              <w:left w:val="nil"/>
              <w:bottom w:val="nil"/>
            </w:tcBorders>
          </w:tcPr>
          <w:p>
            <w:pPr>
              <w:rPr>
                <w:noProof/>
                <w:szCs w:val="20"/>
              </w:rPr>
            </w:pPr>
            <w:r>
              <w:rPr>
                <w:noProof/>
                <w:szCs w:val="20"/>
              </w:rPr>
              <w:t>Annexe A</w:t>
            </w:r>
          </w:p>
        </w:tc>
        <w:tc>
          <w:tcPr>
            <w:tcW w:w="4674" w:type="dxa"/>
            <w:tcBorders>
              <w:top w:val="nil"/>
              <w:bottom w:val="nil"/>
              <w:right w:val="nil"/>
            </w:tcBorders>
          </w:tcPr>
          <w:p>
            <w:pPr>
              <w:rPr>
                <w:noProof/>
                <w:szCs w:val="20"/>
              </w:rPr>
            </w:pPr>
            <w:r>
              <w:rPr>
                <w:noProof/>
                <w:szCs w:val="20"/>
              </w:rPr>
              <w:t>Annexe I</w:t>
            </w:r>
          </w:p>
        </w:tc>
      </w:tr>
      <w:tr>
        <w:tc>
          <w:tcPr>
            <w:tcW w:w="4674" w:type="dxa"/>
            <w:tcBorders>
              <w:top w:val="nil"/>
              <w:left w:val="nil"/>
              <w:bottom w:val="nil"/>
            </w:tcBorders>
          </w:tcPr>
          <w:p>
            <w:pPr>
              <w:rPr>
                <w:noProof/>
                <w:szCs w:val="20"/>
              </w:rPr>
            </w:pPr>
            <w:r>
              <w:rPr>
                <w:noProof/>
                <w:szCs w:val="20"/>
              </w:rPr>
              <w:t>Annexe C</w:t>
            </w:r>
          </w:p>
        </w:tc>
        <w:tc>
          <w:tcPr>
            <w:tcW w:w="4674" w:type="dxa"/>
            <w:tcBorders>
              <w:top w:val="nil"/>
              <w:bottom w:val="nil"/>
              <w:right w:val="nil"/>
            </w:tcBorders>
          </w:tcPr>
          <w:p>
            <w:pPr>
              <w:rPr>
                <w:noProof/>
                <w:szCs w:val="20"/>
              </w:rPr>
            </w:pPr>
            <w:r>
              <w:rPr>
                <w:noProof/>
                <w:szCs w:val="20"/>
              </w:rPr>
              <w:t>Annexe II</w:t>
            </w:r>
          </w:p>
        </w:tc>
      </w:tr>
      <w:tr>
        <w:tc>
          <w:tcPr>
            <w:tcW w:w="4674" w:type="dxa"/>
            <w:tcBorders>
              <w:top w:val="nil"/>
              <w:left w:val="nil"/>
              <w:bottom w:val="nil"/>
            </w:tcBorders>
          </w:tcPr>
          <w:p>
            <w:pPr>
              <w:rPr>
                <w:noProof/>
                <w:szCs w:val="20"/>
              </w:rPr>
            </w:pPr>
            <w:r>
              <w:rPr>
                <w:noProof/>
                <w:szCs w:val="20"/>
              </w:rPr>
              <w:t>Annexe E</w:t>
            </w:r>
          </w:p>
        </w:tc>
        <w:tc>
          <w:tcPr>
            <w:tcW w:w="4674" w:type="dxa"/>
            <w:tcBorders>
              <w:top w:val="nil"/>
              <w:bottom w:val="nil"/>
              <w:right w:val="nil"/>
            </w:tcBorders>
          </w:tcPr>
          <w:p>
            <w:pPr>
              <w:rPr>
                <w:noProof/>
                <w:szCs w:val="20"/>
              </w:rPr>
            </w:pPr>
            <w:r>
              <w:rPr>
                <w:noProof/>
                <w:szCs w:val="20"/>
              </w:rPr>
              <w:t>Annexe III</w:t>
            </w:r>
          </w:p>
        </w:tc>
      </w:tr>
      <w:tr>
        <w:tc>
          <w:tcPr>
            <w:tcW w:w="4674" w:type="dxa"/>
            <w:tcBorders>
              <w:top w:val="nil"/>
              <w:left w:val="nil"/>
              <w:bottom w:val="nil"/>
            </w:tcBorders>
          </w:tcPr>
          <w:p>
            <w:pPr>
              <w:rPr>
                <w:noProof/>
                <w:szCs w:val="20"/>
              </w:rPr>
            </w:pPr>
            <w:r>
              <w:rPr>
                <w:noProof/>
                <w:szCs w:val="20"/>
              </w:rPr>
              <w:t>Annexe F</w:t>
            </w:r>
          </w:p>
        </w:tc>
        <w:tc>
          <w:tcPr>
            <w:tcW w:w="4674" w:type="dxa"/>
            <w:tcBorders>
              <w:top w:val="nil"/>
              <w:bottom w:val="nil"/>
              <w:right w:val="nil"/>
            </w:tcBorders>
          </w:tcPr>
          <w:p>
            <w:pPr>
              <w:rPr>
                <w:noProof/>
                <w:szCs w:val="20"/>
              </w:rPr>
            </w:pPr>
            <w:r>
              <w:rPr>
                <w:noProof/>
                <w:szCs w:val="20"/>
              </w:rPr>
              <w:t>Annexe IV</w:t>
            </w:r>
          </w:p>
        </w:tc>
      </w:tr>
      <w:tr>
        <w:tc>
          <w:tcPr>
            <w:tcW w:w="4674" w:type="dxa"/>
            <w:tcBorders>
              <w:top w:val="nil"/>
              <w:left w:val="nil"/>
              <w:bottom w:val="nil"/>
            </w:tcBorders>
          </w:tcPr>
          <w:p>
            <w:pPr>
              <w:rPr>
                <w:noProof/>
                <w:szCs w:val="20"/>
              </w:rPr>
            </w:pPr>
            <w:r>
              <w:rPr>
                <w:noProof/>
                <w:szCs w:val="20"/>
              </w:rPr>
              <w:t>Annexe G</w:t>
            </w:r>
          </w:p>
        </w:tc>
        <w:tc>
          <w:tcPr>
            <w:tcW w:w="4674" w:type="dxa"/>
            <w:tcBorders>
              <w:top w:val="nil"/>
              <w:bottom w:val="nil"/>
              <w:right w:val="nil"/>
            </w:tcBorders>
          </w:tcPr>
          <w:p>
            <w:pPr>
              <w:rPr>
                <w:noProof/>
                <w:szCs w:val="20"/>
              </w:rPr>
            </w:pPr>
            <w:r>
              <w:rPr>
                <w:noProof/>
                <w:szCs w:val="20"/>
              </w:rPr>
              <w:t>Annexe V</w:t>
            </w:r>
          </w:p>
        </w:tc>
      </w:tr>
      <w:tr>
        <w:tc>
          <w:tcPr>
            <w:tcW w:w="4674" w:type="dxa"/>
            <w:tcBorders>
              <w:top w:val="nil"/>
              <w:left w:val="nil"/>
              <w:bottom w:val="nil"/>
            </w:tcBorders>
          </w:tcPr>
          <w:p>
            <w:pPr>
              <w:rPr>
                <w:noProof/>
                <w:szCs w:val="20"/>
              </w:rPr>
            </w:pPr>
            <w:r>
              <w:rPr>
                <w:noProof/>
                <w:szCs w:val="20"/>
              </w:rPr>
              <w:lastRenderedPageBreak/>
              <w:t>Annexe J</w:t>
            </w:r>
          </w:p>
        </w:tc>
        <w:tc>
          <w:tcPr>
            <w:tcW w:w="4674" w:type="dxa"/>
            <w:tcBorders>
              <w:top w:val="nil"/>
              <w:bottom w:val="nil"/>
              <w:right w:val="nil"/>
            </w:tcBorders>
          </w:tcPr>
          <w:p>
            <w:pPr>
              <w:rPr>
                <w:noProof/>
                <w:szCs w:val="20"/>
              </w:rPr>
            </w:pPr>
            <w:r>
              <w:rPr>
                <w:noProof/>
                <w:szCs w:val="20"/>
              </w:rPr>
              <w:t>Annexe VI</w:t>
            </w:r>
          </w:p>
        </w:tc>
      </w:tr>
      <w:tr>
        <w:tc>
          <w:tcPr>
            <w:tcW w:w="4674" w:type="dxa"/>
            <w:tcBorders>
              <w:top w:val="nil"/>
              <w:left w:val="nil"/>
              <w:bottom w:val="nil"/>
            </w:tcBorders>
          </w:tcPr>
          <w:p>
            <w:pPr>
              <w:rPr>
                <w:noProof/>
                <w:szCs w:val="20"/>
              </w:rPr>
            </w:pPr>
            <w:r>
              <w:rPr>
                <w:noProof/>
                <w:szCs w:val="20"/>
              </w:rPr>
              <w:t>Annexe K</w:t>
            </w:r>
          </w:p>
        </w:tc>
        <w:tc>
          <w:tcPr>
            <w:tcW w:w="4674" w:type="dxa"/>
            <w:tcBorders>
              <w:top w:val="nil"/>
              <w:bottom w:val="nil"/>
              <w:right w:val="nil"/>
            </w:tcBorders>
          </w:tcPr>
          <w:p>
            <w:pPr>
              <w:rPr>
                <w:noProof/>
                <w:szCs w:val="20"/>
              </w:rPr>
            </w:pPr>
            <w:r>
              <w:rPr>
                <w:noProof/>
                <w:szCs w:val="20"/>
              </w:rPr>
              <w:t>Annexe VII</w:t>
            </w:r>
          </w:p>
        </w:tc>
      </w:tr>
      <w:tr>
        <w:tc>
          <w:tcPr>
            <w:tcW w:w="4674" w:type="dxa"/>
            <w:tcBorders>
              <w:top w:val="nil"/>
              <w:left w:val="nil"/>
              <w:bottom w:val="nil"/>
            </w:tcBorders>
          </w:tcPr>
          <w:p>
            <w:pPr>
              <w:rPr>
                <w:noProof/>
                <w:szCs w:val="20"/>
              </w:rPr>
            </w:pPr>
            <w:r>
              <w:rPr>
                <w:noProof/>
                <w:szCs w:val="20"/>
              </w:rPr>
              <w:t>Annexe L</w:t>
            </w:r>
          </w:p>
        </w:tc>
        <w:tc>
          <w:tcPr>
            <w:tcW w:w="4674" w:type="dxa"/>
            <w:tcBorders>
              <w:top w:val="nil"/>
              <w:bottom w:val="nil"/>
              <w:right w:val="nil"/>
            </w:tcBorders>
          </w:tcPr>
          <w:p>
            <w:pPr>
              <w:rPr>
                <w:i/>
                <w:noProof/>
                <w:szCs w:val="20"/>
              </w:rPr>
            </w:pPr>
            <w:r>
              <w:rPr>
                <w:noProof/>
                <w:szCs w:val="20"/>
              </w:rPr>
              <w:t>Annexe VIII</w:t>
            </w:r>
          </w:p>
        </w:tc>
      </w:tr>
      <w:tr>
        <w:tc>
          <w:tcPr>
            <w:tcW w:w="4674" w:type="dxa"/>
            <w:tcBorders>
              <w:top w:val="nil"/>
              <w:left w:val="nil"/>
              <w:bottom w:val="nil"/>
            </w:tcBorders>
          </w:tcPr>
          <w:p>
            <w:pPr>
              <w:rPr>
                <w:noProof/>
                <w:szCs w:val="20"/>
              </w:rPr>
            </w:pPr>
            <w:r>
              <w:rPr>
                <w:noProof/>
                <w:szCs w:val="20"/>
              </w:rPr>
              <w:t>-</w:t>
            </w:r>
          </w:p>
        </w:tc>
        <w:tc>
          <w:tcPr>
            <w:tcW w:w="4674" w:type="dxa"/>
            <w:tcBorders>
              <w:top w:val="nil"/>
              <w:bottom w:val="nil"/>
              <w:right w:val="nil"/>
            </w:tcBorders>
          </w:tcPr>
          <w:p>
            <w:pPr>
              <w:rPr>
                <w:noProof/>
                <w:szCs w:val="20"/>
              </w:rPr>
            </w:pPr>
            <w:r>
              <w:rPr>
                <w:noProof/>
                <w:szCs w:val="20"/>
              </w:rPr>
              <w:t>Annexe IX</w:t>
            </w:r>
          </w:p>
        </w:tc>
      </w:tr>
      <w:tr>
        <w:tc>
          <w:tcPr>
            <w:tcW w:w="4674" w:type="dxa"/>
            <w:tcBorders>
              <w:top w:val="nil"/>
              <w:left w:val="nil"/>
              <w:bottom w:val="nil"/>
            </w:tcBorders>
          </w:tcPr>
          <w:p>
            <w:pPr>
              <w:rPr>
                <w:noProof/>
                <w:szCs w:val="20"/>
              </w:rPr>
            </w:pPr>
            <w:r>
              <w:rPr>
                <w:noProof/>
                <w:szCs w:val="20"/>
              </w:rPr>
              <w:t>-</w:t>
            </w:r>
          </w:p>
        </w:tc>
        <w:tc>
          <w:tcPr>
            <w:tcW w:w="4674" w:type="dxa"/>
            <w:tcBorders>
              <w:top w:val="nil"/>
              <w:bottom w:val="nil"/>
              <w:right w:val="nil"/>
            </w:tcBorders>
          </w:tcPr>
          <w:p>
            <w:pPr>
              <w:rPr>
                <w:noProof/>
                <w:szCs w:val="20"/>
              </w:rPr>
            </w:pPr>
            <w:r>
              <w:rPr>
                <w:noProof/>
                <w:szCs w:val="20"/>
              </w:rPr>
              <w:t>Annexe X</w:t>
            </w:r>
          </w:p>
        </w:tc>
      </w:tr>
    </w:tbl>
    <w:p>
      <w:pPr>
        <w:jc w:val="center"/>
        <w:rPr>
          <w:noProof/>
        </w:rPr>
      </w:pPr>
      <w:r>
        <w:rPr>
          <w:noProof/>
          <w:szCs w:val="20"/>
        </w:rPr>
        <w:t>_____________</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Directive</w:t>
      </w:r>
      <w:r>
        <w:t xml:space="preserve"> </w:t>
      </w:r>
      <w:r>
        <w:rPr>
          <w:lang w:val="fr-BE"/>
        </w:rPr>
        <w:t>2008/68/CE</w:t>
      </w:r>
      <w:r>
        <w:t xml:space="preserve"> </w:t>
      </w:r>
      <w:r>
        <w:rPr>
          <w:lang w:val="fr-BE"/>
        </w:rPr>
        <w:t>du</w:t>
      </w:r>
      <w:r>
        <w:t xml:space="preserve"> </w:t>
      </w:r>
      <w:r>
        <w:rPr>
          <w:lang w:val="fr-BE"/>
        </w:rPr>
        <w:t>Parlement</w:t>
      </w:r>
      <w:r>
        <w:t xml:space="preserve"> </w:t>
      </w:r>
      <w:r>
        <w:rPr>
          <w:lang w:val="fr-BE"/>
        </w:rPr>
        <w:t>européen</w:t>
      </w:r>
      <w:r>
        <w:t xml:space="preserve"> </w:t>
      </w:r>
      <w:r>
        <w:rPr>
          <w:lang w:val="fr-BE"/>
        </w:rPr>
        <w:t>et</w:t>
      </w:r>
      <w:r>
        <w:t xml:space="preserve"> </w:t>
      </w:r>
      <w:r>
        <w:rPr>
          <w:lang w:val="fr-BE"/>
        </w:rPr>
        <w:t>du</w:t>
      </w:r>
      <w:r>
        <w:t xml:space="preserve"> </w:t>
      </w:r>
      <w:r>
        <w:rPr>
          <w:lang w:val="fr-BE"/>
        </w:rPr>
        <w:t>Conseil</w:t>
      </w:r>
      <w:r>
        <w:t xml:space="preserve"> </w:t>
      </w:r>
      <w:r>
        <w:rPr>
          <w:lang w:val="fr-BE"/>
        </w:rPr>
        <w:t>du</w:t>
      </w:r>
      <w:r>
        <w:t xml:space="preserve"> </w:t>
      </w:r>
      <w:r>
        <w:rPr>
          <w:lang w:val="fr-BE"/>
        </w:rPr>
        <w:t>24</w:t>
      </w:r>
      <w:r>
        <w:t xml:space="preserve"> </w:t>
      </w:r>
      <w:r>
        <w:rPr>
          <w:lang w:val="fr-BE"/>
        </w:rPr>
        <w:t>septembre</w:t>
      </w:r>
      <w:r>
        <w:t xml:space="preserve"> </w:t>
      </w:r>
      <w:r>
        <w:rPr>
          <w:lang w:val="fr-BE"/>
        </w:rPr>
        <w:t>2008</w:t>
      </w:r>
      <w:r>
        <w:t xml:space="preserve"> </w:t>
      </w:r>
      <w:r>
        <w:rPr>
          <w:lang w:val="fr-BE"/>
        </w:rPr>
        <w:t>relative</w:t>
      </w:r>
      <w:r>
        <w:t xml:space="preserve"> </w:t>
      </w:r>
      <w:r>
        <w:rPr>
          <w:lang w:val="fr-BE"/>
        </w:rPr>
        <w:t>au</w:t>
      </w:r>
      <w:r>
        <w:t xml:space="preserve"> </w:t>
      </w:r>
      <w:r>
        <w:rPr>
          <w:lang w:val="fr-BE"/>
        </w:rPr>
        <w:t>transport</w:t>
      </w:r>
      <w:r>
        <w:t xml:space="preserve"> </w:t>
      </w:r>
      <w:r>
        <w:rPr>
          <w:lang w:val="fr-BE"/>
        </w:rPr>
        <w:t>intérieur</w:t>
      </w:r>
      <w:r>
        <w:t xml:space="preserve"> </w:t>
      </w:r>
      <w:r>
        <w:rPr>
          <w:lang w:val="fr-BE"/>
        </w:rPr>
        <w:t>des</w:t>
      </w:r>
      <w:r>
        <w:t xml:space="preserve"> </w:t>
      </w:r>
      <w:r>
        <w:rPr>
          <w:lang w:val="fr-BE"/>
        </w:rPr>
        <w:t>marchandises</w:t>
      </w:r>
      <w:r>
        <w:t xml:space="preserve"> </w:t>
      </w:r>
      <w:r>
        <w:rPr>
          <w:lang w:val="fr-BE"/>
        </w:rPr>
        <w:t>dangereuses</w:t>
      </w:r>
      <w:r>
        <w:t xml:space="preserve"> </w:t>
      </w:r>
      <w:r>
        <w:rPr>
          <w:lang w:val="fr-BE"/>
        </w:rPr>
        <w:t>(JO</w:t>
      </w:r>
      <w:r>
        <w:t xml:space="preserve"> </w:t>
      </w:r>
      <w:r>
        <w:rPr>
          <w:lang w:val="fr-BE"/>
        </w:rPr>
        <w:t>L</w:t>
      </w:r>
      <w:r>
        <w:t xml:space="preserve"> </w:t>
      </w:r>
      <w:r>
        <w:rPr>
          <w:lang w:val="fr-BE"/>
        </w:rPr>
        <w:t>260</w:t>
      </w:r>
      <w:r>
        <w:t xml:space="preserve"> </w:t>
      </w:r>
      <w:r>
        <w:rPr>
          <w:lang w:val="fr-BE"/>
        </w:rPr>
        <w:t>du</w:t>
      </w:r>
      <w:r>
        <w:t xml:space="preserve"> </w:t>
      </w:r>
      <w:r>
        <w:rPr>
          <w:lang w:val="fr-BE"/>
        </w:rPr>
        <w:t>30.9.2008,</w:t>
      </w:r>
      <w:r>
        <w:t xml:space="preserve"> </w:t>
      </w:r>
      <w:r>
        <w:rPr>
          <w:lang w:val="fr-BE"/>
        </w:rPr>
        <w:t>p.</w:t>
      </w:r>
      <w:r>
        <w:t xml:space="preserve"> </w:t>
      </w:r>
      <w:r>
        <w:rPr>
          <w:lang w:val="fr-BE"/>
        </w:rPr>
        <w:t>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97E4F9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054471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5088E3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64A54E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4EA522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A14CDC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4B60036"/>
    <w:lvl w:ilvl="0">
      <w:start w:val="1"/>
      <w:numFmt w:val="decimal"/>
      <w:pStyle w:val="ListNumber"/>
      <w:lvlText w:val="%1."/>
      <w:lvlJc w:val="left"/>
      <w:pPr>
        <w:tabs>
          <w:tab w:val="num" w:pos="360"/>
        </w:tabs>
        <w:ind w:left="360" w:hanging="360"/>
      </w:pPr>
    </w:lvl>
  </w:abstractNum>
  <w:abstractNum w:abstractNumId="7">
    <w:nsid w:val="FFFFFF89"/>
    <w:multiLevelType w:val="singleLevel"/>
    <w:tmpl w:val="753CE85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8"/>
    <w:lvlOverride w:ilvl="0">
      <w:startOverride w:val="1"/>
    </w:lvlOverride>
  </w:num>
  <w:num w:numId="6">
    <w:abstractNumId w:val="12"/>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isplayBackgroundShape/>
  <w:hideSpellingErrors/>
  <w:hideGrammaticalErrors/>
  <w:attachedTemplate r:id="rId1"/>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CR_Ref0" w:val="."/>
    <w:docVar w:name="CR_Ref1" w:val="2016/2032"/>
    <w:docVar w:name="CR_RefCount" w:val="2"/>
    <w:docVar w:name="CR_RefLast" w:val="5"/>
    <w:docVar w:name="CR_TimeStamp" w:val="16:42:43"/>
    <w:docVar w:name="DQCDateTime" w:val="2017-05-11 16:40:4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1"/>
    <w:docVar w:name="LW_ACCOMPAGNANT.CP" w:val="à la proposition de"/>
    <w:docVar w:name="LW_ANNEX_NBR_FIRST" w:val="1"/>
    <w:docVar w:name="LW_ANNEX_NBR_LAST" w:val="10"/>
    <w:docVar w:name="LW_CONFIDENCE" w:val=" "/>
    <w:docVar w:name="LW_CONST_RESTREINT_UE" w:val="RESTREINT UE"/>
    <w:docVar w:name="LW_CORRIGENDUM" w:val="&lt;UNUSED&gt;"/>
    <w:docVar w:name="LW_COVERPAGE_GUID" w:val="4DC530C7A62F4CAB80759A3A93EE1B39"/>
    <w:docVar w:name="LW_CROSSREFERENCE" w:val="&lt;UNUSED&gt;"/>
    <w:docVar w:name="LW_DocType" w:val="ANNEX"/>
    <w:docVar w:name="LW_EMISSION" w:val="30.6.2017"/>
    <w:docVar w:name="LW_EMISSION_ISODATE" w:val="2017-06-30"/>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f aux statistiques des transports par chemin de fer (refonte)"/>
    <w:docVar w:name="LW_PART_NBR" w:val="&lt;UNUSED&gt;"/>
    <w:docVar w:name="LW_PART_NBR_TOTAL" w:val="&lt;UNUSED&gt;"/>
    <w:docVar w:name="LW_REF.INST.NEW" w:val="COM"/>
    <w:docVar w:name="LW_REF.INST.NEW_ADOPTED" w:val="final"/>
    <w:docVar w:name="LW_REF.INST.NEW_TEXT" w:val="(2017) 353"/>
    <w:docVar w:name="LW_REF.INTERNE" w:val="&lt;UNUSED&gt;"/>
    <w:docVar w:name="LW_SUPERTITRE" w:val="&lt;UNUSED&gt;"/>
    <w:docVar w:name="LW_TITRE.OBJ.CP" w:val="&lt;UNUSED&gt;"/>
    <w:docVar w:name="LW_TYPE.DOC.CP" w:val="ANNEXES"/>
    <w:docVar w:name="LW_TYPEACTEPRINCIPAL.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Marker">
    <w:name w:val="CR Marker"/>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lang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eastAsia="en-GB"/>
    </w:rPr>
  </w:style>
  <w:style w:type="paragraph" w:customStyle="1" w:styleId="CRParaDeleted">
    <w:name w:val="CR ParaDeleted"/>
    <w:basedOn w:val="Normal"/>
    <w:next w:val="Normal"/>
    <w:uiPriority w:val="99"/>
    <w:pPr>
      <w:autoSpaceDE w:val="0"/>
      <w:autoSpaceDN w:val="0"/>
    </w:pPr>
    <w:rPr>
      <w:rFonts w:eastAsia="Times New Roman"/>
      <w:szCs w:val="24"/>
      <w:lang w:eastAsia="en-GB"/>
    </w:rPr>
  </w:style>
  <w:style w:type="character" w:customStyle="1" w:styleId="CRMinorChangeDeleted">
    <w:name w:val="CR Minor Change Deleted"/>
    <w:basedOn w:val="DefaultParagraphFont"/>
    <w:rPr>
      <w:strike w:val="0"/>
      <w:dstrike/>
      <w:noProof w:val="0"/>
      <w:u w:val="double"/>
    </w:rPr>
  </w:style>
  <w:style w:type="character" w:customStyle="1" w:styleId="CRMinorChangeAdded">
    <w:name w:val="CR Minor Change Added"/>
    <w:basedOn w:val="DefaultParagraphFont"/>
    <w:rPr>
      <w:noProof w:val="0"/>
      <w:u w:val="double"/>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Marker">
    <w:name w:val="CR Marker"/>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lang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eastAsia="en-GB"/>
    </w:rPr>
  </w:style>
  <w:style w:type="paragraph" w:customStyle="1" w:styleId="CRParaDeleted">
    <w:name w:val="CR ParaDeleted"/>
    <w:basedOn w:val="Normal"/>
    <w:next w:val="Normal"/>
    <w:uiPriority w:val="99"/>
    <w:pPr>
      <w:autoSpaceDE w:val="0"/>
      <w:autoSpaceDN w:val="0"/>
    </w:pPr>
    <w:rPr>
      <w:rFonts w:eastAsia="Times New Roman"/>
      <w:szCs w:val="24"/>
      <w:lang w:eastAsia="en-GB"/>
    </w:rPr>
  </w:style>
  <w:style w:type="character" w:customStyle="1" w:styleId="CRMinorChangeDeleted">
    <w:name w:val="CR Minor Change Deleted"/>
    <w:basedOn w:val="DefaultParagraphFont"/>
    <w:rPr>
      <w:strike w:val="0"/>
      <w:dstrike/>
      <w:noProof w:val="0"/>
      <w:u w:val="double"/>
    </w:rPr>
  </w:style>
  <w:style w:type="character" w:customStyle="1" w:styleId="CRMinorChangeAdded">
    <w:name w:val="CR Minor Change Added"/>
    <w:basedOn w:val="DefaultParagraphFont"/>
    <w:rPr>
      <w:noProof w:val="0"/>
      <w:u w:val="double"/>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030AD-F950-4992-A005-07F6D0BFC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9</TotalTime>
  <Pages>16</Pages>
  <Words>2067</Words>
  <Characters>11721</Characters>
  <Application>Microsoft Office Word</Application>
  <DocSecurity>0</DocSecurity>
  <Lines>509</Lines>
  <Paragraphs>393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MEERT Viviane (SJ)</dc:creator>
  <cp:lastModifiedBy>DIGIT/A3</cp:lastModifiedBy>
  <cp:revision>9</cp:revision>
  <cp:lastPrinted>2017-05-11T14:46:00Z</cp:lastPrinted>
  <dcterms:created xsi:type="dcterms:W3CDTF">2017-05-11T14:40:00Z</dcterms:created>
  <dcterms:modified xsi:type="dcterms:W3CDTF">2017-06-23T14:56:00Z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10</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LWCR Document">
    <vt:lpwstr>True</vt:lpwstr>
  </property>
  <property fmtid="{D5CDD505-2E9C-101B-9397-08002B2CF9AE}" pid="13" name="LWCR Version">
    <vt:lpwstr>1.6.413</vt:lpwstr>
  </property>
  <property fmtid="{D5CDD505-2E9C-101B-9397-08002B2CF9AE}" pid="14" name="LWCR IsRefonte">
    <vt:lpwstr>False</vt:lpwstr>
  </property>
  <property fmtid="{D5CDD505-2E9C-101B-9397-08002B2CF9AE}" pid="15" name="DQCStatus">
    <vt:lpwstr>Yellow (DQC version 03)</vt:lpwstr>
  </property>
</Properties>
</file>