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12A8DCA441C47D5A3146F50259FB23D" style="width:450.8pt;height:41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Annexetitre"/>
        <w:rPr>
          <w:noProof/>
        </w:rPr>
      </w:pPr>
      <w:r>
        <w:rPr>
          <w:noProof/>
        </w:rPr>
        <w:t>ANNEX I</w:t>
      </w:r>
    </w:p>
    <w:tbl>
      <w:tblPr>
        <w:tblW w:w="0" w:type="auto"/>
        <w:tblLayout w:type="fixed"/>
        <w:tblLook w:val="0000" w:firstRow="0" w:lastRow="0" w:firstColumn="0" w:lastColumn="0" w:noHBand="0" w:noVBand="0"/>
      </w:tblPr>
      <w:tblGrid>
        <w:gridCol w:w="1857"/>
        <w:gridCol w:w="7429"/>
      </w:tblGrid>
      <w:tr>
        <w:trPr>
          <w:cantSplit/>
        </w:trP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ANNUAL STATISTICS ON GOODS TRANSPORT — DETAILED REPORTING</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variables and units of measurement</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Goods transported in:</w:t>
            </w:r>
          </w:p>
          <w:p>
            <w:pPr>
              <w:pStyle w:val="Tiret0"/>
              <w:numPr>
                <w:ilvl w:val="0"/>
                <w:numId w:val="5"/>
              </w:numPr>
              <w:ind w:left="851"/>
              <w:rPr>
                <w:noProof/>
              </w:rPr>
            </w:pPr>
            <w:r>
              <w:rPr>
                <w:noProof/>
              </w:rPr>
              <w:t>tonnes</w:t>
            </w:r>
          </w:p>
          <w:p>
            <w:pPr>
              <w:pStyle w:val="Tiret0"/>
              <w:ind w:left="851"/>
              <w:rPr>
                <w:noProof/>
              </w:rPr>
            </w:pPr>
            <w:r>
              <w:rPr>
                <w:noProof/>
              </w:rPr>
              <w:t>tonne-km</w:t>
            </w:r>
          </w:p>
          <w:p>
            <w:pPr>
              <w:pStyle w:val="NormalLeft"/>
              <w:rPr>
                <w:noProof/>
              </w:rPr>
            </w:pPr>
            <w:r>
              <w:rPr>
                <w:noProof/>
              </w:rPr>
              <w:t>Goods train movements in:</w:t>
            </w:r>
          </w:p>
          <w:p>
            <w:pPr>
              <w:pStyle w:val="Tiret0"/>
              <w:ind w:left="851"/>
              <w:rPr>
                <w:noProof/>
              </w:rPr>
            </w:pPr>
            <w:r>
              <w:rPr>
                <w:noProof/>
              </w:rPr>
              <w:t>train-km</w:t>
            </w:r>
          </w:p>
          <w:p>
            <w:pPr>
              <w:pStyle w:val="NormalLeft"/>
              <w:rPr>
                <w:noProof/>
              </w:rPr>
            </w:pPr>
            <w:r>
              <w:rPr>
                <w:noProof/>
              </w:rPr>
              <w:t>Number of intermodal transport units carried in:</w:t>
            </w:r>
          </w:p>
          <w:p>
            <w:pPr>
              <w:pStyle w:val="Tiret0"/>
              <w:ind w:left="851"/>
              <w:rPr>
                <w:noProof/>
              </w:rPr>
            </w:pPr>
            <w:r>
              <w:rPr>
                <w:noProof/>
              </w:rPr>
              <w:t>number</w:t>
            </w:r>
          </w:p>
          <w:p>
            <w:pPr>
              <w:pStyle w:val="Tiret0"/>
              <w:ind w:left="851"/>
              <w:rPr>
                <w:noProof/>
              </w:rPr>
            </w:pPr>
            <w:r>
              <w:rPr>
                <w:noProof/>
              </w:rPr>
              <w:t>TEU (20-foot-equivalent unit) (for containers and swap bodies)</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Reference period</w:t>
            </w:r>
          </w:p>
        </w:tc>
        <w:tc>
          <w:tcPr>
            <w:tcW w:w="7429" w:type="dxa"/>
            <w:tcBorders>
              <w:top w:val="single" w:sz="2" w:space="0" w:color="auto"/>
              <w:left w:val="single" w:sz="2" w:space="0" w:color="auto"/>
              <w:bottom w:val="single" w:sz="2" w:space="0" w:color="auto"/>
              <w:right w:val="single" w:sz="2" w:space="0" w:color="auto"/>
            </w:tcBorders>
          </w:tcPr>
          <w:p>
            <w:pPr>
              <w:pStyle w:val="Clear"/>
              <w:rPr>
                <w:noProof/>
              </w:rPr>
            </w:pPr>
            <w:r>
              <w:rPr>
                <w:noProof/>
              </w:rPr>
              <w:t>One year</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Frequency</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Every year</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tables with the breakdown for each table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Table I1: goods transported, by type of transport</w:t>
            </w:r>
          </w:p>
          <w:p>
            <w:pPr>
              <w:pStyle w:val="NormalLeft"/>
              <w:rPr>
                <w:noProof/>
              </w:rPr>
            </w:pPr>
            <w:r>
              <w:rPr>
                <w:noProof/>
              </w:rPr>
              <w:t>Table I2: goods transported, by type of goods (Annex VI)</w:t>
            </w:r>
          </w:p>
          <w:p>
            <w:pPr>
              <w:pStyle w:val="NormalLeft"/>
              <w:rPr>
                <w:noProof/>
              </w:rPr>
            </w:pPr>
            <w:r>
              <w:rPr>
                <w:noProof/>
              </w:rPr>
              <w:t>Table I3: goods transported (for international and transit traffic) by country of loading and country of unloading</w:t>
            </w:r>
          </w:p>
          <w:p>
            <w:pPr>
              <w:pStyle w:val="NormalLeft"/>
              <w:rPr>
                <w:noProof/>
              </w:rPr>
            </w:pPr>
            <w:r>
              <w:rPr>
                <w:noProof/>
              </w:rPr>
              <w:t>Table I4: goods transported, by category of dangerous goods (Annex VII)</w:t>
            </w:r>
          </w:p>
          <w:p>
            <w:pPr>
              <w:pStyle w:val="NormalLeft"/>
              <w:rPr>
                <w:noProof/>
              </w:rPr>
            </w:pPr>
            <w:r>
              <w:rPr>
                <w:noProof/>
              </w:rPr>
              <w:t>Table I5: goods transported, by type of consignment (optional)</w:t>
            </w:r>
          </w:p>
          <w:p>
            <w:pPr>
              <w:pStyle w:val="NormalLeft"/>
              <w:rPr>
                <w:noProof/>
              </w:rPr>
            </w:pPr>
            <w:r>
              <w:rPr>
                <w:noProof/>
              </w:rPr>
              <w:t>Table I6: goods transported in intermodal transport units, by type of transport and by type of transport unit</w:t>
            </w:r>
          </w:p>
          <w:p>
            <w:pPr>
              <w:pStyle w:val="NormalLeft"/>
              <w:rPr>
                <w:noProof/>
              </w:rPr>
            </w:pPr>
            <w:r>
              <w:rPr>
                <w:noProof/>
              </w:rPr>
              <w:t>Table I7: number of loaded intermodal transport units carried, by type of transport and by type of transport unit</w:t>
            </w:r>
          </w:p>
          <w:p>
            <w:pPr>
              <w:pStyle w:val="NormalLeft"/>
              <w:rPr>
                <w:noProof/>
              </w:rPr>
            </w:pPr>
            <w:r>
              <w:rPr>
                <w:noProof/>
              </w:rPr>
              <w:t>Table I8: number of empty intermodal transport units carried, by type of transport and by type of transport unit</w:t>
            </w:r>
          </w:p>
          <w:p>
            <w:pPr>
              <w:pStyle w:val="NormalLeft"/>
              <w:rPr>
                <w:noProof/>
              </w:rPr>
            </w:pPr>
            <w:r>
              <w:rPr>
                <w:noProof/>
              </w:rPr>
              <w:t>Table I9: goods train movements</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Deadline for transmission of data</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Five months after end of reference period</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First reference period for tables I1, I2 and I3</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2003</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lang w:val="it-IT"/>
              </w:rPr>
            </w:pPr>
            <w:r>
              <w:rPr>
                <w:noProof/>
                <w:lang w:val="it-IT"/>
              </w:rPr>
              <w:t>First reference period for tables I4, I5, I6, I7, I8 and I9</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2004</w:t>
            </w:r>
          </w:p>
        </w:tc>
      </w:tr>
      <w:tr>
        <w:trPr>
          <w:cantSplit/>
        </w:trP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Notes</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r>
              <w:rPr>
                <w:noProof/>
              </w:rPr>
              <w:tab/>
              <w:t>Type of transport is broken down as follows:</w:t>
            </w:r>
          </w:p>
          <w:p>
            <w:pPr>
              <w:pStyle w:val="Tiret0"/>
              <w:ind w:left="851"/>
              <w:rPr>
                <w:noProof/>
              </w:rPr>
            </w:pPr>
            <w:r>
              <w:rPr>
                <w:noProof/>
              </w:rPr>
              <w:t>national</w:t>
            </w:r>
          </w:p>
          <w:p>
            <w:pPr>
              <w:pStyle w:val="Tiret0"/>
              <w:ind w:left="851"/>
              <w:rPr>
                <w:noProof/>
              </w:rPr>
            </w:pPr>
            <w:r>
              <w:rPr>
                <w:noProof/>
              </w:rPr>
              <w:t>international-incoming</w:t>
            </w:r>
          </w:p>
          <w:p>
            <w:pPr>
              <w:pStyle w:val="Tiret0"/>
              <w:ind w:left="851"/>
              <w:rPr>
                <w:noProof/>
              </w:rPr>
            </w:pPr>
            <w:r>
              <w:rPr>
                <w:noProof/>
              </w:rPr>
              <w:t>international-outgoing</w:t>
            </w:r>
          </w:p>
          <w:p>
            <w:pPr>
              <w:pStyle w:val="Tiret0"/>
              <w:ind w:left="851"/>
              <w:rPr>
                <w:noProof/>
              </w:rPr>
            </w:pPr>
            <w:r>
              <w:rPr>
                <w:noProof/>
              </w:rPr>
              <w:t>transit</w:t>
            </w:r>
          </w:p>
          <w:p>
            <w:pPr>
              <w:pStyle w:val="NormalLeft"/>
              <w:rPr>
                <w:noProof/>
              </w:rPr>
            </w:pPr>
            <w:r>
              <w:rPr>
                <w:noProof/>
              </w:rPr>
              <w:t>2.</w:t>
            </w:r>
            <w:r>
              <w:rPr>
                <w:noProof/>
              </w:rPr>
              <w:tab/>
              <w:t>Type of consignment may be broken down as follows:</w:t>
            </w:r>
          </w:p>
          <w:p>
            <w:pPr>
              <w:pStyle w:val="Tiret0"/>
              <w:ind w:left="851"/>
              <w:rPr>
                <w:noProof/>
              </w:rPr>
            </w:pPr>
            <w:r>
              <w:rPr>
                <w:noProof/>
              </w:rPr>
              <w:t>full train loads</w:t>
            </w:r>
          </w:p>
          <w:p>
            <w:pPr>
              <w:pStyle w:val="Tiret0"/>
              <w:ind w:left="851"/>
              <w:rPr>
                <w:noProof/>
              </w:rPr>
            </w:pPr>
            <w:r>
              <w:rPr>
                <w:noProof/>
              </w:rPr>
              <w:t>full wagon loads</w:t>
            </w:r>
          </w:p>
          <w:p>
            <w:pPr>
              <w:pStyle w:val="Tiret0"/>
              <w:ind w:left="851"/>
              <w:rPr>
                <w:noProof/>
              </w:rPr>
            </w:pPr>
            <w:r>
              <w:rPr>
                <w:noProof/>
              </w:rPr>
              <w:t>other</w:t>
            </w:r>
          </w:p>
          <w:p>
            <w:pPr>
              <w:pStyle w:val="NormalLeft"/>
              <w:rPr>
                <w:noProof/>
              </w:rPr>
            </w:pPr>
            <w:r>
              <w:rPr>
                <w:noProof/>
              </w:rPr>
              <w:t>3.</w:t>
            </w:r>
            <w:r>
              <w:rPr>
                <w:noProof/>
              </w:rPr>
              <w:tab/>
              <w:t>Type of transport unit is broken down as follows:</w:t>
            </w:r>
          </w:p>
          <w:p>
            <w:pPr>
              <w:pStyle w:val="Tiret0"/>
              <w:ind w:left="851"/>
              <w:rPr>
                <w:noProof/>
              </w:rPr>
            </w:pPr>
            <w:r>
              <w:rPr>
                <w:noProof/>
              </w:rPr>
              <w:t>containers and swap bodies</w:t>
            </w:r>
          </w:p>
          <w:p>
            <w:pPr>
              <w:pStyle w:val="Tiret0"/>
              <w:ind w:left="851"/>
              <w:rPr>
                <w:noProof/>
              </w:rPr>
            </w:pPr>
            <w:r>
              <w:rPr>
                <w:noProof/>
              </w:rPr>
              <w:t>semi-trailers (unaccompanied)</w:t>
            </w:r>
          </w:p>
          <w:p>
            <w:pPr>
              <w:pStyle w:val="Tiret0"/>
              <w:ind w:left="851"/>
              <w:rPr>
                <w:noProof/>
              </w:rPr>
            </w:pPr>
            <w:r>
              <w:rPr>
                <w:noProof/>
              </w:rPr>
              <w:t>road vehicles (accompanied)</w:t>
            </w:r>
          </w:p>
          <w:p>
            <w:pPr>
              <w:pStyle w:val="NormalLeft"/>
              <w:rPr>
                <w:noProof/>
              </w:rPr>
            </w:pPr>
            <w:r>
              <w:rPr>
                <w:noProof/>
              </w:rPr>
              <w:t>4.</w:t>
            </w:r>
            <w:r>
              <w:rPr>
                <w:noProof/>
              </w:rPr>
              <w:tab/>
              <w:t>For Table I3, Eurostat and the Member States may make arrangements to facilitate consolidation of data originating from undertakings in other Member States, in order to ensure the coherence of these data.</w:t>
            </w:r>
          </w:p>
          <w:p>
            <w:pPr>
              <w:pStyle w:val="NormalLeft"/>
              <w:rPr>
                <w:noProof/>
              </w:rPr>
            </w:pPr>
            <w:r>
              <w:rPr>
                <w:noProof/>
              </w:rPr>
              <w:t>5.</w:t>
            </w:r>
            <w:r>
              <w:rPr>
                <w:noProof/>
              </w:rPr>
              <w:tab/>
              <w:t>For Table I4, Member States shall indicate which categories of traffic, if any, are not covered by the data.</w:t>
            </w:r>
          </w:p>
          <w:p>
            <w:pPr>
              <w:pStyle w:val="NormalLeft"/>
              <w:rPr>
                <w:noProof/>
              </w:rPr>
            </w:pPr>
            <w:r>
              <w:rPr>
                <w:noProof/>
              </w:rPr>
              <w:t>6.</w:t>
            </w:r>
            <w:r>
              <w:rPr>
                <w:noProof/>
              </w:rPr>
              <w:tab/>
              <w:t>For tables I2 to I8 where complete information on transit transport is not available, Member States shall report all available data.</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1.11 and Annex I</w:t>
      </w:r>
    </w:p>
    <w:p>
      <w:pPr>
        <w:pStyle w:val="Annexetitre"/>
        <w:rPr>
          <w:noProof/>
        </w:rPr>
      </w:pPr>
      <w:r>
        <w:rPr>
          <w:noProof/>
        </w:rPr>
        <w:t>ANNEX II</w:t>
      </w:r>
    </w:p>
    <w:tbl>
      <w:tblPr>
        <w:tblW w:w="0" w:type="auto"/>
        <w:tblLayout w:type="fixed"/>
        <w:tblLook w:val="0000" w:firstRow="0" w:lastRow="0" w:firstColumn="0" w:lastColumn="0" w:noHBand="0" w:noVBand="0"/>
      </w:tblPr>
      <w:tblGrid>
        <w:gridCol w:w="2043"/>
        <w:gridCol w:w="7243"/>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ANNUAL STATISTICS ON PASSENGER TRANSPORT — DETAILED REPORTING</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variables and units of measurement</w:t>
            </w:r>
          </w:p>
        </w:tc>
        <w:tc>
          <w:tcPr>
            <w:tcW w:w="72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Passengers transported in:</w:t>
            </w:r>
          </w:p>
          <w:p>
            <w:pPr>
              <w:pStyle w:val="Tiret0"/>
              <w:ind w:left="851"/>
              <w:rPr>
                <w:noProof/>
              </w:rPr>
            </w:pPr>
            <w:r>
              <w:rPr>
                <w:noProof/>
              </w:rPr>
              <w:t>number of passengers</w:t>
            </w:r>
          </w:p>
          <w:p>
            <w:pPr>
              <w:pStyle w:val="Tiret0"/>
              <w:ind w:left="851"/>
              <w:rPr>
                <w:noProof/>
              </w:rPr>
            </w:pPr>
            <w:r>
              <w:rPr>
                <w:noProof/>
              </w:rPr>
              <w:t>passenger-km</w:t>
            </w:r>
          </w:p>
          <w:p>
            <w:pPr>
              <w:pStyle w:val="NormalLeft"/>
              <w:rPr>
                <w:noProof/>
              </w:rPr>
            </w:pPr>
            <w:r>
              <w:rPr>
                <w:noProof/>
              </w:rPr>
              <w:t>Passenger train movements in:</w:t>
            </w:r>
          </w:p>
          <w:p>
            <w:pPr>
              <w:pStyle w:val="Tiret0"/>
              <w:ind w:left="851"/>
              <w:rPr>
                <w:noProof/>
              </w:rPr>
            </w:pPr>
            <w:r>
              <w:rPr>
                <w:noProof/>
              </w:rPr>
              <w:t>train-km</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Reference period</w:t>
            </w:r>
          </w:p>
        </w:tc>
        <w:tc>
          <w:tcPr>
            <w:tcW w:w="72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One year</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Frequency</w:t>
            </w:r>
          </w:p>
        </w:tc>
        <w:tc>
          <w:tcPr>
            <w:tcW w:w="72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Every year</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tables with the breakdown for each table</w:t>
            </w:r>
          </w:p>
        </w:tc>
        <w:tc>
          <w:tcPr>
            <w:tcW w:w="72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Table II1: passengers transported, by type of transport</w:t>
            </w:r>
          </w:p>
          <w:p>
            <w:pPr>
              <w:pStyle w:val="NormalLeft"/>
              <w:rPr>
                <w:noProof/>
              </w:rPr>
            </w:pPr>
            <w:r>
              <w:rPr>
                <w:noProof/>
              </w:rPr>
              <w:t>Table II2: international passengers transported, by country of embarkation and by country of disembarkation</w:t>
            </w:r>
          </w:p>
          <w:p>
            <w:pPr>
              <w:pStyle w:val="NormalLeft"/>
              <w:rPr>
                <w:noProof/>
                <w:lang w:val="fr-BE"/>
              </w:rPr>
            </w:pPr>
            <w:r>
              <w:rPr>
                <w:noProof/>
                <w:lang w:val="fr-BE"/>
              </w:rPr>
              <w:t>Table II3: passenger train movements</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Deadline for transmission of data</w:t>
            </w:r>
          </w:p>
        </w:tc>
        <w:tc>
          <w:tcPr>
            <w:tcW w:w="72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Eight months after end of reference period</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First reference period</w:t>
            </w:r>
          </w:p>
        </w:tc>
        <w:tc>
          <w:tcPr>
            <w:tcW w:w="72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2016</w:t>
            </w:r>
          </w:p>
        </w:tc>
      </w:tr>
      <w:tr>
        <w:tc>
          <w:tcPr>
            <w:tcW w:w="2043"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Notes</w:t>
            </w:r>
          </w:p>
        </w:tc>
        <w:tc>
          <w:tcPr>
            <w:tcW w:w="7243" w:type="dxa"/>
            <w:tcBorders>
              <w:top w:val="single" w:sz="2" w:space="0" w:color="auto"/>
              <w:left w:val="single" w:sz="2" w:space="0" w:color="auto"/>
              <w:bottom w:val="single" w:sz="2" w:space="0" w:color="auto"/>
              <w:right w:val="single" w:sz="2" w:space="0" w:color="auto"/>
            </w:tcBorders>
          </w:tcPr>
          <w:p>
            <w:pPr>
              <w:pStyle w:val="Point0"/>
              <w:rPr>
                <w:noProof/>
              </w:rPr>
            </w:pPr>
            <w:r>
              <w:rPr>
                <w:noProof/>
              </w:rPr>
              <w:t>1.</w:t>
            </w:r>
            <w:r>
              <w:rPr>
                <w:noProof/>
              </w:rPr>
              <w:tab/>
              <w:t>Type of transport is broken down as follows:</w:t>
            </w:r>
          </w:p>
          <w:p>
            <w:pPr>
              <w:pStyle w:val="Tiret1"/>
              <w:numPr>
                <w:ilvl w:val="0"/>
                <w:numId w:val="6"/>
              </w:numPr>
              <w:ind w:left="1418"/>
              <w:rPr>
                <w:noProof/>
              </w:rPr>
            </w:pPr>
            <w:r>
              <w:rPr>
                <w:noProof/>
              </w:rPr>
              <w:t>national</w:t>
            </w:r>
          </w:p>
          <w:p>
            <w:pPr>
              <w:pStyle w:val="Tiret1"/>
              <w:ind w:left="1418"/>
              <w:rPr>
                <w:noProof/>
              </w:rPr>
            </w:pPr>
            <w:r>
              <w:rPr>
                <w:noProof/>
              </w:rPr>
              <w:t>international</w:t>
            </w:r>
          </w:p>
          <w:p>
            <w:pPr>
              <w:pStyle w:val="Point0"/>
              <w:rPr>
                <w:noProof/>
              </w:rPr>
            </w:pPr>
            <w:r>
              <w:rPr>
                <w:noProof/>
              </w:rPr>
              <w:t>2.</w:t>
            </w:r>
            <w:r>
              <w:rPr>
                <w:noProof/>
              </w:rPr>
              <w:tab/>
              <w:t>For Tables II1 and II2, Member States shall report data including information from ticket sales outside the reporting country. This information may be obtained either directly from the national authorities of other countries or through international compensation arrangements for tickets.</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Annexetitre"/>
        <w:rPr>
          <w:noProof/>
        </w:rPr>
      </w:pPr>
      <w:r>
        <w:rPr>
          <w:noProof/>
        </w:rPr>
        <w:t>ANNEX III</w:t>
      </w:r>
    </w:p>
    <w:tbl>
      <w:tblPr>
        <w:tblW w:w="0" w:type="auto"/>
        <w:tblLayout w:type="fixed"/>
        <w:tblLook w:val="0000" w:firstRow="0" w:lastRow="0" w:firstColumn="0" w:lastColumn="0" w:noHBand="0" w:noVBand="0"/>
      </w:tblPr>
      <w:tblGrid>
        <w:gridCol w:w="2229"/>
        <w:gridCol w:w="7057"/>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QUARTERLY STATISTICS ON GOODS AND PASSENGER TRANSPORT</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variables and units of measurement</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Goods transported in:</w:t>
            </w:r>
          </w:p>
          <w:p>
            <w:pPr>
              <w:pStyle w:val="Tiret0"/>
              <w:ind w:left="851"/>
              <w:rPr>
                <w:noProof/>
              </w:rPr>
            </w:pPr>
            <w:r>
              <w:rPr>
                <w:noProof/>
              </w:rPr>
              <w:t>tonnes</w:t>
            </w:r>
          </w:p>
          <w:p>
            <w:pPr>
              <w:pStyle w:val="Tiret0"/>
              <w:ind w:left="851"/>
              <w:rPr>
                <w:noProof/>
              </w:rPr>
            </w:pPr>
            <w:r>
              <w:rPr>
                <w:noProof/>
              </w:rPr>
              <w:t>tonne-km</w:t>
            </w:r>
          </w:p>
          <w:p>
            <w:pPr>
              <w:pStyle w:val="NormalLeft"/>
              <w:rPr>
                <w:noProof/>
              </w:rPr>
            </w:pPr>
            <w:r>
              <w:rPr>
                <w:noProof/>
              </w:rPr>
              <w:t>Passengers transported in:</w:t>
            </w:r>
          </w:p>
          <w:p>
            <w:pPr>
              <w:pStyle w:val="Tiret0"/>
              <w:ind w:left="851"/>
              <w:rPr>
                <w:noProof/>
              </w:rPr>
            </w:pPr>
            <w:r>
              <w:rPr>
                <w:noProof/>
              </w:rPr>
              <w:t>number of passengers</w:t>
            </w:r>
          </w:p>
          <w:p>
            <w:pPr>
              <w:pStyle w:val="Tiret0"/>
              <w:ind w:left="851"/>
              <w:rPr>
                <w:noProof/>
              </w:rPr>
            </w:pPr>
            <w:r>
              <w:rPr>
                <w:noProof/>
              </w:rPr>
              <w:t>passenger-km</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Reference period</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One quarter</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Frequency</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Every quarter</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tables with the breakdown for each table</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Table III1: goods transported</w:t>
            </w:r>
          </w:p>
          <w:p>
            <w:pPr>
              <w:pStyle w:val="NormalLeft"/>
              <w:rPr>
                <w:noProof/>
              </w:rPr>
            </w:pPr>
            <w:r>
              <w:rPr>
                <w:noProof/>
              </w:rPr>
              <w:t>Table III2: passengers transported</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Deadline for transmission of data</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Three months after end of reference period</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First reference period</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First quarter of 2004</w:t>
            </w:r>
          </w:p>
        </w:tc>
      </w:tr>
      <w:tr>
        <w:tc>
          <w:tcPr>
            <w:tcW w:w="22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Notes</w:t>
            </w:r>
          </w:p>
        </w:tc>
        <w:tc>
          <w:tcPr>
            <w:tcW w:w="70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r>
              <w:rPr>
                <w:noProof/>
              </w:rPr>
              <w:tab/>
              <w:t>Tables III1 and III2 may be reported on the basis of provisional data, including estimates. For Table III2, Member States may report data based on ticket sales in the reporting country or any other available source.</w:t>
            </w:r>
          </w:p>
          <w:p>
            <w:pPr>
              <w:pStyle w:val="NormalLeft"/>
              <w:rPr>
                <w:noProof/>
              </w:rPr>
            </w:pPr>
            <w:r>
              <w:rPr>
                <w:noProof/>
              </w:rPr>
              <w:t>2.</w:t>
            </w:r>
            <w:r>
              <w:rPr>
                <w:noProof/>
              </w:rPr>
              <w:tab/>
              <w:t>These statistics shall be supplied for the undertakings covered by Annexes I and II.</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Annexetitre"/>
        <w:rPr>
          <w:noProof/>
        </w:rPr>
      </w:pPr>
      <w:r>
        <w:rPr>
          <w:noProof/>
        </w:rPr>
        <w:t>ANNEX IV</w:t>
      </w:r>
    </w:p>
    <w:tbl>
      <w:tblPr>
        <w:tblW w:w="0" w:type="auto"/>
        <w:tblLayout w:type="fixed"/>
        <w:tblLook w:val="0000" w:firstRow="0" w:lastRow="0" w:firstColumn="0" w:lastColumn="0" w:noHBand="0" w:noVBand="0"/>
      </w:tblPr>
      <w:tblGrid>
        <w:gridCol w:w="1857"/>
        <w:gridCol w:w="74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REGIONAL STATISTICS ON GOODS AND PASSENGER TRANSPORT</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variables and units of measurement</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Goods transported in:</w:t>
            </w:r>
          </w:p>
          <w:p>
            <w:pPr>
              <w:pStyle w:val="Tiret0"/>
              <w:ind w:left="851"/>
              <w:rPr>
                <w:noProof/>
              </w:rPr>
            </w:pPr>
            <w:r>
              <w:rPr>
                <w:noProof/>
              </w:rPr>
              <w:t>tonnes</w:t>
            </w:r>
          </w:p>
          <w:p>
            <w:pPr>
              <w:pStyle w:val="NormalLeft"/>
              <w:rPr>
                <w:noProof/>
              </w:rPr>
            </w:pPr>
            <w:r>
              <w:rPr>
                <w:noProof/>
              </w:rPr>
              <w:t>Passengers transported in:</w:t>
            </w:r>
          </w:p>
          <w:p>
            <w:pPr>
              <w:pStyle w:val="Tiret0"/>
              <w:ind w:left="851"/>
              <w:rPr>
                <w:noProof/>
              </w:rPr>
            </w:pPr>
            <w:r>
              <w:rPr>
                <w:noProof/>
              </w:rPr>
              <w:t>number of passengers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Reference period</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One year</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Frequency</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Every five years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tables with the breakdown for each table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Table IV1: national goods transport by region of loading and region of unloading (NUTS 2)</w:t>
            </w:r>
          </w:p>
          <w:p>
            <w:pPr>
              <w:pStyle w:val="NormalLeft"/>
              <w:rPr>
                <w:noProof/>
              </w:rPr>
            </w:pPr>
            <w:r>
              <w:rPr>
                <w:noProof/>
              </w:rPr>
              <w:t>Table IV2: international goods transport by region of loading and unloading (NUTS 2)</w:t>
            </w:r>
          </w:p>
          <w:p>
            <w:pPr>
              <w:pStyle w:val="NormalLeft"/>
              <w:rPr>
                <w:noProof/>
              </w:rPr>
            </w:pPr>
            <w:r>
              <w:rPr>
                <w:noProof/>
              </w:rPr>
              <w:t>Table IV3: national passenger transport by region of embarkation and region of disembarkation (NUTS 2)</w:t>
            </w:r>
          </w:p>
          <w:p>
            <w:pPr>
              <w:pStyle w:val="NormalLeft"/>
              <w:rPr>
                <w:noProof/>
              </w:rPr>
            </w:pPr>
            <w:r>
              <w:rPr>
                <w:noProof/>
              </w:rPr>
              <w:t>Table IV4: international passenger transport by region of embarkation and region of disembarkation (NUTS 2)</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Deadline for transmission of data</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 months after end of reference period</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First reference period</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2005</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Notes</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r>
              <w:rPr>
                <w:noProof/>
              </w:rPr>
              <w:tab/>
              <w:t>Where the place of loading or unloading (Tables IV1, IV2) or embarkation or disembarkation (Tables IV3, IV4) is outside the European Economic Area, Member States shall report only the country.</w:t>
            </w:r>
          </w:p>
          <w:p>
            <w:pPr>
              <w:pStyle w:val="NormalLeft"/>
              <w:rPr>
                <w:noProof/>
              </w:rPr>
            </w:pPr>
            <w:r>
              <w:rPr>
                <w:noProof/>
              </w:rPr>
              <w:t>2.</w:t>
            </w:r>
            <w:r>
              <w:rPr>
                <w:noProof/>
              </w:rPr>
              <w:tab/>
              <w:t>In order to assist Member States in the preparation of these tables, Eurostat shall provide Member States with a list of UIC station codes and the corresponding NUTS codes.</w:t>
            </w:r>
          </w:p>
          <w:p>
            <w:pPr>
              <w:pStyle w:val="NormalLeft"/>
              <w:rPr>
                <w:noProof/>
              </w:rPr>
            </w:pPr>
            <w:r>
              <w:rPr>
                <w:noProof/>
              </w:rPr>
              <w:t>3.</w:t>
            </w:r>
            <w:r>
              <w:rPr>
                <w:noProof/>
              </w:rPr>
              <w:tab/>
              <w:t>For Tables IV3 and IV4, Member States may report data based on ticket sales or any other available source.</w:t>
            </w:r>
          </w:p>
          <w:p>
            <w:pPr>
              <w:pStyle w:val="NormalLeft"/>
              <w:rPr>
                <w:noProof/>
              </w:rPr>
            </w:pPr>
            <w:r>
              <w:rPr>
                <w:noProof/>
              </w:rPr>
              <w:t>4.</w:t>
            </w:r>
            <w:r>
              <w:rPr>
                <w:noProof/>
              </w:rPr>
              <w:tab/>
              <w:t>These statistics shall be supplied for the undertakings covered by Annexes I and II.</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Annexetitre"/>
        <w:rPr>
          <w:noProof/>
        </w:rPr>
      </w:pPr>
      <w:r>
        <w:rPr>
          <w:noProof/>
        </w:rPr>
        <w:t>ANNEX V</w:t>
      </w:r>
    </w:p>
    <w:tbl>
      <w:tblPr>
        <w:tblW w:w="0" w:type="auto"/>
        <w:tblLayout w:type="fixed"/>
        <w:tblLook w:val="0000" w:firstRow="0" w:lastRow="0" w:firstColumn="0" w:lastColumn="0" w:noHBand="0" w:noVBand="0"/>
      </w:tblPr>
      <w:tblGrid>
        <w:gridCol w:w="1857"/>
        <w:gridCol w:w="74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STATISTICS ON TRAFFIC FLOWS ON THE RAIL NETWORK</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variables and units of measurement</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Goods transport:</w:t>
            </w:r>
          </w:p>
          <w:p>
            <w:pPr>
              <w:pStyle w:val="Tiret0"/>
              <w:ind w:left="851"/>
              <w:rPr>
                <w:noProof/>
              </w:rPr>
            </w:pPr>
            <w:r>
              <w:rPr>
                <w:noProof/>
              </w:rPr>
              <w:t>number of trains</w:t>
            </w:r>
          </w:p>
          <w:p>
            <w:pPr>
              <w:pStyle w:val="NormalLeft"/>
              <w:rPr>
                <w:noProof/>
              </w:rPr>
            </w:pPr>
            <w:r>
              <w:rPr>
                <w:noProof/>
              </w:rPr>
              <w:t>Passenger transport:</w:t>
            </w:r>
          </w:p>
          <w:p>
            <w:pPr>
              <w:pStyle w:val="Tiret0"/>
              <w:ind w:left="851"/>
              <w:rPr>
                <w:noProof/>
              </w:rPr>
            </w:pPr>
            <w:r>
              <w:rPr>
                <w:noProof/>
              </w:rPr>
              <w:t>number of trains</w:t>
            </w:r>
          </w:p>
          <w:p>
            <w:pPr>
              <w:pStyle w:val="NormalLeft"/>
              <w:rPr>
                <w:noProof/>
                <w:lang w:val="fr-BE"/>
              </w:rPr>
            </w:pPr>
            <w:r>
              <w:rPr>
                <w:noProof/>
                <w:lang w:val="fr-BE"/>
              </w:rPr>
              <w:t>Other (service trains, etc.) (optional):</w:t>
            </w:r>
          </w:p>
          <w:p>
            <w:pPr>
              <w:pStyle w:val="Tiret0"/>
              <w:ind w:left="851"/>
              <w:rPr>
                <w:noProof/>
              </w:rPr>
            </w:pPr>
            <w:r>
              <w:rPr>
                <w:noProof/>
              </w:rPr>
              <w:t>number of trains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Reference period</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One year</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Frequency</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Every five years</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List of tables with the breakdown for each table</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Table V1: goods transport, by network segment</w:t>
            </w:r>
          </w:p>
          <w:p>
            <w:pPr>
              <w:pStyle w:val="NormalLeft"/>
              <w:rPr>
                <w:noProof/>
              </w:rPr>
            </w:pPr>
            <w:r>
              <w:rPr>
                <w:noProof/>
              </w:rPr>
              <w:t>Table V2: passenger transport, by network segment</w:t>
            </w:r>
          </w:p>
          <w:p>
            <w:pPr>
              <w:pStyle w:val="NormalLeft"/>
              <w:rPr>
                <w:noProof/>
              </w:rPr>
            </w:pPr>
            <w:r>
              <w:rPr>
                <w:noProof/>
              </w:rPr>
              <w:t>Table V3: other (service trains, etc.), by network segment (optional)</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Deadline for transmission of data</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 months after end of reference period</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First reference period</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2005</w:t>
            </w:r>
          </w:p>
        </w:tc>
      </w:tr>
      <w:tr>
        <w:tc>
          <w:tcPr>
            <w:tcW w:w="18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Notes</w:t>
            </w:r>
          </w:p>
        </w:tc>
        <w:tc>
          <w:tcPr>
            <w:tcW w:w="742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r>
              <w:rPr>
                <w:noProof/>
              </w:rPr>
              <w:tab/>
              <w:t>Member States shall define a set of network segments to include at least the rail trans-European network (TEN) on their national territory. They shall communicate to Eurostat:</w:t>
            </w:r>
          </w:p>
          <w:p>
            <w:pPr>
              <w:pStyle w:val="Tiret0"/>
              <w:ind w:left="851"/>
              <w:rPr>
                <w:noProof/>
              </w:rPr>
            </w:pPr>
            <w:r>
              <w:rPr>
                <w:noProof/>
              </w:rPr>
              <w:t>the geographical coordinates and other data needed to identify and map each network segment as well as the links between segments,</w:t>
            </w:r>
          </w:p>
          <w:p>
            <w:pPr>
              <w:pStyle w:val="Tiret0"/>
              <w:ind w:left="851"/>
              <w:rPr>
                <w:noProof/>
              </w:rPr>
            </w:pPr>
            <w:r>
              <w:rPr>
                <w:noProof/>
              </w:rPr>
              <w:t>information on the characteristics (including the capacity) of the trains using each network segment.</w:t>
            </w:r>
          </w:p>
          <w:p>
            <w:pPr>
              <w:pStyle w:val="NormalLeft"/>
              <w:rPr>
                <w:noProof/>
              </w:rPr>
            </w:pPr>
            <w:r>
              <w:rPr>
                <w:noProof/>
              </w:rPr>
              <w:t>2.</w:t>
            </w:r>
            <w:r>
              <w:rPr>
                <w:noProof/>
              </w:rPr>
              <w:tab/>
              <w:t>Each network segment which is part of the rail TEN shall be identified by means of an additional attribute in the data record, in order to enable traffic on the rail TEN to be quantified.</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xml:space="preserve"> 1304/2007 Art. 3 and Annex </w:t>
      </w:r>
    </w:p>
    <w:p>
      <w:pPr>
        <w:pStyle w:val="Annexetitre"/>
        <w:rPr>
          <w:noProof/>
        </w:rPr>
      </w:pPr>
      <w:r>
        <w:rPr>
          <w:noProof/>
        </w:rPr>
        <w:t>ANNEX VI</w:t>
      </w:r>
    </w:p>
    <w:p>
      <w:pPr>
        <w:pStyle w:val="NormalCentered"/>
        <w:rPr>
          <w:b/>
          <w:bCs/>
          <w:noProof/>
        </w:rPr>
      </w:pPr>
      <w:r>
        <w:rPr>
          <w:b/>
          <w:bCs/>
          <w:noProof/>
        </w:rPr>
        <w:t>NST 2007</w:t>
      </w:r>
    </w:p>
    <w:tbl>
      <w:tblPr>
        <w:tblW w:w="0" w:type="auto"/>
        <w:tblLayout w:type="fixed"/>
        <w:tblLook w:val="0000" w:firstRow="0" w:lastRow="0" w:firstColumn="0" w:lastColumn="0" w:noHBand="0" w:noVBand="0"/>
      </w:tblPr>
      <w:tblGrid>
        <w:gridCol w:w="1207"/>
        <w:gridCol w:w="8079"/>
      </w:tblGrid>
      <w:tr>
        <w:trPr>
          <w:cantSplit/>
        </w:trPr>
        <w:tc>
          <w:tcPr>
            <w:tcW w:w="1207"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Division</w:t>
            </w:r>
          </w:p>
        </w:tc>
        <w:tc>
          <w:tcPr>
            <w:tcW w:w="8079"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Description</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01</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Products of agriculture, hunting, and forestry; fish and other fishing products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02</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Coal and lignite; crude petroleum and natural gas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03</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Metal ores and other mining and quarrying products; peat; uranium and thorium</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04</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Food products, beverages and tobacco</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05</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Textiles and textile products; leather and leather products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06</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Wood and products of wood and cork (except furniture); articles of straw and plaiting materials; pulp, paper and paper products; printed matter and recorded media</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07</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Coke and refined petroleum products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08</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Chemicals, chemical products, and man-made fibres; rubber and plastic products; nuclear fuel</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non-metallic mineral products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10</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Basic metals; fabricated metal products, except machinery and equipment</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11</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Machinery and equipment n.e.c.; office machinery and computers; electrical machinery and apparatus n.e.c.; radio, television and communication equipment and apparatus; medical, precision and optical instruments; watches and clocks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12</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Transport equipment</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Furniture; other manufactured goods n.e.c.</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14</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Secondary raw materials; municipal wastes and other wastes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Mail, parcels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16</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Equipment and material utilised in the transport of goods</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Goods moved in the course of household and office removals; baggage transported separately from passengers; motor vehicles being moved for repair; other non-market goods n.e.c.</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18</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Grouped goods: a mixture of types of goods which are transported together</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Unidentifiable goods: goods which for any reason cannot be identified and therefore cannot be assigned to groups 01–16</w:t>
            </w:r>
          </w:p>
        </w:tc>
      </w:tr>
      <w:tr>
        <w:trPr>
          <w:cantSplit/>
        </w:trPr>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w:t>
            </w:r>
          </w:p>
        </w:tc>
        <w:tc>
          <w:tcPr>
            <w:tcW w:w="8079"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goods n.e.c.</w:t>
            </w:r>
          </w:p>
        </w:tc>
      </w:tr>
    </w:tbl>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w:t>
      </w:r>
    </w:p>
    <w:p>
      <w:pPr>
        <w:pStyle w:val="Annexetitre"/>
        <w:rPr>
          <w:noProof/>
        </w:rPr>
      </w:pPr>
      <w:r>
        <w:rPr>
          <w:noProof/>
        </w:rPr>
        <w:t>ANNEX VII</w:t>
      </w:r>
    </w:p>
    <w:p>
      <w:pPr>
        <w:pStyle w:val="NormalCentered"/>
        <w:rPr>
          <w:b/>
          <w:bCs/>
          <w:noProof/>
        </w:rPr>
      </w:pPr>
      <w:r>
        <w:rPr>
          <w:b/>
          <w:bCs/>
          <w:noProof/>
        </w:rPr>
        <w:t>CLASSIFICATION OF DANGEROUS GOODS</w:t>
      </w:r>
    </w:p>
    <w:p>
      <w:pPr>
        <w:rPr>
          <w:noProof/>
        </w:rPr>
      </w:pPr>
      <w:r>
        <w:rPr>
          <w:noProof/>
        </w:rPr>
        <w:t>1.</w:t>
      </w:r>
      <w:r>
        <w:rPr>
          <w:noProof/>
        </w:rPr>
        <w:tab/>
        <w:t>Explosives</w:t>
      </w:r>
    </w:p>
    <w:p>
      <w:pPr>
        <w:rPr>
          <w:noProof/>
        </w:rPr>
      </w:pPr>
      <w:r>
        <w:rPr>
          <w:noProof/>
        </w:rPr>
        <w:t>2.</w:t>
      </w:r>
      <w:r>
        <w:rPr>
          <w:noProof/>
        </w:rPr>
        <w:tab/>
        <w:t>Gases, compressed, liquefied or dissolved under pressure</w:t>
      </w:r>
    </w:p>
    <w:p>
      <w:pPr>
        <w:rPr>
          <w:noProof/>
        </w:rPr>
      </w:pPr>
      <w:r>
        <w:rPr>
          <w:noProof/>
        </w:rPr>
        <w:t>3.</w:t>
      </w:r>
      <w:r>
        <w:rPr>
          <w:noProof/>
        </w:rPr>
        <w:tab/>
        <w:t>Flammable liquids</w:t>
      </w:r>
    </w:p>
    <w:p>
      <w:pPr>
        <w:rPr>
          <w:noProof/>
        </w:rPr>
      </w:pPr>
      <w:r>
        <w:rPr>
          <w:noProof/>
        </w:rPr>
        <w:t>4.1.</w:t>
      </w:r>
      <w:r>
        <w:rPr>
          <w:noProof/>
        </w:rPr>
        <w:tab/>
        <w:t>Flammable solids</w:t>
      </w:r>
    </w:p>
    <w:p>
      <w:pPr>
        <w:rPr>
          <w:noProof/>
        </w:rPr>
      </w:pPr>
      <w:r>
        <w:rPr>
          <w:noProof/>
        </w:rPr>
        <w:t>4.2.</w:t>
      </w:r>
      <w:r>
        <w:rPr>
          <w:noProof/>
        </w:rPr>
        <w:tab/>
        <w:t>Substances liable to spontaneous combustion</w:t>
      </w:r>
    </w:p>
    <w:p>
      <w:pPr>
        <w:rPr>
          <w:noProof/>
        </w:rPr>
      </w:pPr>
      <w:r>
        <w:rPr>
          <w:noProof/>
        </w:rPr>
        <w:t>4.3.</w:t>
      </w:r>
      <w:r>
        <w:rPr>
          <w:noProof/>
        </w:rPr>
        <w:tab/>
        <w:t>Substances which, in contact with water, emit flammable gases</w:t>
      </w:r>
    </w:p>
    <w:p>
      <w:pPr>
        <w:rPr>
          <w:noProof/>
        </w:rPr>
      </w:pPr>
      <w:r>
        <w:rPr>
          <w:noProof/>
        </w:rPr>
        <w:t>5.1.</w:t>
      </w:r>
      <w:r>
        <w:rPr>
          <w:noProof/>
        </w:rPr>
        <w:tab/>
        <w:t>Oxidising substances</w:t>
      </w:r>
    </w:p>
    <w:p>
      <w:pPr>
        <w:rPr>
          <w:noProof/>
        </w:rPr>
      </w:pPr>
      <w:r>
        <w:rPr>
          <w:noProof/>
        </w:rPr>
        <w:t>5.2.</w:t>
      </w:r>
      <w:r>
        <w:rPr>
          <w:noProof/>
        </w:rPr>
        <w:tab/>
        <w:t>Organic peroxides</w:t>
      </w:r>
    </w:p>
    <w:p>
      <w:pPr>
        <w:rPr>
          <w:noProof/>
        </w:rPr>
      </w:pPr>
      <w:r>
        <w:rPr>
          <w:noProof/>
        </w:rPr>
        <w:t>6.1.</w:t>
      </w:r>
      <w:r>
        <w:rPr>
          <w:noProof/>
        </w:rPr>
        <w:tab/>
        <w:t>Toxic substances</w:t>
      </w:r>
    </w:p>
    <w:p>
      <w:pPr>
        <w:rPr>
          <w:noProof/>
        </w:rPr>
      </w:pPr>
      <w:r>
        <w:rPr>
          <w:noProof/>
        </w:rPr>
        <w:t>6.2.</w:t>
      </w:r>
      <w:r>
        <w:rPr>
          <w:noProof/>
        </w:rPr>
        <w:tab/>
        <w:t>Substances liable to cause infections</w:t>
      </w:r>
    </w:p>
    <w:p>
      <w:pPr>
        <w:rPr>
          <w:noProof/>
        </w:rPr>
      </w:pPr>
      <w:r>
        <w:rPr>
          <w:noProof/>
        </w:rPr>
        <w:t>7.</w:t>
      </w:r>
      <w:r>
        <w:rPr>
          <w:noProof/>
        </w:rPr>
        <w:tab/>
        <w:t>Radioactive material</w:t>
      </w:r>
    </w:p>
    <w:p>
      <w:pPr>
        <w:rPr>
          <w:noProof/>
        </w:rPr>
      </w:pPr>
      <w:r>
        <w:rPr>
          <w:noProof/>
        </w:rPr>
        <w:t>8.</w:t>
      </w:r>
      <w:r>
        <w:rPr>
          <w:noProof/>
        </w:rPr>
        <w:tab/>
        <w:t>Corrosives</w:t>
      </w:r>
    </w:p>
    <w:p>
      <w:pPr>
        <w:rPr>
          <w:noProof/>
        </w:rPr>
      </w:pPr>
      <w:r>
        <w:rPr>
          <w:noProof/>
        </w:rPr>
        <w:t>9.</w:t>
      </w:r>
      <w:r>
        <w:rPr>
          <w:noProof/>
        </w:rPr>
        <w:tab/>
        <w:t>Miscellaneous dangerous substances</w:t>
      </w:r>
    </w:p>
    <w:p>
      <w:pPr>
        <w:rPr>
          <w:noProof/>
        </w:rPr>
      </w:pPr>
      <w:r>
        <w:rPr>
          <w:b/>
          <w:bCs/>
          <w:noProof/>
        </w:rPr>
        <w:t>Note:</w:t>
      </w:r>
    </w:p>
    <w:p>
      <w:pPr>
        <w:pStyle w:val="Text1"/>
        <w:rPr>
          <w:noProof/>
        </w:rPr>
      </w:pPr>
      <w:r>
        <w:rPr>
          <w:noProof/>
        </w:rPr>
        <w:t>These categories are those defined in the regulations concerning the international carriage of dangerous goods by rail, usually known as the RID, as adopted under Directive 2008/68/EC of the European Parliament and of the Council</w:t>
      </w:r>
      <w:r>
        <w:rPr>
          <w:rStyle w:val="FootnoteReference"/>
          <w:noProof/>
        </w:rPr>
        <w:footnoteReference w:id="1"/>
      </w:r>
      <w:r>
        <w:rPr>
          <w:noProof/>
        </w:rPr>
        <w:t>.</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1.12 and Annex II</w:t>
      </w:r>
    </w:p>
    <w:p>
      <w:pPr>
        <w:pStyle w:val="Annexetitre"/>
        <w:rPr>
          <w:noProof/>
        </w:rPr>
      </w:pPr>
      <w:r>
        <w:rPr>
          <w:noProof/>
        </w:rPr>
        <w:t>ANNEX VIII</w:t>
      </w:r>
    </w:p>
    <w:tbl>
      <w:tblPr>
        <w:tblW w:w="0" w:type="auto"/>
        <w:tblLayout w:type="fixed"/>
        <w:tblLook w:val="0000" w:firstRow="0" w:lastRow="0" w:firstColumn="0" w:lastColumn="0" w:noHBand="0" w:noVBand="0"/>
      </w:tblPr>
      <w:tblGrid>
        <w:gridCol w:w="4457"/>
        <w:gridCol w:w="48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spacing w:before="80" w:after="100"/>
              <w:rPr>
                <w:noProof/>
              </w:rPr>
            </w:pPr>
            <w:r>
              <w:rPr>
                <w:noProof/>
              </w:rPr>
              <w:t>Table VIII.1</w:t>
            </w:r>
          </w:p>
        </w:tc>
      </w:tr>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spacing w:before="80" w:after="100"/>
              <w:rPr>
                <w:noProof/>
              </w:rPr>
            </w:pPr>
            <w:r>
              <w:rPr>
                <w:noProof/>
              </w:rPr>
              <w:t>LEVEL OF TRANSPORT ACTIVITY IN GOODS TRANSPORT</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List of variables and units of measurement</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Goods transported in:</w:t>
            </w:r>
          </w:p>
          <w:p>
            <w:pPr>
              <w:pStyle w:val="Tiret0"/>
              <w:spacing w:before="80" w:after="100"/>
              <w:ind w:left="851"/>
              <w:rPr>
                <w:noProof/>
              </w:rPr>
            </w:pPr>
            <w:r>
              <w:rPr>
                <w:noProof/>
              </w:rPr>
              <w:t>total tonnes</w:t>
            </w:r>
          </w:p>
          <w:p>
            <w:pPr>
              <w:pStyle w:val="Tiret0"/>
              <w:spacing w:before="80" w:after="100"/>
              <w:ind w:left="851"/>
              <w:rPr>
                <w:noProof/>
              </w:rPr>
            </w:pPr>
            <w:r>
              <w:rPr>
                <w:noProof/>
              </w:rPr>
              <w:t>total tonne-km</w:t>
            </w:r>
          </w:p>
          <w:p>
            <w:pPr>
              <w:pStyle w:val="NormalLeft"/>
              <w:spacing w:before="80" w:after="100"/>
              <w:rPr>
                <w:noProof/>
              </w:rPr>
            </w:pPr>
            <w:r>
              <w:rPr>
                <w:noProof/>
              </w:rPr>
              <w:t>Goods train movements in:</w:t>
            </w:r>
          </w:p>
          <w:p>
            <w:pPr>
              <w:pStyle w:val="Tiret0"/>
              <w:spacing w:before="80" w:after="100"/>
              <w:ind w:left="851"/>
              <w:rPr>
                <w:noProof/>
              </w:rPr>
            </w:pPr>
            <w:r>
              <w:rPr>
                <w:noProof/>
              </w:rPr>
              <w:t>total train-km</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Reference period</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One year</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Frequency</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Every year</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Deadline for transmission of data</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Five months after end of reference period</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First reference period</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2017</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Notes</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Only for undertakings with a total volume of freight transport of less than 200 million tonne-km and less than 500 000 tonnes and not reporting under Annex I (detailed reporting).</w:t>
            </w:r>
          </w:p>
        </w:tc>
      </w:tr>
    </w:tbl>
    <w:p>
      <w:pPr>
        <w:spacing w:before="60" w:after="60"/>
        <w:rPr>
          <w:noProof/>
        </w:rPr>
      </w:pPr>
    </w:p>
    <w:tbl>
      <w:tblPr>
        <w:tblW w:w="0" w:type="auto"/>
        <w:tblLayout w:type="fixed"/>
        <w:tblLook w:val="0000" w:firstRow="0" w:lastRow="0" w:firstColumn="0" w:lastColumn="0" w:noHBand="0" w:noVBand="0"/>
      </w:tblPr>
      <w:tblGrid>
        <w:gridCol w:w="4457"/>
        <w:gridCol w:w="48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spacing w:before="80" w:after="100"/>
              <w:rPr>
                <w:noProof/>
              </w:rPr>
            </w:pPr>
            <w:r>
              <w:rPr>
                <w:noProof/>
              </w:rPr>
              <w:t>Table VIII.2</w:t>
            </w:r>
          </w:p>
        </w:tc>
      </w:tr>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spacing w:before="80" w:after="100"/>
              <w:rPr>
                <w:noProof/>
              </w:rPr>
            </w:pPr>
            <w:r>
              <w:rPr>
                <w:noProof/>
              </w:rPr>
              <w:t>LEVEL OF TRANSPORT ACTIVITY IN PASSENGER TRANSPORT</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List of variables and units of measurement</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Passengers transported in:</w:t>
            </w:r>
          </w:p>
          <w:p>
            <w:pPr>
              <w:pStyle w:val="Tiret0"/>
              <w:spacing w:before="80" w:after="100"/>
              <w:ind w:left="851"/>
              <w:rPr>
                <w:noProof/>
              </w:rPr>
            </w:pPr>
            <w:r>
              <w:rPr>
                <w:noProof/>
              </w:rPr>
              <w:t>total passengers</w:t>
            </w:r>
          </w:p>
          <w:p>
            <w:pPr>
              <w:pStyle w:val="Tiret0"/>
              <w:spacing w:before="80" w:after="100"/>
              <w:ind w:left="851"/>
              <w:rPr>
                <w:noProof/>
              </w:rPr>
            </w:pPr>
            <w:r>
              <w:rPr>
                <w:noProof/>
              </w:rPr>
              <w:t>total passenger-km</w:t>
            </w:r>
          </w:p>
          <w:p>
            <w:pPr>
              <w:pStyle w:val="NormalLeft"/>
              <w:spacing w:before="80" w:after="100"/>
              <w:rPr>
                <w:noProof/>
              </w:rPr>
            </w:pPr>
            <w:r>
              <w:rPr>
                <w:noProof/>
              </w:rPr>
              <w:t>Passenger train movements in:</w:t>
            </w:r>
          </w:p>
          <w:p>
            <w:pPr>
              <w:pStyle w:val="Tiret0"/>
              <w:spacing w:before="80" w:after="100"/>
              <w:ind w:left="851"/>
              <w:rPr>
                <w:noProof/>
              </w:rPr>
            </w:pPr>
            <w:r>
              <w:rPr>
                <w:noProof/>
              </w:rPr>
              <w:t>total train-km</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Reference period</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One year</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Frequency</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Every year</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Deadline for transmission of data</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Eight months after end of reference period</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First reference period</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80"/>
              <w:rPr>
                <w:noProof/>
              </w:rPr>
            </w:pPr>
            <w:r>
              <w:rPr>
                <w:noProof/>
              </w:rPr>
              <w:t>2017</w:t>
            </w:r>
          </w:p>
        </w:tc>
      </w:tr>
      <w:tr>
        <w:tc>
          <w:tcPr>
            <w:tcW w:w="4457"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Notes</w:t>
            </w:r>
          </w:p>
        </w:tc>
        <w:tc>
          <w:tcPr>
            <w:tcW w:w="4829" w:type="dxa"/>
            <w:tcBorders>
              <w:top w:val="single" w:sz="2" w:space="0" w:color="auto"/>
              <w:left w:val="single" w:sz="2" w:space="0" w:color="auto"/>
              <w:bottom w:val="single" w:sz="2" w:space="0" w:color="auto"/>
              <w:right w:val="single" w:sz="2" w:space="0" w:color="auto"/>
            </w:tcBorders>
          </w:tcPr>
          <w:p>
            <w:pPr>
              <w:pStyle w:val="NormalLeft"/>
              <w:spacing w:before="80" w:after="100"/>
              <w:rPr>
                <w:noProof/>
              </w:rPr>
            </w:pPr>
            <w:r>
              <w:rPr>
                <w:noProof/>
              </w:rPr>
              <w:t>Only for undertakings with a total volume of passenger transport of less than 100 million passenger-km and not reporting under Annex II (detailed reporting).</w:t>
            </w:r>
          </w:p>
        </w:tc>
      </w:tr>
    </w:tbl>
    <w:p>
      <w:pPr>
        <w:spacing w:before="0" w:after="0"/>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é</w:instrText>
      </w:r>
      <w:r>
        <w:rPr>
          <w:noProof/>
          <w:lang w:val="en-GB"/>
        </w:rPr>
        <w:instrText xml:space="preserve">" </w:instrText>
      </w:r>
      <w:r>
        <w:rPr>
          <w:noProof/>
        </w:rPr>
        <w:fldChar w:fldCharType="separate"/>
      </w:r>
      <w:r>
        <w:rPr>
          <w:rStyle w:val="CRMarker"/>
          <w:noProof/>
          <w:lang w:val="en-GB"/>
        </w:rPr>
        <w:t>é</w:t>
      </w:r>
      <w:r>
        <w:rPr>
          <w:noProof/>
        </w:rPr>
        <w:fldChar w:fldCharType="end"/>
      </w:r>
    </w:p>
    <w:p>
      <w:pPr>
        <w:pStyle w:val="Annexetitre"/>
        <w:rPr>
          <w:noProof/>
        </w:rPr>
      </w:pPr>
      <w:r>
        <w:rPr>
          <w:noProof/>
        </w:rPr>
        <w:t>ANNEX IX</w:t>
      </w:r>
    </w:p>
    <w:p>
      <w:pPr>
        <w:jc w:val="center"/>
        <w:rPr>
          <w:rFonts w:eastAsia="Times New Roman"/>
          <w:b/>
          <w:noProof/>
          <w:szCs w:val="20"/>
        </w:rPr>
      </w:pPr>
      <w:bookmarkStart w:id="1" w:name="_CopyToNewDocument_"/>
      <w:bookmarkEnd w:id="1"/>
      <w:r>
        <w:rPr>
          <w:rFonts w:eastAsia="Times New Roman"/>
          <w:b/>
          <w:noProof/>
          <w:szCs w:val="20"/>
        </w:rPr>
        <w:t>Repealed Regulation with list of its successive amendments</w:t>
      </w:r>
    </w:p>
    <w:tbl>
      <w:tblPr>
        <w:tblW w:w="9348" w:type="dxa"/>
        <w:tblLayout w:type="fixed"/>
        <w:tblLook w:val="0000" w:firstRow="0" w:lastRow="0" w:firstColumn="0" w:lastColumn="0" w:noHBand="0" w:noVBand="0"/>
      </w:tblPr>
      <w:tblGrid>
        <w:gridCol w:w="348"/>
        <w:gridCol w:w="5520"/>
        <w:gridCol w:w="480"/>
        <w:gridCol w:w="2520"/>
        <w:gridCol w:w="480"/>
      </w:tblGrid>
      <w:tr>
        <w:trPr>
          <w:gridAfter w:val="1"/>
          <w:wAfter w:w="480" w:type="dxa"/>
          <w:cantSplit/>
        </w:trPr>
        <w:tc>
          <w:tcPr>
            <w:tcW w:w="5868" w:type="dxa"/>
            <w:gridSpan w:val="2"/>
          </w:tcPr>
          <w:p>
            <w:pPr>
              <w:jc w:val="left"/>
              <w:rPr>
                <w:noProof/>
              </w:rPr>
            </w:pPr>
            <w:r>
              <w:rPr>
                <w:noProof/>
              </w:rPr>
              <w:t xml:space="preserve">Regulation (EC) No 91/2003 </w:t>
            </w:r>
            <w:r>
              <w:rPr>
                <w:rFonts w:eastAsia="Times New Roman"/>
                <w:bCs/>
                <w:noProof/>
                <w:lang w:val="en-US"/>
              </w:rPr>
              <w:t>of the European Parliament and of the Council</w:t>
            </w:r>
            <w:r>
              <w:rPr>
                <w:noProof/>
              </w:rPr>
              <w:br/>
            </w:r>
            <w:r>
              <w:rPr>
                <w:rFonts w:eastAsia="Times New Roman"/>
                <w:noProof/>
                <w:szCs w:val="20"/>
              </w:rPr>
              <w:t>(</w:t>
            </w:r>
            <w:r>
              <w:rPr>
                <w:noProof/>
              </w:rPr>
              <w:t>OJ L 14, 21.1.2003, p. 1)</w:t>
            </w:r>
          </w:p>
        </w:tc>
        <w:tc>
          <w:tcPr>
            <w:tcW w:w="3000" w:type="dxa"/>
            <w:gridSpan w:val="2"/>
          </w:tcPr>
          <w:p>
            <w:pPr>
              <w:jc w:val="left"/>
              <w:rPr>
                <w:rFonts w:eastAsia="Times New Roman"/>
                <w:noProof/>
                <w:szCs w:val="20"/>
              </w:rPr>
            </w:pPr>
          </w:p>
        </w:tc>
      </w:tr>
      <w:tr>
        <w:trPr>
          <w:gridBefore w:val="1"/>
          <w:wBefore w:w="348" w:type="dxa"/>
          <w:cantSplit/>
        </w:trPr>
        <w:tc>
          <w:tcPr>
            <w:tcW w:w="6000" w:type="dxa"/>
            <w:gridSpan w:val="2"/>
          </w:tcPr>
          <w:p>
            <w:pPr>
              <w:jc w:val="left"/>
              <w:rPr>
                <w:noProof/>
              </w:rPr>
            </w:pPr>
            <w:r>
              <w:rPr>
                <w:noProof/>
              </w:rPr>
              <w:t>Commission Regulation (EC) No 1192/2003</w:t>
            </w:r>
            <w:r>
              <w:rPr>
                <w:noProof/>
              </w:rPr>
              <w:br/>
              <w:t>(OJ L 167, 4.7.2003, p. 13)</w:t>
            </w:r>
          </w:p>
        </w:tc>
        <w:tc>
          <w:tcPr>
            <w:tcW w:w="3000" w:type="dxa"/>
            <w:gridSpan w:val="2"/>
          </w:tcPr>
          <w:p>
            <w:pPr>
              <w:jc w:val="left"/>
              <w:rPr>
                <w:rFonts w:eastAsia="Times New Roman"/>
                <w:noProof/>
                <w:szCs w:val="20"/>
              </w:rPr>
            </w:pPr>
          </w:p>
        </w:tc>
      </w:tr>
      <w:tr>
        <w:trPr>
          <w:gridBefore w:val="1"/>
          <w:wBefore w:w="348" w:type="dxa"/>
          <w:cantSplit/>
        </w:trPr>
        <w:tc>
          <w:tcPr>
            <w:tcW w:w="6000" w:type="dxa"/>
            <w:gridSpan w:val="2"/>
          </w:tcPr>
          <w:p>
            <w:pPr>
              <w:jc w:val="left"/>
              <w:rPr>
                <w:noProof/>
              </w:rPr>
            </w:pPr>
            <w:r>
              <w:rPr>
                <w:noProof/>
              </w:rPr>
              <w:t>Commission Regulation (EC) No 1304/2007</w:t>
            </w:r>
            <w:r>
              <w:rPr>
                <w:noProof/>
              </w:rPr>
              <w:br/>
              <w:t>(OJ L 290, 8.11.2007, p. 14)</w:t>
            </w:r>
          </w:p>
        </w:tc>
        <w:tc>
          <w:tcPr>
            <w:tcW w:w="3000" w:type="dxa"/>
            <w:gridSpan w:val="2"/>
          </w:tcPr>
          <w:p>
            <w:pPr>
              <w:jc w:val="left"/>
              <w:rPr>
                <w:rFonts w:eastAsia="Times New Roman"/>
                <w:noProof/>
                <w:szCs w:val="20"/>
              </w:rPr>
            </w:pPr>
            <w:r>
              <w:rPr>
                <w:rFonts w:eastAsia="Times New Roman"/>
                <w:noProof/>
                <w:szCs w:val="20"/>
              </w:rPr>
              <w:t>Only Article 3</w:t>
            </w:r>
          </w:p>
        </w:tc>
      </w:tr>
      <w:tr>
        <w:trPr>
          <w:gridBefore w:val="1"/>
          <w:wBefore w:w="348" w:type="dxa"/>
          <w:cantSplit/>
        </w:trPr>
        <w:tc>
          <w:tcPr>
            <w:tcW w:w="6000" w:type="dxa"/>
            <w:gridSpan w:val="2"/>
          </w:tcPr>
          <w:p>
            <w:pPr>
              <w:jc w:val="left"/>
              <w:rPr>
                <w:noProof/>
              </w:rPr>
            </w:pPr>
            <w:r>
              <w:rPr>
                <w:noProof/>
              </w:rPr>
              <w:t xml:space="preserve">Regulation (EC) No 219/2009 </w:t>
            </w:r>
            <w:r>
              <w:rPr>
                <w:rFonts w:eastAsia="Times New Roman"/>
                <w:bCs/>
                <w:noProof/>
                <w:lang w:val="en-US"/>
              </w:rPr>
              <w:t>of the European Parliament and of the Council</w:t>
            </w:r>
            <w:r>
              <w:rPr>
                <w:noProof/>
              </w:rPr>
              <w:br/>
              <w:t>(OJ L 87, 31.3.2009, p. 109)</w:t>
            </w:r>
          </w:p>
        </w:tc>
        <w:tc>
          <w:tcPr>
            <w:tcW w:w="3000" w:type="dxa"/>
            <w:gridSpan w:val="2"/>
          </w:tcPr>
          <w:p>
            <w:pPr>
              <w:jc w:val="left"/>
              <w:rPr>
                <w:rFonts w:eastAsia="Times New Roman"/>
                <w:noProof/>
                <w:szCs w:val="20"/>
              </w:rPr>
            </w:pPr>
            <w:r>
              <w:rPr>
                <w:rFonts w:eastAsia="Times New Roman"/>
                <w:noProof/>
              </w:rPr>
              <w:t>Only point 4.4 of the Annex</w:t>
            </w:r>
          </w:p>
        </w:tc>
      </w:tr>
      <w:tr>
        <w:trPr>
          <w:gridBefore w:val="1"/>
          <w:wBefore w:w="348" w:type="dxa"/>
          <w:cantSplit/>
        </w:trPr>
        <w:tc>
          <w:tcPr>
            <w:tcW w:w="6000" w:type="dxa"/>
            <w:gridSpan w:val="2"/>
          </w:tcPr>
          <w:p>
            <w:pPr>
              <w:jc w:val="left"/>
              <w:rPr>
                <w:rFonts w:eastAsia="Times New Roman"/>
                <w:noProof/>
                <w:szCs w:val="20"/>
                <w:lang w:val="en-US"/>
              </w:rPr>
            </w:pPr>
            <w:r>
              <w:rPr>
                <w:rFonts w:eastAsia="Times New Roman"/>
                <w:bCs/>
                <w:noProof/>
                <w:lang w:val="en-US"/>
              </w:rPr>
              <w:t>Regulation (EU) 2016/2032 of the European Parliament and of the Council</w:t>
            </w:r>
            <w:r>
              <w:rPr>
                <w:rFonts w:eastAsia="Times New Roman"/>
                <w:noProof/>
                <w:szCs w:val="20"/>
                <w:lang w:val="en-US"/>
              </w:rPr>
              <w:br/>
            </w:r>
            <w:r>
              <w:rPr>
                <w:rFonts w:eastAsia="Times New Roman"/>
                <w:noProof/>
              </w:rPr>
              <w:t>(OJ L 317, 23.11.2016, p. 105)</w:t>
            </w:r>
          </w:p>
        </w:tc>
        <w:tc>
          <w:tcPr>
            <w:tcW w:w="3000" w:type="dxa"/>
            <w:gridSpan w:val="2"/>
          </w:tcPr>
          <w:p>
            <w:pPr>
              <w:jc w:val="left"/>
              <w:rPr>
                <w:rFonts w:eastAsia="Times New Roman"/>
                <w:noProof/>
                <w:szCs w:val="20"/>
              </w:rPr>
            </w:pPr>
          </w:p>
        </w:tc>
      </w:tr>
    </w:tbl>
    <w:p>
      <w:pPr>
        <w:jc w:val="center"/>
        <w:rPr>
          <w:rFonts w:eastAsia="Times New Roman"/>
          <w:noProof/>
          <w:szCs w:val="20"/>
        </w:rPr>
      </w:pPr>
      <w:r>
        <w:rPr>
          <w:rFonts w:eastAsia="Times New Roman"/>
          <w:noProof/>
          <w:szCs w:val="20"/>
        </w:rPr>
        <w:t>_____________</w:t>
      </w:r>
    </w:p>
    <w:p>
      <w:pPr>
        <w:jc w:val="center"/>
        <w:rPr>
          <w:rFonts w:eastAsia="Times New Roman"/>
          <w:b/>
          <w:noProof/>
          <w:szCs w:val="20"/>
          <w:u w:val="single"/>
        </w:rPr>
        <w:sectPr>
          <w:pgSz w:w="11907" w:h="16839"/>
          <w:pgMar w:top="1134" w:right="1417" w:bottom="1134" w:left="1417" w:header="709" w:footer="709" w:gutter="0"/>
          <w:cols w:space="720"/>
          <w:docGrid w:linePitch="360"/>
        </w:sectPr>
      </w:pPr>
    </w:p>
    <w:p>
      <w:pPr>
        <w:pStyle w:val="Annexetitre"/>
        <w:rPr>
          <w:noProof/>
        </w:rPr>
      </w:pPr>
      <w:r>
        <w:rPr>
          <w:noProof/>
        </w:rPr>
        <w:t>ANNEX X</w:t>
      </w:r>
    </w:p>
    <w:p>
      <w:pPr>
        <w:keepNext/>
        <w:spacing w:before="360"/>
        <w:jc w:val="center"/>
        <w:outlineLvl w:val="0"/>
        <w:rPr>
          <w:rFonts w:eastAsia="Times New Roman"/>
          <w:b/>
          <w:smallCaps/>
          <w:noProof/>
          <w:lang w:eastAsia="de-DE"/>
        </w:rPr>
      </w:pPr>
      <w:r>
        <w:rPr>
          <w:rFonts w:eastAsia="Times New Roman"/>
          <w:b/>
          <w:smallCaps/>
          <w:noProof/>
          <w:lang w:eastAsia="de-DE"/>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tc>
          <w:tcPr>
            <w:tcW w:w="4674" w:type="dxa"/>
            <w:tcBorders>
              <w:left w:val="nil"/>
            </w:tcBorders>
          </w:tcPr>
          <w:p>
            <w:pPr>
              <w:jc w:val="center"/>
              <w:rPr>
                <w:rFonts w:eastAsia="Times New Roman"/>
                <w:noProof/>
                <w:szCs w:val="20"/>
              </w:rPr>
            </w:pPr>
            <w:r>
              <w:rPr>
                <w:rFonts w:eastAsia="Times New Roman"/>
                <w:noProof/>
                <w:szCs w:val="20"/>
              </w:rPr>
              <w:t>Regulation (EC) No 91/2003</w:t>
            </w:r>
          </w:p>
        </w:tc>
        <w:tc>
          <w:tcPr>
            <w:tcW w:w="4674" w:type="dxa"/>
            <w:tcBorders>
              <w:right w:val="nil"/>
            </w:tcBorders>
          </w:tcPr>
          <w:p>
            <w:pPr>
              <w:jc w:val="center"/>
              <w:rPr>
                <w:rFonts w:eastAsia="Times New Roman"/>
                <w:noProof/>
                <w:szCs w:val="20"/>
              </w:rPr>
            </w:pPr>
            <w:r>
              <w:rPr>
                <w:rFonts w:eastAsia="Times New Roman"/>
                <w:noProof/>
                <w:szCs w:val="20"/>
              </w:rPr>
              <w:t>This Regulation</w:t>
            </w:r>
          </w:p>
        </w:tc>
      </w:tr>
      <w:tr>
        <w:tc>
          <w:tcPr>
            <w:tcW w:w="4674" w:type="dxa"/>
            <w:tcBorders>
              <w:top w:val="nil"/>
              <w:left w:val="nil"/>
              <w:bottom w:val="nil"/>
            </w:tcBorders>
          </w:tcPr>
          <w:p>
            <w:pPr>
              <w:rPr>
                <w:rFonts w:eastAsia="Times New Roman"/>
                <w:noProof/>
                <w:szCs w:val="20"/>
              </w:rPr>
            </w:pPr>
            <w:r>
              <w:rPr>
                <w:rFonts w:eastAsia="Times New Roman"/>
                <w:noProof/>
                <w:szCs w:val="20"/>
              </w:rPr>
              <w:t>Articles 1, 2 and 3</w:t>
            </w:r>
          </w:p>
        </w:tc>
        <w:tc>
          <w:tcPr>
            <w:tcW w:w="4674" w:type="dxa"/>
            <w:tcBorders>
              <w:top w:val="nil"/>
              <w:bottom w:val="nil"/>
              <w:right w:val="nil"/>
            </w:tcBorders>
          </w:tcPr>
          <w:p>
            <w:pPr>
              <w:rPr>
                <w:rFonts w:eastAsia="Times New Roman"/>
                <w:noProof/>
                <w:szCs w:val="20"/>
              </w:rPr>
            </w:pPr>
            <w:r>
              <w:rPr>
                <w:rFonts w:eastAsia="Times New Roman"/>
                <w:noProof/>
                <w:szCs w:val="20"/>
              </w:rPr>
              <w:t>Articles 1, 2 and 3</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 xml:space="preserve">Article 4(1), </w:t>
            </w:r>
            <w:r>
              <w:rPr>
                <w:rFonts w:eastAsia="Times New Roman"/>
                <w:noProof/>
                <w:szCs w:val="20"/>
              </w:rPr>
              <w:t>introductory wording</w:t>
            </w:r>
          </w:p>
        </w:tc>
        <w:tc>
          <w:tcPr>
            <w:tcW w:w="4674" w:type="dxa"/>
            <w:tcBorders>
              <w:top w:val="nil"/>
              <w:bottom w:val="nil"/>
              <w:right w:val="nil"/>
            </w:tcBorders>
          </w:tcPr>
          <w:p>
            <w:pPr>
              <w:rPr>
                <w:rFonts w:eastAsia="Times New Roman"/>
                <w:noProof/>
                <w:szCs w:val="20"/>
              </w:rPr>
            </w:pPr>
            <w:r>
              <w:rPr>
                <w:rFonts w:eastAsia="Times New Roman"/>
                <w:noProof/>
                <w:szCs w:val="20"/>
                <w:lang w:val="fr-BE"/>
              </w:rPr>
              <w:t xml:space="preserve">Article 4(1), </w:t>
            </w:r>
            <w:r>
              <w:rPr>
                <w:rFonts w:eastAsia="Times New Roman"/>
                <w:noProof/>
                <w:szCs w:val="20"/>
              </w:rPr>
              <w:t>introductory wording</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4(1)(a)</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4(1)(a)</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4(1)(c)</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4(1)(b)</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4(1)(e)</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4(1)(c)</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4(1)(f)</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4(1)(d)</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4(1)(g)</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4(1)(e)</w:t>
            </w:r>
          </w:p>
        </w:tc>
      </w:tr>
      <w:tr>
        <w:tc>
          <w:tcPr>
            <w:tcW w:w="4674" w:type="dxa"/>
            <w:tcBorders>
              <w:top w:val="nil"/>
              <w:left w:val="nil"/>
              <w:bottom w:val="nil"/>
            </w:tcBorders>
          </w:tcPr>
          <w:p>
            <w:pPr>
              <w:rPr>
                <w:rFonts w:eastAsia="Times New Roman"/>
                <w:noProof/>
                <w:szCs w:val="20"/>
                <w:lang w:val="fr-BE"/>
              </w:rPr>
            </w:pPr>
            <w:r>
              <w:rPr>
                <w:rFonts w:eastAsia="Times New Roman"/>
                <w:noProof/>
                <w:szCs w:val="20"/>
                <w:lang w:val="fr-BE"/>
              </w:rPr>
              <w:t>Article 4(2), (3) and (4)</w:t>
            </w:r>
          </w:p>
        </w:tc>
        <w:tc>
          <w:tcPr>
            <w:tcW w:w="4674" w:type="dxa"/>
            <w:tcBorders>
              <w:top w:val="nil"/>
              <w:bottom w:val="nil"/>
              <w:right w:val="nil"/>
            </w:tcBorders>
          </w:tcPr>
          <w:p>
            <w:pPr>
              <w:rPr>
                <w:rFonts w:eastAsia="Times New Roman"/>
                <w:noProof/>
                <w:szCs w:val="20"/>
                <w:lang w:val="fr-BE"/>
              </w:rPr>
            </w:pPr>
            <w:r>
              <w:rPr>
                <w:rFonts w:eastAsia="Times New Roman"/>
                <w:noProof/>
                <w:szCs w:val="20"/>
                <w:lang w:val="fr-BE"/>
              </w:rPr>
              <w:t>Article 4(2), (3) and (4)</w:t>
            </w:r>
          </w:p>
        </w:tc>
      </w:tr>
      <w:tr>
        <w:tc>
          <w:tcPr>
            <w:tcW w:w="4674" w:type="dxa"/>
            <w:tcBorders>
              <w:top w:val="nil"/>
              <w:left w:val="nil"/>
              <w:bottom w:val="nil"/>
            </w:tcBorders>
          </w:tcPr>
          <w:p>
            <w:pPr>
              <w:rPr>
                <w:rFonts w:eastAsia="Times New Roman"/>
                <w:noProof/>
                <w:szCs w:val="20"/>
              </w:rPr>
            </w:pPr>
            <w:r>
              <w:rPr>
                <w:rFonts w:eastAsia="Times New Roman"/>
                <w:noProof/>
                <w:szCs w:val="20"/>
              </w:rPr>
              <w:t>Article 4(5)</w:t>
            </w:r>
          </w:p>
        </w:tc>
        <w:tc>
          <w:tcPr>
            <w:tcW w:w="4674" w:type="dxa"/>
            <w:tcBorders>
              <w:top w:val="nil"/>
              <w:bottom w:val="nil"/>
              <w:right w:val="nil"/>
            </w:tcBorders>
          </w:tcPr>
          <w:p>
            <w:pPr>
              <w:rPr>
                <w:rFonts w:eastAsia="Times New Roman"/>
                <w:noProof/>
                <w:szCs w:val="20"/>
              </w:rPr>
            </w:pPr>
            <w:r>
              <w:rPr>
                <w:rFonts w:eastAsia="Times New Roman"/>
                <w:noProof/>
                <w:szCs w:val="20"/>
              </w:rPr>
              <w:t>–</w:t>
            </w:r>
          </w:p>
        </w:tc>
      </w:tr>
      <w:tr>
        <w:tc>
          <w:tcPr>
            <w:tcW w:w="4674" w:type="dxa"/>
            <w:tcBorders>
              <w:top w:val="nil"/>
              <w:left w:val="nil"/>
              <w:bottom w:val="nil"/>
            </w:tcBorders>
          </w:tcPr>
          <w:p>
            <w:pPr>
              <w:rPr>
                <w:rFonts w:eastAsia="Times New Roman"/>
                <w:noProof/>
                <w:szCs w:val="20"/>
              </w:rPr>
            </w:pPr>
            <w:r>
              <w:rPr>
                <w:rFonts w:eastAsia="Times New Roman"/>
                <w:noProof/>
                <w:szCs w:val="20"/>
              </w:rPr>
              <w:t>Articles 5, 6 and 7</w:t>
            </w:r>
          </w:p>
        </w:tc>
        <w:tc>
          <w:tcPr>
            <w:tcW w:w="4674" w:type="dxa"/>
            <w:tcBorders>
              <w:top w:val="nil"/>
              <w:bottom w:val="nil"/>
              <w:right w:val="nil"/>
            </w:tcBorders>
          </w:tcPr>
          <w:p>
            <w:pPr>
              <w:rPr>
                <w:rFonts w:eastAsia="Times New Roman"/>
                <w:noProof/>
                <w:szCs w:val="20"/>
              </w:rPr>
            </w:pPr>
            <w:r>
              <w:rPr>
                <w:rFonts w:eastAsia="Times New Roman"/>
                <w:noProof/>
                <w:szCs w:val="20"/>
              </w:rPr>
              <w:t>Articles 5, 6 and 7</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8(1)</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8(1)</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8(1a)</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8(2)</w:t>
            </w:r>
          </w:p>
        </w:tc>
      </w:tr>
      <w:tr>
        <w:tc>
          <w:tcPr>
            <w:tcW w:w="4674" w:type="dxa"/>
            <w:tcBorders>
              <w:top w:val="nil"/>
              <w:left w:val="nil"/>
              <w:bottom w:val="nil"/>
            </w:tcBorders>
          </w:tcPr>
          <w:p>
            <w:pPr>
              <w:rPr>
                <w:rFonts w:eastAsia="Times New Roman"/>
                <w:noProof/>
                <w:szCs w:val="20"/>
              </w:rPr>
            </w:pPr>
            <w:r>
              <w:rPr>
                <w:rFonts w:eastAsia="Times New Roman"/>
                <w:noProof/>
                <w:szCs w:val="20"/>
                <w:lang w:val="fr-BE"/>
              </w:rPr>
              <w:t>Article 8(2)</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8(3)</w:t>
            </w:r>
          </w:p>
        </w:tc>
      </w:tr>
      <w:tr>
        <w:tc>
          <w:tcPr>
            <w:tcW w:w="4674" w:type="dxa"/>
            <w:tcBorders>
              <w:top w:val="nil"/>
              <w:left w:val="nil"/>
              <w:bottom w:val="nil"/>
            </w:tcBorders>
          </w:tcPr>
          <w:p>
            <w:pPr>
              <w:rPr>
                <w:rFonts w:eastAsia="Times New Roman"/>
                <w:noProof/>
                <w:szCs w:val="20"/>
              </w:rPr>
            </w:pPr>
            <w:r>
              <w:rPr>
                <w:rFonts w:eastAsia="Times New Roman"/>
                <w:noProof/>
                <w:szCs w:val="20"/>
              </w:rPr>
              <w:t>Article 8(3)</w:t>
            </w:r>
          </w:p>
        </w:tc>
        <w:tc>
          <w:tcPr>
            <w:tcW w:w="4674" w:type="dxa"/>
            <w:tcBorders>
              <w:top w:val="nil"/>
              <w:bottom w:val="nil"/>
              <w:right w:val="nil"/>
            </w:tcBorders>
          </w:tcPr>
          <w:p>
            <w:pPr>
              <w:rPr>
                <w:rFonts w:eastAsia="Times New Roman"/>
                <w:noProof/>
                <w:szCs w:val="20"/>
              </w:rPr>
            </w:pPr>
            <w:r>
              <w:rPr>
                <w:rFonts w:eastAsia="Times New Roman"/>
                <w:noProof/>
                <w:szCs w:val="20"/>
              </w:rPr>
              <w:t>Article 8(4)</w:t>
            </w:r>
          </w:p>
        </w:tc>
      </w:tr>
      <w:tr>
        <w:tc>
          <w:tcPr>
            <w:tcW w:w="4674" w:type="dxa"/>
            <w:tcBorders>
              <w:top w:val="nil"/>
              <w:left w:val="nil"/>
              <w:bottom w:val="nil"/>
            </w:tcBorders>
          </w:tcPr>
          <w:p>
            <w:pPr>
              <w:rPr>
                <w:rFonts w:eastAsia="Times New Roman"/>
                <w:noProof/>
                <w:szCs w:val="20"/>
              </w:rPr>
            </w:pPr>
            <w:r>
              <w:rPr>
                <w:rFonts w:eastAsia="Times New Roman"/>
                <w:noProof/>
                <w:szCs w:val="20"/>
              </w:rPr>
              <w:t>Article 8(4)</w:t>
            </w:r>
          </w:p>
        </w:tc>
        <w:tc>
          <w:tcPr>
            <w:tcW w:w="4674" w:type="dxa"/>
            <w:tcBorders>
              <w:top w:val="nil"/>
              <w:bottom w:val="nil"/>
              <w:right w:val="nil"/>
            </w:tcBorders>
          </w:tcPr>
          <w:p>
            <w:pPr>
              <w:rPr>
                <w:rFonts w:eastAsia="Times New Roman"/>
                <w:noProof/>
                <w:szCs w:val="20"/>
              </w:rPr>
            </w:pPr>
            <w:r>
              <w:rPr>
                <w:rFonts w:eastAsia="Times New Roman"/>
                <w:noProof/>
                <w:szCs w:val="20"/>
              </w:rPr>
              <w:t>Article 8(5)</w:t>
            </w:r>
          </w:p>
        </w:tc>
      </w:tr>
      <w:tr>
        <w:tc>
          <w:tcPr>
            <w:tcW w:w="4674" w:type="dxa"/>
            <w:tcBorders>
              <w:top w:val="nil"/>
              <w:left w:val="nil"/>
              <w:bottom w:val="nil"/>
            </w:tcBorders>
          </w:tcPr>
          <w:p>
            <w:pPr>
              <w:rPr>
                <w:rFonts w:eastAsia="Times New Roman"/>
                <w:noProof/>
                <w:szCs w:val="20"/>
              </w:rPr>
            </w:pPr>
            <w:r>
              <w:rPr>
                <w:rFonts w:eastAsia="Times New Roman"/>
                <w:noProof/>
                <w:szCs w:val="20"/>
              </w:rPr>
              <w:t>Articles 9, 10 and 11</w:t>
            </w:r>
          </w:p>
        </w:tc>
        <w:tc>
          <w:tcPr>
            <w:tcW w:w="4674" w:type="dxa"/>
            <w:tcBorders>
              <w:top w:val="nil"/>
              <w:bottom w:val="nil"/>
              <w:right w:val="nil"/>
            </w:tcBorders>
          </w:tcPr>
          <w:p>
            <w:pPr>
              <w:rPr>
                <w:rFonts w:eastAsia="Times New Roman"/>
                <w:noProof/>
                <w:szCs w:val="20"/>
              </w:rPr>
            </w:pPr>
            <w:r>
              <w:rPr>
                <w:rFonts w:eastAsia="Times New Roman"/>
                <w:noProof/>
                <w:szCs w:val="20"/>
              </w:rPr>
              <w:t>Articles 9, 10 and 11</w:t>
            </w:r>
          </w:p>
        </w:tc>
      </w:tr>
      <w:tr>
        <w:tc>
          <w:tcPr>
            <w:tcW w:w="4674" w:type="dxa"/>
            <w:tcBorders>
              <w:top w:val="nil"/>
              <w:left w:val="nil"/>
              <w:bottom w:val="nil"/>
            </w:tcBorders>
          </w:tcPr>
          <w:p>
            <w:pPr>
              <w:rPr>
                <w:rFonts w:eastAsia="Times New Roman"/>
                <w:noProof/>
                <w:szCs w:val="20"/>
              </w:rPr>
            </w:pPr>
            <w:r>
              <w:rPr>
                <w:rFonts w:eastAsia="Times New Roman"/>
                <w:noProof/>
                <w:szCs w:val="20"/>
              </w:rPr>
              <w:t>–</w:t>
            </w:r>
          </w:p>
        </w:tc>
        <w:tc>
          <w:tcPr>
            <w:tcW w:w="4674" w:type="dxa"/>
            <w:tcBorders>
              <w:top w:val="nil"/>
              <w:bottom w:val="nil"/>
              <w:right w:val="nil"/>
            </w:tcBorders>
          </w:tcPr>
          <w:p>
            <w:pPr>
              <w:rPr>
                <w:rFonts w:eastAsia="Times New Roman"/>
                <w:noProof/>
                <w:szCs w:val="20"/>
              </w:rPr>
            </w:pPr>
            <w:r>
              <w:rPr>
                <w:rFonts w:eastAsia="Times New Roman"/>
                <w:noProof/>
                <w:szCs w:val="20"/>
                <w:lang w:val="fr-BE"/>
              </w:rPr>
              <w:t>Article 12</w:t>
            </w:r>
          </w:p>
        </w:tc>
      </w:tr>
      <w:tr>
        <w:tc>
          <w:tcPr>
            <w:tcW w:w="4674" w:type="dxa"/>
            <w:tcBorders>
              <w:top w:val="nil"/>
              <w:left w:val="nil"/>
              <w:bottom w:val="nil"/>
            </w:tcBorders>
          </w:tcPr>
          <w:p>
            <w:pPr>
              <w:rPr>
                <w:rFonts w:eastAsia="Times New Roman"/>
                <w:noProof/>
                <w:szCs w:val="20"/>
                <w:lang w:val="fr-BE"/>
              </w:rPr>
            </w:pPr>
            <w:r>
              <w:rPr>
                <w:rFonts w:eastAsia="Times New Roman"/>
                <w:noProof/>
                <w:szCs w:val="20"/>
                <w:lang w:val="fr-BE"/>
              </w:rPr>
              <w:t>Article 13</w:t>
            </w:r>
          </w:p>
        </w:tc>
        <w:tc>
          <w:tcPr>
            <w:tcW w:w="4674" w:type="dxa"/>
            <w:tcBorders>
              <w:top w:val="nil"/>
              <w:bottom w:val="nil"/>
              <w:right w:val="nil"/>
            </w:tcBorders>
          </w:tcPr>
          <w:p>
            <w:pPr>
              <w:rPr>
                <w:rFonts w:eastAsia="Times New Roman"/>
                <w:noProof/>
                <w:szCs w:val="20"/>
                <w:lang w:val="fr-BE"/>
              </w:rPr>
            </w:pPr>
            <w:r>
              <w:rPr>
                <w:rFonts w:eastAsia="Times New Roman"/>
                <w:noProof/>
                <w:szCs w:val="20"/>
                <w:lang w:val="fr-BE"/>
              </w:rPr>
              <w:t>Article 13</w:t>
            </w:r>
          </w:p>
        </w:tc>
      </w:tr>
      <w:tr>
        <w:tc>
          <w:tcPr>
            <w:tcW w:w="4674" w:type="dxa"/>
            <w:tcBorders>
              <w:top w:val="nil"/>
              <w:left w:val="nil"/>
              <w:bottom w:val="nil"/>
            </w:tcBorders>
          </w:tcPr>
          <w:p>
            <w:pPr>
              <w:rPr>
                <w:rFonts w:eastAsia="Times New Roman"/>
                <w:noProof/>
                <w:szCs w:val="20"/>
              </w:rPr>
            </w:pPr>
            <w:r>
              <w:rPr>
                <w:rFonts w:eastAsia="Times New Roman"/>
                <w:noProof/>
                <w:szCs w:val="20"/>
              </w:rPr>
              <w:t>Annex A</w:t>
            </w:r>
          </w:p>
        </w:tc>
        <w:tc>
          <w:tcPr>
            <w:tcW w:w="4674" w:type="dxa"/>
            <w:tcBorders>
              <w:top w:val="nil"/>
              <w:bottom w:val="nil"/>
              <w:right w:val="nil"/>
            </w:tcBorders>
          </w:tcPr>
          <w:p>
            <w:pPr>
              <w:rPr>
                <w:rFonts w:eastAsia="Times New Roman"/>
                <w:noProof/>
                <w:szCs w:val="20"/>
              </w:rPr>
            </w:pPr>
            <w:r>
              <w:rPr>
                <w:rFonts w:eastAsia="Times New Roman"/>
                <w:noProof/>
                <w:szCs w:val="20"/>
              </w:rPr>
              <w:t>Annex I</w:t>
            </w:r>
          </w:p>
        </w:tc>
      </w:tr>
      <w:tr>
        <w:tc>
          <w:tcPr>
            <w:tcW w:w="4674" w:type="dxa"/>
            <w:tcBorders>
              <w:top w:val="nil"/>
              <w:left w:val="nil"/>
              <w:bottom w:val="nil"/>
            </w:tcBorders>
          </w:tcPr>
          <w:p>
            <w:pPr>
              <w:rPr>
                <w:rFonts w:eastAsia="Times New Roman"/>
                <w:noProof/>
                <w:szCs w:val="20"/>
              </w:rPr>
            </w:pPr>
            <w:r>
              <w:rPr>
                <w:rFonts w:eastAsia="Times New Roman"/>
                <w:noProof/>
                <w:szCs w:val="20"/>
              </w:rPr>
              <w:t>Annex C</w:t>
            </w:r>
          </w:p>
        </w:tc>
        <w:tc>
          <w:tcPr>
            <w:tcW w:w="4674" w:type="dxa"/>
            <w:tcBorders>
              <w:top w:val="nil"/>
              <w:bottom w:val="nil"/>
              <w:right w:val="nil"/>
            </w:tcBorders>
          </w:tcPr>
          <w:p>
            <w:pPr>
              <w:rPr>
                <w:rFonts w:eastAsia="Times New Roman"/>
                <w:noProof/>
                <w:szCs w:val="20"/>
              </w:rPr>
            </w:pPr>
            <w:r>
              <w:rPr>
                <w:rFonts w:eastAsia="Times New Roman"/>
                <w:noProof/>
                <w:szCs w:val="20"/>
              </w:rPr>
              <w:t>Annex II</w:t>
            </w:r>
          </w:p>
        </w:tc>
      </w:tr>
      <w:tr>
        <w:tc>
          <w:tcPr>
            <w:tcW w:w="4674" w:type="dxa"/>
            <w:tcBorders>
              <w:top w:val="nil"/>
              <w:left w:val="nil"/>
              <w:bottom w:val="nil"/>
            </w:tcBorders>
          </w:tcPr>
          <w:p>
            <w:pPr>
              <w:rPr>
                <w:rFonts w:eastAsia="Times New Roman"/>
                <w:noProof/>
                <w:szCs w:val="20"/>
              </w:rPr>
            </w:pPr>
            <w:r>
              <w:rPr>
                <w:rFonts w:eastAsia="Times New Roman"/>
                <w:noProof/>
                <w:szCs w:val="20"/>
              </w:rPr>
              <w:t>Annex E</w:t>
            </w:r>
          </w:p>
        </w:tc>
        <w:tc>
          <w:tcPr>
            <w:tcW w:w="4674" w:type="dxa"/>
            <w:tcBorders>
              <w:top w:val="nil"/>
              <w:bottom w:val="nil"/>
              <w:right w:val="nil"/>
            </w:tcBorders>
          </w:tcPr>
          <w:p>
            <w:pPr>
              <w:rPr>
                <w:rFonts w:eastAsia="Times New Roman"/>
                <w:noProof/>
                <w:szCs w:val="20"/>
              </w:rPr>
            </w:pPr>
            <w:r>
              <w:rPr>
                <w:rFonts w:eastAsia="Times New Roman"/>
                <w:noProof/>
                <w:szCs w:val="20"/>
              </w:rPr>
              <w:t>Annex III</w:t>
            </w:r>
          </w:p>
        </w:tc>
      </w:tr>
      <w:tr>
        <w:tc>
          <w:tcPr>
            <w:tcW w:w="4674" w:type="dxa"/>
            <w:tcBorders>
              <w:top w:val="nil"/>
              <w:left w:val="nil"/>
              <w:bottom w:val="nil"/>
            </w:tcBorders>
          </w:tcPr>
          <w:p>
            <w:pPr>
              <w:rPr>
                <w:rFonts w:eastAsia="Times New Roman"/>
                <w:noProof/>
                <w:szCs w:val="20"/>
              </w:rPr>
            </w:pPr>
            <w:r>
              <w:rPr>
                <w:rFonts w:eastAsia="Times New Roman"/>
                <w:noProof/>
                <w:szCs w:val="20"/>
              </w:rPr>
              <w:t>Annex F</w:t>
            </w:r>
          </w:p>
        </w:tc>
        <w:tc>
          <w:tcPr>
            <w:tcW w:w="4674" w:type="dxa"/>
            <w:tcBorders>
              <w:top w:val="nil"/>
              <w:bottom w:val="nil"/>
              <w:right w:val="nil"/>
            </w:tcBorders>
          </w:tcPr>
          <w:p>
            <w:pPr>
              <w:rPr>
                <w:rFonts w:eastAsia="Times New Roman"/>
                <w:noProof/>
                <w:szCs w:val="20"/>
              </w:rPr>
            </w:pPr>
            <w:r>
              <w:rPr>
                <w:rFonts w:eastAsia="Times New Roman"/>
                <w:noProof/>
                <w:szCs w:val="20"/>
              </w:rPr>
              <w:t>Annex IV</w:t>
            </w:r>
          </w:p>
        </w:tc>
      </w:tr>
      <w:tr>
        <w:tc>
          <w:tcPr>
            <w:tcW w:w="4674" w:type="dxa"/>
            <w:tcBorders>
              <w:top w:val="nil"/>
              <w:left w:val="nil"/>
              <w:bottom w:val="nil"/>
            </w:tcBorders>
          </w:tcPr>
          <w:p>
            <w:pPr>
              <w:rPr>
                <w:rFonts w:eastAsia="Times New Roman"/>
                <w:noProof/>
                <w:szCs w:val="20"/>
              </w:rPr>
            </w:pPr>
            <w:r>
              <w:rPr>
                <w:rFonts w:eastAsia="Times New Roman"/>
                <w:noProof/>
                <w:szCs w:val="20"/>
              </w:rPr>
              <w:t>Annex G</w:t>
            </w:r>
          </w:p>
        </w:tc>
        <w:tc>
          <w:tcPr>
            <w:tcW w:w="4674" w:type="dxa"/>
            <w:tcBorders>
              <w:top w:val="nil"/>
              <w:bottom w:val="nil"/>
              <w:right w:val="nil"/>
            </w:tcBorders>
          </w:tcPr>
          <w:p>
            <w:pPr>
              <w:rPr>
                <w:rFonts w:eastAsia="Times New Roman"/>
                <w:noProof/>
                <w:szCs w:val="20"/>
              </w:rPr>
            </w:pPr>
            <w:r>
              <w:rPr>
                <w:rFonts w:eastAsia="Times New Roman"/>
                <w:noProof/>
                <w:szCs w:val="20"/>
              </w:rPr>
              <w:t>Annex V</w:t>
            </w:r>
          </w:p>
        </w:tc>
      </w:tr>
      <w:tr>
        <w:tc>
          <w:tcPr>
            <w:tcW w:w="4674" w:type="dxa"/>
            <w:tcBorders>
              <w:top w:val="nil"/>
              <w:left w:val="nil"/>
              <w:bottom w:val="nil"/>
            </w:tcBorders>
          </w:tcPr>
          <w:p>
            <w:pPr>
              <w:rPr>
                <w:rFonts w:eastAsia="Times New Roman"/>
                <w:noProof/>
                <w:szCs w:val="20"/>
              </w:rPr>
            </w:pPr>
            <w:r>
              <w:rPr>
                <w:rFonts w:eastAsia="Times New Roman"/>
                <w:noProof/>
                <w:szCs w:val="20"/>
              </w:rPr>
              <w:t>Annex J</w:t>
            </w:r>
          </w:p>
        </w:tc>
        <w:tc>
          <w:tcPr>
            <w:tcW w:w="4674" w:type="dxa"/>
            <w:tcBorders>
              <w:top w:val="nil"/>
              <w:bottom w:val="nil"/>
              <w:right w:val="nil"/>
            </w:tcBorders>
          </w:tcPr>
          <w:p>
            <w:pPr>
              <w:rPr>
                <w:rFonts w:eastAsia="Times New Roman"/>
                <w:noProof/>
                <w:szCs w:val="20"/>
              </w:rPr>
            </w:pPr>
            <w:r>
              <w:rPr>
                <w:rFonts w:eastAsia="Times New Roman"/>
                <w:noProof/>
                <w:szCs w:val="20"/>
              </w:rPr>
              <w:t>Annex VI</w:t>
            </w:r>
          </w:p>
        </w:tc>
      </w:tr>
      <w:tr>
        <w:tc>
          <w:tcPr>
            <w:tcW w:w="4674" w:type="dxa"/>
            <w:tcBorders>
              <w:top w:val="nil"/>
              <w:left w:val="nil"/>
              <w:bottom w:val="nil"/>
            </w:tcBorders>
          </w:tcPr>
          <w:p>
            <w:pPr>
              <w:rPr>
                <w:rFonts w:eastAsia="Times New Roman"/>
                <w:noProof/>
                <w:szCs w:val="20"/>
              </w:rPr>
            </w:pPr>
            <w:r>
              <w:rPr>
                <w:rFonts w:eastAsia="Times New Roman"/>
                <w:noProof/>
                <w:szCs w:val="20"/>
              </w:rPr>
              <w:t>Annex K</w:t>
            </w:r>
          </w:p>
        </w:tc>
        <w:tc>
          <w:tcPr>
            <w:tcW w:w="4674" w:type="dxa"/>
            <w:tcBorders>
              <w:top w:val="nil"/>
              <w:bottom w:val="nil"/>
              <w:right w:val="nil"/>
            </w:tcBorders>
          </w:tcPr>
          <w:p>
            <w:pPr>
              <w:rPr>
                <w:rFonts w:eastAsia="Times New Roman"/>
                <w:noProof/>
                <w:szCs w:val="20"/>
              </w:rPr>
            </w:pPr>
            <w:r>
              <w:rPr>
                <w:rFonts w:eastAsia="Times New Roman"/>
                <w:noProof/>
                <w:szCs w:val="20"/>
              </w:rPr>
              <w:t>Annex VII</w:t>
            </w:r>
          </w:p>
        </w:tc>
      </w:tr>
      <w:tr>
        <w:tc>
          <w:tcPr>
            <w:tcW w:w="4674" w:type="dxa"/>
            <w:tcBorders>
              <w:top w:val="nil"/>
              <w:left w:val="nil"/>
              <w:bottom w:val="nil"/>
            </w:tcBorders>
          </w:tcPr>
          <w:p>
            <w:pPr>
              <w:rPr>
                <w:rFonts w:eastAsia="Times New Roman"/>
                <w:noProof/>
                <w:szCs w:val="20"/>
              </w:rPr>
            </w:pPr>
            <w:r>
              <w:rPr>
                <w:rFonts w:eastAsia="Times New Roman"/>
                <w:noProof/>
                <w:szCs w:val="20"/>
              </w:rPr>
              <w:t>Annex L</w:t>
            </w:r>
          </w:p>
        </w:tc>
        <w:tc>
          <w:tcPr>
            <w:tcW w:w="4674" w:type="dxa"/>
            <w:tcBorders>
              <w:top w:val="nil"/>
              <w:bottom w:val="nil"/>
              <w:right w:val="nil"/>
            </w:tcBorders>
          </w:tcPr>
          <w:p>
            <w:pPr>
              <w:rPr>
                <w:rFonts w:eastAsia="Times New Roman"/>
                <w:noProof/>
                <w:szCs w:val="20"/>
              </w:rPr>
            </w:pPr>
            <w:r>
              <w:rPr>
                <w:rFonts w:eastAsia="Times New Roman"/>
                <w:noProof/>
                <w:szCs w:val="20"/>
              </w:rPr>
              <w:t>Annex VIII</w:t>
            </w:r>
          </w:p>
        </w:tc>
      </w:tr>
      <w:tr>
        <w:tc>
          <w:tcPr>
            <w:tcW w:w="4674" w:type="dxa"/>
            <w:tcBorders>
              <w:top w:val="nil"/>
              <w:left w:val="nil"/>
              <w:bottom w:val="nil"/>
            </w:tcBorders>
          </w:tcPr>
          <w:p>
            <w:pPr>
              <w:rPr>
                <w:rFonts w:eastAsia="Times New Roman"/>
                <w:noProof/>
                <w:szCs w:val="20"/>
              </w:rPr>
            </w:pPr>
            <w:r>
              <w:rPr>
                <w:rFonts w:eastAsia="Times New Roman"/>
                <w:noProof/>
                <w:szCs w:val="20"/>
              </w:rPr>
              <w:t>–</w:t>
            </w:r>
          </w:p>
        </w:tc>
        <w:tc>
          <w:tcPr>
            <w:tcW w:w="4674" w:type="dxa"/>
            <w:tcBorders>
              <w:top w:val="nil"/>
              <w:bottom w:val="nil"/>
              <w:right w:val="nil"/>
            </w:tcBorders>
          </w:tcPr>
          <w:p>
            <w:pPr>
              <w:rPr>
                <w:rFonts w:eastAsia="Times New Roman"/>
                <w:noProof/>
                <w:szCs w:val="20"/>
              </w:rPr>
            </w:pPr>
            <w:r>
              <w:rPr>
                <w:rFonts w:eastAsia="Times New Roman"/>
                <w:noProof/>
                <w:szCs w:val="20"/>
              </w:rPr>
              <w:t>Annex IX</w:t>
            </w:r>
          </w:p>
        </w:tc>
      </w:tr>
      <w:tr>
        <w:tc>
          <w:tcPr>
            <w:tcW w:w="4674" w:type="dxa"/>
            <w:tcBorders>
              <w:top w:val="nil"/>
              <w:left w:val="nil"/>
              <w:bottom w:val="nil"/>
            </w:tcBorders>
          </w:tcPr>
          <w:p>
            <w:pPr>
              <w:rPr>
                <w:rFonts w:eastAsia="Times New Roman"/>
                <w:noProof/>
                <w:szCs w:val="20"/>
              </w:rPr>
            </w:pPr>
            <w:r>
              <w:rPr>
                <w:rFonts w:eastAsia="Times New Roman"/>
                <w:noProof/>
                <w:szCs w:val="20"/>
              </w:rPr>
              <w:t>–</w:t>
            </w:r>
          </w:p>
        </w:tc>
        <w:tc>
          <w:tcPr>
            <w:tcW w:w="4674" w:type="dxa"/>
            <w:tcBorders>
              <w:top w:val="nil"/>
              <w:bottom w:val="nil"/>
              <w:right w:val="nil"/>
            </w:tcBorders>
          </w:tcPr>
          <w:p>
            <w:pPr>
              <w:rPr>
                <w:rFonts w:eastAsia="Times New Roman"/>
                <w:noProof/>
                <w:szCs w:val="20"/>
              </w:rPr>
            </w:pPr>
            <w:r>
              <w:rPr>
                <w:rFonts w:eastAsia="Times New Roman"/>
                <w:noProof/>
                <w:szCs w:val="20"/>
              </w:rPr>
              <w:t>Annex X</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2008/68/EC of the European Parliament and of the Council of 24 September 2008 on the inland transport of dangerous goods (OJ L 260, 30.9.2008,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B613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92D2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20F7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7A0B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5816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805E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6C2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03D679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91/2003"/>
    <w:docVar w:name="CR_RefCount" w:val="1"/>
    <w:docVar w:name="CR_RefLast" w:val="4"/>
    <w:docVar w:name="CR_TimeStamp" w:val="15:44:22"/>
    <w:docVar w:name="DQCStatus" w:val="Red"/>
    <w:docVar w:name="DQCVersion" w:val="3"/>
    <w:docVar w:name="LW_ACCOMPAGNANT" w:val="to the"/>
    <w:docVar w:name="LW_ACCOMPAGNANT.CP" w:val="to the"/>
    <w:docVar w:name="LW_ANNEX_NBR_FIRST" w:val="1"/>
    <w:docVar w:name="LW_ANNEX_NBR_LAST" w:val="10"/>
    <w:docVar w:name="LW_CONFIDENCE" w:val=" "/>
    <w:docVar w:name="LW_CONST_RESTREINT_UE" w:val="RESTREINT UE"/>
    <w:docVar w:name="LW_CORRIGENDUM" w:val="&lt;UNUSED&gt;"/>
    <w:docVar w:name="LW_COVERPAGE_GUID" w:val="512A8DCA441C47D5A3146F50259FB23D"/>
    <w:docVar w:name="LW_CROSSREFERENCE" w:val="&lt;UNUSED&gt;"/>
    <w:docVar w:name="LW_DocType" w:val="ANNEX"/>
    <w:docVar w:name="LW_EMISSION" w:val="30.6.2017"/>
    <w:docVar w:name="LW_EMISSION_ISODATE" w:val="2017-06-3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rail transport statistics (recast)_x000b_"/>
    <w:docVar w:name="LW_OBJETACTEPRINCIPAL.CP" w:val="on rail transport statistics (recast)_x000b_"/>
    <w:docVar w:name="LW_PART_NBR" w:val="&lt;UNUSED&gt;"/>
    <w:docVar w:name="LW_PART_NBR_TOTAL" w:val="&lt;UNUSED&gt;"/>
    <w:docVar w:name="LW_REF.INST.NEW" w:val="COM"/>
    <w:docVar w:name="LW_REF.INST.NEW_ADOPTED" w:val="final"/>
    <w:docVar w:name="LW_REF.INST.NEW_TEXT" w:val="(2017) 353"/>
    <w:docVar w:name="LW_REF.INTERNE" w:val="&lt;UNUSED&gt;"/>
    <w:docVar w:name="LW_SUPERTITRE" w:val="&lt;UNUSED&gt;"/>
    <w:docVar w:name="LW_TITRE.OBJ.CP" w:val="&lt;UNUSED&gt;"/>
    <w:docVar w:name="LW_TYPE.DOC" w:val="ANNEXES"/>
    <w:docVar w:name="LW_TYPE.DOC.CP" w:val="ANNEXES"/>
    <w:docVar w:name="LW_TYPEACTEPRINCIPAL" w:val="Proposal for a_x000b__x000b_REGULATION OF THE EUROPEAN PARLIAMENT AND OF THE COUNCIL"/>
    <w:docVar w:name="LW_TYPEACTEPRINCIPAL.CP" w:val="Proposal for a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MinorChangeAdded">
    <w:name w:val="CR Minor Change Added"/>
    <w:rPr>
      <w:noProof w:val="0"/>
      <w:u w:val="double"/>
    </w:rPr>
  </w:style>
  <w:style w:type="character" w:customStyle="1" w:styleId="CRMinorChangeDeleted">
    <w:name w:val="CR Minor Change Deleted"/>
    <w:rPr>
      <w:strike w:val="0"/>
      <w:dstrike/>
      <w:noProof w:val="0"/>
      <w:u w:val="doub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lea">
    <w:name w:val="Clea"/>
    <w:basedOn w:val="NormalLeft"/>
  </w:style>
  <w:style w:type="paragraph" w:customStyle="1" w:styleId="Clear">
    <w:name w:val="Clear"/>
    <w:basedOn w:val="Clea"/>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MinorChangeAdded">
    <w:name w:val="CR Minor Change Added"/>
    <w:rPr>
      <w:noProof w:val="0"/>
      <w:u w:val="double"/>
    </w:rPr>
  </w:style>
  <w:style w:type="character" w:customStyle="1" w:styleId="CRMinorChangeDeleted">
    <w:name w:val="CR Minor Change Deleted"/>
    <w:rPr>
      <w:strike w:val="0"/>
      <w:dstrike/>
      <w:noProof w:val="0"/>
      <w:u w:val="doub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lea">
    <w:name w:val="Clea"/>
    <w:basedOn w:val="NormalLeft"/>
  </w:style>
  <w:style w:type="paragraph" w:customStyle="1" w:styleId="Clear">
    <w:name w:val="Clear"/>
    <w:basedOn w:val="Clea"/>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ED40-C109-4AC7-B97E-0F914AE4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1808</Words>
  <Characters>9932</Characters>
  <Application>Microsoft Office Word</Application>
  <DocSecurity>0</DocSecurity>
  <Lines>472</Lines>
  <Paragraphs>391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TUOMINEN Seija (SJ)</dc:creator>
  <cp:lastModifiedBy>DIGIT/A3</cp:lastModifiedBy>
  <cp:revision>6</cp:revision>
  <cp:lastPrinted>2017-06-08T12:38:00Z</cp:lastPrinted>
  <dcterms:created xsi:type="dcterms:W3CDTF">2017-06-08T12:39:00Z</dcterms:created>
  <dcterms:modified xsi:type="dcterms:W3CDTF">2017-06-23T14:56:00Z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10</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Red (DQC version 03)</vt:lpwstr>
  </property>
  <property fmtid="{D5CDD505-2E9C-101B-9397-08002B2CF9AE}" pid="15" name="LWCR IsRefonte">
    <vt:lpwstr>False</vt:lpwstr>
  </property>
  <property fmtid="{D5CDD505-2E9C-101B-9397-08002B2CF9AE}" pid="16" name="_AdHocReviewCycleID">
    <vt:i4>1063713120</vt:i4>
  </property>
  <property fmtid="{D5CDD505-2E9C-101B-9397-08002B2CF9AE}" pid="17" name="_NewReviewCycle">
    <vt:lpwstr/>
  </property>
  <property fmtid="{D5CDD505-2E9C-101B-9397-08002B2CF9AE}" pid="18" name="_EmailSubject">
    <vt:lpwstr>written procedure technical recast 2003R0091</vt:lpwstr>
  </property>
  <property fmtid="{D5CDD505-2E9C-101B-9397-08002B2CF9AE}" pid="19" name="_AuthorEmail">
    <vt:lpwstr>Silviu-Bogdan.ILIESCU@ec.europa.eu</vt:lpwstr>
  </property>
  <property fmtid="{D5CDD505-2E9C-101B-9397-08002B2CF9AE}" pid="20" name="_AuthorEmailDisplayName">
    <vt:lpwstr>ILIESCU Silviu Bogdan (SJ)</vt:lpwstr>
  </property>
  <property fmtid="{D5CDD505-2E9C-101B-9397-08002B2CF9AE}" pid="21" name="_ReviewingToolsShownOnce">
    <vt:lpwstr/>
  </property>
</Properties>
</file>