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D9257DCC5D845A0B7027725F0F1D2CD" style="width:450.75pt;height:348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80"/>
          <w:szCs w:val="8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80"/>
        </w:rPr>
        <w:lastRenderedPageBreak/>
        <w:t>ДОКУМЕНТИ</w:t>
      </w: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1800"/>
                <w:tab w:val="left" w:pos="2250"/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</w:tbl>
    <w:p>
      <w:pPr>
        <w:spacing w:after="0" w:line="240" w:lineRule="auto"/>
        <w:ind w:right="972"/>
        <w:rPr>
          <w:rFonts w:ascii="Times New Roman" w:eastAsia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4"/>
        </w:rPr>
        <w:t>ПРОЕКТ на общ бюджет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на Европейския съюз</w:t>
      </w:r>
      <w:r>
        <w:rPr>
          <w:rFonts w:ascii="Times New Roman" w:eastAsia="Times New Roman" w:hAnsi="Times New Roman"/>
          <w:b/>
          <w:noProof/>
          <w:sz w:val="44"/>
          <w:szCs w:val="44"/>
        </w:rPr>
        <w:br/>
      </w:r>
      <w:r>
        <w:rPr>
          <w:rFonts w:ascii="Times New Roman" w:hAnsi="Times New Roman"/>
          <w:b/>
          <w:noProof/>
          <w:sz w:val="44"/>
        </w:rPr>
        <w:t>за 2018 финансова година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jc w:val="both"/>
        <w:rPr>
          <w:rFonts w:ascii="Times New Roman" w:eastAsia="Times New Roman" w:hAnsi="Times New Roman"/>
          <w:b/>
          <w:noProof/>
          <w:sz w:val="44"/>
          <w:szCs w:val="44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Общо въведение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Общ разчет за приходната част на бюджета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Общ разчет за приходната и разходната част на бюджета по раздели: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1: Европейски парламент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Раздел 2: Eвропейски съвет и Съвет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3: Комисия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Раздел 4: Съд на Европейския съюз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5: Сметна палата</w:t>
      </w:r>
    </w:p>
    <w:p>
      <w:pPr>
        <w:spacing w:after="0" w:line="360" w:lineRule="auto"/>
        <w:ind w:right="1134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Раздел 6: Европейски икономически и социален комитет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7: Комитет на регионите</w:t>
      </w:r>
    </w:p>
    <w:p>
      <w:pPr>
        <w:spacing w:after="0" w:line="360" w:lineRule="auto"/>
        <w:ind w:right="1512" w:firstLine="708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</w:rPr>
        <w:t>— Раздел 8: Европейски омбудсман</w:t>
      </w:r>
    </w:p>
    <w:p>
      <w:pPr>
        <w:spacing w:after="0" w:line="360" w:lineRule="auto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9: Европейски надзорен орган по защита на данните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8"/>
        </w:rPr>
        <w:t>— Раздел 10: Европейска служба за външна дейност</w:t>
      </w: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8"/>
          <w:szCs w:val="28"/>
        </w:rPr>
      </w:pPr>
    </w:p>
    <w:p>
      <w:pPr>
        <w:spacing w:after="0" w:line="360" w:lineRule="auto"/>
        <w:ind w:right="1512"/>
        <w:jc w:val="both"/>
        <w:rPr>
          <w:rFonts w:ascii="Times New Roman" w:eastAsia="Times New Roman" w:hAnsi="Times New Roman"/>
          <w:noProof/>
          <w:sz w:val="24"/>
          <w:szCs w:val="24"/>
        </w:rPr>
      </w:pPr>
      <w:hyperlink r:id="rId14" w:history="1">
        <w:r>
          <w:rPr>
            <w:rStyle w:val="Hyperlink"/>
            <w:rFonts w:ascii="Times New Roman" w:hAnsi="Times New Roman"/>
            <w:noProof/>
            <w:sz w:val="24"/>
          </w:rPr>
          <w:t>http://eur-lex.europa.eu/budget/www/index-bg.htm</w:t>
        </w:r>
      </w:hyperlink>
    </w:p>
    <w:p>
      <w:pPr>
        <w:tabs>
          <w:tab w:val="left" w:pos="7560"/>
          <w:tab w:val="right" w:pos="9000"/>
        </w:tabs>
        <w:spacing w:after="0" w:line="240" w:lineRule="auto"/>
        <w:ind w:right="23"/>
        <w:jc w:val="right"/>
        <w:rPr>
          <w:rFonts w:ascii="Times New Roman" w:eastAsia="Times New Roman" w:hAnsi="Times New Roman"/>
          <w:noProof/>
        </w:rPr>
      </w:pPr>
    </w:p>
    <w:tbl>
      <w:tblPr>
        <w:tblW w:w="110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1040"/>
      </w:tblGrid>
      <w:tr>
        <w:tc>
          <w:tcPr>
            <w:tcW w:w="11040" w:type="dxa"/>
            <w:shd w:val="clear" w:color="auto" w:fill="0000FF"/>
          </w:tcPr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  <w:p>
            <w:pPr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32"/>
                <w:szCs w:val="32"/>
              </w:rPr>
            </w:pP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4D9257DCC5D845A0B7027725F0F1D2CD"/>
    <w:docVar w:name="LW_CROSSREFERENCE" w:val="&lt;UNUSED&gt;"/>
    <w:docVar w:name="LW_DocType" w:val="NORMAL"/>
    <w:docVar w:name="LW_EMISSION" w:val="29.6.2017"/>
    <w:docVar w:name="LW_EMISSION_ISODATE" w:val="2017-06-29"/>
    <w:docVar w:name="LW_EMISSION_LOCATION" w:val="BRX"/>
    <w:docVar w:name="LW_EMISSION_PREFIX" w:val="Брюксел, "/>
    <w:docVar w:name="LW_EMISSION_SUFFIX" w:val=" \u1075?."/>
    <w:docVar w:name="LW_ID_DOCTYPE_NONLW" w:val="CP-035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400"/>
    <w:docVar w:name="LW_REF.INTERNE" w:val="&lt;UNUSED&gt;"/>
    <w:docVar w:name="LW_SOUS.TITRE.OBJ.CP" w:val="&lt;UNUSED&gt;"/>
    <w:docVar w:name="LW_SUPERTITRE" w:val="&lt;UNUSED&gt;"/>
    <w:docVar w:name="LW_TITRE.OBJ.CP" w:val="- \u1054?\u1073?\u1097?\u1086? \u1074?\u1098?\u1074?\u1077?\u1076?\u1077?\u1085?\u1080?\u1077?_x000b_- \u1054?\u1073?\u1097? \u1088?\u1072?\u1079?\u1095?\u1077?\u1090? \u1079?\u1072? \u1087?\u1088?\u1080?\u1093?\u1086?\u1076?\u1085?\u1072?\u1090?\u1072? \u1095?\u1072?\u1089?\u1090? \u1085?\u1072? \u1073?\u1102?\u1076?\u1078?\u1077?\u1090?\u1072?_x000b_- \u1054?\u1073?\u1097? \u1088?\u1072?\u1079?\u1095?\u1077?\u1090? \u1079?\u1072? \u1087?\u1088?\u1080?\u1093?\u1086?\u1076?\u1085?\u1072?\u1090?\u1072? \u1080? \u1088?\u1072?\u1079?\u1093?\u1086?\u1076?\u1085?\u1072?\u1090?\u1072? \u1095?\u1072?\u1089?\u1090? \u1085?\u1072? \u1073?\u1102?\u1076?\u1078?\u1077?\u1090?\u1072? \u1087?\u1086? \u1088?\u1072?\u1079?\u1076?\u1077?\u1083?\u1080?"/>
    <w:docVar w:name="LW_TYPE.DOC.CP" w:val="\u1055?\u1056?\u1054?\u1045?\u1050?\u1058? \u1085?\u1072? \u1086?\u1073?\u1097? \u1073?\u1102?\u1076?\u1078?\u1077?\u1090?_x000b_\u1085?\u1072? \u1045?\u1074?\u1088?\u1086?\u1087?\u1077?\u1081?\u1089?\u1082?\u1080?\u1103? \u1089?\u1098?\u1102?\u1079?_x000b_\u1079?\u1072? 2018 \u1092?\u1080?\u1085?\u1072?\u1085?\u1089?\u1086?\u1074?\u1072? \u1075?\u1086?\u1076?\u1080?\u1085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  <w:szCs w:val="20"/>
    </w:rPr>
  </w:style>
  <w:style w:type="character" w:customStyle="1" w:styleId="FooterCoverPageChar">
    <w:name w:val="Footer Cover Page Char"/>
    <w:link w:val="FooterCoverPage"/>
    <w:rPr>
      <w:rFonts w:ascii="Times New Roman" w:hAnsi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HeaderCoverPageChar">
    <w:name w:val="Header Cover Page Char"/>
    <w:link w:val="HeaderCoverPag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eur-lex.europa.eu/budget/www/index-bg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102</Words>
  <Characters>621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702</CharactersWithSpaces>
  <SharedDoc>false</SharedDoc>
  <HLinks>
    <vt:vector size="6" baseType="variant">
      <vt:variant>
        <vt:i4>5046279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http://eur-lex.europa.eu/budget/www/index-en.htm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cp:lastPrinted>2014-05-21T15:05:00Z</cp:lastPrinted>
  <dcterms:created xsi:type="dcterms:W3CDTF">2017-05-30T12:55:00Z</dcterms:created>
  <dcterms:modified xsi:type="dcterms:W3CDTF">2017-06-29T13:58:00Z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ocStatus">
    <vt:lpwstr>Green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</Properties>
</file>