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F1470754AF7488E858C210E9D7D772B" style="width:450.75pt;height:379.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97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 xml:space="preserve">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 </w:t>
      </w:r>
    </w:p>
    <w:p>
      <w:pPr>
        <w:pBdr>
          <w:top w:val="nil"/>
          <w:left w:val="nil"/>
          <w:bottom w:val="nil"/>
          <w:right w:val="nil"/>
          <w:between w:val="nil"/>
          <w:bar w:val="nil"/>
        </w:pBdr>
        <w:spacing w:before="0" w:after="240"/>
        <w:rPr>
          <w:rFonts w:eastAsia="Arial Unicode MS"/>
          <w:bCs/>
          <w:noProof/>
        </w:rPr>
      </w:pPr>
      <w:r>
        <w:rPr>
          <w:noProof/>
        </w:rPr>
        <w:t>La Géorgie a déposé l’instrument d’adhésion à la convention de 1980 le 24 juillet 1997. La convention est entrée en vigueur en Géorgie le 1</w:t>
      </w:r>
      <w:r>
        <w:rPr>
          <w:noProof/>
          <w:vertAlign w:val="superscript"/>
        </w:rPr>
        <w:t xml:space="preserve">er </w:t>
      </w:r>
      <w:r>
        <w:rPr>
          <w:noProof/>
        </w:rPr>
        <w:t xml:space="preserve">octobre 1997.  </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la Géorgie et 25 États membres de l’UE. Seuls le Luxembourg, le Danemark et la Roumanie n’ont pas encore accepté l’adhésion de la Géorgie à la convention.</w:t>
      </w:r>
    </w:p>
    <w:p>
      <w:pPr>
        <w:pBdr>
          <w:top w:val="nil"/>
          <w:left w:val="nil"/>
          <w:bottom w:val="nil"/>
          <w:right w:val="nil"/>
          <w:between w:val="nil"/>
          <w:bar w:val="nil"/>
        </w:pBdr>
        <w:spacing w:before="0" w:after="240"/>
        <w:rPr>
          <w:rFonts w:eastAsia="Arial Unicode MS"/>
          <w:bCs/>
          <w:noProof/>
        </w:rPr>
      </w:pPr>
      <w:r>
        <w:rPr>
          <w:noProof/>
        </w:rPr>
        <w:t>L’Afrique du sud a déposé l’instrument d’adhésion à la convention de 1980 le 8 juillet 1997. La convention est entrée en vigueur en Afrique du Sud le 1</w:t>
      </w:r>
      <w:r>
        <w:rPr>
          <w:noProof/>
          <w:vertAlign w:val="superscript"/>
        </w:rPr>
        <w:t xml:space="preserve">er </w:t>
      </w:r>
      <w:r>
        <w:rPr>
          <w:noProof/>
        </w:rPr>
        <w:t xml:space="preserve">octobre 1997.  </w:t>
      </w:r>
    </w:p>
    <w:p>
      <w:pPr>
        <w:pBdr>
          <w:top w:val="nil"/>
          <w:left w:val="nil"/>
          <w:bottom w:val="nil"/>
          <w:right w:val="nil"/>
          <w:between w:val="nil"/>
          <w:bar w:val="nil"/>
        </w:pBdr>
        <w:spacing w:before="0" w:after="240"/>
        <w:rPr>
          <w:rFonts w:eastAsia="Arial Unicode MS"/>
          <w:bCs/>
          <w:noProof/>
        </w:rPr>
      </w:pPr>
      <w:r>
        <w:rPr>
          <w:noProof/>
        </w:rPr>
        <w:t>La convention de 1980 est en vigueur entre l’Afrique du Sud et 26 États membres. Seuls le Luxembourg et la Roumanie n’ont pas encore accepté l’adhésion de l’Afrique du Sud à la convention.</w:t>
      </w:r>
    </w:p>
    <w:p>
      <w:pPr>
        <w:pBdr>
          <w:top w:val="nil"/>
          <w:left w:val="nil"/>
          <w:bottom w:val="nil"/>
          <w:right w:val="nil"/>
          <w:between w:val="nil"/>
          <w:bar w:val="nil"/>
        </w:pBdr>
        <w:spacing w:before="0" w:after="240"/>
        <w:rPr>
          <w:rFonts w:eastAsia="Arial Unicode MS"/>
          <w:noProof/>
        </w:rPr>
      </w:pPr>
      <w:r>
        <w:rPr>
          <w:noProof/>
        </w:rPr>
        <w:t>L’article 38, 4</w:t>
      </w:r>
      <w:r>
        <w:rPr>
          <w:noProof/>
          <w:vertAlign w:val="superscript"/>
        </w:rPr>
        <w:t>e</w:t>
      </w:r>
      <w:r>
        <w:rPr>
          <w:noProof/>
        </w:rPr>
        <w:t xml:space="preserve"> alinéa, de la convention de 1980 prévoit que la convention s’applique dans les rapports entre l’État adhérant et les États contractants qui auront déclaré accepter cette adhésion. </w:t>
      </w:r>
    </w:p>
    <w:p>
      <w:pPr>
        <w:pBdr>
          <w:top w:val="nil"/>
          <w:left w:val="nil"/>
          <w:bottom w:val="nil"/>
          <w:right w:val="nil"/>
          <w:between w:val="nil"/>
          <w:bar w:val="nil"/>
        </w:pBdr>
        <w:spacing w:before="0" w:after="240"/>
        <w:rPr>
          <w:rFonts w:eastAsia="Arial Unicode MS"/>
          <w:bC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pBdr>
          <w:top w:val="nil"/>
          <w:left w:val="nil"/>
          <w:bottom w:val="nil"/>
          <w:right w:val="nil"/>
          <w:between w:val="nil"/>
          <w:bar w:val="nil"/>
        </w:pBdr>
        <w:spacing w:before="0" w:after="240"/>
        <w:rPr>
          <w:rFonts w:eastAsia="Arial Unicode MS"/>
          <w:bCs/>
          <w:noProof/>
        </w:rPr>
      </w:pPr>
      <w:r>
        <w:rPr>
          <w:noProof/>
        </w:rPr>
        <w:t xml:space="preserve">Le 14 octobre 2014, dans son avis 1/13, la Cour de justice de l’Union européenne a ainsi déclaré que </w:t>
      </w:r>
      <w:r>
        <w:rPr>
          <w:i/>
          <w:noProof/>
        </w:rPr>
        <w:t>l’acceptation de l’adhésion d’un État tiers à la convention de La Haye de 1980 sur les aspects civils de l’enlèvement international d’enfants relève de la compétence exclusive de l’Union européenne.</w:t>
      </w:r>
      <w:r>
        <w:rPr>
          <w:noProof/>
        </w:rPr>
        <w:t xml:space="preserve"> </w:t>
      </w:r>
    </w:p>
    <w:p>
      <w:pPr>
        <w:pBdr>
          <w:top w:val="nil"/>
          <w:left w:val="nil"/>
          <w:bottom w:val="nil"/>
          <w:right w:val="nil"/>
          <w:between w:val="nil"/>
          <w:bar w:val="nil"/>
        </w:pBdr>
        <w:spacing w:before="0" w:after="240"/>
        <w:rPr>
          <w:rFonts w:eastAsia="Arial Unicode MS"/>
          <w:bCs/>
          <w:noProof/>
        </w:rPr>
      </w:pPr>
      <w:r>
        <w:rPr>
          <w:noProof/>
        </w:rPr>
        <w:t xml:space="preserve">La Cour a insisté sur la nécessité d’uniformité en la matière au niveau de l’UE, afin d’éviter une géométrie variable entre les États membres. </w:t>
      </w:r>
    </w:p>
    <w:p>
      <w:pPr>
        <w:pBdr>
          <w:top w:val="nil"/>
          <w:left w:val="nil"/>
          <w:bottom w:val="nil"/>
          <w:right w:val="nil"/>
          <w:between w:val="nil"/>
          <w:bar w:val="nil"/>
        </w:pBdr>
        <w:spacing w:before="0" w:after="240"/>
        <w:rPr>
          <w:rFonts w:eastAsia="Arial Unicode MS"/>
          <w:noProof/>
        </w:rPr>
      </w:pPr>
      <w:r>
        <w:rPr>
          <w:noProof/>
        </w:rPr>
        <w:t xml:space="preserve">La question de l’enlèvement international d’enfants relevant de la compétence externe exclusive de l’Union européenne, la décision d’accepter ou non l’adhésion de la Géorgie et de l’Afrique du Sud doit être prise au niveau de l’UE par la voie d’une décision du Conseil. Il </w:t>
      </w:r>
      <w:r>
        <w:rPr>
          <w:noProof/>
        </w:rPr>
        <w:lastRenderedPageBreak/>
        <w:t>convient donc que le Luxembourg et la Roumanie déposent la déclaration d’acceptation relative à l’adhésion de la Géorgie et de l’Afrique du Sud dans l’intérêt de l’Union européenne.</w:t>
      </w:r>
    </w:p>
    <w:p>
      <w:pPr>
        <w:pBdr>
          <w:top w:val="nil"/>
          <w:left w:val="nil"/>
          <w:bottom w:val="nil"/>
          <w:right w:val="nil"/>
          <w:between w:val="nil"/>
          <w:bar w:val="nil"/>
        </w:pBdr>
        <w:spacing w:before="0" w:after="240"/>
        <w:rPr>
          <w:rFonts w:eastAsia="Arial Unicode MS"/>
          <w:bCs/>
          <w:noProof/>
        </w:rPr>
      </w:pPr>
      <w:r>
        <w:rPr>
          <w:noProof/>
        </w:rPr>
        <w:t>L’acceptation du Luxembourg et de la Roumanie aurait pour effet de rendre applicable la convention de 1980 entre la Géorgie et tous les États membres de l’UE, à l’exception du Danemark. En ce qui concerne l’Afrique du Sud, la convention de 1980 deviendra applicable avec tous les États membres de l’UE</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bCs/>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lequel constitue la pierre angulaire de la coopération judiciaire de l’UE en matière matrimoniale et en matière de responsabilité parentale</w:t>
      </w:r>
      <w:r>
        <w:rPr>
          <w:rStyle w:val="FootnoteReference"/>
          <w:noProof/>
        </w:rPr>
        <w:footnoteReference w:id="1"/>
      </w:r>
      <w:r>
        <w:rPr>
          <w:noProof/>
        </w:rPr>
        <w:t xml:space="preserve">. </w:t>
      </w:r>
    </w:p>
    <w:p>
      <w:pPr>
        <w:pBdr>
          <w:top w:val="nil"/>
          <w:left w:val="nil"/>
          <w:bottom w:val="nil"/>
          <w:right w:val="nil"/>
          <w:between w:val="nil"/>
          <w:bar w:val="nil"/>
        </w:pBdr>
        <w:spacing w:before="0" w:after="240"/>
        <w:rPr>
          <w:rFonts w:eastAsia="Arial Unicode MS"/>
          <w:bCs/>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rFonts w:eastAsia="Arial Unicode MS"/>
          <w:bCs/>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bCs/>
          <w:noProof/>
        </w:rPr>
      </w:pPr>
      <w:r>
        <w:rPr>
          <w:noProof/>
        </w:rPr>
        <w:t>Dix décisions du Conseil ont déjà été adoptées entre juin 2015 et décembre 2016 afin d’accepter l’adhésion à la convention de La Haye de 1980 sur l’enlèvement international d’enfants de 10 pays tiers (Maroc, Singapour, Fédération de Russie, Albanie, Andorre, Seychelles, Arménie, République de Corée, Kazakhstan et Pérou)</w:t>
      </w:r>
      <w:r>
        <w:rPr>
          <w:rStyle w:val="FootnoteReference"/>
          <w:noProof/>
        </w:rPr>
        <w:footnoteReference w:id="2"/>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présente proposition est de toute évidence liée à l’objectif général de protection des droits de l’enfant consacré dans l’article 3 du traité sur l’Union européenne. Le système instauré par la convention de La Haye de 1980 vise à protéger les enfants contre les effets nuisibles d’un </w:t>
      </w:r>
      <w:r>
        <w:rPr>
          <w:noProof/>
        </w:rPr>
        <w:lastRenderedPageBreak/>
        <w:t>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3"/>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4"/>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le Luxembourg et la Roumanie acceptent l’adhésion de la Géorgie et de l’Afrique du sud à la convention de La Haye de 1980 dans un délai déterminé.</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Le Luxembourg et la Roumanie, consultés par la Commission au sujet de leur intention d’accepter l’adhésion de la Géorgie et de l’Afrique du Sud à la convention de 1980, ont émis un avis favorable. </w:t>
      </w:r>
    </w:p>
    <w:p>
      <w:pPr>
        <w:pBdr>
          <w:top w:val="nil"/>
          <w:left w:val="nil"/>
          <w:bottom w:val="nil"/>
          <w:right w:val="nil"/>
          <w:between w:val="nil"/>
          <w:bar w:val="nil"/>
        </w:pBdr>
        <w:spacing w:before="0" w:after="240"/>
        <w:rPr>
          <w:rFonts w:eastAsia="Arial Unicode MS"/>
          <w:noProof/>
        </w:rPr>
      </w:pPr>
      <w:r>
        <w:rPr>
          <w:noProof/>
        </w:rPr>
        <w:t>Les discussions qui ont eu lieu lors d’une réunion d’experts du 24 avril 2017 ont montré que – à ce stade – il n’y a pas d’objections de la part des États membres quant à l’acceptation par le Luxembourg et la Roumanie de l’adhésion de la Géorgie et de l’Afrique du Sud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La convention étant déjà en vigueur avec 25 États membres en ce qui concerne la Géorgie et avec 26 États membres en ce qui concerne l’Afrique du Sud, la Commission et les experts des États membres étaient d’avis qu’en pareil cas, il n’est pas nécessaire d’effectuer une analyse spécifique de la situation du pays tiers. </w:t>
      </w:r>
    </w:p>
    <w:p>
      <w:pPr>
        <w:pBdr>
          <w:top w:val="nil"/>
          <w:left w:val="nil"/>
          <w:bottom w:val="nil"/>
          <w:right w:val="nil"/>
          <w:between w:val="nil"/>
          <w:bar w:val="nil"/>
        </w:pBdr>
        <w:spacing w:before="0" w:after="240"/>
        <w:rPr>
          <w:rFonts w:eastAsia="Arial Unicode MS"/>
          <w:noProof/>
        </w:rPr>
      </w:pPr>
      <w:r>
        <w:rPr>
          <w:noProof/>
        </w:rPr>
        <w:t>Les experts des États membres n’ont signalé aucun problème lié à l’application de la convention de 1980 dans le cas de la Géorgie et de l’Afrique du Sud.</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dix décisions du Conseil déjà adoptées entre 2015 et 2016 concernant l’acceptation de l’adhésion de plusieurs États tiers à la convention de La Haye de 1980, aucune analyse d’impact spécifique n’a été réalisée compte tenu de la nature du présent acte législatif. En tout état de cause, une analyse spécifique de la situation de la Géorgie et de l’Afrique du Sud a été jugée superflue compte tenu du fait que la convention est déjà en vigueur avec, respectivement, 25 et 26 États membres de l’UE et de la volonté du Luxembourg et de la Roumanie d’accepter l’adhésion de la Géorgie et de l’Afrique du Sud.</w:t>
      </w:r>
    </w:p>
    <w:p>
      <w:pPr>
        <w:pBdr>
          <w:top w:val="nil"/>
          <w:left w:val="nil"/>
          <w:bottom w:val="nil"/>
          <w:right w:val="nil"/>
          <w:between w:val="nil"/>
          <w:bar w:val="nil"/>
        </w:pBdr>
        <w:tabs>
          <w:tab w:val="left" w:pos="850"/>
        </w:tabs>
        <w:spacing w:before="0" w:after="240"/>
        <w:rPr>
          <w:rFonts w:eastAsia="Arial Unicode MS"/>
          <w:b/>
          <w:noProof/>
        </w:rPr>
      </w:pPr>
      <w:r>
        <w:rPr>
          <w:b/>
          <w:noProof/>
        </w:rPr>
        <w:t>4.</w:t>
      </w:r>
      <w:r>
        <w:rPr>
          <w:noProof/>
        </w:rPr>
        <w:tab/>
      </w:r>
      <w:r>
        <w:rPr>
          <w:b/>
          <w:noProof/>
        </w:rPr>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Étant donné que la proposition porte uniquement sur l’autorisation donnée au Luxembourg et à la Roumanie d’accepter l’adhésion de la Géorgie et de l’Afrique du Sud à la convention de 1980, le suivi de sa mise en œuvre est limité au respect par le Luxembourg et la Roumanie des termes de la déclaration et du calendrier pour déposer celle-ci et communiquer son dépôt à la Commission, comme le prévoit la décision du Conseil.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2017/0148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le Luxembourg et la Roumanie à accepter, dans l’intérêt de l’Union européenne, l’adhésion de la Géorgie et de l’Afrique du Sud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5"/>
      </w:r>
      <w:r>
        <w:rPr>
          <w:noProof/>
        </w:rPr>
        <w:t xml:space="preserve">, </w:t>
      </w:r>
    </w:p>
    <w:p>
      <w:pPr>
        <w:rPr>
          <w:noProof/>
        </w:rPr>
      </w:pPr>
      <w:r>
        <w:rPr>
          <w:noProof/>
        </w:rPr>
        <w:t>considérant ce qui suit:</w:t>
      </w:r>
    </w:p>
    <w:p>
      <w:pPr>
        <w:rPr>
          <w:noProof/>
        </w:rPr>
      </w:pPr>
      <w:r>
        <w:rPr>
          <w:noProof/>
        </w:rPr>
        <w:t>(1)</w:t>
      </w:r>
      <w:r>
        <w:rPr>
          <w:noProof/>
        </w:rPr>
        <w:tab/>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rPr>
          <w:noProof/>
        </w:rPr>
      </w:pPr>
      <w:r>
        <w:rPr>
          <w:noProof/>
        </w:rPr>
        <w:t>(2)</w:t>
      </w:r>
      <w:r>
        <w:rPr>
          <w:noProof/>
        </w:rPr>
        <w:tab/>
        <w:t>Le Conseil a adopté le règlement (CE) nº 2201/2003</w:t>
      </w:r>
      <w:r>
        <w:rPr>
          <w:rStyle w:val="FootnoteReference"/>
          <w:noProof/>
        </w:rPr>
        <w:footnoteReference w:id="6"/>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rPr>
          <w:noProof/>
        </w:rPr>
      </w:pPr>
      <w:r>
        <w:rPr>
          <w:noProof/>
        </w:rPr>
        <w:t>(3)</w:t>
      </w:r>
      <w:r>
        <w:rPr>
          <w:noProof/>
        </w:rPr>
        <w:tab/>
        <w:t>Le règlement Bruxelles II </w:t>
      </w:r>
      <w:r>
        <w:rPr>
          <w:i/>
          <w:noProof/>
        </w:rPr>
        <w:t>bis</w:t>
      </w:r>
      <w:r>
        <w:rPr>
          <w:noProof/>
        </w:rPr>
        <w:t xml:space="preserve"> complète et renforce la convention de La Haye du 25 octobre 1980 sur les aspects civils de l’enlèvement international d’enfants (ci-après la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rPr>
          <w:noProof/>
        </w:rPr>
      </w:pPr>
      <w:r>
        <w:rPr>
          <w:noProof/>
        </w:rPr>
        <w:t>(4)</w:t>
      </w:r>
      <w:r>
        <w:rPr>
          <w:noProof/>
        </w:rPr>
        <w:tab/>
        <w:t>Tous les États membres de l’Union sont parties à la convention de La Haye de 1980.</w:t>
      </w:r>
    </w:p>
    <w:p>
      <w:pPr>
        <w:rPr>
          <w:noProof/>
        </w:rPr>
      </w:pPr>
      <w:r>
        <w:rPr>
          <w:noProof/>
        </w:rPr>
        <w:t>(5)</w:t>
      </w:r>
      <w:r>
        <w:rPr>
          <w:noProof/>
        </w:rPr>
        <w:tab/>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rPr>
          <w:noProof/>
        </w:rPr>
      </w:pPr>
      <w:r>
        <w:rPr>
          <w:noProof/>
        </w:rPr>
        <w:lastRenderedPageBreak/>
        <w:t>(6)</w:t>
      </w:r>
      <w:r>
        <w:rPr>
          <w:noProof/>
        </w:rPr>
        <w:tab/>
        <w:t>Un cadre juridique commun applicable entre les États membres de l’Union et des États tiers pourrait constituer la meilleure solution dans des affaires délicates d’enlèvement international d’enfants.</w:t>
      </w:r>
    </w:p>
    <w:p>
      <w:pPr>
        <w:rPr>
          <w:noProof/>
        </w:rPr>
      </w:pPr>
      <w:r>
        <w:rPr>
          <w:noProof/>
        </w:rPr>
        <w:t>(7)</w:t>
      </w:r>
      <w:r>
        <w:rPr>
          <w:noProof/>
        </w:rPr>
        <w:tab/>
        <w:t>La convention de La Haye de 1980 prévoit que celle-ci s’applique dans les rapports entre l’État adhérant et les États contractants qui auront déclaré accepter cette adhésion.</w:t>
      </w:r>
    </w:p>
    <w:p>
      <w:pPr>
        <w:rPr>
          <w:noProof/>
        </w:rPr>
      </w:pPr>
      <w:r>
        <w:rPr>
          <w:noProof/>
        </w:rPr>
        <w:t>(8)</w:t>
      </w:r>
      <w:r>
        <w:rPr>
          <w:noProof/>
        </w:rPr>
        <w:tab/>
        <w:t>La convention de La Haye de 1980 n’autorise pas les organisations régionales d’intégration économique comme l’Union à devenir partie. Par conséquent, l’Union ne peut adhérer à ladite convention ni déposer une déclaration d’acceptation d’un État adhérant.</w:t>
      </w:r>
    </w:p>
    <w:p>
      <w:pPr>
        <w:rPr>
          <w:noProof/>
        </w:rPr>
      </w:pPr>
      <w:r>
        <w:rPr>
          <w:noProof/>
        </w:rPr>
        <w:t>(9)</w:t>
      </w:r>
      <w:r>
        <w:rPr>
          <w:noProof/>
        </w:rPr>
        <w:tab/>
        <w:t>Selon l’avis 1/13 de la Cour de justice de l’Union européenne, les déclarations d’acceptation au titre de la convention de La Haye de 1980 relèvent de la compétence externe exclusive de l’Union.</w:t>
      </w:r>
    </w:p>
    <w:p>
      <w:pPr>
        <w:rPr>
          <w:bCs/>
          <w:noProof/>
        </w:rPr>
      </w:pPr>
      <w:r>
        <w:rPr>
          <w:noProof/>
        </w:rPr>
        <w:t>(10)</w:t>
      </w:r>
      <w:r>
        <w:rPr>
          <w:noProof/>
        </w:rPr>
        <w:tab/>
        <w:t>La Géorgie a déposé l’instrument d’adhésion à la convention de 1980 le 24 juillet 1997. La convention est entrée en vigueur en Géorgie le 1</w:t>
      </w:r>
      <w:r>
        <w:rPr>
          <w:noProof/>
          <w:vertAlign w:val="superscript"/>
        </w:rPr>
        <w:t xml:space="preserve">er </w:t>
      </w:r>
      <w:r>
        <w:rPr>
          <w:noProof/>
        </w:rPr>
        <w:t xml:space="preserve">octobre 1997. </w:t>
      </w:r>
    </w:p>
    <w:p>
      <w:pPr>
        <w:rPr>
          <w:noProof/>
        </w:rPr>
      </w:pPr>
      <w:r>
        <w:rPr>
          <w:noProof/>
        </w:rPr>
        <w:t>(11)</w:t>
      </w:r>
      <w:r>
        <w:rPr>
          <w:noProof/>
        </w:rPr>
        <w:tab/>
        <w:t>Tous les États membres concernés, à l’exception du Danemark, du Luxembourg et de la Roumanie, ont déjà accepté l’adhésion de la Géorgie à la convention de La Haye de 1980.  La Géorgie a accepté l’adhésion de la Bulgarie, de l’Estonie, de la Lettonie, de la Lituanie et de Malte. Une évaluation de la situation en Géorgie a conduit à la conclusion que le Luxembourg et la Roumanie sont en mesure d’accepter, dans l’intérêt de l’Union, l’adhésion de la Géorgie selon les termes de la convention de La Haye de 1980.</w:t>
      </w:r>
    </w:p>
    <w:p>
      <w:pPr>
        <w:rPr>
          <w:bCs/>
          <w:noProof/>
        </w:rPr>
      </w:pPr>
      <w:r>
        <w:rPr>
          <w:noProof/>
        </w:rPr>
        <w:t>(12)</w:t>
      </w:r>
      <w:r>
        <w:rPr>
          <w:noProof/>
        </w:rPr>
        <w:tab/>
        <w:t>L’Afrique du sud a déposé l’instrument d’adhésion à la convention de 1980 le 8 juillet 1997. La convention est entrée en vigueur en Afrique du Sud le 1</w:t>
      </w:r>
      <w:r>
        <w:rPr>
          <w:noProof/>
          <w:vertAlign w:val="superscript"/>
        </w:rPr>
        <w:t xml:space="preserve">er </w:t>
      </w:r>
      <w:r>
        <w:rPr>
          <w:noProof/>
        </w:rPr>
        <w:t>octobre 1997.</w:t>
      </w:r>
    </w:p>
    <w:p>
      <w:pPr>
        <w:rPr>
          <w:noProof/>
        </w:rPr>
      </w:pPr>
      <w:r>
        <w:rPr>
          <w:noProof/>
        </w:rPr>
        <w:t>(13)</w:t>
      </w:r>
      <w:r>
        <w:rPr>
          <w:noProof/>
        </w:rPr>
        <w:tab/>
        <w:t>Tous les États membres concernés, à l’exception du Luxembourg et de la Roumanie, ont déjà accepté l’adhésion de l’Afrique du Sud à la convention de La Haye de 1980. L’Afrique du Sud a accepté l’adhésion de la Bulgarie, de l’Estonie, de la Lettonie, de la Lituanie et de Malte. Une évaluation de la situation en Afrique du Sud a conduit à la conclusion que le Luxembourg et la Roumanie sont en mesure d’accepter, dans l’intérêt de l’Union, l’adhésion de l’Afrique du Sud selon les termes de la convention de La Haye de 1980.</w:t>
      </w:r>
    </w:p>
    <w:p>
      <w:pPr>
        <w:rPr>
          <w:noProof/>
        </w:rPr>
      </w:pPr>
      <w:r>
        <w:rPr>
          <w:noProof/>
        </w:rPr>
        <w:t>(14)</w:t>
      </w:r>
      <w:r>
        <w:rPr>
          <w:noProof/>
        </w:rPr>
        <w:tab/>
        <w:t>Il convient donc que le Luxembourg et la Roumanie soient autorisés à déposer leur déclaration d’acceptation de l’adhésion de la Géorgie et de l’Afrique du Sud dans l’intérêt de l’Union conformément aux termes fixés dans la présente décision. Il y a lieu que les autres États membres de l’Union, qui ont déjà accepté l’adhésion de la Géorgie et de l’Afrique du Sud à la convention de La Haye de 1980, ne déposent pas de nouvelle déclaration d’acceptation puisque les déclarations existantes restent valables en droit international public.</w:t>
      </w:r>
    </w:p>
    <w:p>
      <w:pPr>
        <w:rPr>
          <w:noProof/>
        </w:rPr>
      </w:pPr>
      <w:r>
        <w:rPr>
          <w:noProof/>
        </w:rPr>
        <w:t>(15)</w:t>
      </w:r>
      <w:r>
        <w:rPr>
          <w:noProof/>
        </w:rPr>
        <w:tab/>
        <w:t>Le Royaume-Uni et l'Irlande sont liés par le règlement Bruxelles II </w:t>
      </w:r>
      <w:r>
        <w:rPr>
          <w:i/>
          <w:noProof/>
        </w:rPr>
        <w:t>bis</w:t>
      </w:r>
      <w:r>
        <w:rPr>
          <w:noProof/>
        </w:rPr>
        <w:t xml:space="preserve"> et participent à l’adoption et à l’application de la présente décision.</w:t>
      </w:r>
    </w:p>
    <w:p>
      <w:pPr>
        <w:rPr>
          <w:noProof/>
        </w:rPr>
      </w:pPr>
      <w:r>
        <w:rPr>
          <w:noProof/>
        </w:rPr>
        <w:t>(16)</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lastRenderedPageBreak/>
        <w:t>A ADOPTÉ LA PRÉSENTE DÉCISION:</w:t>
      </w:r>
    </w:p>
    <w:p>
      <w:pPr>
        <w:pStyle w:val="Titrearticle"/>
        <w:rPr>
          <w:rFonts w:eastAsia="Times New Roman"/>
          <w:noProof/>
          <w:szCs w:val="24"/>
        </w:rPr>
      </w:pPr>
      <w:r>
        <w:rPr>
          <w:noProof/>
        </w:rPr>
        <w:t>Article premier</w:t>
      </w:r>
    </w:p>
    <w:p>
      <w:pPr>
        <w:ind w:left="850" w:hanging="850"/>
        <w:outlineLvl w:val="0"/>
        <w:rPr>
          <w:rFonts w:eastAsia="Times New Roman"/>
          <w:noProof/>
          <w:szCs w:val="24"/>
        </w:rPr>
      </w:pPr>
      <w:r>
        <w:rPr>
          <w:noProof/>
        </w:rPr>
        <w:t>1.</w:t>
      </w:r>
      <w:r>
        <w:rPr>
          <w:noProof/>
        </w:rPr>
        <w:tab/>
        <w:t>Le Luxembourg et la Roumanie sont autorisés à accepter, dans l’intérêt de l’Union, l’adhésion de la Géorgie et de l’Afrique du Sud à la convention de La Haye du 25 octobre 1980 sur les aspects civils de l’enlèvement international d’enfants (ci-après la «convention de La Haye de 1980»).</w:t>
      </w:r>
    </w:p>
    <w:p>
      <w:pPr>
        <w:ind w:left="850" w:hanging="850"/>
        <w:outlineLvl w:val="0"/>
        <w:rPr>
          <w:rFonts w:eastAsia="Times New Roman"/>
          <w:noProof/>
          <w:szCs w:val="24"/>
        </w:rPr>
      </w:pPr>
      <w:r>
        <w:rPr>
          <w:noProof/>
        </w:rPr>
        <w:t>2.</w:t>
      </w:r>
      <w:r>
        <w:rPr>
          <w:noProof/>
        </w:rPr>
        <w:tab/>
        <w:t>Les États membres visés au paragraphe 1 déposent, au plus tard le … [douze mois après la date d’adoption de la présente décision], une déclaration d’acceptation de l’adhésion de la Géorgie et de l’Afrique du Sud à la convention de La Haye de 1980 dans l’intérêt de l’Union, libellée comme suit:</w:t>
      </w:r>
    </w:p>
    <w:p>
      <w:pPr>
        <w:outlineLvl w:val="0"/>
        <w:rPr>
          <w:rFonts w:eastAsia="Times New Roman"/>
          <w:i/>
          <w:noProof/>
          <w:szCs w:val="24"/>
        </w:rPr>
      </w:pPr>
      <w:r>
        <w:rPr>
          <w:noProof/>
        </w:rPr>
        <w:t>«</w:t>
      </w:r>
      <w:r>
        <w:rPr>
          <w:i/>
          <w:noProof/>
        </w:rPr>
        <w:t>[Nom complet de l’ÉTAT MEMBRE] déclare accepter l’adhésion de la Géorgie et de l’Afrique du Sud à la convention de La Haye du 25 octobre 1980 sur les aspects civils de l’enlèvement international d’enfants, conformément à la décision (UE) 2017/...du Conseil</w:t>
      </w:r>
      <w:r>
        <w:rPr>
          <w:rFonts w:eastAsia="Times New Roman"/>
          <w:b/>
          <w:i/>
          <w:noProof/>
          <w:szCs w:val="24"/>
          <w:vertAlign w:val="superscript"/>
        </w:rPr>
        <w:sym w:font="Symbol" w:char="F02A"/>
      </w:r>
      <w:r>
        <w:rPr>
          <w:i/>
          <w:noProof/>
        </w:rPr>
        <w:t>».</w:t>
      </w:r>
    </w:p>
    <w:p>
      <w:pPr>
        <w:ind w:left="850" w:hanging="850"/>
        <w:outlineLvl w:val="0"/>
        <w:rPr>
          <w:rFonts w:eastAsia="Times New Roman"/>
          <w:noProof/>
          <w:szCs w:val="24"/>
        </w:rPr>
      </w:pPr>
      <w:r>
        <w:rPr>
          <w:noProof/>
        </w:rPr>
        <w:footnoteReference w:customMarkFollows="1" w:id="7"/>
        <w:t>3.</w:t>
      </w:r>
      <w:r>
        <w:rPr>
          <w:noProof/>
        </w:rPr>
        <w:tab/>
        <w:t>Les deux États membres considérés informent le Conseil et la Commission du dépôt de leur déclaration d’acceptation de l’adhésion de la Géorgie et de l’Afrique du Sud et communiquent à la Commission, dans les deux mois du dépôt, le texte de la déclaration.</w:t>
      </w:r>
    </w:p>
    <w:p>
      <w:pPr>
        <w:keepNext/>
        <w:spacing w:before="360"/>
        <w:jc w:val="center"/>
        <w:rPr>
          <w:rFonts w:eastAsia="Times New Roman"/>
          <w:i/>
          <w:noProof/>
          <w:szCs w:val="24"/>
        </w:rPr>
      </w:pPr>
      <w:r>
        <w:rPr>
          <w:i/>
          <w:noProof/>
        </w:rPr>
        <w:t>Article 2</w:t>
      </w:r>
    </w:p>
    <w:p>
      <w:pPr>
        <w:rPr>
          <w:rFonts w:eastAsia="Times New Roman"/>
          <w:noProof/>
          <w:szCs w:val="24"/>
        </w:rPr>
      </w:pPr>
      <w:r>
        <w:rPr>
          <w:noProof/>
        </w:rPr>
        <w:t>Les États membres qui ont déposé leur déclaration d’acceptation de l’adhésion de la Géorgie et de l’Afrique du Sud à la convention de La Haye de 1980 avant la date d’adoption de la présente décision ne déposent pas de nouvelle déclaration.</w:t>
      </w:r>
    </w:p>
    <w:p>
      <w:pPr>
        <w:keepNext/>
        <w:spacing w:before="360"/>
        <w:jc w:val="center"/>
        <w:rPr>
          <w:rFonts w:eastAsia="Times New Roman"/>
          <w:i/>
          <w:noProof/>
          <w:szCs w:val="24"/>
        </w:rPr>
      </w:pPr>
      <w:r>
        <w:rPr>
          <w:i/>
          <w:noProof/>
        </w:rPr>
        <w:t>Article 3</w:t>
      </w:r>
    </w:p>
    <w:p>
      <w:pPr>
        <w:jc w:val="left"/>
        <w:rPr>
          <w:rFonts w:eastAsia="Times New Roman"/>
          <w:noProof/>
          <w:szCs w:val="24"/>
        </w:rPr>
      </w:pPr>
      <w:r>
        <w:rPr>
          <w:noProof/>
        </w:rPr>
        <w:t xml:space="preserve">La présente décision entre en vigueur le jour suivant celui de sa publication au </w:t>
      </w:r>
      <w:r>
        <w:rPr>
          <w:i/>
          <w:noProof/>
        </w:rPr>
        <w:t>Journal officiel de l’Union européenne</w:t>
      </w:r>
      <w:r>
        <w:rPr>
          <w:noProof/>
        </w:rPr>
        <w:t>.</w:t>
      </w:r>
    </w:p>
    <w:p>
      <w:pPr>
        <w:keepNext/>
        <w:spacing w:before="360" w:line="360" w:lineRule="auto"/>
        <w:jc w:val="center"/>
        <w:rPr>
          <w:rFonts w:eastAsia="Times New Roman"/>
          <w:i/>
          <w:noProof/>
          <w:szCs w:val="24"/>
        </w:rPr>
      </w:pPr>
      <w:r>
        <w:rPr>
          <w:i/>
          <w:noProof/>
        </w:rPr>
        <w:t>Article 4</w:t>
      </w:r>
    </w:p>
    <w:p>
      <w:pPr>
        <w:spacing w:line="360" w:lineRule="auto"/>
        <w:jc w:val="left"/>
        <w:rPr>
          <w:rFonts w:eastAsia="Times New Roman"/>
          <w:noProof/>
          <w:szCs w:val="24"/>
        </w:rPr>
      </w:pPr>
      <w:r>
        <w:rPr>
          <w:noProof/>
        </w:rPr>
        <w:t>Le Luxembourg et la Roumanie sont destinataires de la présente décision.</w:t>
      </w:r>
    </w:p>
    <w:p>
      <w:pPr>
        <w:keepNext/>
        <w:spacing w:after="0" w:line="360" w:lineRule="auto"/>
        <w:jc w:val="left"/>
        <w:rPr>
          <w:rFonts w:eastAsia="Times New Roman"/>
          <w:noProof/>
          <w:szCs w:val="24"/>
        </w:rPr>
      </w:pPr>
      <w:r>
        <w:rPr>
          <w:noProof/>
        </w:rPr>
        <w:t>Fait à Bruxelles, le....</w:t>
      </w:r>
    </w:p>
    <w:p>
      <w:pPr>
        <w:keepNext/>
        <w:tabs>
          <w:tab w:val="left" w:pos="5669"/>
        </w:tabs>
        <w:spacing w:before="720" w:after="0" w:line="360" w:lineRule="auto"/>
        <w:jc w:val="left"/>
        <w:rPr>
          <w:rFonts w:eastAsia="Times New Roman"/>
          <w:i/>
          <w:noProof/>
          <w:szCs w:val="24"/>
        </w:rPr>
      </w:pPr>
      <w:r>
        <w:rPr>
          <w:noProof/>
        </w:rPr>
        <w:tab/>
      </w:r>
      <w:r>
        <w:rPr>
          <w:i/>
          <w:noProof/>
        </w:rPr>
        <w:t>Par le Conseil</w:t>
      </w:r>
    </w:p>
    <w:p>
      <w:pPr>
        <w:tabs>
          <w:tab w:val="left" w:pos="5669"/>
        </w:tabs>
        <w:spacing w:before="0" w:after="0" w:line="360" w:lineRule="auto"/>
        <w:jc w:val="left"/>
        <w:rPr>
          <w:rFonts w:eastAsia="Times New Roman"/>
          <w:i/>
          <w:noProof/>
          <w:szCs w:val="24"/>
        </w:rPr>
      </w:pPr>
      <w:r>
        <w:rPr>
          <w:noProof/>
        </w:rPr>
        <w:tab/>
      </w:r>
      <w:r>
        <w:rPr>
          <w:i/>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338 du 23.12.2003, p. 31.</w:t>
      </w:r>
    </w:p>
  </w:footnote>
  <w:footnote w:id="2">
    <w:p>
      <w:pPr>
        <w:pStyle w:val="FootnoteText"/>
        <w:rPr>
          <w:lang w:val="fr-BE"/>
        </w:rPr>
      </w:pPr>
      <w:r>
        <w:rPr>
          <w:rStyle w:val="FootnoteReference"/>
        </w:rPr>
        <w:footnoteRef/>
      </w:r>
      <w:r>
        <w:rPr>
          <w:lang w:val="fr-BE"/>
        </w:rPr>
        <w:tab/>
        <w:t>Dix décisions du Conseil ont déjà été adoptées, qui autorisent les États membres à accepter l’adhésion à la convention de 1980 d’</w:t>
      </w:r>
      <w:r>
        <w:rPr>
          <w:b/>
          <w:lang w:val="fr-BE"/>
        </w:rPr>
        <w:t>Andorre</w:t>
      </w:r>
      <w:r>
        <w:rPr>
          <w:lang w:val="fr-BE"/>
        </w:rPr>
        <w:t xml:space="preserve"> (décision 2015/1023 du Conseil, adoptée le 15 juin 2015); des </w:t>
      </w:r>
      <w:r>
        <w:rPr>
          <w:b/>
          <w:lang w:val="fr-BE"/>
        </w:rPr>
        <w:t>Seychelles</w:t>
      </w:r>
      <w:r>
        <w:rPr>
          <w:lang w:val="fr-BE"/>
        </w:rPr>
        <w:t xml:space="preserve"> (décision 2015/2354 du Conseil, adoptée le 10 décembre 2015); de la </w:t>
      </w:r>
      <w:r>
        <w:rPr>
          <w:b/>
          <w:lang w:val="fr-BE"/>
        </w:rPr>
        <w:t>Russie</w:t>
      </w:r>
      <w:r>
        <w:rPr>
          <w:lang w:val="fr-BE"/>
        </w:rPr>
        <w:t xml:space="preserve"> (décision 2015/2355 du Conseil, adoptée le 10 décembre 2015); de l’</w:t>
      </w:r>
      <w:r>
        <w:rPr>
          <w:b/>
          <w:lang w:val="fr-BE"/>
        </w:rPr>
        <w:t>Albanie</w:t>
      </w:r>
      <w:r>
        <w:rPr>
          <w:lang w:val="fr-BE"/>
        </w:rPr>
        <w:t xml:space="preserve"> (décision 2015/2356 du Conseil, adoptée le 10 décembre 2015); de </w:t>
      </w:r>
      <w:r>
        <w:rPr>
          <w:b/>
          <w:lang w:val="fr-BE"/>
        </w:rPr>
        <w:t>Singapour</w:t>
      </w:r>
      <w:r>
        <w:rPr>
          <w:lang w:val="fr-BE"/>
        </w:rPr>
        <w:t xml:space="preserve"> (décision 2015/1024 du Conseil, adoptée le 15 juin 2015); du </w:t>
      </w:r>
      <w:r>
        <w:rPr>
          <w:b/>
          <w:lang w:val="fr-BE"/>
        </w:rPr>
        <w:t>Maroc</w:t>
      </w:r>
      <w:r>
        <w:rPr>
          <w:lang w:val="fr-BE"/>
        </w:rPr>
        <w:t xml:space="preserve"> (décision 2015/2357 du Conseil, adoptée le 10 décembre 2015); de l’</w:t>
      </w:r>
      <w:r>
        <w:rPr>
          <w:b/>
          <w:lang w:val="fr-BE"/>
        </w:rPr>
        <w:t>Arménie</w:t>
      </w:r>
      <w:r>
        <w:rPr>
          <w:lang w:val="fr-BE"/>
        </w:rPr>
        <w:t xml:space="preserve"> (décision 2015/2358 du Conseil, adoptée le 10 décembre 2015); de la </w:t>
      </w:r>
      <w:r>
        <w:rPr>
          <w:b/>
          <w:lang w:val="fr-BE"/>
        </w:rPr>
        <w:t>République de Corée</w:t>
      </w:r>
      <w:r>
        <w:rPr>
          <w:lang w:val="fr-BE"/>
        </w:rPr>
        <w:t xml:space="preserve"> (décision 2016/2313 du Conseil, adoptée le 8 décembre 2016); du </w:t>
      </w:r>
      <w:r>
        <w:rPr>
          <w:b/>
          <w:lang w:val="fr-BE"/>
        </w:rPr>
        <w:t>Kazakhstan</w:t>
      </w:r>
      <w:r>
        <w:rPr>
          <w:lang w:val="fr-BE"/>
        </w:rPr>
        <w:t xml:space="preserve"> (décision 2016/2311 du Conseil, adoptée le 8 décembre 2016) et du </w:t>
      </w:r>
      <w:r>
        <w:rPr>
          <w:b/>
          <w:lang w:val="fr-BE"/>
        </w:rPr>
        <w:t>Pérou</w:t>
      </w:r>
      <w:r>
        <w:rPr>
          <w:lang w:val="fr-BE"/>
        </w:rPr>
        <w:t xml:space="preserve"> (décision 2016/2312 du Conseil, adoptée le 8 décembre 2016). </w:t>
      </w:r>
    </w:p>
  </w:footnote>
  <w:footnote w:id="3">
    <w:p>
      <w:pPr>
        <w:pStyle w:val="FootnoteText"/>
        <w:rPr>
          <w:lang w:val="fr-BE"/>
        </w:rPr>
      </w:pPr>
      <w:r>
        <w:rPr>
          <w:rStyle w:val="FootnoteReference"/>
        </w:rPr>
        <w:footnoteRef/>
      </w:r>
      <w:r>
        <w:rPr>
          <w:lang w:val="fr-BE"/>
        </w:rPr>
        <w:tab/>
        <w:t>Directive 2008/52/CE du Parlement européen et du Conseil du 21 mai 2008 sur certains aspects de la médiation en matière civile et commerciale, (JO L 136 du 24.5.2008, p. 3);</w:t>
      </w:r>
    </w:p>
  </w:footnote>
  <w:footnote w:id="4">
    <w:p>
      <w:pPr>
        <w:pStyle w:val="FootnoteText"/>
        <w:rPr>
          <w:lang w:val="fr-BE"/>
        </w:rPr>
      </w:pPr>
      <w:r>
        <w:rPr>
          <w:rStyle w:val="FootnoteReference"/>
        </w:rPr>
        <w:footnoteRef/>
      </w:r>
      <w:r>
        <w:rPr>
          <w:lang w:val="fr-BE"/>
        </w:rPr>
        <w:tab/>
      </w:r>
      <w:hyperlink r:id="rId1">
        <w:r>
          <w:rPr>
            <w:rStyle w:val="Hyperlink"/>
            <w:lang w:val="fr-BE"/>
          </w:rPr>
          <w:t>https://www.hcch.net/fr/publications-and-studies/details4/?pid=5568&amp;dtid=3</w:t>
        </w:r>
      </w:hyperlink>
    </w:p>
  </w:footnote>
  <w:footnote w:id="5">
    <w:p>
      <w:pPr>
        <w:pStyle w:val="FootnoteText"/>
        <w:rPr>
          <w:lang w:val="fr-BE"/>
        </w:rPr>
      </w:pPr>
      <w:r>
        <w:rPr>
          <w:rStyle w:val="FootnoteReference"/>
        </w:rPr>
        <w:footnoteRef/>
      </w:r>
      <w:r>
        <w:rPr>
          <w:lang w:val="fr-BE"/>
        </w:rPr>
        <w:tab/>
        <w:t>JO C […] du […], p. […].</w:t>
      </w:r>
    </w:p>
  </w:footnote>
  <w:footnote w:id="6">
    <w:p>
      <w:pPr>
        <w:pStyle w:val="FootnoteText"/>
        <w:rPr>
          <w:lang w:val="fr-BE"/>
        </w:rPr>
      </w:pPr>
      <w:r>
        <w:rPr>
          <w:rStyle w:val="FootnoteReference"/>
        </w:rPr>
        <w:footnoteRef/>
      </w:r>
      <w:r>
        <w:rPr>
          <w:lang w:val="fr-BE"/>
        </w:rP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 w:id="7">
    <w:p>
      <w:pPr>
        <w:pStyle w:val="FootnoteText"/>
        <w:rPr>
          <w:lang w:val="fr-BE"/>
        </w:rPr>
      </w:pPr>
      <w:r>
        <w:rPr>
          <w:rStyle w:val="FootnoteReference"/>
        </w:rPr>
        <w:sym w:font="Symbol" w:char="F02A"/>
      </w:r>
      <w:r>
        <w:rPr>
          <w:lang w:val="fr-BE"/>
        </w:rPr>
        <w:tab/>
        <w:t>JO: veuillez insérer le numéro de cette décision.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8:59: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F1470754AF7488E858C210E9D7D772B"/>
    <w:docVar w:name="LW_CROSSREFERENCE" w:val="&lt;UNUSED&gt;"/>
    <w:docVar w:name="LW_DocType" w:val="COM"/>
    <w:docVar w:name="LW_EMISSION" w:val="3.7.2017"/>
    <w:docVar w:name="LW_EMISSION_ISODATE" w:val="2017-07-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8"/>
    <w:docVar w:name="LW_REF.II.NEW.CP_YEAR" w:val="2017"/>
    <w:docVar w:name="LW_REF.INST.NEW" w:val="COM"/>
    <w:docVar w:name="LW_REF.INST.NEW_ADOPTED" w:val="final"/>
    <w:docVar w:name="LW_REF.INST.NEW_TEXT" w:val="(2017) 357"/>
    <w:docVar w:name="LW_REF.INTERNE" w:val="&lt;UNUSED&gt;"/>
    <w:docVar w:name="LW_SOUS.TITRE.OBJ.CP" w:val="&lt;UNUSED&gt;"/>
    <w:docVar w:name="LW_STATUT.CP" w:val="Proposition de"/>
    <w:docVar w:name="LW_SUPERTITRE" w:val="&lt;UNUSED&gt;"/>
    <w:docVar w:name="LW_TITRE.OBJ.CP" w:val="autorisant le Luxembourg et la Roumanie à accepter, dans l\u8217?intérêt de l\u8217?Union européenne, l\u8217?adhésion de la Géorgie et de l\u8217?Afrique du Sud à la convention de La Haye de 1980 sur les aspects civils de l\u8217?enlèvement international d\u8217?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2810</Words>
  <Characters>14417</Characters>
  <Application>Microsoft Office Word</Application>
  <DocSecurity>0</DocSecurity>
  <Lines>240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2017-05-08T14:52:00Z</cp:lastPrinted>
  <dcterms:created xsi:type="dcterms:W3CDTF">2017-06-20T15:51:00Z</dcterms:created>
  <dcterms:modified xsi:type="dcterms:W3CDTF">2017-06-29T06:59:00Z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