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DCC571DE72345B48F7AC302016E567C" style="width:450.75pt;height:36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autoSpaceDE w:val="0"/>
        <w:autoSpaceDN w:val="0"/>
        <w:adjustRightInd w:val="0"/>
        <w:spacing w:line="240" w:lineRule="auto"/>
        <w:jc w:val="center"/>
        <w:rPr>
          <w:rFonts w:ascii="Times New Roman" w:eastAsia="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Приложение</w:t>
      </w:r>
    </w:p>
    <w:p>
      <w:pPr>
        <w:autoSpaceDE w:val="0"/>
        <w:autoSpaceDN w:val="0"/>
        <w:adjustRightInd w:val="0"/>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 Списък на документите на Комисията, във връзка с които тя получи мотивирани становища</w:t>
      </w:r>
      <w:r>
        <w:rPr>
          <w:rFonts w:ascii="Times New Roman" w:hAnsi="Times New Roman"/>
          <w:b/>
          <w:noProof/>
          <w:sz w:val="24"/>
          <w:vertAlign w:val="superscript"/>
        </w:rPr>
        <w:footnoteReference w:id="1"/>
      </w:r>
      <w:r>
        <w:rPr>
          <w:rFonts w:ascii="Times New Roman" w:hAnsi="Times New Roman"/>
          <w:b/>
          <w:noProof/>
          <w:sz w:val="24"/>
        </w:rPr>
        <w:t xml:space="preserve"> от националните парламенти през 2016 г. относно спазването на принципа на субсидиарност</w:t>
      </w:r>
      <w:r>
        <w:rPr>
          <w:rFonts w:ascii="Times New Roman" w:eastAsia="Times New Roman" w:hAnsi="Times New Roman" w:cs="Times New Roman"/>
          <w:b/>
          <w:noProof/>
          <w:sz w:val="24"/>
          <w:szCs w:val="24"/>
        </w:rPr>
        <w:br/>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409"/>
        <w:gridCol w:w="1418"/>
        <w:gridCol w:w="1134"/>
        <w:gridCol w:w="2410"/>
      </w:tblGrid>
      <w:tr>
        <w:trPr>
          <w:cantSplit/>
          <w:trHeight w:val="1333"/>
          <w:tblHeader/>
        </w:trPr>
        <w:tc>
          <w:tcPr>
            <w:tcW w:w="568" w:type="dxa"/>
            <w:tcBorders>
              <w:top w:val="nil"/>
              <w:left w:val="nil"/>
            </w:tcBorders>
            <w:shd w:val="clear" w:color="auto" w:fill="auto"/>
          </w:tcPr>
          <w:p>
            <w:pPr>
              <w:spacing w:after="240" w:line="240" w:lineRule="auto"/>
              <w:rPr>
                <w:rFonts w:ascii="Times New Roman" w:eastAsia="Times New Roman" w:hAnsi="Times New Roman" w:cs="Times New Roman"/>
                <w:noProof/>
                <w:sz w:val="24"/>
                <w:szCs w:val="24"/>
              </w:rPr>
            </w:pPr>
          </w:p>
        </w:tc>
        <w:tc>
          <w:tcPr>
            <w:tcW w:w="1843" w:type="dxa"/>
            <w:shd w:val="clear" w:color="auto" w:fill="auto"/>
          </w:tcPr>
          <w:p>
            <w:pPr>
              <w:spacing w:after="240" w:line="240" w:lineRule="auto"/>
              <w:rPr>
                <w:rFonts w:ascii="Times New Roman" w:eastAsia="Times New Roman" w:hAnsi="Times New Roman" w:cs="Times New Roman"/>
                <w:b/>
                <w:noProof/>
              </w:rPr>
            </w:pPr>
          </w:p>
          <w:p>
            <w:pPr>
              <w:spacing w:after="240" w:line="240" w:lineRule="auto"/>
              <w:jc w:val="center"/>
              <w:rPr>
                <w:rFonts w:ascii="Times New Roman" w:eastAsia="Times New Roman" w:hAnsi="Times New Roman" w:cs="Times New Roman"/>
                <w:b/>
                <w:noProof/>
              </w:rPr>
            </w:pPr>
            <w:r>
              <w:rPr>
                <w:rFonts w:ascii="Times New Roman" w:hAnsi="Times New Roman"/>
                <w:b/>
                <w:noProof/>
              </w:rPr>
              <w:t>Документ на Комисията</w:t>
            </w:r>
          </w:p>
        </w:tc>
        <w:tc>
          <w:tcPr>
            <w:tcW w:w="2409" w:type="dxa"/>
            <w:shd w:val="clear" w:color="auto" w:fill="auto"/>
          </w:tcPr>
          <w:p>
            <w:pPr>
              <w:spacing w:after="240" w:line="240" w:lineRule="auto"/>
              <w:rPr>
                <w:rFonts w:ascii="Times New Roman" w:eastAsia="Times New Roman" w:hAnsi="Times New Roman" w:cs="Times New Roman"/>
                <w:b/>
                <w:noProof/>
              </w:rPr>
            </w:pPr>
          </w:p>
          <w:p>
            <w:pPr>
              <w:spacing w:after="240" w:line="240" w:lineRule="auto"/>
              <w:jc w:val="center"/>
              <w:rPr>
                <w:rFonts w:ascii="Times New Roman" w:eastAsia="Times New Roman" w:hAnsi="Times New Roman" w:cs="Times New Roman"/>
                <w:noProof/>
              </w:rPr>
            </w:pPr>
            <w:r>
              <w:rPr>
                <w:rFonts w:ascii="Times New Roman" w:hAnsi="Times New Roman"/>
                <w:b/>
                <w:noProof/>
              </w:rPr>
              <w:t>Заглавие</w:t>
            </w:r>
          </w:p>
        </w:tc>
        <w:tc>
          <w:tcPr>
            <w:tcW w:w="1418" w:type="dxa"/>
            <w:shd w:val="clear" w:color="auto" w:fill="auto"/>
          </w:tcPr>
          <w:p>
            <w:pPr>
              <w:spacing w:after="240" w:line="240" w:lineRule="auto"/>
              <w:jc w:val="center"/>
              <w:rPr>
                <w:rFonts w:ascii="Times New Roman" w:eastAsia="Times New Roman" w:hAnsi="Times New Roman" w:cs="Times New Roman"/>
                <w:b/>
                <w:noProof/>
                <w:sz w:val="2"/>
                <w:szCs w:val="2"/>
              </w:rPr>
            </w:pPr>
          </w:p>
          <w:p>
            <w:pPr>
              <w:spacing w:after="240" w:line="240" w:lineRule="auto"/>
              <w:jc w:val="center"/>
              <w:rPr>
                <w:rFonts w:ascii="Times New Roman" w:eastAsia="Times New Roman" w:hAnsi="Times New Roman" w:cs="Times New Roman"/>
                <w:b/>
                <w:noProof/>
                <w:spacing w:val="-4"/>
              </w:rPr>
            </w:pPr>
            <w:r>
              <w:rPr>
                <w:rFonts w:ascii="Times New Roman" w:hAnsi="Times New Roman"/>
                <w:b/>
                <w:noProof/>
                <w:spacing w:val="-4"/>
              </w:rPr>
              <w:t>Брой мотивирани становища (Протокол № 2)</w:t>
            </w:r>
          </w:p>
        </w:tc>
        <w:tc>
          <w:tcPr>
            <w:tcW w:w="1134" w:type="dxa"/>
            <w:shd w:val="clear" w:color="auto" w:fill="auto"/>
          </w:tcPr>
          <w:p>
            <w:pPr>
              <w:spacing w:after="240" w:line="240" w:lineRule="auto"/>
              <w:jc w:val="center"/>
              <w:rPr>
                <w:rFonts w:ascii="Times New Roman" w:eastAsia="Times New Roman" w:hAnsi="Times New Roman" w:cs="Times New Roman"/>
                <w:b/>
                <w:noProof/>
                <w:sz w:val="2"/>
                <w:szCs w:val="2"/>
              </w:rPr>
            </w:pPr>
          </w:p>
          <w:p>
            <w:pPr>
              <w:spacing w:after="240" w:line="240" w:lineRule="auto"/>
              <w:jc w:val="center"/>
              <w:rPr>
                <w:rFonts w:ascii="Times New Roman" w:eastAsia="Times New Roman" w:hAnsi="Times New Roman" w:cs="Times New Roman"/>
                <w:noProof/>
              </w:rPr>
            </w:pPr>
            <w:r>
              <w:rPr>
                <w:rFonts w:ascii="Times New Roman" w:hAnsi="Times New Roman"/>
                <w:b/>
                <w:noProof/>
              </w:rPr>
              <w:t>Брой гласове (Протокол № 2)</w:t>
            </w:r>
            <w:r>
              <w:rPr>
                <w:rFonts w:ascii="Times New Roman" w:hAnsi="Times New Roman"/>
                <w:noProof/>
                <w:vertAlign w:val="superscript"/>
              </w:rPr>
              <w:footnoteReference w:id="2"/>
            </w:r>
          </w:p>
        </w:tc>
        <w:tc>
          <w:tcPr>
            <w:tcW w:w="2410" w:type="dxa"/>
            <w:shd w:val="clear" w:color="auto" w:fill="auto"/>
          </w:tcPr>
          <w:p>
            <w:pPr>
              <w:spacing w:after="240" w:line="240" w:lineRule="auto"/>
              <w:jc w:val="center"/>
              <w:rPr>
                <w:rFonts w:ascii="Times New Roman" w:eastAsia="Times New Roman" w:hAnsi="Times New Roman" w:cs="Times New Roman"/>
                <w:b/>
                <w:noProof/>
                <w:sz w:val="2"/>
                <w:szCs w:val="2"/>
              </w:rPr>
            </w:pPr>
          </w:p>
          <w:p>
            <w:pPr>
              <w:spacing w:after="240" w:line="240" w:lineRule="auto"/>
              <w:jc w:val="center"/>
              <w:rPr>
                <w:rFonts w:ascii="Times New Roman" w:eastAsia="Times New Roman" w:hAnsi="Times New Roman" w:cs="Times New Roman"/>
                <w:noProof/>
              </w:rPr>
            </w:pPr>
            <w:r>
              <w:rPr>
                <w:rFonts w:ascii="Times New Roman" w:hAnsi="Times New Roman"/>
                <w:b/>
                <w:noProof/>
              </w:rPr>
              <w:t>Национална камара, подала мотивирано становище</w:t>
            </w:r>
          </w:p>
        </w:tc>
      </w:tr>
      <w:tr>
        <w:trPr>
          <w:cantSplit/>
          <w:trHeight w:val="6948"/>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128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изменение на Директива 96/71/ЕО на Европейския парламент и на Съвета от 16 декември 1996 г. относно командироването на работници в рамките на предоставянето на услуги</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14</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BG </w:t>
            </w:r>
            <w:r>
              <w:rPr>
                <w:rFonts w:ascii="Times New Roman" w:hAnsi="Times New Roman"/>
                <w:i/>
                <w:noProof/>
              </w:rPr>
              <w:t>Народно събрание</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HR </w:t>
            </w:r>
            <w:r>
              <w:rPr>
                <w:rFonts w:ascii="Times New Roman" w:hAnsi="Times New Roman"/>
                <w:i/>
                <w:noProof/>
              </w:rPr>
              <w:t>Hrvatski</w:t>
            </w:r>
            <w:r>
              <w:rPr>
                <w:rFonts w:ascii="Times New Roman" w:hAnsi="Times New Roman"/>
                <w:noProof/>
              </w:rPr>
              <w:t xml:space="preserve"> </w:t>
            </w:r>
            <w:r>
              <w:rPr>
                <w:rFonts w:ascii="Times New Roman" w:hAnsi="Times New Roman"/>
                <w:i/>
                <w:noProof/>
              </w:rPr>
              <w:t>sabor</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Poslanecká sněmovna</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Senát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DK </w:t>
            </w:r>
            <w:r>
              <w:rPr>
                <w:rFonts w:ascii="Times New Roman" w:hAnsi="Times New Roman"/>
                <w:i/>
                <w:noProof/>
              </w:rPr>
              <w:t>Folketing</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EE </w:t>
            </w:r>
            <w:r>
              <w:rPr>
                <w:rFonts w:ascii="Times New Roman" w:hAnsi="Times New Roman"/>
                <w:i/>
                <w:noProof/>
              </w:rPr>
              <w:t>Riigikogu</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HU </w:t>
            </w:r>
            <w:r>
              <w:rPr>
                <w:rFonts w:ascii="Times New Roman" w:hAnsi="Times New Roman"/>
                <w:i/>
                <w:noProof/>
              </w:rPr>
              <w:t>Országgyűlés</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LV </w:t>
            </w:r>
            <w:r>
              <w:rPr>
                <w:rFonts w:ascii="Times New Roman" w:hAnsi="Times New Roman"/>
                <w:i/>
                <w:noProof/>
              </w:rPr>
              <w:t>Saeima</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LT </w:t>
            </w:r>
            <w:r>
              <w:rPr>
                <w:rFonts w:ascii="Times New Roman" w:hAnsi="Times New Roman"/>
                <w:i/>
                <w:noProof/>
              </w:rPr>
              <w:t>Seimas</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PL </w:t>
            </w:r>
            <w:r>
              <w:rPr>
                <w:rFonts w:ascii="Times New Roman" w:hAnsi="Times New Roman"/>
                <w:i/>
                <w:noProof/>
              </w:rPr>
              <w:t>Sejm</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PL </w:t>
            </w:r>
            <w:r>
              <w:rPr>
                <w:rFonts w:ascii="Times New Roman" w:hAnsi="Times New Roman"/>
                <w:i/>
                <w:noProof/>
              </w:rPr>
              <w:t>Senat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RO </w:t>
            </w:r>
            <w:r>
              <w:rPr>
                <w:rFonts w:ascii="Times New Roman" w:hAnsi="Times New Roman"/>
                <w:i/>
                <w:noProof/>
              </w:rPr>
              <w:t>Camera</w:t>
            </w:r>
            <w:r>
              <w:rPr>
                <w:rFonts w:ascii="Times New Roman" w:hAnsi="Times New Roman"/>
                <w:noProof/>
              </w:rPr>
              <w:t xml:space="preserve"> </w:t>
            </w:r>
            <w:r>
              <w:rPr>
                <w:rFonts w:ascii="Times New Roman" w:hAnsi="Times New Roman"/>
                <w:i/>
                <w:noProof/>
              </w:rPr>
              <w:t>Deputaților</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RO </w:t>
            </w:r>
            <w:r>
              <w:rPr>
                <w:rFonts w:ascii="Times New Roman" w:hAnsi="Times New Roman"/>
                <w:i/>
                <w:noProof/>
              </w:rPr>
              <w:t>Senat</w:t>
            </w:r>
            <w:r>
              <w:rPr>
                <w:rFonts w:ascii="Times New Roman" w:hAnsi="Times New Roman"/>
                <w:noProof/>
              </w:rPr>
              <w:t xml:space="preserve"> (1 глас) </w:t>
            </w:r>
          </w:p>
          <w:p>
            <w:pPr>
              <w:spacing w:after="240" w:line="240" w:lineRule="auto"/>
              <w:rPr>
                <w:rFonts w:ascii="Times New Roman" w:eastAsia="Times New Roman" w:hAnsi="Times New Roman" w:cs="Times New Roman"/>
                <w:noProof/>
              </w:rPr>
            </w:pPr>
            <w:r>
              <w:rPr>
                <w:rFonts w:ascii="Times New Roman" w:hAnsi="Times New Roman"/>
                <w:noProof/>
              </w:rPr>
              <w:t xml:space="preserve">SK </w:t>
            </w:r>
            <w:r>
              <w:rPr>
                <w:rFonts w:ascii="Times New Roman" w:hAnsi="Times New Roman"/>
                <w:i/>
                <w:noProof/>
              </w:rPr>
              <w:t>Národná</w:t>
            </w:r>
            <w:r>
              <w:rPr>
                <w:rFonts w:ascii="Times New Roman" w:hAnsi="Times New Roman"/>
                <w:noProof/>
              </w:rPr>
              <w:t xml:space="preserve"> </w:t>
            </w:r>
            <w:r>
              <w:rPr>
                <w:rFonts w:ascii="Times New Roman" w:hAnsi="Times New Roman"/>
                <w:i/>
                <w:noProof/>
              </w:rPr>
              <w:t>rada</w:t>
            </w:r>
            <w:r>
              <w:rPr>
                <w:rFonts w:ascii="Times New Roman" w:hAnsi="Times New Roman"/>
                <w:noProof/>
              </w:rPr>
              <w:t xml:space="preserve"> (2 гласа) </w:t>
            </w:r>
          </w:p>
        </w:tc>
      </w:tr>
      <w:tr>
        <w:trPr>
          <w:cantSplit/>
          <w:trHeight w:val="414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COM(2016) 683</w:t>
            </w:r>
            <w:r>
              <w:rPr>
                <w:rStyle w:val="FootnoteReference"/>
                <w:rFonts w:ascii="Times New Roman" w:hAnsi="Times New Roman"/>
                <w:noProof/>
              </w:rPr>
              <w:footnoteReference w:id="3"/>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на Съвета относно обща консолидирана основа за облагане с корпоративен данък (ОКООКД)</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8</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DK </w:t>
            </w:r>
            <w:r>
              <w:rPr>
                <w:rFonts w:ascii="Times New Roman" w:hAnsi="Times New Roman"/>
                <w:i/>
                <w:noProof/>
              </w:rPr>
              <w:t>Folketing</w:t>
            </w:r>
            <w:r>
              <w:rPr>
                <w:rStyle w:val="FootnoteReference"/>
                <w:rFonts w:ascii="Times New Roman" w:hAnsi="Times New Roman"/>
                <w:noProof/>
              </w:rPr>
              <w:footnoteReference w:id="4"/>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IE </w:t>
            </w:r>
            <w:r>
              <w:rPr>
                <w:rFonts w:ascii="Times New Roman" w:hAnsi="Times New Roman"/>
                <w:i/>
                <w:noProof/>
              </w:rPr>
              <w:t>Dáil</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5"/>
            </w:r>
            <w:r>
              <w:rPr>
                <w:rFonts w:ascii="Times New Roman" w:hAnsi="Times New Roman"/>
                <w:noProof/>
              </w:rPr>
              <w:t>(1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IE </w:t>
            </w:r>
            <w:r>
              <w:rPr>
                <w:rFonts w:ascii="Times New Roman" w:hAnsi="Times New Roman"/>
                <w:i/>
                <w:noProof/>
              </w:rPr>
              <w:t>Seanad</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6"/>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LU </w:t>
            </w:r>
            <w:r>
              <w:rPr>
                <w:rFonts w:ascii="Times New Roman" w:hAnsi="Times New Roman"/>
                <w:i/>
                <w:noProof/>
              </w:rPr>
              <w:t>Chambre</w:t>
            </w:r>
            <w:r>
              <w:rPr>
                <w:rFonts w:ascii="Times New Roman" w:hAnsi="Times New Roman"/>
                <w:noProof/>
              </w:rPr>
              <w:t xml:space="preserve"> </w:t>
            </w:r>
            <w:r>
              <w:rPr>
                <w:rFonts w:ascii="Times New Roman" w:hAnsi="Times New Roman"/>
                <w:i/>
                <w:noProof/>
              </w:rPr>
              <w:t>des</w:t>
            </w:r>
            <w:r>
              <w:rPr>
                <w:rFonts w:ascii="Times New Roman" w:hAnsi="Times New Roman"/>
                <w:noProof/>
              </w:rPr>
              <w:t xml:space="preserve"> </w:t>
            </w:r>
            <w:r>
              <w:rPr>
                <w:rFonts w:ascii="Times New Roman" w:hAnsi="Times New Roman"/>
                <w:i/>
                <w:noProof/>
              </w:rPr>
              <w:t>Députés</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lang w:val="sv-SE"/>
              </w:rPr>
            </w:pPr>
            <w:r>
              <w:rPr>
                <w:rFonts w:ascii="Times New Roman" w:hAnsi="Times New Roman"/>
                <w:noProof/>
                <w:lang w:val="sv-SE"/>
              </w:rPr>
              <w:t xml:space="preserve">MT </w:t>
            </w:r>
            <w:r>
              <w:rPr>
                <w:rFonts w:ascii="Times New Roman" w:hAnsi="Times New Roman"/>
                <w:i/>
                <w:noProof/>
                <w:lang w:val="sv-SE"/>
              </w:rPr>
              <w:t>Kamra</w:t>
            </w:r>
            <w:r>
              <w:rPr>
                <w:rFonts w:ascii="Times New Roman" w:hAnsi="Times New Roman"/>
                <w:noProof/>
                <w:lang w:val="sv-SE"/>
              </w:rPr>
              <w:t xml:space="preserve"> </w:t>
            </w:r>
            <w:r>
              <w:rPr>
                <w:rFonts w:ascii="Times New Roman" w:hAnsi="Times New Roman"/>
                <w:i/>
                <w:noProof/>
                <w:lang w:val="sv-SE"/>
              </w:rPr>
              <w:t>tad-Deputati</w:t>
            </w:r>
            <w:r>
              <w:rPr>
                <w:rFonts w:ascii="Times New Roman" w:hAnsi="Times New Roman"/>
                <w:noProof/>
                <w:lang w:val="sv-SE"/>
              </w:rPr>
              <w:t xml:space="preserve"> (2 </w:t>
            </w:r>
            <w:r>
              <w:rPr>
                <w:rFonts w:ascii="Times New Roman" w:hAnsi="Times New Roman"/>
                <w:noProof/>
              </w:rPr>
              <w:t>гласа</w:t>
            </w:r>
            <w:r>
              <w:rPr>
                <w:rFonts w:ascii="Times New Roman" w:hAnsi="Times New Roman"/>
                <w:noProof/>
                <w:lang w:val="sv-SE"/>
              </w:rPr>
              <w:t>)</w:t>
            </w:r>
          </w:p>
          <w:p>
            <w:pPr>
              <w:spacing w:after="240" w:line="240" w:lineRule="auto"/>
              <w:rPr>
                <w:rFonts w:ascii="Times New Roman" w:eastAsia="Times New Roman" w:hAnsi="Times New Roman" w:cs="Times New Roman"/>
                <w:noProof/>
                <w:lang w:val="nl-NL"/>
              </w:rPr>
            </w:pPr>
            <w:r>
              <w:rPr>
                <w:rFonts w:ascii="Times New Roman" w:hAnsi="Times New Roman"/>
                <w:noProof/>
                <w:lang w:val="nl-NL"/>
              </w:rPr>
              <w:t xml:space="preserve">NL </w:t>
            </w:r>
            <w:r>
              <w:rPr>
                <w:rFonts w:ascii="Times New Roman" w:hAnsi="Times New Roman"/>
                <w:i/>
                <w:noProof/>
                <w:lang w:val="nl-NL"/>
              </w:rPr>
              <w:t>Eerste</w:t>
            </w:r>
            <w:r>
              <w:rPr>
                <w:rFonts w:ascii="Times New Roman" w:hAnsi="Times New Roman"/>
                <w:noProof/>
                <w:lang w:val="nl-NL"/>
              </w:rPr>
              <w:t xml:space="preserve"> </w:t>
            </w:r>
            <w:r>
              <w:rPr>
                <w:rFonts w:ascii="Times New Roman" w:hAnsi="Times New Roman"/>
                <w:i/>
                <w:noProof/>
                <w:lang w:val="nl-NL"/>
              </w:rPr>
              <w:t>Kamer</w:t>
            </w:r>
            <w:r>
              <w:rPr>
                <w:rStyle w:val="FootnoteReference"/>
                <w:rFonts w:ascii="Times New Roman" w:hAnsi="Times New Roman"/>
                <w:noProof/>
              </w:rPr>
              <w:footnoteReference w:id="7"/>
            </w:r>
            <w:r>
              <w:rPr>
                <w:rFonts w:ascii="Times New Roman" w:hAnsi="Times New Roman"/>
                <w:noProof/>
                <w:lang w:val="nl-NL"/>
              </w:rPr>
              <w:t xml:space="preserve"> (1 </w:t>
            </w:r>
            <w:r>
              <w:rPr>
                <w:rFonts w:ascii="Times New Roman" w:hAnsi="Times New Roman"/>
                <w:noProof/>
              </w:rPr>
              <w:t>глас</w:t>
            </w:r>
            <w:r>
              <w:rPr>
                <w:rFonts w:ascii="Times New Roman" w:hAnsi="Times New Roman"/>
                <w:noProof/>
                <w:lang w:val="nl-NL"/>
              </w:rPr>
              <w:t xml:space="preserve">) </w:t>
            </w:r>
          </w:p>
          <w:p>
            <w:pPr>
              <w:spacing w:after="240" w:line="240" w:lineRule="auto"/>
              <w:rPr>
                <w:rFonts w:ascii="Times New Roman" w:eastAsia="Times New Roman" w:hAnsi="Times New Roman" w:cs="Times New Roman"/>
                <w:noProof/>
                <w:lang w:val="nl-NL"/>
              </w:rPr>
            </w:pPr>
            <w:r>
              <w:rPr>
                <w:rFonts w:ascii="Times New Roman" w:hAnsi="Times New Roman"/>
                <w:noProof/>
                <w:lang w:val="nl-NL"/>
              </w:rPr>
              <w:t xml:space="preserve">NL </w:t>
            </w:r>
            <w:r>
              <w:rPr>
                <w:rFonts w:ascii="Times New Roman" w:hAnsi="Times New Roman"/>
                <w:i/>
                <w:noProof/>
                <w:lang w:val="nl-NL"/>
              </w:rPr>
              <w:t>Tweede</w:t>
            </w:r>
            <w:r>
              <w:rPr>
                <w:rFonts w:ascii="Times New Roman" w:hAnsi="Times New Roman"/>
                <w:noProof/>
                <w:lang w:val="nl-NL"/>
              </w:rPr>
              <w:t xml:space="preserve"> </w:t>
            </w:r>
            <w:r>
              <w:rPr>
                <w:rFonts w:ascii="Times New Roman" w:hAnsi="Times New Roman"/>
                <w:i/>
                <w:noProof/>
                <w:lang w:val="nl-NL"/>
              </w:rPr>
              <w:t>Kamer</w:t>
            </w:r>
            <w:r>
              <w:rPr>
                <w:rFonts w:ascii="Times New Roman" w:hAnsi="Times New Roman"/>
                <w:noProof/>
                <w:lang w:val="nl-NL"/>
              </w:rPr>
              <w:t xml:space="preserve"> (1 </w:t>
            </w:r>
            <w:r>
              <w:rPr>
                <w:rFonts w:ascii="Times New Roman" w:hAnsi="Times New Roman"/>
                <w:noProof/>
              </w:rPr>
              <w:t>глас</w:t>
            </w:r>
            <w:r>
              <w:rPr>
                <w:rFonts w:ascii="Times New Roman" w:hAnsi="Times New Roman"/>
                <w:noProof/>
                <w:lang w:val="nl-NL"/>
              </w:rPr>
              <w:t xml:space="preserve">) </w:t>
            </w:r>
          </w:p>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 </w:t>
            </w:r>
          </w:p>
        </w:tc>
      </w:tr>
      <w:tr>
        <w:trPr>
          <w:cantSplit/>
          <w:trHeight w:val="414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3</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COM(2016) 685</w:t>
            </w:r>
            <w:r>
              <w:rPr>
                <w:rStyle w:val="FootnoteReference"/>
                <w:rFonts w:ascii="Times New Roman" w:hAnsi="Times New Roman"/>
                <w:noProof/>
              </w:rPr>
              <w:footnoteReference w:id="8"/>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на Съвета относно обща основа за облагане с корпоративен данък</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8</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DK </w:t>
            </w:r>
            <w:r>
              <w:rPr>
                <w:rFonts w:ascii="Times New Roman" w:hAnsi="Times New Roman"/>
                <w:i/>
                <w:noProof/>
              </w:rPr>
              <w:t>Folketing</w:t>
            </w:r>
            <w:r>
              <w:rPr>
                <w:rStyle w:val="FootnoteReference"/>
                <w:rFonts w:ascii="Times New Roman" w:hAnsi="Times New Roman"/>
                <w:noProof/>
              </w:rPr>
              <w:footnoteReference w:id="9"/>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IE </w:t>
            </w:r>
            <w:r>
              <w:rPr>
                <w:rFonts w:ascii="Times New Roman" w:hAnsi="Times New Roman"/>
                <w:i/>
                <w:noProof/>
              </w:rPr>
              <w:t>Dáil</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10"/>
            </w:r>
            <w:r>
              <w:rPr>
                <w:rFonts w:ascii="Times New Roman" w:hAnsi="Times New Roman"/>
                <w:noProof/>
              </w:rPr>
              <w:t>(1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IE </w:t>
            </w:r>
            <w:r>
              <w:rPr>
                <w:rFonts w:ascii="Times New Roman" w:hAnsi="Times New Roman"/>
                <w:i/>
                <w:noProof/>
              </w:rPr>
              <w:t>Seanad</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11"/>
            </w:r>
            <w:r>
              <w:rPr>
                <w:rFonts w:ascii="Times New Roman" w:hAnsi="Times New Roman"/>
                <w:noProof/>
              </w:rPr>
              <w:t xml:space="preserve"> (1 глас) </w:t>
            </w:r>
          </w:p>
          <w:p>
            <w:pPr>
              <w:spacing w:after="240" w:line="240" w:lineRule="auto"/>
              <w:rPr>
                <w:rFonts w:ascii="Times New Roman" w:eastAsia="Times New Roman" w:hAnsi="Times New Roman" w:cs="Times New Roman"/>
                <w:noProof/>
              </w:rPr>
            </w:pPr>
            <w:r>
              <w:rPr>
                <w:rFonts w:ascii="Times New Roman" w:hAnsi="Times New Roman"/>
                <w:noProof/>
              </w:rPr>
              <w:t xml:space="preserve">LU </w:t>
            </w:r>
            <w:r>
              <w:rPr>
                <w:rFonts w:ascii="Times New Roman" w:hAnsi="Times New Roman"/>
                <w:i/>
                <w:noProof/>
              </w:rPr>
              <w:t>Chambre</w:t>
            </w:r>
            <w:r>
              <w:rPr>
                <w:rFonts w:ascii="Times New Roman" w:hAnsi="Times New Roman"/>
                <w:noProof/>
              </w:rPr>
              <w:t xml:space="preserve"> </w:t>
            </w:r>
            <w:r>
              <w:rPr>
                <w:rFonts w:ascii="Times New Roman" w:hAnsi="Times New Roman"/>
                <w:i/>
                <w:noProof/>
              </w:rPr>
              <w:t>des</w:t>
            </w:r>
            <w:r>
              <w:rPr>
                <w:rFonts w:ascii="Times New Roman" w:hAnsi="Times New Roman"/>
                <w:noProof/>
              </w:rPr>
              <w:t xml:space="preserve"> </w:t>
            </w:r>
            <w:r>
              <w:rPr>
                <w:rFonts w:ascii="Times New Roman" w:hAnsi="Times New Roman"/>
                <w:i/>
                <w:noProof/>
              </w:rPr>
              <w:t>Députés</w:t>
            </w:r>
            <w:r>
              <w:rPr>
                <w:rFonts w:ascii="Times New Roman" w:hAnsi="Times New Roman"/>
                <w:noProof/>
              </w:rPr>
              <w:t xml:space="preserve"> (2 гласа) </w:t>
            </w:r>
          </w:p>
          <w:p>
            <w:pPr>
              <w:spacing w:after="240" w:line="240" w:lineRule="auto"/>
              <w:rPr>
                <w:rFonts w:ascii="Times New Roman" w:eastAsia="Times New Roman" w:hAnsi="Times New Roman" w:cs="Times New Roman"/>
                <w:noProof/>
                <w:lang w:val="sv-SE"/>
              </w:rPr>
            </w:pPr>
            <w:r>
              <w:rPr>
                <w:rFonts w:ascii="Times New Roman" w:hAnsi="Times New Roman"/>
                <w:noProof/>
                <w:lang w:val="sv-SE"/>
              </w:rPr>
              <w:t xml:space="preserve">MT </w:t>
            </w:r>
            <w:r>
              <w:rPr>
                <w:rFonts w:ascii="Times New Roman" w:hAnsi="Times New Roman"/>
                <w:i/>
                <w:noProof/>
                <w:lang w:val="sv-SE"/>
              </w:rPr>
              <w:t>Kamra</w:t>
            </w:r>
            <w:r>
              <w:rPr>
                <w:rFonts w:ascii="Times New Roman" w:hAnsi="Times New Roman"/>
                <w:noProof/>
                <w:lang w:val="sv-SE"/>
              </w:rPr>
              <w:t xml:space="preserve"> </w:t>
            </w:r>
            <w:r>
              <w:rPr>
                <w:rFonts w:ascii="Times New Roman" w:hAnsi="Times New Roman"/>
                <w:i/>
                <w:noProof/>
                <w:lang w:val="sv-SE"/>
              </w:rPr>
              <w:t>tad-Deputati</w:t>
            </w:r>
            <w:r>
              <w:rPr>
                <w:rFonts w:ascii="Times New Roman" w:hAnsi="Times New Roman"/>
                <w:noProof/>
                <w:lang w:val="sv-SE"/>
              </w:rPr>
              <w:t xml:space="preserve"> (2 </w:t>
            </w:r>
            <w:r>
              <w:rPr>
                <w:rFonts w:ascii="Times New Roman" w:hAnsi="Times New Roman"/>
                <w:noProof/>
              </w:rPr>
              <w:t>гласа</w:t>
            </w:r>
            <w:r>
              <w:rPr>
                <w:rFonts w:ascii="Times New Roman" w:hAnsi="Times New Roman"/>
                <w:noProof/>
                <w:lang w:val="sv-SE"/>
              </w:rPr>
              <w:t xml:space="preserve">) </w:t>
            </w:r>
          </w:p>
          <w:p>
            <w:pPr>
              <w:spacing w:after="240" w:line="240" w:lineRule="auto"/>
              <w:rPr>
                <w:rFonts w:ascii="Times New Roman" w:eastAsia="Times New Roman" w:hAnsi="Times New Roman" w:cs="Times New Roman"/>
                <w:noProof/>
                <w:lang w:val="nl-NL"/>
              </w:rPr>
            </w:pPr>
            <w:r>
              <w:rPr>
                <w:rFonts w:ascii="Times New Roman" w:hAnsi="Times New Roman"/>
                <w:noProof/>
                <w:lang w:val="nl-NL"/>
              </w:rPr>
              <w:t xml:space="preserve">NL </w:t>
            </w:r>
            <w:r>
              <w:rPr>
                <w:rFonts w:ascii="Times New Roman" w:hAnsi="Times New Roman"/>
                <w:i/>
                <w:noProof/>
                <w:lang w:val="nl-NL"/>
              </w:rPr>
              <w:t>Eerste</w:t>
            </w:r>
            <w:r>
              <w:rPr>
                <w:rFonts w:ascii="Times New Roman" w:hAnsi="Times New Roman"/>
                <w:noProof/>
                <w:lang w:val="nl-NL"/>
              </w:rPr>
              <w:t xml:space="preserve"> </w:t>
            </w:r>
            <w:r>
              <w:rPr>
                <w:rFonts w:ascii="Times New Roman" w:hAnsi="Times New Roman"/>
                <w:i/>
                <w:noProof/>
                <w:lang w:val="nl-NL"/>
              </w:rPr>
              <w:t>Kamer</w:t>
            </w:r>
            <w:r>
              <w:rPr>
                <w:rStyle w:val="FootnoteReference"/>
                <w:rFonts w:ascii="Times New Roman" w:hAnsi="Times New Roman"/>
                <w:noProof/>
              </w:rPr>
              <w:footnoteReference w:id="12"/>
            </w:r>
            <w:r>
              <w:rPr>
                <w:rFonts w:ascii="Times New Roman" w:hAnsi="Times New Roman"/>
                <w:noProof/>
                <w:lang w:val="nl-NL"/>
              </w:rPr>
              <w:t xml:space="preserve"> (1 </w:t>
            </w:r>
            <w:r>
              <w:rPr>
                <w:rFonts w:ascii="Times New Roman" w:hAnsi="Times New Roman"/>
                <w:noProof/>
              </w:rPr>
              <w:t>глас</w:t>
            </w:r>
            <w:r>
              <w:rPr>
                <w:rFonts w:ascii="Times New Roman" w:hAnsi="Times New Roman"/>
                <w:noProof/>
                <w:lang w:val="nl-NL"/>
              </w:rPr>
              <w:t xml:space="preserve">) </w:t>
            </w:r>
          </w:p>
          <w:p>
            <w:pPr>
              <w:spacing w:after="240" w:line="240" w:lineRule="auto"/>
              <w:rPr>
                <w:rFonts w:ascii="Times New Roman" w:eastAsia="Times New Roman" w:hAnsi="Times New Roman" w:cs="Times New Roman"/>
                <w:noProof/>
                <w:lang w:val="nl-NL"/>
              </w:rPr>
            </w:pPr>
            <w:r>
              <w:rPr>
                <w:rFonts w:ascii="Times New Roman" w:hAnsi="Times New Roman"/>
                <w:noProof/>
                <w:lang w:val="nl-NL"/>
              </w:rPr>
              <w:t xml:space="preserve">NL </w:t>
            </w:r>
            <w:r>
              <w:rPr>
                <w:rFonts w:ascii="Times New Roman" w:hAnsi="Times New Roman"/>
                <w:i/>
                <w:noProof/>
                <w:lang w:val="nl-NL"/>
              </w:rPr>
              <w:t>Tweede</w:t>
            </w:r>
            <w:r>
              <w:rPr>
                <w:rFonts w:ascii="Times New Roman" w:hAnsi="Times New Roman"/>
                <w:noProof/>
                <w:lang w:val="nl-NL"/>
              </w:rPr>
              <w:t xml:space="preserve"> </w:t>
            </w:r>
            <w:r>
              <w:rPr>
                <w:rFonts w:ascii="Times New Roman" w:hAnsi="Times New Roman"/>
                <w:i/>
                <w:noProof/>
                <w:lang w:val="nl-NL"/>
              </w:rPr>
              <w:t>Kamer</w:t>
            </w:r>
            <w:r>
              <w:rPr>
                <w:rFonts w:ascii="Times New Roman" w:hAnsi="Times New Roman"/>
                <w:noProof/>
                <w:lang w:val="nl-NL"/>
              </w:rPr>
              <w:t xml:space="preserve"> (1 </w:t>
            </w:r>
            <w:r>
              <w:rPr>
                <w:rFonts w:ascii="Times New Roman" w:hAnsi="Times New Roman"/>
                <w:noProof/>
              </w:rPr>
              <w:t>глас</w:t>
            </w:r>
            <w:r>
              <w:rPr>
                <w:rFonts w:ascii="Times New Roman" w:hAnsi="Times New Roman"/>
                <w:noProof/>
                <w:lang w:val="nl-NL"/>
              </w:rPr>
              <w:t xml:space="preserve">) </w:t>
            </w:r>
          </w:p>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 </w:t>
            </w:r>
          </w:p>
        </w:tc>
      </w:tr>
      <w:tr>
        <w:trPr>
          <w:cantSplit/>
          <w:trHeight w:val="414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4</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270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tc>
        <w:tc>
          <w:tcPr>
            <w:tcW w:w="1418" w:type="dxa"/>
            <w:shd w:val="clear" w:color="auto" w:fill="auto"/>
          </w:tcPr>
          <w:p>
            <w:pPr>
              <w:spacing w:after="240" w:line="240" w:lineRule="auto"/>
              <w:rPr>
                <w:rFonts w:ascii="Times New Roman" w:eastAsia="Times New Roman" w:hAnsi="Times New Roman" w:cs="Times New Roman"/>
                <w:dstrike/>
                <w:noProof/>
              </w:rPr>
            </w:pPr>
            <w:r>
              <w:rPr>
                <w:rFonts w:ascii="Times New Roman" w:hAnsi="Times New Roman"/>
                <w:noProof/>
              </w:rPr>
              <w:t>8</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10</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Poslanecká</w:t>
            </w:r>
            <w:r>
              <w:rPr>
                <w:rFonts w:ascii="Times New Roman" w:hAnsi="Times New Roman"/>
                <w:noProof/>
              </w:rPr>
              <w:t xml:space="preserve"> </w:t>
            </w:r>
            <w:r>
              <w:rPr>
                <w:rFonts w:ascii="Times New Roman" w:hAnsi="Times New Roman"/>
                <w:i/>
                <w:noProof/>
              </w:rPr>
              <w:t>sněmovna</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Senát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HU </w:t>
            </w:r>
            <w:r>
              <w:rPr>
                <w:rFonts w:ascii="Times New Roman" w:hAnsi="Times New Roman"/>
                <w:i/>
                <w:noProof/>
              </w:rPr>
              <w:t>Országgyűlés</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IT </w:t>
            </w:r>
            <w:r>
              <w:rPr>
                <w:rFonts w:ascii="Times New Roman" w:hAnsi="Times New Roman"/>
                <w:i/>
                <w:noProof/>
              </w:rPr>
              <w:t>Senato</w:t>
            </w:r>
            <w:r>
              <w:rPr>
                <w:rFonts w:ascii="Times New Roman" w:hAnsi="Times New Roman"/>
                <w:noProof/>
              </w:rPr>
              <w:t xml:space="preserve"> </w:t>
            </w:r>
            <w:r>
              <w:rPr>
                <w:rFonts w:ascii="Times New Roman" w:hAnsi="Times New Roman"/>
                <w:i/>
                <w:noProof/>
              </w:rPr>
              <w:t>della</w:t>
            </w:r>
            <w:r>
              <w:rPr>
                <w:rFonts w:ascii="Times New Roman" w:hAnsi="Times New Roman"/>
                <w:noProof/>
              </w:rPr>
              <w:t xml:space="preserve"> </w:t>
            </w:r>
            <w:r>
              <w:rPr>
                <w:rFonts w:ascii="Times New Roman" w:hAnsi="Times New Roman"/>
                <w:i/>
                <w:noProof/>
              </w:rPr>
              <w:t>Repubblica</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PL </w:t>
            </w:r>
            <w:r>
              <w:rPr>
                <w:rFonts w:ascii="Times New Roman" w:hAnsi="Times New Roman"/>
                <w:i/>
                <w:noProof/>
              </w:rPr>
              <w:t>Sejm</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PL </w:t>
            </w:r>
            <w:r>
              <w:rPr>
                <w:rFonts w:ascii="Times New Roman" w:hAnsi="Times New Roman"/>
                <w:i/>
                <w:noProof/>
              </w:rPr>
              <w:t>Senat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RO </w:t>
            </w:r>
            <w:r>
              <w:rPr>
                <w:rFonts w:ascii="Times New Roman" w:hAnsi="Times New Roman"/>
                <w:i/>
                <w:noProof/>
              </w:rPr>
              <w:t>Camera</w:t>
            </w:r>
            <w:r>
              <w:rPr>
                <w:rFonts w:ascii="Times New Roman" w:hAnsi="Times New Roman"/>
                <w:noProof/>
              </w:rPr>
              <w:t xml:space="preserve"> </w:t>
            </w:r>
            <w:r>
              <w:rPr>
                <w:rFonts w:ascii="Times New Roman" w:hAnsi="Times New Roman"/>
                <w:i/>
                <w:noProof/>
              </w:rPr>
              <w:t>Deputaților</w:t>
            </w:r>
            <w:r>
              <w:rPr>
                <w:rFonts w:ascii="Times New Roman" w:hAnsi="Times New Roman"/>
                <w:noProof/>
              </w:rPr>
              <w:t xml:space="preserve"> (1 глас) </w:t>
            </w:r>
          </w:p>
          <w:p>
            <w:pPr>
              <w:spacing w:after="240" w:line="240" w:lineRule="auto"/>
              <w:rPr>
                <w:rFonts w:ascii="Times New Roman" w:eastAsia="Times New Roman" w:hAnsi="Times New Roman" w:cs="Times New Roman"/>
                <w:noProof/>
              </w:rPr>
            </w:pPr>
            <w:r>
              <w:rPr>
                <w:rFonts w:ascii="Times New Roman" w:hAnsi="Times New Roman"/>
                <w:noProof/>
              </w:rPr>
              <w:t xml:space="preserve">SK </w:t>
            </w:r>
            <w:r>
              <w:rPr>
                <w:rFonts w:ascii="Times New Roman" w:hAnsi="Times New Roman"/>
                <w:i/>
                <w:noProof/>
              </w:rPr>
              <w:t>Národná</w:t>
            </w:r>
            <w:r>
              <w:rPr>
                <w:rFonts w:ascii="Times New Roman" w:hAnsi="Times New Roman"/>
                <w:noProof/>
              </w:rPr>
              <w:t xml:space="preserve"> </w:t>
            </w:r>
            <w:r>
              <w:rPr>
                <w:rFonts w:ascii="Times New Roman" w:hAnsi="Times New Roman"/>
                <w:i/>
                <w:noProof/>
              </w:rPr>
              <w:t>rada</w:t>
            </w:r>
            <w:r>
              <w:rPr>
                <w:rFonts w:ascii="Times New Roman" w:hAnsi="Times New Roman"/>
                <w:noProof/>
              </w:rPr>
              <w:t xml:space="preserve"> (2 гласа)</w:t>
            </w:r>
          </w:p>
        </w:tc>
      </w:tr>
      <w:tr>
        <w:trPr>
          <w:cantSplit/>
          <w:trHeight w:val="3025"/>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5</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COM(2016) 53</w:t>
            </w:r>
            <w:r>
              <w:rPr>
                <w:rStyle w:val="FootnoteReference"/>
                <w:rFonts w:ascii="Times New Roman" w:hAnsi="Times New Roman"/>
                <w:noProof/>
              </w:rPr>
              <w:footnoteReference w:id="13"/>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решение за създаване на механизъм за обмен на информация във връзка с междуправителствени споразумения и необвързващи инструменти между държавите членки и трети държави в областта на енергетиката и за отмяна на Решение № 994/2012/ЕС</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4</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6</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AT </w:t>
            </w:r>
            <w:r>
              <w:rPr>
                <w:rFonts w:ascii="Times New Roman" w:hAnsi="Times New Roman"/>
                <w:i/>
                <w:noProof/>
              </w:rPr>
              <w:t>Bundesrat</w:t>
            </w:r>
            <w:r>
              <w:rPr>
                <w:rStyle w:val="FootnoteReference"/>
                <w:rFonts w:ascii="Times New Roman" w:hAnsi="Times New Roman"/>
                <w:noProof/>
              </w:rPr>
              <w:footnoteReference w:id="14"/>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FR </w:t>
            </w:r>
            <w:r>
              <w:rPr>
                <w:rFonts w:ascii="Times New Roman" w:hAnsi="Times New Roman"/>
                <w:i/>
                <w:noProof/>
              </w:rPr>
              <w:t>Sénat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MT </w:t>
            </w:r>
            <w:r>
              <w:rPr>
                <w:rFonts w:ascii="Times New Roman" w:hAnsi="Times New Roman"/>
                <w:i/>
                <w:noProof/>
              </w:rPr>
              <w:t>Kamra</w:t>
            </w:r>
            <w:r>
              <w:rPr>
                <w:rFonts w:ascii="Times New Roman" w:hAnsi="Times New Roman"/>
                <w:noProof/>
              </w:rPr>
              <w:t xml:space="preserve"> </w:t>
            </w:r>
            <w:r>
              <w:rPr>
                <w:rFonts w:ascii="Times New Roman" w:hAnsi="Times New Roman"/>
                <w:i/>
                <w:noProof/>
              </w:rPr>
              <w:t>tad-Deputati</w:t>
            </w:r>
            <w:r>
              <w:rPr>
                <w:rFonts w:ascii="Times New Roman" w:hAnsi="Times New Roman"/>
                <w:noProof/>
              </w:rPr>
              <w:t xml:space="preserve"> (2 гласа) </w:t>
            </w:r>
          </w:p>
          <w:p>
            <w:pPr>
              <w:spacing w:after="240" w:line="240" w:lineRule="auto"/>
              <w:rPr>
                <w:rFonts w:ascii="Times New Roman" w:eastAsia="Times New Roman" w:hAnsi="Times New Roman" w:cs="Times New Roman"/>
                <w:noProof/>
                <w:lang w:val="pt-PT"/>
              </w:rPr>
            </w:pPr>
            <w:r>
              <w:rPr>
                <w:rFonts w:ascii="Times New Roman" w:hAnsi="Times New Roman"/>
                <w:noProof/>
                <w:lang w:val="pt-PT"/>
              </w:rPr>
              <w:t xml:space="preserve">PT </w:t>
            </w:r>
            <w:r>
              <w:rPr>
                <w:rFonts w:ascii="Times New Roman" w:hAnsi="Times New Roman"/>
                <w:i/>
                <w:noProof/>
                <w:lang w:val="pt-PT"/>
              </w:rPr>
              <w:t>Assembleia</w:t>
            </w:r>
            <w:r>
              <w:rPr>
                <w:rFonts w:ascii="Times New Roman" w:hAnsi="Times New Roman"/>
                <w:noProof/>
                <w:lang w:val="pt-PT"/>
              </w:rPr>
              <w:t xml:space="preserve"> </w:t>
            </w:r>
            <w:r>
              <w:rPr>
                <w:rFonts w:ascii="Times New Roman" w:hAnsi="Times New Roman"/>
                <w:i/>
                <w:noProof/>
                <w:lang w:val="pt-PT"/>
              </w:rPr>
              <w:t>da</w:t>
            </w:r>
            <w:r>
              <w:rPr>
                <w:rFonts w:ascii="Times New Roman" w:hAnsi="Times New Roman"/>
                <w:noProof/>
                <w:lang w:val="pt-PT"/>
              </w:rPr>
              <w:t xml:space="preserve"> </w:t>
            </w:r>
            <w:r>
              <w:rPr>
                <w:rFonts w:ascii="Times New Roman" w:hAnsi="Times New Roman"/>
                <w:i/>
                <w:noProof/>
                <w:lang w:val="pt-PT"/>
              </w:rPr>
              <w:t>República</w:t>
            </w:r>
            <w:r>
              <w:rPr>
                <w:rFonts w:ascii="Times New Roman" w:hAnsi="Times New Roman"/>
                <w:noProof/>
                <w:lang w:val="pt-PT"/>
              </w:rPr>
              <w:t xml:space="preserve"> (2 </w:t>
            </w:r>
            <w:r>
              <w:rPr>
                <w:rFonts w:ascii="Times New Roman" w:hAnsi="Times New Roman"/>
                <w:noProof/>
              </w:rPr>
              <w:t>гласа</w:t>
            </w:r>
            <w:r>
              <w:rPr>
                <w:rFonts w:ascii="Times New Roman" w:hAnsi="Times New Roman"/>
                <w:noProof/>
                <w:lang w:val="pt-PT"/>
              </w:rPr>
              <w:t>)</w:t>
            </w:r>
          </w:p>
        </w:tc>
      </w:tr>
      <w:tr>
        <w:trPr>
          <w:cantSplit/>
          <w:trHeight w:val="298"/>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6</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283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относно сътрудничество между националните органи, отговорни за прилагането на законодателството за защита на потребителите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4</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6</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AT </w:t>
            </w:r>
            <w:r>
              <w:rPr>
                <w:rFonts w:ascii="Times New Roman" w:hAnsi="Times New Roman"/>
                <w:i/>
                <w:noProof/>
              </w:rPr>
              <w:t>Bundesrat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BG </w:t>
            </w:r>
            <w:r>
              <w:rPr>
                <w:rFonts w:ascii="Times New Roman" w:hAnsi="Times New Roman"/>
                <w:i/>
                <w:noProof/>
              </w:rPr>
              <w:t>Народно събрание</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Poslanecká</w:t>
            </w:r>
            <w:r>
              <w:rPr>
                <w:rFonts w:ascii="Times New Roman" w:hAnsi="Times New Roman"/>
                <w:noProof/>
              </w:rPr>
              <w:t xml:space="preserve"> </w:t>
            </w:r>
            <w:r>
              <w:rPr>
                <w:rFonts w:ascii="Times New Roman" w:hAnsi="Times New Roman"/>
                <w:i/>
                <w:noProof/>
              </w:rPr>
              <w:t>sněmovna</w:t>
            </w:r>
            <w:r>
              <w:rPr>
                <w:rFonts w:ascii="Times New Roman" w:hAnsi="Times New Roman"/>
                <w:noProof/>
              </w:rPr>
              <w:t xml:space="preserve"> (1 глас) </w:t>
            </w:r>
          </w:p>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7</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378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относно условията за влизане и пребиваване на граждани на трети държави за целите на трудова заетост, изискваща висока степен на умения</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3</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4</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BG </w:t>
            </w:r>
            <w:r>
              <w:rPr>
                <w:rFonts w:ascii="Times New Roman" w:hAnsi="Times New Roman"/>
                <w:i/>
                <w:noProof/>
              </w:rPr>
              <w:t>Народно събрание</w:t>
            </w:r>
            <w:r>
              <w:rPr>
                <w:rFonts w:ascii="Times New Roman" w:hAnsi="Times New Roman"/>
                <w:noProof/>
              </w:rPr>
              <w:t xml:space="preserve"> (2 гласа)</w:t>
            </w:r>
          </w:p>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Poslanecká</w:t>
            </w:r>
            <w:r>
              <w:rPr>
                <w:rFonts w:ascii="Times New Roman" w:hAnsi="Times New Roman"/>
                <w:noProof/>
              </w:rPr>
              <w:t xml:space="preserve"> </w:t>
            </w:r>
            <w:r>
              <w:rPr>
                <w:rFonts w:ascii="Times New Roman" w:hAnsi="Times New Roman"/>
                <w:i/>
                <w:noProof/>
              </w:rPr>
              <w:t>sněmovna</w:t>
            </w:r>
            <w:r>
              <w:rPr>
                <w:rFonts w:ascii="Times New Roman" w:hAnsi="Times New Roman"/>
                <w:noProof/>
              </w:rPr>
              <w:t xml:space="preserve"> (1 глас) </w:t>
            </w:r>
          </w:p>
          <w:p>
            <w:pPr>
              <w:spacing w:after="240" w:line="240" w:lineRule="auto"/>
              <w:rPr>
                <w:rFonts w:ascii="Times New Roman" w:eastAsia="Times New Roman" w:hAnsi="Times New Roman" w:cs="Times New Roman"/>
                <w:noProof/>
              </w:rPr>
            </w:pPr>
            <w:r>
              <w:rPr>
                <w:rFonts w:ascii="Times New Roman" w:hAnsi="Times New Roman"/>
                <w:noProof/>
              </w:rPr>
              <w:t xml:space="preserve">CZ </w:t>
            </w:r>
            <w:r>
              <w:rPr>
                <w:rFonts w:ascii="Times New Roman" w:hAnsi="Times New Roman"/>
                <w:i/>
                <w:noProof/>
              </w:rPr>
              <w:t>Senát</w:t>
            </w:r>
            <w:r>
              <w:rPr>
                <w:rFonts w:ascii="Times New Roman" w:hAnsi="Times New Roman"/>
                <w:noProof/>
              </w:rPr>
              <w:t xml:space="preserve"> (1 глас)</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8</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COM(2016) 687</w:t>
            </w:r>
            <w:r>
              <w:rPr>
                <w:rStyle w:val="FootnoteReference"/>
                <w:rFonts w:ascii="Times New Roman" w:hAnsi="Times New Roman"/>
                <w:noProof/>
              </w:rPr>
              <w:footnoteReference w:id="15"/>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на Съвета за изменение на Директива (ЕС) 2016/1164 по отношение на несъответствията при хибридни образувания и инструменти, включващи трети държави</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3</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4</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nl-NL"/>
              </w:rPr>
            </w:pPr>
            <w:r>
              <w:rPr>
                <w:rFonts w:ascii="Times New Roman" w:hAnsi="Times New Roman"/>
                <w:noProof/>
                <w:lang w:val="nl-NL"/>
              </w:rPr>
              <w:t xml:space="preserve">NL </w:t>
            </w:r>
            <w:r>
              <w:rPr>
                <w:rFonts w:ascii="Times New Roman" w:hAnsi="Times New Roman"/>
                <w:i/>
                <w:noProof/>
                <w:lang w:val="nl-NL"/>
              </w:rPr>
              <w:t>Eerste</w:t>
            </w:r>
            <w:r>
              <w:rPr>
                <w:rFonts w:ascii="Times New Roman" w:hAnsi="Times New Roman"/>
                <w:noProof/>
                <w:lang w:val="nl-NL"/>
              </w:rPr>
              <w:t xml:space="preserve"> </w:t>
            </w:r>
            <w:r>
              <w:rPr>
                <w:rFonts w:ascii="Times New Roman" w:hAnsi="Times New Roman"/>
                <w:i/>
                <w:noProof/>
                <w:lang w:val="nl-NL"/>
              </w:rPr>
              <w:t>Kamer</w:t>
            </w:r>
            <w:r>
              <w:rPr>
                <w:rStyle w:val="FootnoteReference"/>
                <w:rFonts w:ascii="Times New Roman" w:hAnsi="Times New Roman"/>
                <w:noProof/>
              </w:rPr>
              <w:footnoteReference w:id="16"/>
            </w:r>
            <w:r>
              <w:rPr>
                <w:rFonts w:ascii="Times New Roman" w:hAnsi="Times New Roman"/>
                <w:noProof/>
                <w:lang w:val="nl-NL"/>
              </w:rPr>
              <w:t xml:space="preserve"> (1 </w:t>
            </w:r>
            <w:r>
              <w:rPr>
                <w:rFonts w:ascii="Times New Roman" w:hAnsi="Times New Roman"/>
                <w:noProof/>
              </w:rPr>
              <w:t>глас</w:t>
            </w:r>
            <w:r>
              <w:rPr>
                <w:rFonts w:ascii="Times New Roman" w:hAnsi="Times New Roman"/>
                <w:noProof/>
                <w:lang w:val="nl-NL"/>
              </w:rPr>
              <w:t>)</w:t>
            </w:r>
          </w:p>
          <w:p>
            <w:pPr>
              <w:spacing w:after="240" w:line="240" w:lineRule="auto"/>
              <w:rPr>
                <w:rFonts w:ascii="Times New Roman" w:eastAsia="Times New Roman" w:hAnsi="Times New Roman" w:cs="Times New Roman"/>
                <w:noProof/>
                <w:lang w:val="nl-NL"/>
              </w:rPr>
            </w:pPr>
            <w:r>
              <w:rPr>
                <w:rFonts w:ascii="Times New Roman" w:hAnsi="Times New Roman"/>
                <w:noProof/>
                <w:lang w:val="nl-NL"/>
              </w:rPr>
              <w:t xml:space="preserve">NL </w:t>
            </w:r>
            <w:r>
              <w:rPr>
                <w:rFonts w:ascii="Times New Roman" w:hAnsi="Times New Roman"/>
                <w:i/>
                <w:noProof/>
                <w:lang w:val="nl-NL"/>
              </w:rPr>
              <w:t>Tweede</w:t>
            </w:r>
            <w:r>
              <w:rPr>
                <w:rFonts w:ascii="Times New Roman" w:hAnsi="Times New Roman"/>
                <w:noProof/>
                <w:lang w:val="nl-NL"/>
              </w:rPr>
              <w:t xml:space="preserve"> </w:t>
            </w:r>
            <w:r>
              <w:rPr>
                <w:rFonts w:ascii="Times New Roman" w:hAnsi="Times New Roman"/>
                <w:i/>
                <w:noProof/>
                <w:lang w:val="nl-NL"/>
              </w:rPr>
              <w:t>Kamer</w:t>
            </w:r>
            <w:r>
              <w:rPr>
                <w:rFonts w:ascii="Times New Roman" w:hAnsi="Times New Roman"/>
                <w:noProof/>
                <w:lang w:val="nl-NL"/>
              </w:rPr>
              <w:t xml:space="preserve"> (1 </w:t>
            </w:r>
            <w:r>
              <w:rPr>
                <w:rFonts w:ascii="Times New Roman" w:hAnsi="Times New Roman"/>
                <w:noProof/>
              </w:rPr>
              <w:t>глас</w:t>
            </w:r>
            <w:r>
              <w:rPr>
                <w:rFonts w:ascii="Times New Roman" w:hAnsi="Times New Roman"/>
                <w:noProof/>
                <w:lang w:val="nl-NL"/>
              </w:rPr>
              <w:t xml:space="preserve">) </w:t>
            </w:r>
          </w:p>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9</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26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на Съвета за определяне на правила срещу практиките за избягване на данъци, които пряко засягат функционирането на вътрешния пазар</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4</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sv-SE"/>
              </w:rPr>
            </w:pPr>
            <w:r>
              <w:rPr>
                <w:rFonts w:ascii="Times New Roman" w:hAnsi="Times New Roman"/>
                <w:noProof/>
                <w:lang w:val="sv-SE"/>
              </w:rPr>
              <w:t xml:space="preserve">MT </w:t>
            </w:r>
            <w:r>
              <w:rPr>
                <w:rFonts w:ascii="Times New Roman" w:hAnsi="Times New Roman"/>
                <w:i/>
                <w:noProof/>
                <w:lang w:val="sv-SE"/>
              </w:rPr>
              <w:t>Kamra</w:t>
            </w:r>
            <w:r>
              <w:rPr>
                <w:rFonts w:ascii="Times New Roman" w:hAnsi="Times New Roman"/>
                <w:noProof/>
                <w:lang w:val="sv-SE"/>
              </w:rPr>
              <w:t xml:space="preserve"> </w:t>
            </w:r>
            <w:r>
              <w:rPr>
                <w:rFonts w:ascii="Times New Roman" w:hAnsi="Times New Roman"/>
                <w:i/>
                <w:noProof/>
                <w:lang w:val="sv-SE"/>
              </w:rPr>
              <w:t>tad-Deputati</w:t>
            </w:r>
            <w:r>
              <w:rPr>
                <w:rFonts w:ascii="Times New Roman" w:hAnsi="Times New Roman"/>
                <w:noProof/>
                <w:lang w:val="sv-SE"/>
              </w:rPr>
              <w:t xml:space="preserve"> (2 </w:t>
            </w:r>
            <w:r>
              <w:rPr>
                <w:rFonts w:ascii="Times New Roman" w:hAnsi="Times New Roman"/>
                <w:noProof/>
              </w:rPr>
              <w:t>гласа</w:t>
            </w:r>
            <w:r>
              <w:rPr>
                <w:rFonts w:ascii="Times New Roman" w:hAnsi="Times New Roman"/>
                <w:noProof/>
                <w:lang w:val="sv-SE"/>
              </w:rPr>
              <w:t xml:space="preserve">) </w:t>
            </w:r>
          </w:p>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10</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COM(2015) 613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относно общи правила в областта на гражданското въздухоплаване и за създаването на Агенция за авиационна безопасност на Европейския съюз и за отмяна на Регламент (ЕО) № 216/2008 на Европейския парламент и на Съвета</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3</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it-IT"/>
              </w:rPr>
            </w:pPr>
            <w:r>
              <w:rPr>
                <w:rFonts w:ascii="Times New Roman" w:hAnsi="Times New Roman"/>
                <w:noProof/>
                <w:lang w:val="it-IT"/>
              </w:rPr>
              <w:t xml:space="preserve">IT </w:t>
            </w:r>
            <w:r>
              <w:rPr>
                <w:rFonts w:ascii="Times New Roman" w:hAnsi="Times New Roman"/>
                <w:i/>
                <w:noProof/>
                <w:lang w:val="it-IT"/>
              </w:rPr>
              <w:t>Senato</w:t>
            </w:r>
            <w:r>
              <w:rPr>
                <w:rFonts w:ascii="Times New Roman" w:hAnsi="Times New Roman"/>
                <w:noProof/>
                <w:lang w:val="it-IT"/>
              </w:rPr>
              <w:t xml:space="preserve"> </w:t>
            </w:r>
            <w:r>
              <w:rPr>
                <w:rFonts w:ascii="Times New Roman" w:hAnsi="Times New Roman"/>
                <w:i/>
                <w:noProof/>
                <w:lang w:val="it-IT"/>
              </w:rPr>
              <w:t>della</w:t>
            </w:r>
            <w:r>
              <w:rPr>
                <w:rFonts w:ascii="Times New Roman" w:hAnsi="Times New Roman"/>
                <w:noProof/>
                <w:lang w:val="it-IT"/>
              </w:rPr>
              <w:t xml:space="preserve"> </w:t>
            </w:r>
            <w:r>
              <w:rPr>
                <w:rFonts w:ascii="Times New Roman" w:hAnsi="Times New Roman"/>
                <w:i/>
                <w:noProof/>
                <w:lang w:val="it-IT"/>
              </w:rPr>
              <w:t>Repubblica</w:t>
            </w:r>
            <w:r>
              <w:rPr>
                <w:rFonts w:ascii="Times New Roman" w:hAnsi="Times New Roman"/>
                <w:noProof/>
                <w:lang w:val="it-IT"/>
              </w:rPr>
              <w:t xml:space="preserve"> (1 </w:t>
            </w:r>
            <w:r>
              <w:rPr>
                <w:rFonts w:ascii="Times New Roman" w:hAnsi="Times New Roman"/>
                <w:noProof/>
              </w:rPr>
              <w:t>глас</w:t>
            </w:r>
            <w:r>
              <w:rPr>
                <w:rFonts w:ascii="Times New Roman" w:hAnsi="Times New Roman"/>
                <w:noProof/>
                <w:lang w:val="it-IT"/>
              </w:rPr>
              <w:t>)</w:t>
            </w:r>
          </w:p>
          <w:p>
            <w:pPr>
              <w:spacing w:after="240" w:line="240" w:lineRule="auto"/>
              <w:rPr>
                <w:rFonts w:ascii="Times New Roman" w:eastAsia="Times New Roman" w:hAnsi="Times New Roman" w:cs="Times New Roman"/>
                <w:noProof/>
                <w:lang w:val="sv-SE"/>
              </w:rPr>
            </w:pPr>
            <w:r>
              <w:rPr>
                <w:rFonts w:ascii="Times New Roman" w:hAnsi="Times New Roman"/>
                <w:noProof/>
                <w:lang w:val="sv-SE"/>
              </w:rPr>
              <w:t xml:space="preserve">MT </w:t>
            </w:r>
            <w:r>
              <w:rPr>
                <w:rFonts w:ascii="Times New Roman" w:hAnsi="Times New Roman"/>
                <w:i/>
                <w:noProof/>
                <w:lang w:val="sv-SE"/>
              </w:rPr>
              <w:t>Kamra</w:t>
            </w:r>
            <w:r>
              <w:rPr>
                <w:rFonts w:ascii="Times New Roman" w:hAnsi="Times New Roman"/>
                <w:noProof/>
                <w:lang w:val="sv-SE"/>
              </w:rPr>
              <w:t xml:space="preserve"> </w:t>
            </w:r>
            <w:r>
              <w:rPr>
                <w:rFonts w:ascii="Times New Roman" w:hAnsi="Times New Roman"/>
                <w:i/>
                <w:noProof/>
                <w:lang w:val="sv-SE"/>
              </w:rPr>
              <w:t>tad-Deputati</w:t>
            </w:r>
            <w:r>
              <w:rPr>
                <w:rFonts w:ascii="Times New Roman" w:hAnsi="Times New Roman"/>
                <w:noProof/>
                <w:lang w:val="sv-SE"/>
              </w:rPr>
              <w:t xml:space="preserve"> (2 </w:t>
            </w:r>
            <w:r>
              <w:rPr>
                <w:rFonts w:ascii="Times New Roman" w:hAnsi="Times New Roman"/>
                <w:noProof/>
              </w:rPr>
              <w:t>гласа</w:t>
            </w:r>
            <w:r>
              <w:rPr>
                <w:rFonts w:ascii="Times New Roman" w:hAnsi="Times New Roman"/>
                <w:noProof/>
                <w:lang w:val="sv-SE"/>
              </w:rPr>
              <w:t xml:space="preserve">) </w:t>
            </w:r>
          </w:p>
        </w:tc>
      </w:tr>
      <w:tr>
        <w:trPr>
          <w:cantSplit/>
          <w:trHeight w:val="282"/>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11</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198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изменение на Директива 2013/34/ЕС по отношение на оповестяването на информация за корпоративния данък от страна на някои предприятия и клонове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3</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IE </w:t>
            </w:r>
            <w:r>
              <w:rPr>
                <w:rFonts w:ascii="Times New Roman" w:hAnsi="Times New Roman"/>
                <w:i/>
                <w:noProof/>
              </w:rPr>
              <w:t>Dáil</w:t>
            </w:r>
            <w:r>
              <w:rPr>
                <w:rFonts w:ascii="Times New Roman" w:hAnsi="Times New Roman"/>
                <w:noProof/>
              </w:rPr>
              <w:t xml:space="preserve"> </w:t>
            </w:r>
            <w:r>
              <w:rPr>
                <w:rFonts w:ascii="Times New Roman" w:hAnsi="Times New Roman"/>
                <w:i/>
                <w:noProof/>
              </w:rPr>
              <w:t>Éireann</w:t>
            </w:r>
            <w:r>
              <w:rPr>
                <w:rFonts w:ascii="Times New Roman" w:hAnsi="Times New Roman"/>
                <w:noProof/>
              </w:rPr>
              <w:t>(1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204"/>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12</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COM(2015) 595</w:t>
            </w:r>
            <w:r>
              <w:rPr>
                <w:rStyle w:val="FootnoteReference"/>
                <w:rFonts w:ascii="Times New Roman" w:hAnsi="Times New Roman"/>
                <w:noProof/>
              </w:rPr>
              <w:footnoteReference w:id="17"/>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изменение на Директива 2008/98/ЕО относно отпадъците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AT </w:t>
            </w:r>
            <w:r>
              <w:rPr>
                <w:rFonts w:ascii="Times New Roman" w:hAnsi="Times New Roman"/>
                <w:i/>
                <w:noProof/>
              </w:rPr>
              <w:t>Bundesrat</w:t>
            </w:r>
            <w:r>
              <w:rPr>
                <w:rFonts w:ascii="Times New Roman" w:hAnsi="Times New Roman"/>
                <w:noProof/>
              </w:rPr>
              <w:t xml:space="preserve"> (1 глас)</w:t>
            </w:r>
          </w:p>
          <w:p>
            <w:pPr>
              <w:spacing w:after="240" w:line="240" w:lineRule="auto"/>
              <w:rPr>
                <w:rFonts w:ascii="Times New Roman" w:eastAsia="Times New Roman" w:hAnsi="Times New Roman" w:cs="Times New Roman"/>
                <w:noProof/>
              </w:rPr>
            </w:pPr>
            <w:r>
              <w:rPr>
                <w:rFonts w:ascii="Times New Roman" w:hAnsi="Times New Roman"/>
                <w:noProof/>
              </w:rPr>
              <w:t xml:space="preserve">FR </w:t>
            </w:r>
            <w:r>
              <w:rPr>
                <w:rFonts w:ascii="Times New Roman" w:hAnsi="Times New Roman"/>
                <w:i/>
                <w:noProof/>
              </w:rPr>
              <w:t>Sénat</w:t>
            </w:r>
            <w:r>
              <w:rPr>
                <w:rStyle w:val="FootnoteReference"/>
                <w:rFonts w:ascii="Times New Roman" w:hAnsi="Times New Roman"/>
                <w:noProof/>
              </w:rPr>
              <w:footnoteReference w:id="18"/>
            </w:r>
            <w:r>
              <w:rPr>
                <w:rFonts w:ascii="Times New Roman" w:hAnsi="Times New Roman"/>
                <w:noProof/>
              </w:rPr>
              <w:t xml:space="preserve"> (1 глас)</w:t>
            </w:r>
          </w:p>
        </w:tc>
      </w:tr>
      <w:tr>
        <w:trPr>
          <w:cantSplit/>
          <w:trHeight w:val="204"/>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13</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COM(2015) 750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изменение на Директива 91/477/ЕИО на Съвета относно контрола на придобиването и притежаването на оръжие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14</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25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на Съвета за изменение на Директива 2011/16/ЕС по отношение на задължителния автоматичен обмен на информация в областта на данъчното облагане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63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15</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551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за създаване на обща рамка за европейските статистически данни за лицата и домакинствата, основани на индивидуални данни, събрани чрез извадки</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 </w:t>
            </w:r>
          </w:p>
        </w:tc>
      </w:tr>
      <w:tr>
        <w:trPr>
          <w:cantSplit/>
          <w:trHeight w:val="372"/>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16</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589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за изменение на регламенти (ЕС) № 1316/2013 и (ЕС) № 283/2014 по отношение на насърчаването на свързаността с интернет в местните общности</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54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17</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590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Предложение за директива за установяване на Европейски кодекс за електронни съобщения </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492"/>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18</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686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на Съвета относно механизми за разрешаване на спорове във връзка с двойното данъчно облагане в Европейския съюз</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SE </w:t>
            </w:r>
            <w:r>
              <w:rPr>
                <w:rFonts w:ascii="Times New Roman" w:hAnsi="Times New Roman"/>
                <w:i/>
                <w:noProof/>
              </w:rPr>
              <w:t>Riksdag</w:t>
            </w:r>
            <w:r>
              <w:rPr>
                <w:rFonts w:ascii="Times New Roman" w:hAnsi="Times New Roman"/>
                <w:noProof/>
              </w:rPr>
              <w:t xml:space="preserve"> (2 гласа)</w:t>
            </w:r>
          </w:p>
        </w:tc>
      </w:tr>
      <w:tr>
        <w:trPr>
          <w:cantSplit/>
          <w:trHeight w:val="29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19</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COM(2015) 594</w:t>
            </w:r>
            <w:r>
              <w:rPr>
                <w:rStyle w:val="FootnoteReference"/>
                <w:rFonts w:ascii="Times New Roman" w:hAnsi="Times New Roman"/>
                <w:noProof/>
              </w:rPr>
              <w:footnoteReference w:id="19"/>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изменение на Директива 1999/31/ЕО на Съвета относно депонирането на отпадъци</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FR </w:t>
            </w:r>
            <w:r>
              <w:rPr>
                <w:rFonts w:ascii="Times New Roman" w:hAnsi="Times New Roman"/>
                <w:i/>
                <w:noProof/>
              </w:rPr>
              <w:t>Sénat</w:t>
            </w:r>
            <w:r>
              <w:rPr>
                <w:rStyle w:val="FootnoteReference"/>
                <w:rFonts w:ascii="Times New Roman" w:hAnsi="Times New Roman"/>
                <w:noProof/>
              </w:rPr>
              <w:footnoteReference w:id="20"/>
            </w:r>
            <w:r>
              <w:rPr>
                <w:rFonts w:ascii="Times New Roman" w:hAnsi="Times New Roman"/>
                <w:noProof/>
              </w:rPr>
              <w:t xml:space="preserve"> (1 глас)</w:t>
            </w:r>
          </w:p>
        </w:tc>
      </w:tr>
      <w:tr>
        <w:trPr>
          <w:cantSplit/>
          <w:trHeight w:val="138"/>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20</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COM(2015) 596</w:t>
            </w:r>
            <w:r>
              <w:rPr>
                <w:rStyle w:val="FootnoteReference"/>
                <w:rFonts w:ascii="Times New Roman" w:hAnsi="Times New Roman"/>
                <w:noProof/>
              </w:rPr>
              <w:footnoteReference w:id="21"/>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изменение на Директива 94/62/ЕО относно опаковките и отпадъците от опаковки</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FR </w:t>
            </w:r>
            <w:r>
              <w:rPr>
                <w:rFonts w:ascii="Times New Roman" w:hAnsi="Times New Roman"/>
                <w:i/>
                <w:noProof/>
              </w:rPr>
              <w:t>Sénat</w:t>
            </w:r>
            <w:r>
              <w:rPr>
                <w:rStyle w:val="FootnoteReference"/>
                <w:rFonts w:ascii="Times New Roman" w:hAnsi="Times New Roman"/>
                <w:noProof/>
              </w:rPr>
              <w:footnoteReference w:id="22"/>
            </w:r>
            <w:r>
              <w:rPr>
                <w:rFonts w:ascii="Times New Roman" w:hAnsi="Times New Roman"/>
                <w:noProof/>
              </w:rPr>
              <w:t xml:space="preserve"> (1 глас)</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21</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COM(2015) 634</w:t>
            </w:r>
            <w:r>
              <w:rPr>
                <w:rStyle w:val="FootnoteReference"/>
                <w:rFonts w:ascii="Times New Roman" w:hAnsi="Times New Roman"/>
                <w:noProof/>
              </w:rPr>
              <w:footnoteReference w:id="23"/>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относно някои аспекти на договорите за предоставяне на цифрово съдържание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FR </w:t>
            </w:r>
            <w:r>
              <w:rPr>
                <w:rFonts w:ascii="Times New Roman" w:hAnsi="Times New Roman"/>
                <w:i/>
                <w:noProof/>
              </w:rPr>
              <w:t>Sénat</w:t>
            </w:r>
            <w:r>
              <w:rPr>
                <w:rStyle w:val="FootnoteReference"/>
                <w:rFonts w:ascii="Times New Roman" w:hAnsi="Times New Roman"/>
                <w:noProof/>
              </w:rPr>
              <w:footnoteReference w:id="24"/>
            </w:r>
            <w:r>
              <w:rPr>
                <w:rFonts w:ascii="Times New Roman" w:hAnsi="Times New Roman"/>
                <w:noProof/>
              </w:rPr>
              <w:t xml:space="preserve"> (1 глас)</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22</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COM(2015) 635</w:t>
            </w:r>
            <w:r>
              <w:rPr>
                <w:rStyle w:val="FootnoteReference"/>
                <w:rFonts w:ascii="Times New Roman" w:hAnsi="Times New Roman"/>
                <w:noProof/>
              </w:rPr>
              <w:footnoteReference w:id="25"/>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относно някои аспекти на договорите за онлайн продажби и други продажби на стоки от разстояние</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FR </w:t>
            </w:r>
            <w:r>
              <w:rPr>
                <w:rFonts w:ascii="Times New Roman" w:hAnsi="Times New Roman"/>
                <w:i/>
                <w:noProof/>
              </w:rPr>
              <w:t>Sénat</w:t>
            </w:r>
            <w:r>
              <w:rPr>
                <w:rStyle w:val="FootnoteReference"/>
                <w:rFonts w:ascii="Times New Roman" w:hAnsi="Times New Roman"/>
                <w:noProof/>
              </w:rPr>
              <w:footnoteReference w:id="26"/>
            </w:r>
            <w:r>
              <w:rPr>
                <w:rFonts w:ascii="Times New Roman" w:hAnsi="Times New Roman"/>
                <w:noProof/>
              </w:rPr>
              <w:t xml:space="preserve"> (1 глас)</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23</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COM(2016) 52</w:t>
            </w:r>
            <w:r>
              <w:rPr>
                <w:rStyle w:val="FootnoteReference"/>
                <w:rFonts w:ascii="Times New Roman" w:hAnsi="Times New Roman"/>
                <w:noProof/>
              </w:rPr>
              <w:footnoteReference w:id="27"/>
            </w:r>
            <w:r>
              <w:rPr>
                <w:rFonts w:ascii="Times New Roman" w:hAnsi="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относно мерките за гарантиране на сигурността на доставките на газ и за отмяна на Регламент (ЕС) № 994/2010</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AT </w:t>
            </w:r>
            <w:r>
              <w:rPr>
                <w:rFonts w:ascii="Times New Roman" w:hAnsi="Times New Roman"/>
                <w:i/>
                <w:noProof/>
              </w:rPr>
              <w:t>Bundesrat</w:t>
            </w:r>
            <w:r>
              <w:rPr>
                <w:rStyle w:val="FootnoteReference"/>
                <w:rFonts w:ascii="Times New Roman" w:hAnsi="Times New Roman"/>
                <w:noProof/>
              </w:rPr>
              <w:footnoteReference w:id="28"/>
            </w:r>
            <w:r>
              <w:rPr>
                <w:rFonts w:ascii="Times New Roman" w:hAnsi="Times New Roman"/>
                <w:noProof/>
              </w:rPr>
              <w:t xml:space="preserve"> (1 глас)</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24</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289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за преодоляване на блокирането на географски принцип и на други форми на дискриминация въз основа на националността, мястото на пребиваване или мястото на установяване на клиентите в рамките на вътрешния пазар и за изменение на Регламент (ЕО) № 2006/2004 и Директива 2009/22/ЕО</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AT </w:t>
            </w:r>
            <w:r>
              <w:rPr>
                <w:rFonts w:ascii="Times New Roman" w:hAnsi="Times New Roman"/>
                <w:i/>
                <w:noProof/>
              </w:rPr>
              <w:t>Bundesrat</w:t>
            </w:r>
            <w:r>
              <w:rPr>
                <w:rFonts w:ascii="Times New Roman" w:hAnsi="Times New Roman"/>
                <w:noProof/>
              </w:rPr>
              <w:t xml:space="preserve"> (1 глас)</w:t>
            </w:r>
          </w:p>
        </w:tc>
      </w:tr>
      <w:tr>
        <w:trPr>
          <w:cantSplit/>
          <w:trHeight w:val="425"/>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25</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465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директива за определяне на стандарти относно приемането на кандидати за международна закрила (преработен текст)</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it-IT"/>
              </w:rPr>
            </w:pPr>
            <w:r>
              <w:rPr>
                <w:rFonts w:ascii="Times New Roman" w:hAnsi="Times New Roman"/>
                <w:noProof/>
                <w:lang w:val="it-IT"/>
              </w:rPr>
              <w:t xml:space="preserve">IT </w:t>
            </w:r>
            <w:r>
              <w:rPr>
                <w:rFonts w:ascii="Times New Roman" w:hAnsi="Times New Roman"/>
                <w:i/>
                <w:noProof/>
                <w:lang w:val="it-IT"/>
              </w:rPr>
              <w:t>Senato</w:t>
            </w:r>
            <w:r>
              <w:rPr>
                <w:rFonts w:ascii="Times New Roman" w:hAnsi="Times New Roman"/>
                <w:noProof/>
                <w:lang w:val="it-IT"/>
              </w:rPr>
              <w:t xml:space="preserve"> </w:t>
            </w:r>
            <w:r>
              <w:rPr>
                <w:rFonts w:ascii="Times New Roman" w:hAnsi="Times New Roman"/>
                <w:i/>
                <w:noProof/>
                <w:lang w:val="it-IT"/>
              </w:rPr>
              <w:t>della</w:t>
            </w:r>
            <w:r>
              <w:rPr>
                <w:rFonts w:ascii="Times New Roman" w:hAnsi="Times New Roman"/>
                <w:noProof/>
                <w:lang w:val="it-IT"/>
              </w:rPr>
              <w:t xml:space="preserve"> </w:t>
            </w:r>
            <w:r>
              <w:rPr>
                <w:rFonts w:ascii="Times New Roman" w:hAnsi="Times New Roman"/>
                <w:i/>
                <w:noProof/>
                <w:lang w:val="it-IT"/>
              </w:rPr>
              <w:t>Repubblica</w:t>
            </w:r>
            <w:r>
              <w:rPr>
                <w:rFonts w:ascii="Times New Roman" w:hAnsi="Times New Roman"/>
                <w:noProof/>
                <w:lang w:val="it-IT"/>
              </w:rPr>
              <w:t xml:space="preserve"> (1 </w:t>
            </w:r>
            <w:r>
              <w:rPr>
                <w:rFonts w:ascii="Times New Roman" w:hAnsi="Times New Roman"/>
                <w:noProof/>
              </w:rPr>
              <w:t>глас</w:t>
            </w:r>
            <w:r>
              <w:rPr>
                <w:rFonts w:ascii="Times New Roman" w:hAnsi="Times New Roman"/>
                <w:noProof/>
                <w:lang w:val="it-IT"/>
              </w:rPr>
              <w:t>)</w:t>
            </w:r>
          </w:p>
        </w:tc>
      </w:tr>
      <w:tr>
        <w:trPr>
          <w:cantSplit/>
          <w:trHeight w:val="295"/>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26</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COM(2016) 491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Предложение за регламент за създаване на система на ЕС за сертифициране на оборудването за проверка за авиационна сигурност</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hAnsi="Times New Roman"/>
                <w:noProof/>
              </w:rPr>
              <w:t xml:space="preserve">UK House of Commons (1 глас) </w:t>
            </w:r>
          </w:p>
        </w:tc>
      </w:tr>
      <w:tr>
        <w:trPr>
          <w:cantSplit/>
        </w:trPr>
        <w:tc>
          <w:tcPr>
            <w:tcW w:w="2411" w:type="dxa"/>
            <w:gridSpan w:val="2"/>
            <w:tcBorders>
              <w:top w:val="single" w:sz="4" w:space="0" w:color="auto"/>
              <w:left w:val="single" w:sz="4" w:space="0" w:color="auto"/>
              <w:bottom w:val="single" w:sz="4" w:space="0" w:color="auto"/>
              <w:right w:val="single" w:sz="4" w:space="0" w:color="auto"/>
            </w:tcBorders>
            <w:hideMark/>
          </w:tcPr>
          <w:p>
            <w:pPr>
              <w:spacing w:after="240" w:line="240" w:lineRule="auto"/>
              <w:rPr>
                <w:rFonts w:ascii="Times New Roman" w:eastAsia="Times New Roman" w:hAnsi="Times New Roman" w:cs="Times New Roman"/>
                <w:noProof/>
              </w:rPr>
            </w:pPr>
            <w:r>
              <w:rPr>
                <w:rFonts w:ascii="Times New Roman" w:hAnsi="Times New Roman"/>
                <w:noProof/>
              </w:rPr>
              <w:t>Брой мотивирани становища по документи на Комисията, броени поотделно</w:t>
            </w:r>
            <w:r>
              <w:rPr>
                <w:rStyle w:val="FootnoteReference"/>
                <w:rFonts w:ascii="Times New Roman" w:hAnsi="Times New Roman"/>
                <w:noProof/>
              </w:rPr>
              <w:footnoteReference w:id="29"/>
            </w:r>
          </w:p>
        </w:tc>
        <w:tc>
          <w:tcPr>
            <w:tcW w:w="7371" w:type="dxa"/>
            <w:gridSpan w:val="4"/>
            <w:tcBorders>
              <w:top w:val="single" w:sz="4" w:space="0" w:color="auto"/>
              <w:left w:val="single" w:sz="4" w:space="0" w:color="auto"/>
              <w:bottom w:val="single" w:sz="4" w:space="0" w:color="auto"/>
              <w:right w:val="single" w:sz="4" w:space="0" w:color="auto"/>
            </w:tcBorders>
            <w:vAlign w:val="center"/>
          </w:tcPr>
          <w:p>
            <w:pPr>
              <w:spacing w:after="240" w:line="240" w:lineRule="auto"/>
              <w:rPr>
                <w:rFonts w:ascii="Times New Roman" w:eastAsia="Times New Roman" w:hAnsi="Times New Roman" w:cs="Times New Roman"/>
                <w:noProof/>
              </w:rPr>
            </w:pPr>
            <w:r>
              <w:rPr>
                <w:rFonts w:ascii="Times New Roman" w:hAnsi="Times New Roman"/>
                <w:noProof/>
              </w:rPr>
              <w:t>74</w:t>
            </w:r>
          </w:p>
          <w:p>
            <w:pPr>
              <w:spacing w:after="240" w:line="240" w:lineRule="auto"/>
              <w:rPr>
                <w:rFonts w:ascii="Times New Roman" w:eastAsia="Times New Roman" w:hAnsi="Times New Roman" w:cs="Times New Roman"/>
                <w:noProof/>
              </w:rPr>
            </w:pPr>
          </w:p>
        </w:tc>
      </w:tr>
      <w:tr>
        <w:trPr>
          <w:cantSplit/>
        </w:trPr>
        <w:tc>
          <w:tcPr>
            <w:tcW w:w="2411" w:type="dxa"/>
            <w:gridSpan w:val="2"/>
            <w:tcBorders>
              <w:top w:val="single" w:sz="4" w:space="0" w:color="auto"/>
              <w:left w:val="single" w:sz="4" w:space="0" w:color="auto"/>
              <w:bottom w:val="single" w:sz="4" w:space="0" w:color="auto"/>
              <w:right w:val="single" w:sz="4" w:space="0" w:color="auto"/>
            </w:tcBorders>
            <w:hideMark/>
          </w:tcPr>
          <w:p>
            <w:pPr>
              <w:spacing w:after="240" w:line="240" w:lineRule="auto"/>
              <w:rPr>
                <w:rFonts w:ascii="Times New Roman" w:eastAsia="Times New Roman" w:hAnsi="Times New Roman" w:cs="Times New Roman"/>
                <w:noProof/>
              </w:rPr>
            </w:pPr>
            <w:r>
              <w:rPr>
                <w:rFonts w:ascii="Times New Roman" w:hAnsi="Times New Roman"/>
                <w:b/>
                <w:noProof/>
              </w:rPr>
              <w:t>ОБЩ брой получени мотивирани становища</w:t>
            </w:r>
            <w:r>
              <w:rPr>
                <w:rStyle w:val="FootnoteReference"/>
                <w:rFonts w:ascii="Times New Roman" w:hAnsi="Times New Roman"/>
                <w:noProof/>
              </w:rPr>
              <w:footnoteReference w:id="30"/>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pPr>
              <w:spacing w:after="240" w:line="240" w:lineRule="auto"/>
              <w:rPr>
                <w:rFonts w:ascii="Times New Roman" w:eastAsia="Times New Roman" w:hAnsi="Times New Roman" w:cs="Times New Roman"/>
                <w:noProof/>
              </w:rPr>
            </w:pPr>
            <w:r>
              <w:rPr>
                <w:rFonts w:ascii="Times New Roman" w:hAnsi="Times New Roman"/>
                <w:noProof/>
              </w:rPr>
              <w:t>65</w:t>
            </w:r>
          </w:p>
        </w:tc>
      </w:tr>
    </w:tbl>
    <w:p>
      <w:pPr>
        <w:spacing w:after="0" w:line="240" w:lineRule="auto"/>
        <w:rPr>
          <w:rFonts w:ascii="Times New Roman" w:eastAsia="Times New Roman" w:hAnsi="Times New Roman" w:cs="Times New Roman"/>
          <w:noProof/>
        </w:rPr>
      </w:pPr>
    </w:p>
    <w:p>
      <w:pPr>
        <w:autoSpaceDE w:val="0"/>
        <w:autoSpaceDN w:val="0"/>
        <w:adjustRightInd w:val="0"/>
        <w:spacing w:after="240" w:line="240" w:lineRule="auto"/>
        <w:jc w:val="center"/>
        <w:rPr>
          <w:rFonts w:ascii="Times New Roman" w:eastAsia="Times New Roman" w:hAnsi="Times New Roman" w:cs="Times New Roman"/>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454" w:left="1418"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700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0615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heme="majorBidi" w:hAnsiTheme="majorBidi" w:cstheme="majorBidi"/>
          <w:lang w:val="bg-BG"/>
        </w:rPr>
      </w:pPr>
      <w:r>
        <w:rPr>
          <w:rStyle w:val="FootnoteReference"/>
          <w:rFonts w:ascii="Times New Roman" w:hAnsi="Times New Roman"/>
        </w:rPr>
        <w:footnoteRef/>
      </w:r>
      <w:r>
        <w:rPr>
          <w:rFonts w:asciiTheme="majorBidi" w:hAnsiTheme="majorBidi" w:cstheme="majorBidi"/>
        </w:rPr>
        <w:t xml:space="preserve"> </w:t>
      </w:r>
      <w:r>
        <w:rPr>
          <w:lang w:val="bg-BG"/>
        </w:rPr>
        <w:tab/>
      </w:r>
      <w:r>
        <w:rPr>
          <w:rFonts w:asciiTheme="majorBidi" w:hAnsiTheme="majorBidi" w:cstheme="majorBidi"/>
          <w:lang w:val="bg-BG"/>
        </w:rPr>
        <w:t>За да може дадено становище да се окачестви като мотивирано становище съгласно определението в Протокол № 2, в него трябва да се посочват причините, поради които националният парламент счита, че законодателното предложение не е съобразено с принципа на субсидиарност, и то трябва да бъде изпратено на Комисията в срок от осем седмици, считано от момента на предаването на предложението на националните парламенти.</w:t>
      </w:r>
    </w:p>
  </w:footnote>
  <w:footnote w:id="2">
    <w:p>
      <w:pPr>
        <w:pStyle w:val="FootnoteText"/>
        <w:tabs>
          <w:tab w:val="left" w:pos="284"/>
        </w:tabs>
        <w:ind w:left="284" w:hanging="284"/>
        <w:jc w:val="both"/>
        <w:rPr>
          <w:rFonts w:asciiTheme="majorBidi" w:hAnsiTheme="majorBidi" w:cstheme="majorBidi"/>
          <w:b/>
          <w:lang w:val="bg-BG"/>
        </w:rPr>
      </w:pPr>
      <w:r>
        <w:rPr>
          <w:rStyle w:val="FootnoteReference"/>
          <w:rFonts w:ascii="Times New Roman" w:hAnsi="Times New Roman"/>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Съгласно Протокол № 2 всеки национален парламент разполага с два гласа. В случай на двукамарна система всяка от камарите разполага с един глас. Когато мотивираните становища представляват най-малко една трета (за предложения по член 76 от ДФЕС — една четвърт) от общия брой на дадените на националните парламенти гласове, прагът за задействане на т. нар. процедура ,,жълт картон“ е достигнат, т.е. проектът на законодателен акт трябва да бъде преразгледан. 19 от общо 56 гласа представляват една трета от общия брой на дадените гласове.</w:t>
      </w:r>
    </w:p>
  </w:footnote>
  <w:footnote w:id="3">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Мотивираните становища от DK </w:t>
      </w:r>
      <w:r>
        <w:rPr>
          <w:rFonts w:ascii="Times New Roman" w:hAnsi="Times New Roman"/>
          <w:i/>
          <w:lang w:val="bg-BG"/>
        </w:rPr>
        <w:t>Folketing</w:t>
      </w:r>
      <w:r>
        <w:rPr>
          <w:rFonts w:ascii="Times New Roman" w:hAnsi="Times New Roman"/>
          <w:lang w:val="bg-BG"/>
        </w:rPr>
        <w:t xml:space="preserve">, IE </w:t>
      </w:r>
      <w:r>
        <w:rPr>
          <w:rFonts w:ascii="Times New Roman" w:hAnsi="Times New Roman"/>
          <w:i/>
          <w:lang w:val="bg-BG"/>
        </w:rPr>
        <w:t>Dáil Éireann</w:t>
      </w:r>
      <w:r>
        <w:rPr>
          <w:rFonts w:ascii="Times New Roman" w:hAnsi="Times New Roman"/>
          <w:lang w:val="bg-BG"/>
        </w:rPr>
        <w:t xml:space="preserve"> и IE </w:t>
      </w:r>
      <w:r>
        <w:rPr>
          <w:rFonts w:ascii="Times New Roman" w:hAnsi="Times New Roman"/>
          <w:i/>
          <w:lang w:val="bg-BG"/>
        </w:rPr>
        <w:t>Seanad Éireann</w:t>
      </w:r>
      <w:r>
        <w:rPr>
          <w:rFonts w:ascii="Times New Roman" w:hAnsi="Times New Roman"/>
          <w:lang w:val="bg-BG"/>
        </w:rPr>
        <w:t xml:space="preserve"> относно този документ на Комисията се отнасят едновременно и за COM(2016) 685. Мотивираното становище от NL </w:t>
      </w:r>
      <w:r>
        <w:rPr>
          <w:rFonts w:ascii="Times New Roman" w:hAnsi="Times New Roman"/>
          <w:i/>
          <w:lang w:val="bg-BG"/>
        </w:rPr>
        <w:t>Eerste Kamer</w:t>
      </w:r>
      <w:r>
        <w:rPr>
          <w:rFonts w:ascii="Times New Roman" w:hAnsi="Times New Roman"/>
          <w:lang w:val="bg-BG"/>
        </w:rPr>
        <w:t xml:space="preserve"> се отнася едновременно и за COM(2016) 685 и COM(2016) 687.</w:t>
      </w:r>
    </w:p>
  </w:footnote>
  <w:footnote w:id="4">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DK </w:t>
      </w:r>
      <w:r>
        <w:rPr>
          <w:rFonts w:ascii="Times New Roman" w:hAnsi="Times New Roman"/>
          <w:i/>
          <w:lang w:val="bg-BG"/>
        </w:rPr>
        <w:t>Folketing</w:t>
      </w:r>
      <w:r>
        <w:rPr>
          <w:rFonts w:ascii="Times New Roman" w:hAnsi="Times New Roman"/>
          <w:lang w:val="bg-BG"/>
        </w:rPr>
        <w:t xml:space="preserve"> се отнася едновременно и за COM(2016) 683, и за COM(2016) 685.</w:t>
      </w:r>
    </w:p>
  </w:footnote>
  <w:footnote w:id="5">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IE </w:t>
      </w:r>
      <w:r>
        <w:rPr>
          <w:rFonts w:ascii="Times New Roman" w:hAnsi="Times New Roman"/>
          <w:i/>
          <w:lang w:val="bg-BG"/>
        </w:rPr>
        <w:t>Dáil Éireann</w:t>
      </w:r>
      <w:r>
        <w:rPr>
          <w:rFonts w:ascii="Times New Roman" w:hAnsi="Times New Roman"/>
          <w:lang w:val="bg-BG"/>
        </w:rPr>
        <w:t xml:space="preserve"> се отнася едновременно и за COM(2016) 683, и за COM(2016) 685.</w:t>
      </w:r>
    </w:p>
  </w:footnote>
  <w:footnote w:id="6">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IE </w:t>
      </w:r>
      <w:r>
        <w:rPr>
          <w:rFonts w:ascii="Times New Roman" w:hAnsi="Times New Roman"/>
          <w:i/>
          <w:lang w:val="bg-BG"/>
        </w:rPr>
        <w:t>Seanad Éireann</w:t>
      </w:r>
      <w:r>
        <w:rPr>
          <w:rFonts w:ascii="Times New Roman" w:hAnsi="Times New Roman"/>
          <w:lang w:val="bg-BG"/>
        </w:rPr>
        <w:t xml:space="preserve"> се отнася едновременно и за COM(2016) 683, и за COM(2016) 685.</w:t>
      </w:r>
    </w:p>
  </w:footnote>
  <w:footnote w:id="7">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NL </w:t>
      </w:r>
      <w:r>
        <w:rPr>
          <w:rFonts w:ascii="Times New Roman" w:hAnsi="Times New Roman"/>
          <w:i/>
          <w:lang w:val="bg-BG"/>
        </w:rPr>
        <w:t>Eerste Kamer</w:t>
      </w:r>
      <w:r>
        <w:rPr>
          <w:rFonts w:ascii="Times New Roman" w:hAnsi="Times New Roman"/>
          <w:lang w:val="bg-BG"/>
        </w:rPr>
        <w:t xml:space="preserve"> се отнася едновременно за COM(2016) 683, COM(2016) 685 и COM(2016) 687.</w:t>
      </w:r>
    </w:p>
  </w:footnote>
  <w:footnote w:id="8">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Мотивираните становища от DK </w:t>
      </w:r>
      <w:r>
        <w:rPr>
          <w:rFonts w:ascii="Times New Roman" w:hAnsi="Times New Roman"/>
          <w:i/>
          <w:lang w:val="bg-BG"/>
        </w:rPr>
        <w:t>Folketing</w:t>
      </w:r>
      <w:r>
        <w:rPr>
          <w:rFonts w:ascii="Times New Roman" w:hAnsi="Times New Roman"/>
          <w:lang w:val="bg-BG"/>
        </w:rPr>
        <w:t xml:space="preserve">, IE </w:t>
      </w:r>
      <w:r>
        <w:rPr>
          <w:rFonts w:ascii="Times New Roman" w:hAnsi="Times New Roman"/>
          <w:i/>
          <w:lang w:val="bg-BG"/>
        </w:rPr>
        <w:t>Dáil Éireann</w:t>
      </w:r>
      <w:r>
        <w:rPr>
          <w:rFonts w:ascii="Times New Roman" w:hAnsi="Times New Roman"/>
          <w:lang w:val="bg-BG"/>
        </w:rPr>
        <w:t xml:space="preserve"> и IE </w:t>
      </w:r>
      <w:r>
        <w:rPr>
          <w:rFonts w:ascii="Times New Roman" w:hAnsi="Times New Roman"/>
          <w:i/>
          <w:lang w:val="bg-BG"/>
        </w:rPr>
        <w:t>Seanad Éireann</w:t>
      </w:r>
      <w:r>
        <w:rPr>
          <w:rFonts w:ascii="Times New Roman" w:hAnsi="Times New Roman"/>
          <w:lang w:val="bg-BG"/>
        </w:rPr>
        <w:t xml:space="preserve"> относно този документ на Комисията се отнасят едновременно и за COM(2016) 683. Мотивираното становище от NL </w:t>
      </w:r>
      <w:r>
        <w:rPr>
          <w:rFonts w:ascii="Times New Roman" w:hAnsi="Times New Roman"/>
          <w:i/>
          <w:lang w:val="bg-BG"/>
        </w:rPr>
        <w:t>Eerste Kamer</w:t>
      </w:r>
      <w:r>
        <w:rPr>
          <w:rFonts w:ascii="Times New Roman" w:hAnsi="Times New Roman"/>
          <w:lang w:val="bg-BG"/>
        </w:rPr>
        <w:t xml:space="preserve"> се отнася едновременно и за COM(2016) 683 и COM(2016) 687.</w:t>
      </w:r>
    </w:p>
  </w:footnote>
  <w:footnote w:id="9">
    <w:p>
      <w:pPr>
        <w:pStyle w:val="FootnoteText"/>
        <w:tabs>
          <w:tab w:val="left" w:pos="284"/>
        </w:tabs>
        <w:ind w:left="284" w:hanging="284"/>
        <w:jc w:val="both"/>
        <w:rPr>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DK </w:t>
      </w:r>
      <w:r>
        <w:rPr>
          <w:rFonts w:ascii="Times New Roman" w:hAnsi="Times New Roman"/>
          <w:i/>
          <w:lang w:val="bg-BG"/>
        </w:rPr>
        <w:t>Folketing</w:t>
      </w:r>
      <w:r>
        <w:rPr>
          <w:rFonts w:ascii="Times New Roman" w:hAnsi="Times New Roman"/>
          <w:lang w:val="bg-BG"/>
        </w:rPr>
        <w:t xml:space="preserve"> се отнася едновременно и за COM(2016) 683, и за COM(2016) 685.</w:t>
      </w:r>
    </w:p>
  </w:footnote>
  <w:footnote w:id="10">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IE </w:t>
      </w:r>
      <w:r>
        <w:rPr>
          <w:rFonts w:ascii="Times New Roman" w:hAnsi="Times New Roman"/>
          <w:i/>
          <w:lang w:val="bg-BG"/>
        </w:rPr>
        <w:t>Dáil Éireann</w:t>
      </w:r>
      <w:r>
        <w:rPr>
          <w:rFonts w:ascii="Times New Roman" w:hAnsi="Times New Roman"/>
          <w:lang w:val="bg-BG"/>
        </w:rPr>
        <w:t xml:space="preserve"> се отнася едновременно и за COM(2016) 683, и за COM(2016) 685.</w:t>
      </w:r>
    </w:p>
  </w:footnote>
  <w:footnote w:id="11">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IE </w:t>
      </w:r>
      <w:r>
        <w:rPr>
          <w:rFonts w:ascii="Times New Roman" w:hAnsi="Times New Roman"/>
          <w:i/>
          <w:lang w:val="bg-BG"/>
        </w:rPr>
        <w:t>Seanad Éireann</w:t>
      </w:r>
      <w:r>
        <w:rPr>
          <w:rFonts w:ascii="Times New Roman" w:hAnsi="Times New Roman"/>
          <w:lang w:val="bg-BG"/>
        </w:rPr>
        <w:t xml:space="preserve"> се отнася едновременно и за COM(2016) 683, и за COM(2016) 685.</w:t>
      </w:r>
    </w:p>
  </w:footnote>
  <w:footnote w:id="12">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NL </w:t>
      </w:r>
      <w:r>
        <w:rPr>
          <w:rFonts w:ascii="Times New Roman" w:hAnsi="Times New Roman"/>
          <w:i/>
          <w:lang w:val="bg-BG"/>
        </w:rPr>
        <w:t>Eerste Kamer</w:t>
      </w:r>
      <w:r>
        <w:rPr>
          <w:rFonts w:ascii="Times New Roman" w:hAnsi="Times New Roman"/>
          <w:lang w:val="bg-BG"/>
        </w:rPr>
        <w:t xml:space="preserve"> се отнася едновременно за COM(2016) 683, COM(2016) 685 и COM(2016) 687.</w:t>
      </w:r>
    </w:p>
  </w:footnote>
  <w:footnote w:id="13">
    <w:p>
      <w:pPr>
        <w:pStyle w:val="FootnoteText"/>
        <w:tabs>
          <w:tab w:val="left" w:pos="284"/>
        </w:tabs>
        <w:ind w:left="284" w:hanging="284"/>
        <w:jc w:val="both"/>
        <w:rPr>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 xml:space="preserve">Мотивираното становище от AT </w:t>
      </w:r>
      <w:r>
        <w:rPr>
          <w:rFonts w:ascii="Times New Roman" w:hAnsi="Times New Roman"/>
          <w:i/>
          <w:lang w:val="bg-BG"/>
        </w:rPr>
        <w:t>Bundesrat</w:t>
      </w:r>
      <w:r>
        <w:rPr>
          <w:rFonts w:ascii="Times New Roman" w:hAnsi="Times New Roman"/>
          <w:lang w:val="bg-BG"/>
        </w:rPr>
        <w:t xml:space="preserve"> относно този документ на Комисията се отнася едновременно и за COM(2016) 52.</w:t>
      </w:r>
    </w:p>
  </w:footnote>
  <w:footnote w:id="14">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AT </w:t>
      </w:r>
      <w:r>
        <w:rPr>
          <w:rFonts w:ascii="Times New Roman" w:hAnsi="Times New Roman"/>
          <w:i/>
          <w:lang w:val="bg-BG"/>
        </w:rPr>
        <w:t>Bundesrat</w:t>
      </w:r>
      <w:r>
        <w:rPr>
          <w:rFonts w:ascii="Times New Roman" w:hAnsi="Times New Roman"/>
          <w:lang w:val="bg-BG"/>
        </w:rPr>
        <w:t xml:space="preserve"> се отнася едновременно и за COM(2016) 52, и за COM(2016) 53.</w:t>
      </w:r>
    </w:p>
  </w:footnote>
  <w:footnote w:id="15">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Мотивираното становище от NL </w:t>
      </w:r>
      <w:r>
        <w:rPr>
          <w:rFonts w:ascii="Times New Roman" w:hAnsi="Times New Roman"/>
          <w:i/>
          <w:lang w:val="bg-BG"/>
        </w:rPr>
        <w:t>Eerste Kamer</w:t>
      </w:r>
      <w:r>
        <w:rPr>
          <w:rFonts w:ascii="Times New Roman" w:hAnsi="Times New Roman"/>
          <w:lang w:val="bg-BG"/>
        </w:rPr>
        <w:t xml:space="preserve"> се отнася едновременно и за COM(2016) 683 и COM(2016) 685.</w:t>
      </w:r>
    </w:p>
  </w:footnote>
  <w:footnote w:id="16">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NL </w:t>
      </w:r>
      <w:r>
        <w:rPr>
          <w:rFonts w:ascii="Times New Roman" w:hAnsi="Times New Roman"/>
          <w:i/>
          <w:lang w:val="bg-BG"/>
        </w:rPr>
        <w:t>Eerste Kamer</w:t>
      </w:r>
      <w:r>
        <w:rPr>
          <w:rFonts w:ascii="Times New Roman" w:hAnsi="Times New Roman"/>
          <w:lang w:val="bg-BG"/>
        </w:rPr>
        <w:t xml:space="preserve"> се отнася едновременно за COM(2016) 683, COM(2016) 685 и COM(2016) 687.</w:t>
      </w:r>
    </w:p>
  </w:footnote>
  <w:footnote w:id="17">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Мотивираното становище от FR </w:t>
      </w:r>
      <w:r>
        <w:rPr>
          <w:rFonts w:ascii="Times New Roman" w:hAnsi="Times New Roman"/>
          <w:i/>
          <w:lang w:val="bg-BG"/>
        </w:rPr>
        <w:t>Sénat</w:t>
      </w:r>
      <w:r>
        <w:rPr>
          <w:rFonts w:ascii="Times New Roman" w:hAnsi="Times New Roman"/>
          <w:lang w:val="bg-BG"/>
        </w:rPr>
        <w:t xml:space="preserve"> относно този документ на Комисията се отнася също и за COM(2015) 594 и COM(2015) 596.</w:t>
      </w:r>
    </w:p>
  </w:footnote>
  <w:footnote w:id="18">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FR </w:t>
      </w:r>
      <w:r>
        <w:rPr>
          <w:rFonts w:ascii="Times New Roman" w:hAnsi="Times New Roman"/>
          <w:i/>
          <w:lang w:val="bg-BG"/>
        </w:rPr>
        <w:t xml:space="preserve">Sénat </w:t>
      </w:r>
      <w:r>
        <w:rPr>
          <w:rFonts w:ascii="Times New Roman" w:hAnsi="Times New Roman"/>
          <w:lang w:val="bg-BG"/>
        </w:rPr>
        <w:t>се отнася едновременно за COM(2015) 594, COM(2015) 595 и COM(2015) 596.</w:t>
      </w:r>
    </w:p>
  </w:footnote>
  <w:footnote w:id="19">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Мотивираното становище от FR </w:t>
      </w:r>
      <w:r>
        <w:rPr>
          <w:rFonts w:ascii="Times New Roman" w:hAnsi="Times New Roman"/>
          <w:i/>
          <w:lang w:val="bg-BG"/>
        </w:rPr>
        <w:t>Sénat</w:t>
      </w:r>
      <w:r>
        <w:rPr>
          <w:rFonts w:ascii="Times New Roman" w:hAnsi="Times New Roman"/>
          <w:lang w:val="bg-BG"/>
        </w:rPr>
        <w:t xml:space="preserve"> относно този документ на Комисията се отнася едновременно и за COM(2015) 595 и COM(2015) 596.</w:t>
      </w:r>
    </w:p>
  </w:footnote>
  <w:footnote w:id="20">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FR </w:t>
      </w:r>
      <w:r>
        <w:rPr>
          <w:rFonts w:ascii="Times New Roman" w:hAnsi="Times New Roman"/>
          <w:i/>
          <w:lang w:val="bg-BG"/>
        </w:rPr>
        <w:t>Sénat</w:t>
      </w:r>
      <w:r>
        <w:rPr>
          <w:rFonts w:ascii="Times New Roman" w:hAnsi="Times New Roman"/>
          <w:lang w:val="bg-BG"/>
        </w:rPr>
        <w:t xml:space="preserve"> се отнася едновременно за COM(2015) 594, COM(2015) 595 и COM(2015) 596.</w:t>
      </w:r>
    </w:p>
  </w:footnote>
  <w:footnote w:id="21">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Мотивираното становище от FR </w:t>
      </w:r>
      <w:r>
        <w:rPr>
          <w:rFonts w:ascii="Times New Roman" w:hAnsi="Times New Roman"/>
          <w:i/>
          <w:lang w:val="bg-BG"/>
        </w:rPr>
        <w:t>Sénat</w:t>
      </w:r>
      <w:r>
        <w:rPr>
          <w:rFonts w:ascii="Times New Roman" w:hAnsi="Times New Roman"/>
          <w:lang w:val="bg-BG"/>
        </w:rPr>
        <w:t xml:space="preserve"> относно този документ на Комисията се отнася едновременно и за COM(2015) 594 и COM(2015) 595.</w:t>
      </w:r>
    </w:p>
  </w:footnote>
  <w:footnote w:id="22">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FR </w:t>
      </w:r>
      <w:r>
        <w:rPr>
          <w:rFonts w:ascii="Times New Roman" w:hAnsi="Times New Roman"/>
          <w:i/>
          <w:lang w:val="bg-BG"/>
        </w:rPr>
        <w:t>Sénat</w:t>
      </w:r>
      <w:r>
        <w:rPr>
          <w:rFonts w:ascii="Times New Roman" w:hAnsi="Times New Roman"/>
          <w:lang w:val="bg-BG"/>
        </w:rPr>
        <w:t xml:space="preserve"> се отнася едновременно за COM(2015) 594, COM(2015) 595 и COM(2015) 596.</w:t>
      </w:r>
    </w:p>
  </w:footnote>
  <w:footnote w:id="23">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Мотивираното становище от FR </w:t>
      </w:r>
      <w:r>
        <w:rPr>
          <w:rFonts w:ascii="Times New Roman" w:hAnsi="Times New Roman"/>
          <w:i/>
          <w:lang w:val="bg-BG"/>
        </w:rPr>
        <w:t>Sénat</w:t>
      </w:r>
      <w:r>
        <w:rPr>
          <w:rFonts w:ascii="Times New Roman" w:hAnsi="Times New Roman"/>
          <w:lang w:val="bg-BG"/>
        </w:rPr>
        <w:t xml:space="preserve"> относно този документ на Комисията се отнася едновременно и за COM(2015) 635.</w:t>
      </w:r>
    </w:p>
  </w:footnote>
  <w:footnote w:id="24">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Както е посочено по-горе, това мотивирано становище от FR </w:t>
      </w:r>
      <w:r>
        <w:rPr>
          <w:rFonts w:ascii="Times New Roman" w:hAnsi="Times New Roman"/>
          <w:i/>
          <w:lang w:val="bg-BG"/>
        </w:rPr>
        <w:t xml:space="preserve">Sénat </w:t>
      </w:r>
      <w:r>
        <w:rPr>
          <w:rFonts w:ascii="Times New Roman" w:hAnsi="Times New Roman"/>
          <w:lang w:val="bg-BG"/>
        </w:rPr>
        <w:t>се отнася едновременно и за COM(2015) 634, и за COM(2015) 635.</w:t>
      </w:r>
    </w:p>
  </w:footnote>
  <w:footnote w:id="25">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Мотивираното становище от FR </w:t>
      </w:r>
      <w:r>
        <w:rPr>
          <w:rFonts w:ascii="Times New Roman" w:hAnsi="Times New Roman"/>
          <w:i/>
          <w:lang w:val="bg-BG"/>
        </w:rPr>
        <w:t>Sénat</w:t>
      </w:r>
      <w:r>
        <w:rPr>
          <w:rFonts w:ascii="Times New Roman" w:hAnsi="Times New Roman"/>
          <w:lang w:val="bg-BG"/>
        </w:rPr>
        <w:t xml:space="preserve"> относно този документ на Комисията се отнася едновременно и за COM(2015) 634.</w:t>
      </w:r>
    </w:p>
  </w:footnote>
  <w:footnote w:id="26">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rFonts w:ascii="Times New Roman" w:hAnsi="Times New Roman"/>
          <w:lang w:val="bg-BG"/>
        </w:rPr>
        <w:t xml:space="preserve">Както е посочено по-горе, това мотивирано становище от FR </w:t>
      </w:r>
      <w:r>
        <w:rPr>
          <w:rFonts w:ascii="Times New Roman" w:hAnsi="Times New Roman"/>
          <w:i/>
          <w:lang w:val="bg-BG"/>
        </w:rPr>
        <w:t xml:space="preserve">Sénat </w:t>
      </w:r>
      <w:r>
        <w:rPr>
          <w:rFonts w:ascii="Times New Roman" w:hAnsi="Times New Roman"/>
          <w:lang w:val="bg-BG"/>
        </w:rPr>
        <w:t>се отнася едновременно и за COM(2015) 634, и за COM(2015) 635.</w:t>
      </w:r>
    </w:p>
  </w:footnote>
  <w:footnote w:id="27">
    <w:p>
      <w:pPr>
        <w:pStyle w:val="FootnoteText"/>
        <w:tabs>
          <w:tab w:val="left" w:pos="284"/>
        </w:tabs>
        <w:ind w:left="284" w:hanging="284"/>
        <w:jc w:val="both"/>
        <w:rPr>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 xml:space="preserve">Мотивираното становище от AT </w:t>
      </w:r>
      <w:r>
        <w:rPr>
          <w:rFonts w:ascii="Times New Roman" w:hAnsi="Times New Roman"/>
          <w:i/>
          <w:lang w:val="bg-BG"/>
        </w:rPr>
        <w:t>Bundesrat</w:t>
      </w:r>
      <w:r>
        <w:rPr>
          <w:rFonts w:ascii="Times New Roman" w:hAnsi="Times New Roman"/>
          <w:lang w:val="bg-BG"/>
        </w:rPr>
        <w:t xml:space="preserve"> относно този документ на Комисията се отнася едновременно и за COM(2016) 53.</w:t>
      </w:r>
    </w:p>
  </w:footnote>
  <w:footnote w:id="28">
    <w:p>
      <w:pPr>
        <w:pStyle w:val="FootnoteText"/>
        <w:tabs>
          <w:tab w:val="left" w:pos="284"/>
        </w:tabs>
        <w:ind w:left="284" w:hanging="284"/>
        <w:jc w:val="both"/>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Както е посочено по-горе, това мотивирано становище от AT </w:t>
      </w:r>
      <w:r>
        <w:rPr>
          <w:rFonts w:ascii="Times New Roman" w:hAnsi="Times New Roman"/>
          <w:i/>
          <w:lang w:val="bg-BG"/>
        </w:rPr>
        <w:t>Bundesrat</w:t>
      </w:r>
      <w:r>
        <w:rPr>
          <w:rFonts w:ascii="Times New Roman" w:hAnsi="Times New Roman"/>
          <w:lang w:val="bg-BG"/>
        </w:rPr>
        <w:t xml:space="preserve"> се отнася едновременно и за COM(2016) 52, и за COM(2016) 53.</w:t>
      </w:r>
    </w:p>
  </w:footnote>
  <w:footnote w:id="29">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Този брой включва мотивираните становища, отнасящи се едновременно за повече от един документ на Комисията: </w:t>
      </w:r>
      <w:r>
        <w:rPr>
          <w:rFonts w:asciiTheme="majorBidi" w:hAnsiTheme="majorBidi" w:cstheme="majorBidi"/>
          <w:lang w:val="bg-BG"/>
        </w:rPr>
        <w:t>едно</w:t>
      </w:r>
      <w:r>
        <w:rPr>
          <w:rFonts w:ascii="Times New Roman" w:hAnsi="Times New Roman"/>
          <w:lang w:val="bg-BG"/>
        </w:rPr>
        <w:t xml:space="preserve"> мотивирано</w:t>
      </w:r>
      <w:r>
        <w:rPr>
          <w:rFonts w:asciiTheme="majorBidi" w:hAnsiTheme="majorBidi" w:cstheme="majorBidi"/>
          <w:lang w:val="bg-BG"/>
        </w:rPr>
        <w:t xml:space="preserve"> становище от FR </w:t>
      </w:r>
      <w:r>
        <w:rPr>
          <w:rFonts w:asciiTheme="majorBidi" w:hAnsiTheme="majorBidi" w:cstheme="majorBidi"/>
          <w:i/>
          <w:lang w:val="bg-BG"/>
        </w:rPr>
        <w:t>Sénat</w:t>
      </w:r>
      <w:r>
        <w:rPr>
          <w:rFonts w:asciiTheme="majorBidi" w:hAnsiTheme="majorBidi" w:cstheme="majorBidi"/>
          <w:lang w:val="bg-BG"/>
        </w:rPr>
        <w:t xml:space="preserve"> се отнася едновременно за COM(2015) 594, </w:t>
      </w:r>
      <w:r>
        <w:rPr>
          <w:rFonts w:ascii="Times New Roman" w:hAnsi="Times New Roman"/>
          <w:lang w:val="bg-BG"/>
        </w:rPr>
        <w:t xml:space="preserve">COM(2015) 595 и COM(2015) 596; едно мотивирано становище от FR </w:t>
      </w:r>
      <w:r>
        <w:rPr>
          <w:rFonts w:ascii="Times New Roman" w:hAnsi="Times New Roman"/>
          <w:i/>
          <w:lang w:val="bg-BG"/>
        </w:rPr>
        <w:t>Sénat</w:t>
      </w:r>
      <w:r>
        <w:rPr>
          <w:rFonts w:ascii="Times New Roman" w:hAnsi="Times New Roman"/>
          <w:lang w:val="bg-BG"/>
        </w:rPr>
        <w:t xml:space="preserve"> се отнася едновременно за COM(2015) 634 и COM(2015) 635; едно мотивирано становище от AT </w:t>
      </w:r>
      <w:r>
        <w:rPr>
          <w:rFonts w:ascii="Times New Roman" w:hAnsi="Times New Roman"/>
          <w:i/>
          <w:lang w:val="bg-BG"/>
        </w:rPr>
        <w:t>Bundesrat</w:t>
      </w:r>
      <w:r>
        <w:rPr>
          <w:rFonts w:ascii="Times New Roman" w:hAnsi="Times New Roman"/>
          <w:lang w:val="bg-BG"/>
        </w:rPr>
        <w:t xml:space="preserve"> се отнася едновременно за COM(2016) 52 и COM(2016) 53; eдно мотивирано становище от NL </w:t>
      </w:r>
      <w:r>
        <w:rPr>
          <w:rFonts w:ascii="Times New Roman" w:hAnsi="Times New Roman"/>
          <w:i/>
          <w:lang w:val="bg-BG"/>
        </w:rPr>
        <w:t>Eerste</w:t>
      </w:r>
      <w:r>
        <w:rPr>
          <w:rFonts w:ascii="Times New Roman" w:hAnsi="Times New Roman"/>
          <w:lang w:val="bg-BG"/>
        </w:rPr>
        <w:t xml:space="preserve"> </w:t>
      </w:r>
      <w:r>
        <w:rPr>
          <w:rFonts w:ascii="Times New Roman" w:hAnsi="Times New Roman"/>
          <w:i/>
          <w:lang w:val="bg-BG"/>
        </w:rPr>
        <w:t>Kamer</w:t>
      </w:r>
      <w:r>
        <w:rPr>
          <w:rFonts w:ascii="Times New Roman" w:hAnsi="Times New Roman"/>
          <w:lang w:val="bg-BG"/>
        </w:rPr>
        <w:t xml:space="preserve"> се отнася едновременно за COM(2016) 683, COM(2016) 685 и COM(2016) 687; едно мотивирано становище от DK </w:t>
      </w:r>
      <w:r>
        <w:rPr>
          <w:rFonts w:ascii="Times New Roman" w:hAnsi="Times New Roman"/>
          <w:i/>
          <w:lang w:val="bg-BG"/>
        </w:rPr>
        <w:t>Folketing</w:t>
      </w:r>
      <w:r>
        <w:rPr>
          <w:rFonts w:ascii="Times New Roman" w:hAnsi="Times New Roman"/>
          <w:lang w:val="bg-BG"/>
        </w:rPr>
        <w:t xml:space="preserve"> се отнася едновременно за COM(2016) 683 и COM(2016) 685; едно мотивирано становище от IE </w:t>
      </w:r>
      <w:r>
        <w:rPr>
          <w:rFonts w:ascii="Times New Roman" w:hAnsi="Times New Roman"/>
          <w:i/>
          <w:lang w:val="bg-BG"/>
        </w:rPr>
        <w:t>Dáil Éireann</w:t>
      </w:r>
      <w:r>
        <w:rPr>
          <w:rFonts w:ascii="Times New Roman" w:hAnsi="Times New Roman"/>
          <w:lang w:val="bg-BG"/>
        </w:rPr>
        <w:t xml:space="preserve"> се отнася едновременно за COM(2016) 683 и COM(2016) 685 и едно мотивирано становище от IE </w:t>
      </w:r>
      <w:r>
        <w:rPr>
          <w:rFonts w:ascii="Times New Roman" w:hAnsi="Times New Roman"/>
          <w:i/>
          <w:lang w:val="bg-BG"/>
        </w:rPr>
        <w:t>Seanad Éireann</w:t>
      </w:r>
      <w:r>
        <w:rPr>
          <w:rFonts w:ascii="Times New Roman" w:hAnsi="Times New Roman"/>
          <w:lang w:val="bg-BG"/>
        </w:rPr>
        <w:t xml:space="preserve"> се отнася едновременно за COM(2016) 683 и COM(2016) 685.</w:t>
      </w:r>
    </w:p>
  </w:footnote>
  <w:footnote w:id="30">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lang w:val="bg-BG"/>
        </w:rPr>
        <w:tab/>
        <w:t>При изчисляването на общия брой мотивирани становища Комисията отчита броя на получените мотивирани становища. Мотивираните становища, отнасящи се едновременно за повече от един документ на Комисията, следователно се броят само като едно мотивирано становище.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DCC571DE72345B48F7AC302016E567C"/>
    <w:docVar w:name="LW_CROSSREFERENCE" w:val="&lt;UNUSED&gt;"/>
    <w:docVar w:name="LW_DocType" w:val="NORMAL"/>
    <w:docVar w:name="LW_EMISSION" w:val="30.6.2017"/>
    <w:docVar w:name="LW_EMISSION_ISODATE" w:val="2017-06-30"/>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43?\u1086?\u1076?\u1080?\u1096?\u1077?\u1085? \u1076?\u1086?\u1082?\u1083?\u1072?\u1076? \u1079?\u1072? 2016 \u1075?\u1086?\u1076?\u1080?\u1085?\u1072? \u1086?\u1090?\u1085?\u1086?\u1089?\u1085?\u1086? \u1089?\u1091?\u1073?\u1089?\u1080?\u1076?\u1080?\u1072?\u1088?\u1085?\u1086?\u1089?\u1090?\u1090?\u1072? \u1080? \u1087?\u1088?\u1086?\u1087?\u1086?\u1088?\u1094?\u1080?\u1086?\u1085?\u1072?\u1083?\u1085?\u1086?\u1089?\u1090?\u1090?\u1072?"/>
    <w:docVar w:name="LW_PART_NBR" w:val="1"/>
    <w:docVar w:name="LW_PART_NBR_TOTAL" w:val="1"/>
    <w:docVar w:name="LW_REF.INST.NEW" w:val="COM"/>
    <w:docVar w:name="LW_REF.INST.NEW_ADOPTED" w:val="final"/>
    <w:docVar w:name="LW_REF.INST.NEW_TEXT" w:val="(2017) 600"/>
    <w:docVar w:name="LW_REF.INTERNE" w:val="&lt;UNUSED&gt;"/>
    <w:docVar w:name="LW_SUPERTITRE" w:val="&lt;UNUSED&gt;"/>
    <w:docVar w:name="LW_TITRE.OBJ.CP" w:val="&lt;UNUSED&gt;"/>
    <w:docVar w:name="LW_TYPE.DOC.CP" w:val="\u1055?\u1056?\u1048?\u1051?\u1054?\u1046?\u1045?\u1053?\u1048?\u1045?_x000b_"/>
    <w:docVar w:name="LW_TYPEACTEPRINCIPAL.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0338">
      <w:bodyDiv w:val="1"/>
      <w:marLeft w:val="0"/>
      <w:marRight w:val="0"/>
      <w:marTop w:val="0"/>
      <w:marBottom w:val="0"/>
      <w:divBdr>
        <w:top w:val="none" w:sz="0" w:space="0" w:color="auto"/>
        <w:left w:val="none" w:sz="0" w:space="0" w:color="auto"/>
        <w:bottom w:val="none" w:sz="0" w:space="0" w:color="auto"/>
        <w:right w:val="none" w:sz="0" w:space="0" w:color="auto"/>
      </w:divBdr>
    </w:div>
    <w:div w:id="569581408">
      <w:bodyDiv w:val="1"/>
      <w:marLeft w:val="0"/>
      <w:marRight w:val="0"/>
      <w:marTop w:val="0"/>
      <w:marBottom w:val="0"/>
      <w:divBdr>
        <w:top w:val="none" w:sz="0" w:space="0" w:color="auto"/>
        <w:left w:val="none" w:sz="0" w:space="0" w:color="auto"/>
        <w:bottom w:val="none" w:sz="0" w:space="0" w:color="auto"/>
        <w:right w:val="none" w:sz="0" w:space="0" w:color="auto"/>
      </w:divBdr>
    </w:div>
    <w:div w:id="605314565">
      <w:bodyDiv w:val="1"/>
      <w:marLeft w:val="0"/>
      <w:marRight w:val="0"/>
      <w:marTop w:val="0"/>
      <w:marBottom w:val="0"/>
      <w:divBdr>
        <w:top w:val="none" w:sz="0" w:space="0" w:color="auto"/>
        <w:left w:val="none" w:sz="0" w:space="0" w:color="auto"/>
        <w:bottom w:val="none" w:sz="0" w:space="0" w:color="auto"/>
        <w:right w:val="none" w:sz="0" w:space="0" w:color="auto"/>
      </w:divBdr>
    </w:div>
    <w:div w:id="899171070">
      <w:bodyDiv w:val="1"/>
      <w:marLeft w:val="0"/>
      <w:marRight w:val="0"/>
      <w:marTop w:val="0"/>
      <w:marBottom w:val="0"/>
      <w:divBdr>
        <w:top w:val="none" w:sz="0" w:space="0" w:color="auto"/>
        <w:left w:val="none" w:sz="0" w:space="0" w:color="auto"/>
        <w:bottom w:val="none" w:sz="0" w:space="0" w:color="auto"/>
        <w:right w:val="none" w:sz="0" w:space="0" w:color="auto"/>
      </w:divBdr>
    </w:div>
    <w:div w:id="1318387899">
      <w:bodyDiv w:val="1"/>
      <w:marLeft w:val="0"/>
      <w:marRight w:val="0"/>
      <w:marTop w:val="0"/>
      <w:marBottom w:val="0"/>
      <w:divBdr>
        <w:top w:val="none" w:sz="0" w:space="0" w:color="auto"/>
        <w:left w:val="none" w:sz="0" w:space="0" w:color="auto"/>
        <w:bottom w:val="none" w:sz="0" w:space="0" w:color="auto"/>
        <w:right w:val="none" w:sz="0" w:space="0" w:color="auto"/>
      </w:divBdr>
    </w:div>
    <w:div w:id="1460762189">
      <w:bodyDiv w:val="1"/>
      <w:marLeft w:val="0"/>
      <w:marRight w:val="0"/>
      <w:marTop w:val="0"/>
      <w:marBottom w:val="0"/>
      <w:divBdr>
        <w:top w:val="none" w:sz="0" w:space="0" w:color="auto"/>
        <w:left w:val="none" w:sz="0" w:space="0" w:color="auto"/>
        <w:bottom w:val="none" w:sz="0" w:space="0" w:color="auto"/>
        <w:right w:val="none" w:sz="0" w:space="0" w:color="auto"/>
      </w:divBdr>
    </w:div>
    <w:div w:id="18526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775F-7938-470C-BB7F-A988D826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1113</Words>
  <Characters>5849</Characters>
  <Application>Microsoft Office Word</Application>
  <DocSecurity>0</DocSecurity>
  <Lines>531</Lines>
  <Paragraphs>257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LENNERT Christoph (SG)</dc:creator>
  <cp:lastModifiedBy>DIGIT/A3</cp:lastModifiedBy>
  <cp:revision>10</cp:revision>
  <cp:lastPrinted>2017-06-02T13:12:00Z</cp:lastPrinted>
  <dcterms:created xsi:type="dcterms:W3CDTF">2017-06-29T12:20:00Z</dcterms:created>
  <dcterms:modified xsi:type="dcterms:W3CDTF">2017-07-03T08:51:00Z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