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5EB392062E842A98CDA5844B9FE6850" style="width:450pt;height:380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b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Приложение 1</w:t>
      </w:r>
    </w:p>
    <w:p>
      <w:pPr>
        <w:jc w:val="center"/>
        <w:rPr>
          <w:b/>
          <w:noProof/>
        </w:rPr>
      </w:pPr>
      <w:r>
        <w:rPr>
          <w:b/>
          <w:noProof/>
        </w:rPr>
        <w:t>Брой становища, получени от Комисията през 2016 г., по национални парламенти/камари (политически диалог и механизъм за контрол на субсидиарността)</w:t>
      </w:r>
    </w:p>
    <w:p>
      <w:pPr>
        <w:spacing w:after="0" w:line="240" w:lineRule="auto"/>
        <w:jc w:val="center"/>
        <w:rPr>
          <w:b/>
          <w:noProof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3251"/>
        <w:gridCol w:w="1694"/>
        <w:gridCol w:w="2434"/>
      </w:tblGrid>
      <w:tr>
        <w:trPr>
          <w:cantSplit/>
          <w:trHeight w:val="340"/>
          <w:tblHeader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Държава членка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Камара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Общ брой становища</w:t>
            </w:r>
            <w:r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Брой мотивирани становища</w:t>
            </w:r>
          </w:p>
          <w:p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b/>
                <w:noProof/>
                <w:sz w:val="22"/>
              </w:rPr>
              <w:t>(Протокол № 2)</w:t>
            </w:r>
            <w:r>
              <w:rPr>
                <w:rStyle w:val="FootnoteReference"/>
                <w:noProof/>
              </w:rPr>
              <w:footnoteReference w:id="2"/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Италия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Senato della Repubblica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Румъния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Camera Deputaților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Португалия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Assembleia da República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Германия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Bundesrat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Чешка република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Senát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Румъния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Senat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Франция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Assemblée nationale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  <w:r>
              <w:rPr>
                <w:rStyle w:val="FootnoteReference"/>
                <w:noProof/>
                <w:color w:val="000000"/>
              </w:rPr>
              <w:footnoteReference w:id="3"/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Италия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Camera dei Deputati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Франция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Sénat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25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Швеция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Riksdag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Чешка република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Poslanecká sněmovna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19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Полша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 xml:space="preserve">Senat 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Обединено кралство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House of Lords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Испания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Cortes Generales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13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Австрия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Bundesrat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Нидерландия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Tweede Kamer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Дания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Folketing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t>Словакия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Národná rada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Литва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Seimas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Нидерландия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Eerste Kamer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Малта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Kamra tad-Deputati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България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Народно събрание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Унгария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Országgyűlés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Люксембург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Chambre des Députés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Германия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Bundestag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Полша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 xml:space="preserve">Sejm 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Латвия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Saeima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Кипър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Vouli ton Antiprosopon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Обединено кралство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House of Commons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Ирландия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Cs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Houses of the </w:t>
            </w:r>
            <w:r>
              <w:rPr>
                <w:i/>
                <w:noProof/>
                <w:color w:val="000000"/>
              </w:rPr>
              <w:t>Oireachtas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  <w:highlight w:val="yellow"/>
              </w:rPr>
            </w:pPr>
            <w:r>
              <w:rPr>
                <w:noProof/>
                <w:color w:val="000000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Ирландия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Dáil Éireann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Хърватия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Hrvatski sabor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Естония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Riigikogu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Ирландия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t>Seanad Éireann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Австрия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Nationalrat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Гърция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Vouli ton Ellinon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Белгия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Sénat de Belgique / Belgische Senaat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Белгия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Chambre des représentants / Kamer van volksvertegenwoordigers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Финландия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Eduskunta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Словения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Državni zbor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Словения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i/>
                <w:iCs/>
                <w:noProof/>
                <w:color w:val="000000"/>
                <w:szCs w:val="24"/>
              </w:rPr>
            </w:pPr>
            <w:r>
              <w:rPr>
                <w:i/>
                <w:noProof/>
                <w:color w:val="000000"/>
              </w:rPr>
              <w:t>Državni svet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</w:t>
            </w:r>
          </w:p>
        </w:tc>
      </w:tr>
      <w:tr>
        <w:trPr>
          <w:cantSplit/>
          <w:trHeight w:val="340"/>
        </w:trPr>
        <w:tc>
          <w:tcPr>
            <w:tcW w:w="5194" w:type="dxa"/>
            <w:gridSpan w:val="2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620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65</w:t>
            </w:r>
          </w:p>
        </w:tc>
      </w:tr>
    </w:tbl>
    <w:p>
      <w:pPr>
        <w:rPr>
          <w:b/>
          <w:noProof/>
          <w:u w:val="single"/>
          <w:lang w:val="en-GB"/>
        </w:r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 2</w:t>
      </w:r>
    </w:p>
    <w:p>
      <w:pPr>
        <w:jc w:val="center"/>
        <w:rPr>
          <w:b/>
          <w:noProof/>
        </w:rPr>
      </w:pPr>
      <w:r>
        <w:rPr>
          <w:b/>
          <w:noProof/>
        </w:rPr>
        <w:t>Документи на Комисията, за които е получен най-голям брой становища</w:t>
      </w:r>
      <w:r>
        <w:rPr>
          <w:rStyle w:val="FootnoteReference"/>
          <w:noProof/>
        </w:rPr>
        <w:footnoteReference w:id="5"/>
      </w:r>
      <w:r>
        <w:rPr>
          <w:b/>
          <w:noProof/>
        </w:rPr>
        <w:t xml:space="preserve"> през 2016 г. (политически диалог и механизъм за контрол на субсидиарността)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58"/>
        <w:gridCol w:w="2904"/>
        <w:gridCol w:w="1490"/>
        <w:gridCol w:w="1554"/>
      </w:tblGrid>
      <w:tr>
        <w:trPr>
          <w:cantSplit/>
          <w:trHeight w:val="39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b/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Документ на Комисията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ind w:left="720" w:hanging="720"/>
              <w:jc w:val="center"/>
              <w:rPr>
                <w:b/>
                <w:noProof/>
              </w:rPr>
            </w:pPr>
          </w:p>
          <w:p>
            <w:pPr>
              <w:spacing w:after="0"/>
              <w:ind w:left="720" w:hanging="720"/>
              <w:jc w:val="center"/>
              <w:rPr>
                <w:b/>
                <w:noProof/>
              </w:rPr>
            </w:pPr>
          </w:p>
          <w:p>
            <w:pPr>
              <w:spacing w:after="0"/>
              <w:ind w:left="720" w:hanging="7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Заглавие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  <w:sz w:val="4"/>
                <w:szCs w:val="4"/>
              </w:rPr>
            </w:pPr>
          </w:p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 брой становища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Брой мотивирани становища (Протокол № 2)</w:t>
            </w:r>
            <w:r>
              <w:rPr>
                <w:rStyle w:val="FootnoteReference"/>
                <w:noProof/>
              </w:rPr>
              <w:footnoteReference w:id="7"/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COM(2015) 610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Съобщение на Комисията „Работна програма на Комисията за 2016 г.: време е за промяна“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25</w:t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COM(2016) 128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директива за изменение на Директива 96/71/ЕО на Европейския парламент и на Съвета от 16 декември 1996 г. относно командироването на работници в рамките на предоставянето на услуги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23</w:t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14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COM(2016) 270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регламент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 (преработен текст)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14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8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COM(2015) 635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директива на Европейския парламент и на Съвета относно някои аспекти на договорите за онлайн продажби и други продажби на стоки от разстояние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12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9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COM(2016) 683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директива на Съвета относно обща консолидирана основа за облагане с корпоративен данък (ОКООКД)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11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0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COM(2016) 685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директива на Съвета относно обща основа за облагане с корпоративен данък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11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1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COM(2015) 634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директива относно някои аспекти на договорите за предоставяне на цифрово съдържание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11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2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COM(2016) 52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регламент относно мерките за гарантиране на сигурността на доставките на газ и за отмяна на Регламент (ЕС) № 994/2010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11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3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COM(2016) 53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решение за създаване на механизъм за обмен на информация във връзка с междуправителствени споразумения и необвързващи инструменти между държавите членки и трети държави в областта на енергетиката и за отмяна на Решение № 994/2012/ЕС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10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4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COM(2015) 750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директива за изменение на Директива 91/477/ЕИО на Съвета относно контрола на придобиването и притежаването на оръжие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10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5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COM(2015) 671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pacing w:val="-4"/>
                <w:sz w:val="22"/>
              </w:rPr>
            </w:pPr>
            <w:r>
              <w:rPr>
                <w:noProof/>
                <w:color w:val="000000"/>
                <w:spacing w:val="-4"/>
                <w:sz w:val="22"/>
              </w:rPr>
              <w:t>Предложение за регламент относно европейската гранична и брегова охрана и за отмяна на Регламент (ЕО) № 2007/2004, Регламент (ЕО) № 863/2007 и Решение 2005/267/ЕО на Съвета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10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6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COM(2016) 378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pacing w:val="-6"/>
                <w:sz w:val="22"/>
              </w:rPr>
            </w:pPr>
            <w:r>
              <w:rPr>
                <w:noProof/>
                <w:color w:val="000000"/>
                <w:spacing w:val="-6"/>
                <w:sz w:val="22"/>
              </w:rPr>
              <w:t>Предложение за директива относно условията за влизане и пребиваване на граждани на трети държави за целите на трудова заетост, изискваща висока степен на умения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9</w:t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COM(2015) 595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директива за изменение на Директива 2008/98/ЕО относно отпадъците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9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7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COM(2015) 625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pacing w:val="-4"/>
                <w:sz w:val="22"/>
              </w:rPr>
            </w:pPr>
            <w:r>
              <w:rPr>
                <w:noProof/>
                <w:color w:val="000000"/>
                <w:spacing w:val="-4"/>
                <w:sz w:val="22"/>
              </w:rPr>
              <w:t>Предложение за директива относно борбата с тероризма и за замяна на Рамково решение 2002/475/ПВР на Съвета относно борбата срещу тероризма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9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8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COM(2015) 596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pacing w:val="-4"/>
                <w:sz w:val="22"/>
              </w:rPr>
            </w:pPr>
            <w:r>
              <w:rPr>
                <w:noProof/>
                <w:color w:val="000000"/>
                <w:spacing w:val="-4"/>
                <w:sz w:val="22"/>
              </w:rPr>
              <w:t>Предложение за директива за изменение на Директива 94/62/ЕО относно опаковките и отпадъците от опаковки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8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19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</w:tr>
      <w:tr>
        <w:trPr>
          <w:cantSplit/>
          <w:trHeight w:val="397"/>
        </w:trPr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COM(2016) 271</w:t>
            </w:r>
          </w:p>
        </w:tc>
        <w:tc>
          <w:tcPr>
            <w:tcW w:w="2904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Предложение за регламент относно Агенцията на Европейския съюз в областта на убежището и за отмяна на Регламент (ЕС) № 439/2010</w:t>
            </w:r>
          </w:p>
        </w:tc>
        <w:tc>
          <w:tcPr>
            <w:tcW w:w="118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8</w:t>
            </w:r>
            <w:r>
              <w:rPr>
                <w:rStyle w:val="FootnoteReference"/>
                <w:noProof/>
                <w:color w:val="000000"/>
                <w:sz w:val="22"/>
              </w:rPr>
              <w:footnoteReference w:id="20"/>
            </w:r>
          </w:p>
        </w:tc>
        <w:tc>
          <w:tcPr>
            <w:tcW w:w="1340" w:type="dxa"/>
            <w:shd w:val="clear" w:color="auto" w:fill="auto"/>
          </w:tcPr>
          <w:p>
            <w:pPr>
              <w:spacing w:after="0"/>
              <w:rPr>
                <w:rFonts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</w:tbl>
    <w:p>
      <w:pPr>
        <w:rPr>
          <w:b/>
          <w:noProof/>
          <w:u w:val="single"/>
          <w:lang w:val="en-GB"/>
        </w:rPr>
      </w:pPr>
    </w:p>
    <w:p>
      <w:pPr>
        <w:rPr>
          <w:b/>
          <w:noProof/>
          <w:u w:val="single"/>
        </w:rPr>
      </w:pPr>
      <w:r>
        <w:rPr>
          <w:noProof/>
        </w:rPr>
        <w:br w:type="page"/>
      </w:r>
    </w:p>
    <w:p>
      <w:pPr>
        <w:spacing w:line="240" w:lineRule="auto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 3</w:t>
      </w:r>
    </w:p>
    <w:p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t>Брой становища, получени от Комисията през 2016 г., по водещи служби на Комисията (политически диалог и механизъм за контрол на субсидиарността)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4"/>
        <w:gridCol w:w="1928"/>
      </w:tblGrid>
      <w:tr>
        <w:trPr>
          <w:trHeight w:val="340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/>
                <w:b/>
                <w:noProof/>
              </w:rPr>
            </w:pPr>
            <w:r>
              <w:rPr>
                <w:b/>
                <w:noProof/>
              </w:rPr>
              <w:t>Водеща служба на Комисията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cs="Times New Roman"/>
                <w:b/>
                <w:noProof/>
              </w:rPr>
            </w:pPr>
            <w:r>
              <w:rPr>
                <w:b/>
                <w:noProof/>
              </w:rPr>
              <w:t>Общ брой становища</w:t>
            </w:r>
            <w:r>
              <w:rPr>
                <w:rStyle w:val="FootnoteReference"/>
                <w:noProof/>
              </w:rPr>
              <w:footnoteReference w:id="21"/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„Миграция и вътрешни работи“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113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Генерален секретариат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59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„Съобщителни мрежи, съдържание и технологии“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58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„Правосъдие и потребители“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49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„Данъчно облагане и митнически съюз“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46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„Трудова заетост, социални въпроси и приобщаване“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45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„Вътрешен пазар, промишленост, предприемачество и МСП“</w:t>
            </w:r>
          </w:p>
        </w:tc>
        <w:tc>
          <w:tcPr>
            <w:tcW w:w="2302" w:type="dxa"/>
            <w:noWrap/>
            <w:vAlign w:val="center"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41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„Финансова стабилност, финансови услуги и съюз на капиталовите пазари“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34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„Енергетика“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32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„Мобилност и транспорт“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25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„Околна среда“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21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Европейска служба за външна дейност</w:t>
            </w:r>
            <w:r>
              <w:rPr>
                <w:rStyle w:val="FootnoteReference"/>
                <w:noProof/>
                <w:color w:val="000000"/>
              </w:rPr>
              <w:footnoteReference w:id="22"/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14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„Икономически и финансови въпроси“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„Действия по климата“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12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„Земеделие и развитие на селските райони“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„Търговия“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7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jc w:val="both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„Евростат — европейска статистика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6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„Образование, младеж, спорт и култура“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6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„Европейска политика за съседство и преговори за разширяване“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4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„Бюджет“</w:t>
            </w:r>
          </w:p>
        </w:tc>
        <w:tc>
          <w:tcPr>
            <w:tcW w:w="2302" w:type="dxa"/>
            <w:noWrap/>
            <w:vAlign w:val="center"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„Здравеопазване и безопасност на храните“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„Морско дело и рибарство“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ГД „Научни изследвания и иновации“ </w:t>
            </w:r>
          </w:p>
        </w:tc>
        <w:tc>
          <w:tcPr>
            <w:tcW w:w="2302" w:type="dxa"/>
            <w:noWrap/>
            <w:vAlign w:val="center"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Служба за инструментите в областта на външната политика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ГД „Конкуренция“ 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„Европейска гражданска защита и европейски операции за хуманитарна помощ“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„Международно сътрудничество и развитие“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trHeight w:val="340"/>
        </w:trPr>
        <w:tc>
          <w:tcPr>
            <w:tcW w:w="0" w:type="auto"/>
            <w:noWrap/>
            <w:vAlign w:val="center"/>
            <w:hideMark/>
          </w:tcPr>
          <w:p>
            <w:pPr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ГД „Регионална и селищна политика“</w:t>
            </w:r>
          </w:p>
        </w:tc>
        <w:tc>
          <w:tcPr>
            <w:tcW w:w="2302" w:type="dxa"/>
            <w:noWrap/>
            <w:vAlign w:val="center"/>
            <w:hideMark/>
          </w:tcPr>
          <w:p>
            <w:pPr>
              <w:jc w:val="center"/>
              <w:rPr>
                <w:rFonts w:cs="Times New Roman"/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</w:tr>
      <w:tr>
        <w:trPr>
          <w:trHeight w:val="340"/>
        </w:trPr>
        <w:tc>
          <w:tcPr>
            <w:tcW w:w="0" w:type="auto"/>
            <w:vAlign w:val="center"/>
          </w:tcPr>
          <w:p>
            <w:pPr>
              <w:rPr>
                <w:rFonts w:cs="Times New Roman"/>
                <w:noProof/>
              </w:rPr>
            </w:pPr>
            <w:r>
              <w:rPr>
                <w:noProof/>
              </w:rPr>
              <w:t>ОБЩО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cs="Times New Roman"/>
                <w:b/>
                <w:noProof/>
              </w:rPr>
            </w:pPr>
            <w:r>
              <w:rPr>
                <w:b/>
                <w:noProof/>
              </w:rPr>
              <w:t>612</w:t>
            </w:r>
            <w:r>
              <w:rPr>
                <w:rStyle w:val="FootnoteReference"/>
                <w:noProof/>
              </w:rPr>
              <w:footnoteReference w:id="23"/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/>
      <w:pgMar w:top="1440" w:right="1440" w:bottom="1276" w:left="1440" w:header="426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3814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В това число становища и мотивирани становища, получени от националните парламенти.</w:t>
      </w:r>
    </w:p>
  </w:footnote>
  <w:footnote w:id="2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За да може дадено становище да се определи като мотивирано становище съгласно определението в Протокол № 2, в него трябва ясно да се посочва нарушение на субсидиарността и то трябва да бъде изпратено до Комисията в срок от осем седмици, считано от момента на изпращането на законодателното предложение до националните парламенти.</w:t>
      </w:r>
    </w:p>
  </w:footnote>
  <w:footnote w:id="3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</w:rPr>
        <w:t>Assemblée nationale</w:t>
      </w:r>
      <w:r>
        <w:t xml:space="preserve"> на Франция изпрати становище с твърдение за нарушение на принципа на субсидиарност. Това становище обаче беше изпратено след изтичане на 8-седмичния срок от изпращането на законодателното предложение до националните парламенти от страна на Комисията.</w:t>
      </w:r>
    </w:p>
  </w:footnote>
  <w:footnote w:id="4">
    <w:p>
      <w:pPr>
        <w:pStyle w:val="FootnoteText"/>
        <w:tabs>
          <w:tab w:val="left" w:pos="284"/>
        </w:tabs>
        <w:ind w:left="284" w:hanging="284"/>
        <w:jc w:val="both"/>
        <w:rPr>
          <w:highlight w:val="yellow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Броят се за тринадесет становища от двете камари. </w:t>
      </w:r>
    </w:p>
  </w:footnote>
  <w:footnote w:id="5">
    <w:p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В таблицата са класирани всички документи на Комисията, за които са получени най-малко осем становища.</w:t>
      </w:r>
    </w:p>
  </w:footnote>
  <w:footnote w:id="6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В това число становища и мотивирани становища, получени от националните парламенти.</w:t>
      </w:r>
    </w:p>
  </w:footnote>
  <w:footnote w:id="7">
    <w:p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За да може дадено становище да се определи като мотивирано становище съгласно определението в Протокол № 2, в него трябва ясно да се посочва нарушение на субсидиарността и то трябва да бъде изпратено до Комисията в срок от осем седмици, считано от момента на изпращането на законодателното предложение до националните парламенти.</w:t>
      </w:r>
    </w:p>
  </w:footnote>
  <w:footnote w:id="8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от становищата във връзка с този документ на Комисията, представено от чешката </w:t>
      </w:r>
      <w:r>
        <w:rPr>
          <w:i/>
        </w:rPr>
        <w:t>Poslanecká sněmovna</w:t>
      </w:r>
      <w:r>
        <w:t xml:space="preserve">, се отнася едновременно за COM(2016) 270, COM(2016) 271 и COM(2016) 272. Едно становище, представено от португалската </w:t>
      </w:r>
      <w:r>
        <w:rPr>
          <w:i/>
        </w:rPr>
        <w:t>Assembleia da República</w:t>
      </w:r>
      <w:r>
        <w:t>, се отнася едновременно за COM(2016) 197, COM(2016) 270, COM(2016) 271 и COM(2016) 272.</w:t>
      </w:r>
    </w:p>
  </w:footnote>
  <w:footnote w:id="9">
    <w:p>
      <w:pPr>
        <w:pStyle w:val="FootnoteText"/>
        <w:ind w:left="284" w:hanging="284"/>
        <w:jc w:val="both"/>
        <w:rPr>
          <w:spacing w:val="-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pacing w:val="-6"/>
        </w:rPr>
        <w:t xml:space="preserve">Шест становища — от чешкия </w:t>
      </w:r>
      <w:r>
        <w:rPr>
          <w:i/>
          <w:spacing w:val="-6"/>
        </w:rPr>
        <w:t>Senát</w:t>
      </w:r>
      <w:r>
        <w:rPr>
          <w:spacing w:val="-6"/>
        </w:rPr>
        <w:t xml:space="preserve">, френския </w:t>
      </w:r>
      <w:r>
        <w:rPr>
          <w:i/>
          <w:spacing w:val="-6"/>
        </w:rPr>
        <w:t>Sénat</w:t>
      </w:r>
      <w:r>
        <w:rPr>
          <w:spacing w:val="-6"/>
        </w:rPr>
        <w:t xml:space="preserve">, люксембургската </w:t>
      </w:r>
      <w:r>
        <w:rPr>
          <w:i/>
          <w:spacing w:val="-6"/>
        </w:rPr>
        <w:t xml:space="preserve">Chambre des Députés, </w:t>
      </w:r>
      <w:r>
        <w:rPr>
          <w:spacing w:val="-6"/>
        </w:rPr>
        <w:t xml:space="preserve">австрийския </w:t>
      </w:r>
      <w:r>
        <w:rPr>
          <w:i/>
          <w:spacing w:val="-6"/>
        </w:rPr>
        <w:t>Bundesrat</w:t>
      </w:r>
      <w:r>
        <w:rPr>
          <w:spacing w:val="-6"/>
        </w:rPr>
        <w:t xml:space="preserve">, португалската </w:t>
      </w:r>
      <w:r>
        <w:rPr>
          <w:i/>
          <w:spacing w:val="-6"/>
        </w:rPr>
        <w:t>Assembleia da República</w:t>
      </w:r>
      <w:r>
        <w:rPr>
          <w:spacing w:val="-6"/>
        </w:rPr>
        <w:t xml:space="preserve"> и румънския </w:t>
      </w:r>
      <w:r>
        <w:rPr>
          <w:i/>
          <w:spacing w:val="-6"/>
        </w:rPr>
        <w:t>Senat</w:t>
      </w:r>
      <w:r>
        <w:rPr>
          <w:spacing w:val="-6"/>
        </w:rPr>
        <w:t xml:space="preserve"> — се отнасят едновременно за COM(2015) 634 и COM(2015) 635. Нидерландската </w:t>
      </w:r>
      <w:r>
        <w:rPr>
          <w:i/>
          <w:spacing w:val="-6"/>
        </w:rPr>
        <w:t>Eerste Kamer</w:t>
      </w:r>
      <w:r>
        <w:rPr>
          <w:spacing w:val="-6"/>
        </w:rPr>
        <w:t xml:space="preserve"> изпрати две становища, като и двете се отнасят едновременно за COM(2015) 633, COM(2015) 634 и COM(2015) 635.</w:t>
      </w:r>
    </w:p>
  </w:footnote>
  <w:footnote w:id="10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Осем становища — от датския</w:t>
      </w:r>
      <w:r>
        <w:rPr>
          <w:i/>
        </w:rPr>
        <w:t xml:space="preserve"> Folketing</w:t>
      </w:r>
      <w:r>
        <w:t xml:space="preserve">, ирландската </w:t>
      </w:r>
      <w:r>
        <w:rPr>
          <w:i/>
        </w:rPr>
        <w:t>Dáil Éireann</w:t>
      </w:r>
      <w:r>
        <w:t xml:space="preserve">, ирландския </w:t>
      </w:r>
      <w:r>
        <w:rPr>
          <w:i/>
        </w:rPr>
        <w:t>Seanad Éireann</w:t>
      </w:r>
      <w:r>
        <w:t xml:space="preserve">, испанските </w:t>
      </w:r>
      <w:r>
        <w:rPr>
          <w:i/>
        </w:rPr>
        <w:t>Cortes Generales</w:t>
      </w:r>
      <w:r>
        <w:t xml:space="preserve">, люксембургската </w:t>
      </w:r>
      <w:r>
        <w:rPr>
          <w:i/>
        </w:rPr>
        <w:t>Chambre des Députés</w:t>
      </w:r>
      <w:r>
        <w:t xml:space="preserve">, малтийската </w:t>
      </w:r>
      <w:r>
        <w:rPr>
          <w:i/>
        </w:rPr>
        <w:t>Kamra tad-Deputati</w:t>
      </w:r>
      <w:r>
        <w:t xml:space="preserve">, нидерландската </w:t>
      </w:r>
      <w:r>
        <w:rPr>
          <w:i/>
        </w:rPr>
        <w:t>Tweede Kamer</w:t>
      </w:r>
      <w:r>
        <w:t xml:space="preserve"> и португалската </w:t>
      </w:r>
      <w:r>
        <w:rPr>
          <w:i/>
        </w:rPr>
        <w:t>Assembleia da República</w:t>
      </w:r>
      <w:r>
        <w:t xml:space="preserve"> — се отнасят едновременно за COM(2016) 683 и COM(2016) 685. Едно становище, представено от нидерландската </w:t>
      </w:r>
      <w:r>
        <w:rPr>
          <w:i/>
        </w:rPr>
        <w:t>Eerste Kamer</w:t>
      </w:r>
      <w:r>
        <w:t>, се отнася едновременно за COM(2016) 683, COM(2016) 685 и COM(2016) 687.</w:t>
      </w:r>
    </w:p>
  </w:footnote>
  <w:footnote w:id="11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Осем становища — от датския </w:t>
      </w:r>
      <w:r>
        <w:rPr>
          <w:i/>
        </w:rPr>
        <w:t>Folketing</w:t>
      </w:r>
      <w:r>
        <w:t xml:space="preserve">, ирландската </w:t>
      </w:r>
      <w:r>
        <w:rPr>
          <w:i/>
        </w:rPr>
        <w:t>Dáil Éireann</w:t>
      </w:r>
      <w:r>
        <w:t xml:space="preserve">, ирландския </w:t>
      </w:r>
      <w:r>
        <w:rPr>
          <w:i/>
        </w:rPr>
        <w:t>Seanad Éireann</w:t>
      </w:r>
      <w:r>
        <w:t xml:space="preserve">, испанските </w:t>
      </w:r>
      <w:r>
        <w:rPr>
          <w:i/>
        </w:rPr>
        <w:t>Cortes Generales,</w:t>
      </w:r>
      <w:r>
        <w:t xml:space="preserve"> люксембургската </w:t>
      </w:r>
      <w:r>
        <w:rPr>
          <w:i/>
        </w:rPr>
        <w:t>Chambre des Députés</w:t>
      </w:r>
      <w:r>
        <w:t xml:space="preserve">, малтийската </w:t>
      </w:r>
      <w:r>
        <w:rPr>
          <w:i/>
        </w:rPr>
        <w:t>Kamra tad-Deputati</w:t>
      </w:r>
      <w:r>
        <w:t xml:space="preserve">, нидерландската </w:t>
      </w:r>
      <w:r>
        <w:rPr>
          <w:i/>
        </w:rPr>
        <w:t>Tweede Kamer</w:t>
      </w:r>
      <w:r>
        <w:t xml:space="preserve"> и португалската </w:t>
      </w:r>
      <w:r>
        <w:rPr>
          <w:i/>
        </w:rPr>
        <w:t>Assembleia da República</w:t>
      </w:r>
      <w:r>
        <w:t xml:space="preserve"> — се отнасят едновременно за COM(2016) 683 и COM(2016) 685. Едно становище, представено от нидерландската </w:t>
      </w:r>
      <w:r>
        <w:rPr>
          <w:i/>
        </w:rPr>
        <w:t>Eerste Kamer</w:t>
      </w:r>
      <w:r>
        <w:t>, се отнася едновременно за COM(2016) 683, COM(2016) 685 и COM(2016) 687.</w:t>
      </w:r>
    </w:p>
  </w:footnote>
  <w:footnote w:id="12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становище, представено от италианската </w:t>
      </w:r>
      <w:r>
        <w:rPr>
          <w:i/>
        </w:rPr>
        <w:t>Camera dei Deputati</w:t>
      </w:r>
      <w:r>
        <w:t xml:space="preserve">, се отнася едновременно за COM(2015) 633 и COM(2015) 634. Шест становища — от чешкия </w:t>
      </w:r>
      <w:r>
        <w:rPr>
          <w:i/>
        </w:rPr>
        <w:t>Senát</w:t>
      </w:r>
      <w:r>
        <w:t xml:space="preserve">, френския </w:t>
      </w:r>
      <w:r>
        <w:rPr>
          <w:i/>
        </w:rPr>
        <w:t>Sénat</w:t>
      </w:r>
      <w:r>
        <w:t xml:space="preserve">, люксембургската </w:t>
      </w:r>
      <w:r>
        <w:rPr>
          <w:i/>
        </w:rPr>
        <w:t xml:space="preserve">Chambre des Députés, </w:t>
      </w:r>
      <w:r>
        <w:t xml:space="preserve">австрийския </w:t>
      </w:r>
      <w:r>
        <w:rPr>
          <w:i/>
        </w:rPr>
        <w:t>Bundesrat</w:t>
      </w:r>
      <w:r>
        <w:t xml:space="preserve">, португалската </w:t>
      </w:r>
      <w:r>
        <w:rPr>
          <w:i/>
        </w:rPr>
        <w:t>Assembleia da República</w:t>
      </w:r>
      <w:r>
        <w:t xml:space="preserve"> и румънския </w:t>
      </w:r>
      <w:r>
        <w:rPr>
          <w:i/>
        </w:rPr>
        <w:t>Senat</w:t>
      </w:r>
      <w:r>
        <w:t xml:space="preserve"> — се отнасят едновременно за COM(2015) 634 и COM(2015) 635. Нидерландската </w:t>
      </w:r>
      <w:r>
        <w:rPr>
          <w:i/>
        </w:rPr>
        <w:t>Eerste Kamer</w:t>
      </w:r>
      <w:r>
        <w:t xml:space="preserve"> изпрати две становища, като и двете се отнасят едновременно за COM(2015) 633, COM(2015) 634 и COM(2015) 635.</w:t>
      </w:r>
    </w:p>
  </w:footnote>
  <w:footnote w:id="13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Две становища — от австрийския </w:t>
      </w:r>
      <w:r>
        <w:rPr>
          <w:i/>
        </w:rPr>
        <w:t>Bundesrat</w:t>
      </w:r>
      <w:r>
        <w:t xml:space="preserve"> и френската </w:t>
      </w:r>
      <w:r>
        <w:rPr>
          <w:i/>
        </w:rPr>
        <w:t>Assemblée nationale</w:t>
      </w:r>
      <w:r>
        <w:t xml:space="preserve"> — се отнасят едновременно за COM(2016) 52 и COM(2016) 53. Две становища — от чешкия </w:t>
      </w:r>
      <w:r>
        <w:rPr>
          <w:i/>
        </w:rPr>
        <w:t>Senát</w:t>
      </w:r>
      <w:r>
        <w:t xml:space="preserve"> и чешката </w:t>
      </w:r>
      <w:r>
        <w:rPr>
          <w:i/>
        </w:rPr>
        <w:t>Poslanecká sněmovna</w:t>
      </w:r>
      <w:r>
        <w:t xml:space="preserve"> — се отнасят едновременно за COM(2016) 49, COM(2016) 51, COM(2016) 52 и COM(2016) 53. </w:t>
      </w:r>
    </w:p>
  </w:footnote>
  <w:footnote w:id="14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Две становища — от френската </w:t>
      </w:r>
      <w:r>
        <w:rPr>
          <w:i/>
        </w:rPr>
        <w:t>Assemblée nationale</w:t>
      </w:r>
      <w:r>
        <w:t xml:space="preserve"> и австрийския </w:t>
      </w:r>
      <w:r>
        <w:rPr>
          <w:i/>
        </w:rPr>
        <w:t>Bundesrat</w:t>
      </w:r>
      <w:r>
        <w:t xml:space="preserve"> — се отнасят едновременно за COM(2016) 52 и COM(2016) 53. Две становища — от чешкия </w:t>
      </w:r>
      <w:r>
        <w:rPr>
          <w:i/>
        </w:rPr>
        <w:t>Senát</w:t>
      </w:r>
      <w:r>
        <w:t xml:space="preserve"> и чешката </w:t>
      </w:r>
      <w:r>
        <w:rPr>
          <w:i/>
        </w:rPr>
        <w:t>Poslanecká sněmovna</w:t>
      </w:r>
      <w:r>
        <w:t xml:space="preserve"> — се отнасят едновременно за COM(2016) 49, COM(2016) 51, COM(2016) 52 и COM(2016) 53.</w:t>
      </w:r>
    </w:p>
  </w:footnote>
  <w:footnote w:id="15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становище, представено от чешкия </w:t>
      </w:r>
      <w:r>
        <w:rPr>
          <w:i/>
        </w:rPr>
        <w:t>Senát</w:t>
      </w:r>
      <w:r>
        <w:t xml:space="preserve">, се отнася едновременно за COM(2015) 750 и COM(2015) 624. </w:t>
      </w:r>
    </w:p>
  </w:footnote>
  <w:footnote w:id="16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становище, представено от румънската </w:t>
      </w:r>
      <w:r>
        <w:rPr>
          <w:i/>
        </w:rPr>
        <w:t>Camera Deputaților</w:t>
      </w:r>
      <w:r>
        <w:t>, се отнася едновременно за COM(2015) 671 и COM(2015) 673.</w:t>
      </w:r>
    </w:p>
  </w:footnote>
  <w:footnote w:id="17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становище, представено от френската </w:t>
      </w:r>
      <w:r>
        <w:rPr>
          <w:i/>
        </w:rPr>
        <w:t>Assemblée nationale</w:t>
      </w:r>
      <w:r>
        <w:t xml:space="preserve">, се отнася едновременно за COM(2015) 593, COM(2015) 594, COM(2015) 595 и COM(2015) 596. Три становища — от чешкия </w:t>
      </w:r>
      <w:r>
        <w:rPr>
          <w:i/>
        </w:rPr>
        <w:t>Senát</w:t>
      </w:r>
      <w:r>
        <w:t xml:space="preserve">, италианския </w:t>
      </w:r>
      <w:r>
        <w:rPr>
          <w:i/>
        </w:rPr>
        <w:t>Senato della Repubblica</w:t>
      </w:r>
      <w:r>
        <w:t xml:space="preserve"> и румънския </w:t>
      </w:r>
      <w:r>
        <w:rPr>
          <w:i/>
        </w:rPr>
        <w:t>Senat</w:t>
      </w:r>
      <w:r>
        <w:t xml:space="preserve"> — се отнасят едновременно за COM(2015) 593, COM(2015) 594, COM(2015) 595, COM(2015) 596 и COM(2015) 614. Две становища — от френския </w:t>
      </w:r>
      <w:r>
        <w:rPr>
          <w:i/>
        </w:rPr>
        <w:t>Sénat</w:t>
      </w:r>
      <w:r>
        <w:t xml:space="preserve"> и полския </w:t>
      </w:r>
      <w:r>
        <w:rPr>
          <w:i/>
        </w:rPr>
        <w:t>Senat</w:t>
      </w:r>
      <w:r>
        <w:t xml:space="preserve"> — се отнасят едновременно за COM(2015) 594, COM(2015) 595 и COM(2015) 596. Едно становище, представено от датския </w:t>
      </w:r>
      <w:r>
        <w:rPr>
          <w:i/>
        </w:rPr>
        <w:t>Folketing</w:t>
      </w:r>
      <w:r>
        <w:t>, се отнася едновременно за COM(2015) 595 и COM(2015) 596.</w:t>
      </w:r>
    </w:p>
  </w:footnote>
  <w:footnote w:id="18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становище, представено от френската </w:t>
      </w:r>
      <w:r>
        <w:rPr>
          <w:i/>
        </w:rPr>
        <w:t>Assemblée nationale</w:t>
      </w:r>
      <w:r>
        <w:t>, се отнася едновременно за COM(2013) 534, COM(2015) 185, COM(2015) 624 и COM(2015) 625.</w:t>
      </w:r>
    </w:p>
  </w:footnote>
  <w:footnote w:id="19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становище, представено от френската </w:t>
      </w:r>
      <w:r>
        <w:rPr>
          <w:i/>
        </w:rPr>
        <w:t>Assemblée nationale</w:t>
      </w:r>
      <w:r>
        <w:t xml:space="preserve">, се отнася едновременно за COM(2015) 593, COM(2015) 594, COM(2015) 595 и COM(2015) 596. Три становища — от чешкия </w:t>
      </w:r>
      <w:r>
        <w:rPr>
          <w:i/>
        </w:rPr>
        <w:t>Senát</w:t>
      </w:r>
      <w:r>
        <w:t xml:space="preserve">, италианския </w:t>
      </w:r>
      <w:r>
        <w:rPr>
          <w:i/>
        </w:rPr>
        <w:t>Senato della Repubblica</w:t>
      </w:r>
      <w:r>
        <w:t xml:space="preserve"> и румънския </w:t>
      </w:r>
      <w:r>
        <w:rPr>
          <w:i/>
        </w:rPr>
        <w:t>Senat</w:t>
      </w:r>
      <w:r>
        <w:t xml:space="preserve"> — се отнасят едновременно за COM(2015) 593, COM(2015) 594, COM(2015) 595, COM(2015) 596 и COM(2015) 614. Две становища — от френския </w:t>
      </w:r>
      <w:r>
        <w:rPr>
          <w:i/>
        </w:rPr>
        <w:t>Sénat</w:t>
      </w:r>
      <w:r>
        <w:t xml:space="preserve"> и полския </w:t>
      </w:r>
      <w:r>
        <w:rPr>
          <w:i/>
        </w:rPr>
        <w:t>Senat</w:t>
      </w:r>
      <w:r>
        <w:t xml:space="preserve"> — се отнасят едновременно за COM(2015) 594, COM(2015) 595 и COM(2015) 596. Едно становище, представено от датския </w:t>
      </w:r>
      <w:r>
        <w:rPr>
          <w:i/>
        </w:rPr>
        <w:t>Folketing</w:t>
      </w:r>
      <w:r>
        <w:t>, се отнася едновременно за COM(2015) 595 и COM(2015) 596.</w:t>
      </w:r>
    </w:p>
  </w:footnote>
  <w:footnote w:id="20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становище, представено от португалската </w:t>
      </w:r>
      <w:r>
        <w:rPr>
          <w:i/>
        </w:rPr>
        <w:t>Assembleia da República</w:t>
      </w:r>
      <w:r>
        <w:t xml:space="preserve">, се отнася едновременно за COM(2016) 197, COM(2016) 270, COM(2016) 271 и COM(2016) 272. Едно становище, представено от чешката </w:t>
      </w:r>
      <w:r>
        <w:rPr>
          <w:i/>
        </w:rPr>
        <w:t>Poslanecká sněmovna</w:t>
      </w:r>
      <w:r>
        <w:t xml:space="preserve">, се отнася едновременно за COM(2016) 270, COM(2016) 271 и COM(2016) 272. </w:t>
      </w:r>
    </w:p>
  </w:footnote>
  <w:footnote w:id="21">
    <w:p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В това число становища и мотивирани становища, получени от националните парламенти.</w:t>
      </w:r>
    </w:p>
  </w:footnote>
  <w:footnote w:id="22">
    <w:p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ЕСВД не е служба на Комисията, а независим орган.</w:t>
      </w:r>
    </w:p>
  </w:footnote>
  <w:footnote w:id="23">
    <w:p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Едно становище по собствена инициатива от френската </w:t>
      </w:r>
      <w:r>
        <w:rPr>
          <w:i/>
        </w:rPr>
        <w:t>Assemblée nationale</w:t>
      </w:r>
      <w:r>
        <w:t xml:space="preserve"> и седем становища по собствена инициатива от </w:t>
      </w:r>
      <w:r>
        <w:rPr>
          <w:i/>
        </w:rPr>
        <w:t>House of Lords</w:t>
      </w:r>
      <w:r>
        <w:t xml:space="preserve"> на Обединеното кралство са били изпратени само за информация и не са разпределени на конкретна служба на Комисията.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45EB392062E842A98CDA5844B9FE6850"/>
    <w:docVar w:name="LW_CROSSREFERENCE" w:val="&lt;UNUSED&gt;"/>
    <w:docVar w:name="LW_DocType" w:val="NORMAL"/>
    <w:docVar w:name="LW_EMISSION" w:val="30.6.2017"/>
    <w:docVar w:name="LW_EMISSION_ISODATE" w:val="2017-06-3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3?\u1086?\u1076?\u1080?\u1096?\u1077?\u1085? \u1076?\u1086?\u1082?\u1083?\u1072?\u1076? \u1079?\u1072? 2016 \u1075?\u1086?\u1076?\u1080?\u1085?\u1072?_x000b_\u1086?\u1090?\u1085?\u1086?\u1089?\u1085?\u1086? \u1086?\u1090?\u1085?\u1086?\u1096?\u1077?\u1085?\u1080?\u1103?\u1090?\u1072? \u1084?\u1077?\u1078?\u1076?\u1091? \u1045?\u1074?\u1088?\u1086?\u1087?\u1077?\u1081?\u1089?\u1082?\u1072?\u1090?\u1072? \u1082?\u1086?\u1084?\u1080?\u1089?\u1080?\u1103? \u1080? \u1085?\u1072?\u1094?\u1080?\u1086?\u1085?\u1072?\u1083?\u1085?\u1080?\u1090?\u1077? \u1087?\u1072?\u1088?\u1083?\u1072?\u1084?\u1077?\u1085?\u1090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60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noProof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noProof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noProof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noProof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noProof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noProof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A969-1016-498B-9C1E-14035A15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927</Words>
  <Characters>4918</Characters>
  <Application>Microsoft Office Word</Application>
  <DocSecurity>0</DocSecurity>
  <Lines>491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 Aive (SG)</dc:creator>
  <cp:lastModifiedBy>DIGIT/A3</cp:lastModifiedBy>
  <cp:revision>24</cp:revision>
  <cp:lastPrinted>2017-06-02T13:09:00Z</cp:lastPrinted>
  <dcterms:created xsi:type="dcterms:W3CDTF">2017-05-16T13:11:00Z</dcterms:created>
  <dcterms:modified xsi:type="dcterms:W3CDTF">2017-07-03T08:52:00Z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