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7116857F9A34E7BB459D04B56A2CA7D" style="width:450.75pt;height:361.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Heading1"/>
        <w:numPr>
          <w:ilvl w:val="0"/>
          <w:numId w:val="2"/>
        </w:numPr>
        <w:spacing w:before="120"/>
        <w:rPr>
          <w:rFonts w:ascii="Times New Roman" w:hAnsi="Times New Roman" w:cs="Times New Roman"/>
          <w:noProof/>
          <w:color w:val="000000" w:themeColor="text1"/>
        </w:rPr>
      </w:pPr>
      <w:bookmarkStart w:id="1" w:name="_GoBack"/>
      <w:bookmarkEnd w:id="1"/>
      <w:r>
        <w:rPr>
          <w:rFonts w:ascii="Times New Roman" w:hAnsi="Times New Roman"/>
          <w:noProof/>
          <w:color w:val="000000" w:themeColor="text1"/>
        </w:rPr>
        <w:lastRenderedPageBreak/>
        <w:t>Въведение</w:t>
      </w:r>
    </w:p>
    <w:p>
      <w:pPr>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В тринадесетия доклад относно преместването и презаселването се очертават спешните действия, които е необходимо да бъдат предприети в следващите месеци за преместването на всички отговарящи на изискванията лица, които понастоящем се намират в Италия и Гърция, както и за осъществяването на целите, свързани с презаселването.</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 xml:space="preserve">През първите пет месеца на 2017 г. се наблюдава значително увеличение на темпа на преместване. От януари досега са преместени близо 10 300 души. Това представлява над петкратно увеличение в сравнение със същия период на 2016 г., когато бяха преместени едва 1 600 души. Това е в резултат на процедурите, които бяха напълно приведени в действие през втората половина на 2016 г., на редовното поемане на ангажименти от страна на държавите членки и на непрекъснатите усилия, полагани от двете държави членки бенефициери за подобряване на взаимното сътрудничество и доверие.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 xml:space="preserve">В резултат на това през май 2017 г. от Италия са преместени над 1 000 души — най-големият брой до момента, който се доближава до заложените месечни цели, като така общият брой преместени от Италия лица става 6 896. Въпреки това са нужни още усилия от страна на Италия за установяването самоличността и регистрирането за преместване на всички намиращи се в Италия лица, както и за своевременното насочване към преместване на новопристигащите лица, отговарящи на изискванията. В Гърция, където се очаква броят на лицата, които предстои да бъдат преместени, да се запази стабилен (27 208 души, регистрирани за преместване), месечните премествания се задържат на постоянни нива от 1 300 души, с което общият брой на преместените от Гърция лица става 13 973. Все още предстои да бъдат преместени около 11 000 души. За тази цел държавите членки приеха конкретни мерки за оперативно планиране, като се очаква въз основа на това планиране и при текущия темп на поемане на ангажименти целта от 3 000 премествания на месец де бъде постигната през юли и да се запази до септември.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i/>
          <w:noProof/>
          <w:color w:val="000000"/>
        </w:rPr>
        <w:t xml:space="preserve">Досега са преместени общо над 20 000 души. Независимо че повечето държави членки вече допринасят за изпълнението на тази схема по справедлив и пропорционален начин, Полша, Унгария и Чешката република, в нарушение на правните си задължения, не поемат ангажименти и не извършват премествания от Гърция и Италия.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pPr>
        <w:jc w:val="both"/>
        <w:rPr>
          <w:rFonts w:ascii="Times" w:hAnsi="Times" w:cs="Times"/>
          <w:i/>
          <w:iCs/>
          <w:noProof/>
          <w:color w:val="000000"/>
        </w:rPr>
      </w:pPr>
      <w:r>
        <w:rPr>
          <w:rFonts w:ascii="Times" w:hAnsi="Times"/>
          <w:i/>
          <w:noProof/>
          <w:color w:val="000000"/>
        </w:rPr>
        <w:t>Преместването продължава да бъде ключова мярка за облекчаване на натиска върху Гърция и Италия чрез споделяне на отговорността по отношение на кандидатите, които очевидно се нуждаят от международна закрила. Държавите членки не бива да намаляват усилията си, тъй като текущият темп на преместване все още е недостатъчен, за да бъдат преместени до септември 2017 г. всички отговарящи на изискванията лица. Освен това правните задължения на държавите членки не приключват в този момент; решенията на Съвета са приложими за всички лица, които пристигнат на територията на Гърция и Италия до 26 септември 2017 г. Затова държавите членки трябва да продължат да прилагат процедурата по преместване по отношение на отговарящите на изискванията кандидати за разумен период от време след това.</w:t>
      </w:r>
    </w:p>
    <w:p>
      <w:pPr>
        <w:jc w:val="both"/>
        <w:rPr>
          <w:rFonts w:ascii="Times" w:hAnsi="Times" w:cs="Times"/>
          <w:i/>
          <w:iCs/>
          <w:noProof/>
          <w:color w:val="000000"/>
        </w:rPr>
      </w:pPr>
    </w:p>
    <w:p>
      <w:pPr>
        <w:jc w:val="both"/>
        <w:rPr>
          <w:rFonts w:ascii="Times" w:hAnsi="Times" w:cs="Times"/>
          <w:i/>
          <w:iCs/>
          <w:noProof/>
          <w:color w:val="000000"/>
        </w:rPr>
      </w:pPr>
      <w:r>
        <w:rPr>
          <w:rFonts w:ascii="Times" w:hAnsi="Times"/>
          <w:i/>
          <w:noProof/>
          <w:color w:val="000000"/>
        </w:rPr>
        <w:t xml:space="preserve">Изпълнението на заключенията на Съвета от юли 2015 г. за презаселването на 22 504 души все още върви по план, като вече са презаселени повече от две трети от договорения брой. </w:t>
      </w:r>
    </w:p>
    <w:p>
      <w:pPr>
        <w:pStyle w:val="Heading1"/>
        <w:numPr>
          <w:ilvl w:val="0"/>
          <w:numId w:val="2"/>
        </w:numPr>
        <w:spacing w:after="120"/>
        <w:rPr>
          <w:rFonts w:ascii="Times New Roman" w:hAnsi="Times New Roman" w:cs="Times New Roman"/>
          <w:noProof/>
          <w:color w:val="000000" w:themeColor="text1"/>
        </w:rPr>
      </w:pPr>
      <w:r>
        <w:rPr>
          <w:rFonts w:ascii="Times New Roman" w:hAnsi="Times New Roman"/>
          <w:noProof/>
          <w:color w:val="000000" w:themeColor="text1"/>
        </w:rPr>
        <w:t>Преместване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b/>
          <w:noProof/>
        </w:rPr>
        <w:t xml:space="preserve">В темпа на преместванията продължава да се наблюдава положителна тенденция. Полагането на допълнителни усилия от страна на всички държави членки би позволило постигането на заложените от Комисията цели. </w:t>
      </w:r>
      <w:r>
        <w:rPr>
          <w:noProof/>
          <w:color w:val="000000"/>
          <w:u w:color="000000"/>
        </w:rPr>
        <w:t xml:space="preserve">Тези цели са насочени към извършването на ефективно и своевременно преместване на всички отговарящи на изискванията лица, които понастоящем се намират в Италия и Гърция, като се избегнат всякакви оперативни и логистични пречки, които може да възникнат, ако се наложи по-голямата част от оставащите прехвърляния да бъдат извършени едва през последните седмици на септември.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spacing w:val="-6"/>
        </w:rPr>
      </w:pPr>
      <w:r>
        <w:rPr>
          <w:noProof/>
          <w:lang w:val="en-US" w:eastAsia="en-US" w:bidi="ar-SA"/>
        </w:rPr>
        <w:drawing>
          <wp:anchor distT="0" distB="0" distL="114300" distR="114300" simplePos="0" relativeHeight="251658240" behindDoc="0" locked="0" layoutInCell="1" allowOverlap="1">
            <wp:simplePos x="0" y="0"/>
            <wp:positionH relativeFrom="column">
              <wp:posOffset>-635</wp:posOffset>
            </wp:positionH>
            <wp:positionV relativeFrom="paragraph">
              <wp:posOffset>55880</wp:posOffset>
            </wp:positionV>
            <wp:extent cx="3895725" cy="17354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895725" cy="1735455"/>
                    </a:xfrm>
                    <a:prstGeom prst="rect">
                      <a:avLst/>
                    </a:prstGeom>
                  </pic:spPr>
                </pic:pic>
              </a:graphicData>
            </a:graphic>
            <wp14:sizeRelH relativeFrom="page">
              <wp14:pctWidth>0</wp14:pctWidth>
            </wp14:sizeRelH>
            <wp14:sizeRelV relativeFrom="page">
              <wp14:pctHeight>0</wp14:pctHeight>
            </wp14:sizeRelV>
          </wp:anchor>
        </w:drawing>
      </w:r>
      <w:r>
        <w:rPr>
          <w:noProof/>
          <w:color w:val="000000"/>
          <w:spacing w:val="-6"/>
        </w:rPr>
        <w:t>Понастоящем почти всички държави членки извършват премествания от Италия и Гърция.</w:t>
      </w:r>
      <w:r>
        <w:rPr>
          <w:b/>
          <w:noProof/>
          <w:color w:val="000000"/>
          <w:spacing w:val="-6"/>
        </w:rPr>
        <w:t xml:space="preserve"> Полша, Унгария и Чешката република остават единствените държави членки, които не са променили позицията си и продължават да не поемат ангажименти и да не извършват премествания от Гърция или Италия в нарушение на правните си задължения</w:t>
      </w:r>
      <w:r>
        <w:rPr>
          <w:rStyle w:val="FootnoteReference"/>
          <w:noProof/>
          <w:color w:val="000000"/>
          <w:spacing w:val="-6"/>
        </w:rPr>
        <w:footnoteReference w:id="2"/>
      </w:r>
      <w:r>
        <w:rPr>
          <w:noProof/>
          <w:spacing w:val="-6"/>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rPr>
        <w:t xml:space="preserve">По-конкретно, </w:t>
      </w:r>
      <w:r>
        <w:rPr>
          <w:b/>
          <w:noProof/>
          <w:color w:val="000000"/>
        </w:rPr>
        <w:t>Полша и Унгария</w:t>
      </w:r>
      <w:r>
        <w:rPr>
          <w:noProof/>
          <w:color w:val="000000"/>
        </w:rPr>
        <w:t xml:space="preserve"> продължават да бъдат единствените държави членки, които не са преместили нито едно лице, а Полша не е поела нито един ангажимент от 16 декември 2015 г. </w:t>
      </w:r>
      <w:r>
        <w:rPr>
          <w:b/>
          <w:noProof/>
          <w:color w:val="000000"/>
        </w:rPr>
        <w:t>Чешката република</w:t>
      </w:r>
      <w:r>
        <w:rPr>
          <w:noProof/>
          <w:color w:val="000000"/>
        </w:rPr>
        <w:t xml:space="preserve"> не е поемала ангажимент от май 2016 г. досега, а от август 2016 г. не е преместила нито едно лице.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Австрия</w:t>
      </w:r>
      <w:r>
        <w:rPr>
          <w:noProof/>
          <w:color w:val="000000"/>
        </w:rPr>
        <w:t xml:space="preserve"> не е преместила нито едно лице до момента, но наскоро пое ангажимент за 50 души, които ще бъдат преместени от Италия през май. Сега тези ангажименти трябва да доведат до реални премествания без допълнително забавяне.</w:t>
      </w:r>
    </w:p>
    <w:p>
      <w:pPr>
        <w:jc w:val="both"/>
        <w:rPr>
          <w:noProof/>
          <w:color w:val="000000"/>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5" w:hanging="555"/>
        <w:jc w:val="both"/>
        <w:rPr>
          <w:b/>
          <w:noProof/>
          <w:color w:val="000000"/>
          <w:u w:val="single"/>
        </w:rPr>
      </w:pPr>
      <w:r>
        <w:rPr>
          <w:b/>
          <w:noProof/>
          <w:color w:val="000000"/>
        </w:rPr>
        <w:t xml:space="preserve">2.1 </w:t>
      </w:r>
      <w:r>
        <w:rPr>
          <w:noProof/>
        </w:rPr>
        <w:tab/>
      </w:r>
      <w:r>
        <w:rPr>
          <w:b/>
          <w:noProof/>
          <w:color w:val="000000"/>
          <w:u w:val="single"/>
        </w:rPr>
        <w:t xml:space="preserve">Гърция: В Гърция преместването вече е установена процедура, но все още е необходимо значително ускоряване на прехвърлянията с цел преместване на всички отговарящи на изискванията лица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Както вече беше докладвано, Гърция приключи регистрацията („подаване на молба за международна закрила“)</w:t>
      </w:r>
      <w:r>
        <w:rPr>
          <w:b/>
          <w:noProof/>
          <w:color w:val="000000"/>
        </w:rPr>
        <w:t xml:space="preserve"> </w:t>
      </w:r>
      <w:r>
        <w:rPr>
          <w:noProof/>
          <w:color w:val="000000"/>
        </w:rPr>
        <w:t>на всички лица, обхванати от процеса на предварителна регистрация</w:t>
      </w:r>
      <w:r>
        <w:rPr>
          <w:rStyle w:val="FootnoteReference"/>
          <w:noProof/>
          <w:color w:val="000000"/>
        </w:rPr>
        <w:footnoteReference w:id="3"/>
      </w:r>
      <w:r>
        <w:rPr>
          <w:noProof/>
          <w:color w:val="000000"/>
        </w:rPr>
        <w:t>, включително на лицата, които отговарят на изискванията за преместване. Към 9 юни общо 27 208 души са подали молби в рамките на схемата за преместване; 13 973 души вече са били преместени, а преместването на други 10 923 души все още предстои</w:t>
      </w:r>
      <w:r>
        <w:rPr>
          <w:rStyle w:val="FootnoteReference"/>
          <w:noProof/>
          <w:color w:val="000000"/>
        </w:rPr>
        <w:footnoteReference w:id="4"/>
      </w:r>
      <w:r>
        <w:rPr>
          <w:noProof/>
        </w:rPr>
        <w:t>.</w:t>
      </w:r>
      <w:r>
        <w:rPr>
          <w:noProof/>
          <w:color w:val="000000"/>
        </w:rPr>
        <w:t xml:space="preserve"> Въпреки че до 26 септември 2017 г. е възможно да бъдат регистрирани още кандидати за преместване, а други лица могат да бъдат изключени от схемата за преместване, общият брой на лицата, регистрирани за преместване, се очаква да остане стабилен.</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 xml:space="preserve">Темп на преместване: документите за планиране следва да бъдат завършени и приложени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Почти всички държави членки в момента поемат ангажименти и извършват премествания от Гърция</w:t>
      </w:r>
      <w:r>
        <w:rPr>
          <w:noProof/>
          <w:color w:val="000000"/>
        </w:rPr>
        <w:t xml:space="preserve"> ежемесечно или на всеки два месеца. Единствено Полша, Унгария, Чешката република и Австрия все още не са изпълнили правните си задължения. Малта е извършила всички премествания от разпределения за нея дял</w:t>
      </w:r>
      <w:r>
        <w:rPr>
          <w:rStyle w:val="FootnoteReference"/>
          <w:noProof/>
          <w:color w:val="000000"/>
        </w:rPr>
        <w:footnoteReference w:id="5"/>
      </w:r>
      <w:r>
        <w:rPr>
          <w:noProof/>
        </w:rPr>
        <w:t xml:space="preserve">, Латвия е на път да го направи, а Норвегия е на път да изпълни целия си ангажимент. Естония, Литва, Люксембург, Португалия и Финландия изпълняват задълженията си по план.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Въпреки неколкократните препоръки в предходните доклади и няколко двустранни срещи на различни нива Словакия продължава политиката си на </w:t>
      </w:r>
      <w:r>
        <w:rPr>
          <w:b/>
          <w:noProof/>
          <w:color w:val="000000"/>
        </w:rPr>
        <w:t>стриктни</w:t>
      </w:r>
      <w:r>
        <w:rPr>
          <w:noProof/>
          <w:color w:val="000000"/>
        </w:rPr>
        <w:t xml:space="preserve"> </w:t>
      </w:r>
      <w:r>
        <w:rPr>
          <w:b/>
          <w:noProof/>
          <w:color w:val="000000"/>
        </w:rPr>
        <w:t>предпочитания</w:t>
      </w:r>
      <w:r>
        <w:rPr>
          <w:noProof/>
          <w:color w:val="000000"/>
        </w:rPr>
        <w:t xml:space="preserve">, което води до непропорционално високи дялове на отхвърляне. Тази политика не е в съответствие с решенията на Съвета относно преместването, с които се допуска отхвърляне на основания, свързани с националната сигурност и обществения ред. Това задължително трябва да се промени веднага. </w:t>
      </w:r>
      <w:r>
        <w:rPr>
          <w:b/>
          <w:noProof/>
          <w:color w:val="000000"/>
        </w:rPr>
        <w:t>Всички държави</w:t>
      </w:r>
      <w:r>
        <w:rPr>
          <w:noProof/>
          <w:color w:val="000000"/>
        </w:rPr>
        <w:t xml:space="preserve"> </w:t>
      </w:r>
      <w:r>
        <w:rPr>
          <w:b/>
          <w:noProof/>
          <w:color w:val="000000"/>
        </w:rPr>
        <w:t>членки</w:t>
      </w:r>
      <w:r>
        <w:rPr>
          <w:noProof/>
          <w:color w:val="000000"/>
        </w:rPr>
        <w:t xml:space="preserve"> следва да </w:t>
      </w:r>
      <w:r>
        <w:rPr>
          <w:b/>
          <w:noProof/>
          <w:color w:val="000000"/>
        </w:rPr>
        <w:t>избягват изключването на</w:t>
      </w:r>
      <w:r>
        <w:rPr>
          <w:noProof/>
          <w:color w:val="000000"/>
        </w:rPr>
        <w:t xml:space="preserve"> </w:t>
      </w:r>
      <w:r>
        <w:rPr>
          <w:b/>
          <w:noProof/>
          <w:color w:val="000000"/>
        </w:rPr>
        <w:t>уязвими кандидати</w:t>
      </w:r>
      <w:r>
        <w:rPr>
          <w:noProof/>
          <w:color w:val="000000"/>
        </w:rPr>
        <w:t xml:space="preserve"> от предпочитанията си, тъй като тяхното преместване трябва да се ползва с приоритет. Също така е изключително важно държавите членки да създадат капацитет за настаняването на особено уязвими кандидати. Всички държави членки следва да бъдат готови да приемат всякакви лица, търсещи убежище (големи семейства, несемейни лица от мъжки пол), и да поемат своя справедлив дял уязвими кандидати, включително непридружени ненавършили пълнолетие лица и лица със сериозни здравословни проблеми.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b/>
          <w:noProof/>
          <w:color w:val="000000"/>
        </w:rPr>
        <w:t>Темпът на преместване</w:t>
      </w:r>
      <w:r>
        <w:rPr>
          <w:noProof/>
          <w:color w:val="000000"/>
        </w:rPr>
        <w:t xml:space="preserve"> достигна 1 300 прехвърляния на месец през последните месеци, което все още не е достатъчно за преместването на всички отговарящи на изискванията лица до септември 2017 г. Комисията организира съвместно с гръцката служба по въпросите на убежището и Международната организация по миграция (МОМ) специална среща за преодоляване на трудностите, свързани с логистичната координация, използвайки шведския документ за планиране като добър пример. Бяха проведени двустранни срещи с държави членки, които са поели голям обем месечни ангажименти, за да се планират различните етапи от процедурата по преместване. Документи за планиране бяха договорени с Германия, Испания, Нидерландия, Румъния, Франция и Швеция. Въз основа на това планиране и на текущия темп на изпълнение на месечните ангажименти на всички държави членки би трябвало броят на преместванията да достигне 2 500 през юни и 3 000 през юли, август и септември. С цел ефективното изпълнение на това планиране държавите членки следва да работят в конструктивен дух на всички етапи от процедурата по преместване, като Комисията е готова да окаже помощ при процеса. Държавите членки с </w:t>
      </w:r>
      <w:r>
        <w:rPr>
          <w:b/>
          <w:noProof/>
          <w:color w:val="000000"/>
          <w:u w:color="000000"/>
        </w:rPr>
        <w:t>ограничения в капацитета за приемане</w:t>
      </w:r>
      <w:r>
        <w:rPr>
          <w:noProof/>
          <w:color w:val="000000"/>
        </w:rPr>
        <w:t xml:space="preserve"> (Ирландия, Португалия и Финландия) работиха за преодоляване на трудностите.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pPr>
        <w:jc w:val="both"/>
        <w:rPr>
          <w:i/>
          <w:noProof/>
          <w:color w:val="000000"/>
          <w:u w:val="single"/>
        </w:rPr>
      </w:pPr>
      <w:r>
        <w:rPr>
          <w:i/>
          <w:noProof/>
          <w:color w:val="000000"/>
          <w:u w:val="single"/>
        </w:rPr>
        <w:t xml:space="preserve">Непридружени ненавършили пълнолетие лица: добрият напредък продължава  </w:t>
      </w:r>
    </w:p>
    <w:p>
      <w:pPr>
        <w:jc w:val="both"/>
        <w:rPr>
          <w:noProof/>
          <w:color w:val="000000"/>
          <w:u w:color="000000"/>
        </w:rPr>
      </w:pPr>
    </w:p>
    <w:p>
      <w:pPr>
        <w:jc w:val="both"/>
        <w:rPr>
          <w:noProof/>
          <w:color w:val="000000"/>
        </w:rPr>
      </w:pPr>
      <w:r>
        <w:rPr>
          <w:noProof/>
          <w:color w:val="000000"/>
          <w:u w:color="000000"/>
        </w:rPr>
        <w:t xml:space="preserve">Към 6 юни са преместени 365 от 574-те непридружени ненавършили пълнолетие лица, отговарящи на изискванията за преместване. След последния доклад повече държави членки са предложили места за тази категория уязвими кандидати. </w:t>
      </w:r>
      <w:r>
        <w:rPr>
          <w:b/>
          <w:noProof/>
          <w:color w:val="000000"/>
          <w:u w:color="000000"/>
        </w:rPr>
        <w:t>Държавите членки се приканват да продължат да предоставят места, необходими</w:t>
      </w:r>
      <w:r>
        <w:rPr>
          <w:rStyle w:val="FootnoteReference"/>
          <w:b/>
          <w:noProof/>
          <w:color w:val="000000"/>
          <w:u w:color="000000"/>
        </w:rPr>
        <w:footnoteReference w:id="6"/>
      </w:r>
      <w:r>
        <w:rPr>
          <w:b/>
          <w:noProof/>
          <w:color w:val="000000"/>
          <w:u w:color="000000"/>
        </w:rPr>
        <w:t xml:space="preserve"> за преместване на регистрираните отделени от семействата си ненавършили пълнолетие лица. </w:t>
      </w:r>
    </w:p>
    <w:p>
      <w:pPr>
        <w:jc w:val="both"/>
        <w:rPr>
          <w:noProof/>
          <w:color w:val="000000"/>
        </w:rPr>
      </w:pPr>
    </w:p>
    <w:tbl>
      <w:tblPr>
        <w:tblStyle w:val="TableGrid"/>
        <w:tblW w:w="0" w:type="auto"/>
        <w:tblLook w:val="04A0" w:firstRow="1" w:lastRow="0" w:firstColumn="1" w:lastColumn="0" w:noHBand="0" w:noVBand="1"/>
      </w:tblPr>
      <w:tblGrid>
        <w:gridCol w:w="9288"/>
      </w:tblGrid>
      <w:tr>
        <w:tc>
          <w:tcPr>
            <w:tcW w:w="9288" w:type="dxa"/>
          </w:tcPr>
          <w:p>
            <w:pPr>
              <w:jc w:val="both"/>
              <w:rPr>
                <w:b/>
                <w:noProof/>
                <w:u w:val="single"/>
              </w:rPr>
            </w:pPr>
            <w:r>
              <w:rPr>
                <w:b/>
                <w:noProof/>
                <w:u w:val="single"/>
              </w:rPr>
              <w:t>Необходими спешни действия:</w:t>
            </w:r>
          </w:p>
          <w:p>
            <w:pPr>
              <w:pStyle w:val="ListParagraph"/>
              <w:numPr>
                <w:ilvl w:val="0"/>
                <w:numId w:val="45"/>
              </w:numPr>
              <w:jc w:val="both"/>
              <w:rPr>
                <w:noProof/>
              </w:rPr>
            </w:pPr>
            <w:r>
              <w:rPr>
                <w:b/>
                <w:noProof/>
              </w:rPr>
              <w:t>Полша, Унгария, Чешката република</w:t>
            </w:r>
            <w:r>
              <w:rPr>
                <w:noProof/>
              </w:rPr>
              <w:t xml:space="preserve"> и </w:t>
            </w:r>
            <w:r>
              <w:rPr>
                <w:b/>
                <w:noProof/>
              </w:rPr>
              <w:t>Австрия</w:t>
            </w:r>
            <w:r>
              <w:rPr>
                <w:noProof/>
              </w:rPr>
              <w:t xml:space="preserve"> незабавно трябва да започнат да поемат ангажименти и да извършват премествания от Гърция, за да изпълнят правните си задължения; </w:t>
            </w:r>
          </w:p>
          <w:p>
            <w:pPr>
              <w:pStyle w:val="ListParagraph"/>
              <w:numPr>
                <w:ilvl w:val="0"/>
                <w:numId w:val="45"/>
              </w:numPr>
              <w:jc w:val="both"/>
              <w:rPr>
                <w:noProof/>
              </w:rPr>
            </w:pPr>
            <w:r>
              <w:rPr>
                <w:b/>
                <w:noProof/>
              </w:rPr>
              <w:t>Документите за планиране на прехвърляния</w:t>
            </w:r>
            <w:r>
              <w:rPr>
                <w:noProof/>
              </w:rPr>
              <w:t xml:space="preserve"> следва да бъдат завършени и изпълнени. Държавите членки, които не са го направили, трябва да следват примера на тези, които са разработили документи за планиране; </w:t>
            </w:r>
          </w:p>
          <w:p>
            <w:pPr>
              <w:pStyle w:val="ListParagraph"/>
              <w:numPr>
                <w:ilvl w:val="0"/>
                <w:numId w:val="45"/>
              </w:numPr>
              <w:jc w:val="both"/>
              <w:rPr>
                <w:noProof/>
              </w:rPr>
            </w:pPr>
            <w:r>
              <w:rPr>
                <w:b/>
                <w:noProof/>
              </w:rPr>
              <w:t>На този последен етап от изпълнението държавите членки трябва да</w:t>
            </w:r>
            <w:r>
              <w:rPr>
                <w:noProof/>
              </w:rPr>
              <w:t xml:space="preserve"> увеличат капацитета си за обработка на заявления за кандидатстване, за да се осигури гладко протичане на процеса, да избягват забавяния при процедурата на прехвърляне и, при необходимост, да работят за разрешаването на проблеми, свързани с капацитета за приемане, включително на уязвими кандидати. </w:t>
            </w:r>
          </w:p>
          <w:p>
            <w:pPr>
              <w:pStyle w:val="ListParagraph"/>
              <w:numPr>
                <w:ilvl w:val="0"/>
                <w:numId w:val="45"/>
              </w:numPr>
              <w:jc w:val="both"/>
              <w:rPr>
                <w:noProof/>
              </w:rPr>
            </w:pPr>
            <w:r>
              <w:rPr>
                <w:b/>
                <w:noProof/>
              </w:rPr>
              <w:t>Словакия</w:t>
            </w:r>
            <w:r>
              <w:rPr>
                <w:noProof/>
              </w:rPr>
              <w:t xml:space="preserve"> се приканва в идните седмици да преразгледа политиката си на предпочитание относно кандидатите за преместване, така че да я хармонизира с решенията на Съвета и да започне извършването на премествания от Гърция възможно най-скоро. </w:t>
            </w:r>
          </w:p>
        </w:tc>
      </w:tr>
    </w:tbl>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b/>
          <w:noProof/>
          <w:color w:val="000000"/>
        </w:rPr>
        <w:t>2.2</w:t>
      </w:r>
      <w:r>
        <w:rPr>
          <w:noProof/>
        </w:rPr>
        <w:tab/>
      </w:r>
      <w:r>
        <w:rPr>
          <w:b/>
          <w:noProof/>
          <w:color w:val="000000"/>
          <w:u w:val="single"/>
        </w:rPr>
        <w:t>Италия: необходими са повече усилия за преместването на всички отговарящи на изискванията кандидати, които се намират в Италия</w:t>
      </w:r>
      <w:r>
        <w:rPr>
          <w:b/>
          <w:noProof/>
          <w:color w:val="000000"/>
        </w:rPr>
        <w:t xml:space="preserve"> </w:t>
      </w:r>
    </w:p>
    <w:p>
      <w:pPr>
        <w:keepNext/>
        <w:jc w:val="both"/>
        <w:rPr>
          <w:noProof/>
        </w:rPr>
      </w:pPr>
      <w:r>
        <w:rPr>
          <w:noProof/>
        </w:rPr>
        <w:t xml:space="preserve"> </w:t>
      </w: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 xml:space="preserve">Идентифициране и регистриране на мигранти с цел преместване: Италия трябва да положи повече усилия, за да ускори преместването </w:t>
      </w:r>
    </w:p>
    <w:p>
      <w:pPr>
        <w:keepNext/>
        <w:jc w:val="both"/>
        <w:rPr>
          <w:noProof/>
        </w:rPr>
      </w:pPr>
    </w:p>
    <w:p>
      <w:pPr>
        <w:keepNext/>
        <w:jc w:val="both"/>
        <w:rPr>
          <w:noProof/>
        </w:rPr>
      </w:pPr>
      <w:r>
        <w:rPr>
          <w:noProof/>
        </w:rPr>
        <w:t xml:space="preserve">До момента Италия е регистрирала за преместване около 8 600 души, от които 6 896 вече са преместени. Според италианските органи в ход е регистрирането на още около 700 души. Освен това от началото на 2017 г. до момента в Италия са пристигнали над 2 500 еритрейци, които също трябва своевременно да бъдат регистрирани за преместване. Само през 2016 г. в Италия са пристигнали около 20 700 еритрейци, така че е очевидно, че едва приблизително половината от тях са регистрирани за схемата за преместване. Затова е особено важно Италия бързо да установи самоличността и възможно най-скоро да регистрира за преместване останалите отговарящи на изискванията кандидати, които понастоящем се намират на територията ѝ. За да достигне до тези кандидати, Европейската служба за подкрепа в областта на убежището (EASO), с помощта на Комисията, е готова да стартира целенасочена информационна кампания (чрез социалните медии, широко разпространение на брошурата на EASO относно преместването, горещата линия на EASO за преместване, табла, активно присъствие на мобилните екипи на EASO), която ще даде възможност да бъдат регистрирани по-голям брой отговарящи на условията кандидати. Италия трябва да предостави необходимата подкрепа за реализирането на тази информационна кампания и да повиши осведомеността относно схемата за преместване в местните </w:t>
      </w:r>
      <w:r>
        <w:rPr>
          <w:i/>
          <w:noProof/>
        </w:rPr>
        <w:t>Prefetture/Questure</w:t>
      </w:r>
      <w:r>
        <w:rPr>
          <w:noProof/>
        </w:rPr>
        <w:t>, както и в центровете за приемане.</w:t>
      </w:r>
    </w:p>
    <w:p>
      <w:pPr>
        <w:jc w:val="both"/>
        <w:rPr>
          <w:noProof/>
        </w:rPr>
      </w:pPr>
      <w:r>
        <w:rPr>
          <w:noProof/>
        </w:rPr>
        <w:t xml:space="preserve"> </w:t>
      </w:r>
    </w:p>
    <w:p>
      <w:pPr>
        <w:jc w:val="both"/>
        <w:rPr>
          <w:noProof/>
        </w:rPr>
      </w:pPr>
      <w:r>
        <w:rPr>
          <w:noProof/>
        </w:rPr>
        <w:t xml:space="preserve">От изключително значение е също Италия да ускори усилията си за централизиране на процедурата по преместване (най-вече последните етапи) в няколко определени за целта центъра, както и 10 дни преди заминаването да прехвърли всички кандидати за преместване към центрове за приемане в Рим или в близост до него. Сегашната практика, при която мигрантите, които отговарят на изискванията за преместване, биват разпръснати по цялата територия на Италия, а определените за това центрове за преместване често не се използват достатъчно, защото приютяват множество мигранти от националности, които не отговарят на тези изисквания, усложнява процеса на преместване и създава логистични проблеми, най-вече в последните етапи от процедурата, по-специално по отношение на осигуряването на подходящи медицински прегледи преди извършване на прехвърлянето. </w:t>
      </w:r>
    </w:p>
    <w:p>
      <w:pPr>
        <w:jc w:val="both"/>
        <w:rPr>
          <w:noProof/>
          <w:u w:val="single"/>
        </w:rPr>
      </w:pPr>
    </w:p>
    <w:p>
      <w:pPr>
        <w:jc w:val="both"/>
        <w:rPr>
          <w:b/>
          <w:i/>
          <w:noProof/>
          <w:u w:val="single"/>
        </w:rPr>
      </w:pPr>
      <w:r>
        <w:rPr>
          <w:i/>
          <w:noProof/>
          <w:u w:val="single"/>
        </w:rPr>
        <w:t>Темп на преместване: добрият напредък трябва да се поддържа</w:t>
      </w:r>
      <w:r>
        <w:rPr>
          <w:b/>
          <w:i/>
          <w:noProof/>
          <w:u w:val="single"/>
        </w:rPr>
        <w:t xml:space="preserve"> </w:t>
      </w:r>
    </w:p>
    <w:p>
      <w:pPr>
        <w:jc w:val="both"/>
        <w:rPr>
          <w:b/>
          <w:noProof/>
        </w:rPr>
      </w:pPr>
    </w:p>
    <w:p>
      <w:pPr>
        <w:jc w:val="both"/>
        <w:rPr>
          <w:b/>
          <w:noProof/>
        </w:rPr>
      </w:pPr>
      <w:r>
        <w:rPr>
          <w:noProof/>
        </w:rPr>
        <w:t xml:space="preserve">Темпът на преместване от Италия е стабилна положителна тенденция, като преместването на всички отговарящи на условията кандидати, които понастоящем се намират в Италия, е реалистична цел, при условие че целите, определени от Комисията, като цяло се спазват от държавите членки. </w:t>
      </w:r>
    </w:p>
    <w:p>
      <w:pPr>
        <w:jc w:val="both"/>
        <w:rPr>
          <w:b/>
          <w:noProof/>
        </w:rPr>
      </w:pPr>
    </w:p>
    <w:p>
      <w:pPr>
        <w:jc w:val="both"/>
        <w:rPr>
          <w:noProof/>
        </w:rPr>
      </w:pPr>
      <w:r>
        <w:rPr>
          <w:b/>
          <w:noProof/>
        </w:rPr>
        <w:t xml:space="preserve">Малта и Финландия </w:t>
      </w:r>
      <w:r>
        <w:rPr>
          <w:noProof/>
        </w:rPr>
        <w:t>скоро ще преместят от Италия пълния брой лица, разпределен за тях</w:t>
      </w:r>
      <w:r>
        <w:rPr>
          <w:rStyle w:val="FootnoteReference"/>
          <w:noProof/>
        </w:rPr>
        <w:footnoteReference w:id="7"/>
      </w:r>
      <w:r>
        <w:rPr>
          <w:noProof/>
        </w:rPr>
        <w:t>, а други държави членки (</w:t>
      </w:r>
      <w:r>
        <w:rPr>
          <w:b/>
          <w:noProof/>
        </w:rPr>
        <w:t>Германия, Люксембург и Нидерландия</w:t>
      </w:r>
      <w:r>
        <w:rPr>
          <w:noProof/>
        </w:rPr>
        <w:t xml:space="preserve">) отчитат добър напредък въз основа на редовните месечно поемани ангажименти и премествания, докато </w:t>
      </w:r>
      <w:r>
        <w:rPr>
          <w:b/>
          <w:noProof/>
        </w:rPr>
        <w:t>Португалия и Хърватия</w:t>
      </w:r>
      <w:r>
        <w:rPr>
          <w:noProof/>
        </w:rPr>
        <w:t xml:space="preserve"> възобновиха наскоро поемането на ангажименти. От друга страна, </w:t>
      </w:r>
      <w:r>
        <w:rPr>
          <w:b/>
          <w:noProof/>
        </w:rPr>
        <w:t>Австрия, България, Естония, Ирландия, Полша, Словакия, Унгария, и Чешката република</w:t>
      </w:r>
      <w:r>
        <w:rPr>
          <w:noProof/>
        </w:rPr>
        <w:t xml:space="preserve"> остават единствените държави членки, които не са преместили нито един човек от Италия. Австрия пое първия си ангажимент за 50 души от Италия през май и трябва реално да осъществи преместването във възможно най-кратки срокове. Това означава, че Италия трябва да изпрати навреме искания за преместване, за да запълни ангажимента на Австрия. </w:t>
      </w:r>
    </w:p>
    <w:p>
      <w:pPr>
        <w:jc w:val="both"/>
        <w:rPr>
          <w:noProof/>
        </w:rPr>
      </w:pPr>
    </w:p>
    <w:p>
      <w:pPr>
        <w:jc w:val="both"/>
        <w:rPr>
          <w:noProof/>
        </w:rPr>
      </w:pPr>
      <w:r>
        <w:rPr>
          <w:noProof/>
        </w:rPr>
        <w:t xml:space="preserve">До момента Естония и Ирландия не са извършвали премествания от Италия заради строгата политика на Италия относно допълнителните интервюта във връзка със сигурността, провеждани от държавите членки на преместване, а България и Словакия не са извършвали премествания от Италия заради много строгата си политика на предпочитание (България не желае да приеме еритрейци, а Словакия приема само самотни жени с деца и хора с документи за пътуване), поради което за Италия става почти невъзможно да намери кандидати, които отговарят на тези предпочитания. За да се осигури преместването през следващите месеци на всички отговарящи на изискванията кандидати, трябва да бъде намерено решение за организирането на допълнителните интервюта във връзка със сигурността, провеждани от държавите членки на преместване. Освен това </w:t>
      </w:r>
      <w:r>
        <w:rPr>
          <w:b/>
          <w:noProof/>
        </w:rPr>
        <w:t>Кипър, Латвия и Франция</w:t>
      </w:r>
      <w:r>
        <w:rPr>
          <w:noProof/>
        </w:rPr>
        <w:t xml:space="preserve"> не са поемали ангажименти към Италия вече над три месеца. </w:t>
      </w:r>
    </w:p>
    <w:p>
      <w:pPr>
        <w:jc w:val="both"/>
        <w:rPr>
          <w:noProof/>
          <w:color w:val="000000"/>
          <w:u w:color="000000"/>
        </w:rPr>
      </w:pPr>
    </w:p>
    <w:p>
      <w:pPr>
        <w:jc w:val="both"/>
        <w:rPr>
          <w:noProof/>
        </w:rPr>
      </w:pPr>
      <w:r>
        <w:rPr>
          <w:noProof/>
          <w:color w:val="000000"/>
          <w:u w:color="000000"/>
        </w:rPr>
        <w:t xml:space="preserve">За да продължи да се подобрява предоставянето на информация, на 16 юни МОМ ще организира специално обучение за служителите за връзка в Италия, за да се подобри провеждането на сесиите за културна ориентация. EASO изготви и нов специален видеоматериал относно преместването в Португалия. </w:t>
      </w:r>
    </w:p>
    <w:p>
      <w:pPr>
        <w:jc w:val="both"/>
        <w:rPr>
          <w:noProof/>
          <w:u w:val="single"/>
        </w:rPr>
      </w:pPr>
    </w:p>
    <w:p>
      <w:pPr>
        <w:jc w:val="both"/>
        <w:rPr>
          <w:i/>
          <w:noProof/>
          <w:u w:val="single"/>
        </w:rPr>
      </w:pPr>
      <w:r>
        <w:rPr>
          <w:i/>
          <w:noProof/>
          <w:u w:val="single"/>
        </w:rPr>
        <w:t>Преместването на непридружени ненавършили пълнолетие лица започна, но са необходими още усилия</w:t>
      </w:r>
    </w:p>
    <w:p>
      <w:pPr>
        <w:jc w:val="both"/>
        <w:rPr>
          <w:b/>
          <w:noProof/>
          <w:color w:val="000000"/>
          <w:highlight w:val="yellow"/>
          <w:u w:color="000000"/>
        </w:rPr>
      </w:pPr>
    </w:p>
    <w:p>
      <w:pPr>
        <w:jc w:val="both"/>
        <w:rPr>
          <w:noProof/>
          <w:color w:val="000000"/>
          <w:u w:color="000000"/>
        </w:rPr>
      </w:pPr>
      <w:r>
        <w:rPr>
          <w:noProof/>
          <w:color w:val="000000"/>
          <w:u w:color="000000"/>
        </w:rPr>
        <w:t xml:space="preserve">През настоящия период на докладване две непридружени ненавършили пълнолетие лица бяха преместени от Италия в Норвегия, с което общият брой на преместените от Италия непридружени ненавършили пълнолетие лица достигна пет (включително едно отделено от семейството си такова лице). Този конкретен случай бе прехвърлен успешно благодарение на засиленото сътрудничество на местно ниво. Няколко други кандидатури са в процес на разглеждане. </w:t>
      </w:r>
    </w:p>
    <w:p>
      <w:pPr>
        <w:jc w:val="both"/>
        <w:rPr>
          <w:noProof/>
          <w:color w:val="000000"/>
          <w:u w:color="000000"/>
        </w:rPr>
      </w:pPr>
    </w:p>
    <w:p>
      <w:pPr>
        <w:jc w:val="both"/>
        <w:rPr>
          <w:noProof/>
          <w:color w:val="000000"/>
          <w:u w:color="000000"/>
        </w:rPr>
      </w:pPr>
      <w:r>
        <w:rPr>
          <w:noProof/>
          <w:color w:val="000000"/>
          <w:u w:color="000000"/>
        </w:rPr>
        <w:t>Както се посочва в дванадесетия доклад, Италия трябва да използва опита от първите премествания и да стандартизира процедурите, така че всички отговарящи на изискванията непридружени ненавършили пълнолетие лица да получат възможността за преместване, ако това е в техния висш интерес. Организирана от Комисията среща на 1 юни с всички участващи в процедурата страни даде възможност процесите да се рационализират още повече. От своя страна държавите членки следва да продължат да предоставят места за непридружени ненавършили пълнолетие лица в ангажиментите си и да предоставят на италианските органи конкретна информация относно точните условия на приемане на държавите членки, предвидени за тях. Предвид факта, че е възможно процедурите да са по-дълги в сравнение с тези за възрастните, държавите членки се приканват да задържат свободните места по-дълго за ненавършилите пълнолетие лица (т.е. в по-нататъшните си ангажименти да възобновят предлагането на места за приютяване на ненавършили пълнолетие лица).</w:t>
      </w:r>
    </w:p>
    <w:p>
      <w:pPr>
        <w:jc w:val="both"/>
        <w:rPr>
          <w:noProof/>
        </w:rPr>
      </w:pPr>
    </w:p>
    <w:tbl>
      <w:tblPr>
        <w:tblStyle w:val="TableGrid"/>
        <w:tblW w:w="0" w:type="auto"/>
        <w:tblLook w:val="04A0" w:firstRow="1" w:lastRow="0" w:firstColumn="1" w:lastColumn="0" w:noHBand="0" w:noVBand="1"/>
      </w:tblPr>
      <w:tblGrid>
        <w:gridCol w:w="9288"/>
      </w:tblGrid>
      <w:tr>
        <w:tc>
          <w:tcPr>
            <w:tcW w:w="9288" w:type="dxa"/>
          </w:tcPr>
          <w:p>
            <w:pPr>
              <w:jc w:val="both"/>
              <w:rPr>
                <w:b/>
                <w:noProof/>
                <w:u w:val="single"/>
              </w:rPr>
            </w:pPr>
            <w:r>
              <w:rPr>
                <w:b/>
                <w:noProof/>
                <w:u w:val="single"/>
              </w:rPr>
              <w:t>Необходими спешни действия:</w:t>
            </w:r>
          </w:p>
          <w:p>
            <w:pPr>
              <w:pStyle w:val="ListParagraph"/>
              <w:numPr>
                <w:ilvl w:val="0"/>
                <w:numId w:val="45"/>
              </w:numPr>
              <w:jc w:val="both"/>
              <w:rPr>
                <w:noProof/>
              </w:rPr>
            </w:pPr>
            <w:r>
              <w:rPr>
                <w:b/>
                <w:noProof/>
              </w:rPr>
              <w:t>Полша, Унгария и Чешката република</w:t>
            </w:r>
            <w:r>
              <w:rPr>
                <w:noProof/>
              </w:rPr>
              <w:t xml:space="preserve"> трябва незабавно да започнат да поемат ангажименти и да извършват премествания от Италия, с което да изпълнят правните си задължения; </w:t>
            </w:r>
          </w:p>
          <w:p>
            <w:pPr>
              <w:pStyle w:val="ListParagraph"/>
              <w:numPr>
                <w:ilvl w:val="0"/>
                <w:numId w:val="45"/>
              </w:numPr>
              <w:jc w:val="both"/>
              <w:rPr>
                <w:noProof/>
              </w:rPr>
            </w:pPr>
            <w:r>
              <w:rPr>
                <w:b/>
                <w:noProof/>
              </w:rPr>
              <w:t>България и Словакия</w:t>
            </w:r>
            <w:r>
              <w:rPr>
                <w:noProof/>
              </w:rPr>
              <w:t xml:space="preserve"> се приканват в идните седмици да преразгледат политиката си на предпочитание при кандидатурите за преместване, така че да ги хармонизират с решенията на Съвета и да започнат извършването на премествания от Италия възможно най-скоро. </w:t>
            </w:r>
          </w:p>
          <w:p>
            <w:pPr>
              <w:pStyle w:val="ListParagraph"/>
              <w:numPr>
                <w:ilvl w:val="0"/>
                <w:numId w:val="45"/>
              </w:numPr>
              <w:jc w:val="both"/>
              <w:rPr>
                <w:noProof/>
              </w:rPr>
            </w:pPr>
            <w:r>
              <w:rPr>
                <w:b/>
                <w:noProof/>
              </w:rPr>
              <w:t>Италия се приканва в следващите седмици да предостави взаимно приемливо решение</w:t>
            </w:r>
            <w:r>
              <w:rPr>
                <w:noProof/>
              </w:rPr>
              <w:t xml:space="preserve"> за организирането на допълнителни интервюта във връзка със сигурността</w:t>
            </w:r>
            <w:r>
              <w:rPr>
                <w:b/>
                <w:noProof/>
              </w:rPr>
              <w:t>, които се изискват от редица държави членки за оценка на рисковете, свързани със сигурността, съгласно решенията на Съвета</w:t>
            </w:r>
            <w:r>
              <w:rPr>
                <w:noProof/>
              </w:rPr>
              <w:t>;</w:t>
            </w:r>
          </w:p>
          <w:p>
            <w:pPr>
              <w:pStyle w:val="ListParagraph"/>
              <w:numPr>
                <w:ilvl w:val="0"/>
                <w:numId w:val="45"/>
              </w:numPr>
              <w:jc w:val="both"/>
              <w:rPr>
                <w:noProof/>
              </w:rPr>
            </w:pPr>
            <w:r>
              <w:rPr>
                <w:b/>
                <w:noProof/>
              </w:rPr>
              <w:t>Италия</w:t>
            </w:r>
            <w:r>
              <w:rPr>
                <w:noProof/>
              </w:rPr>
              <w:t xml:space="preserve"> трябва като приоритет да ускори регистрирането на отговарящите на условията кандидати за преместване, да сътрудничи на EASO при реализацията на информационната кампания и да ускори усилията си за централизиране на процедурата по преместване, най-вече в последните ѝ етапи;</w:t>
            </w:r>
          </w:p>
          <w:p>
            <w:pPr>
              <w:pStyle w:val="ListParagraph"/>
              <w:numPr>
                <w:ilvl w:val="0"/>
                <w:numId w:val="45"/>
              </w:numPr>
              <w:jc w:val="both"/>
              <w:rPr>
                <w:noProof/>
              </w:rPr>
            </w:pPr>
            <w:r>
              <w:rPr>
                <w:b/>
                <w:noProof/>
              </w:rPr>
              <w:t>Всички други държави членки</w:t>
            </w:r>
            <w:r>
              <w:rPr>
                <w:noProof/>
              </w:rPr>
              <w:t xml:space="preserve"> трябва да продължат да поемат ангажименти и да извършват премествания от Италия всеки месец пропорционално на ангажиментите си, да увеличат капацитета си за обработка на заявления за кандидатстване, да избягват извънредно ограничителните предпочитания, да ограничат изискванията, които водят до забавяния в процедурата по прехвърляне, и да обработват приоритетно кандидатурите на уязвими кандидати, най-вече на непридружени ненавършили пълнолетие лица.</w:t>
            </w:r>
          </w:p>
        </w:tc>
      </w:tr>
    </w:tbl>
    <w:p>
      <w:pPr>
        <w:pStyle w:val="Heading1"/>
        <w:numPr>
          <w:ilvl w:val="0"/>
          <w:numId w:val="2"/>
        </w:numPr>
        <w:spacing w:after="120"/>
        <w:rPr>
          <w:noProof/>
          <w:color w:val="auto"/>
        </w:rPr>
      </w:pPr>
      <w:r>
        <w:rPr>
          <w:rFonts w:ascii="Times New Roman" w:hAnsi="Times New Roman"/>
          <w:noProof/>
          <w:color w:val="000000" w:themeColor="text1"/>
        </w:rPr>
        <w:t xml:space="preserve">Презаселване </w:t>
      </w:r>
    </w:p>
    <w:p>
      <w:pPr>
        <w:jc w:val="both"/>
        <w:rPr>
          <w:noProof/>
        </w:rPr>
      </w:pPr>
      <w:r>
        <w:rPr>
          <w:noProof/>
        </w:rPr>
        <w:t>Продължава да се наблюдава напредък при прилагането на заключенията от 20 юли 2015 г., като вече са завършени над две трети от договорените 22 504 презаселвания. От 12 май 2017 г. до момента 256 души са презаселени по тази схема. Тъй като няколко държави с големи квоти са изпълнили ангажиментите си съгласно заключенията и са насочили усилията си към изпълнение на изявлението на ЕС и Турция от 18 март 2016 г., последните презаселвания бяха извършени от Турция, въпреки че все още продължават по-малки презаселвания от Йордания и Ливан.</w:t>
      </w:r>
    </w:p>
    <w:p>
      <w:pPr>
        <w:jc w:val="both"/>
        <w:rPr>
          <w:noProof/>
        </w:rPr>
      </w:pPr>
    </w:p>
    <w:p>
      <w:pPr>
        <w:jc w:val="both"/>
        <w:rPr>
          <w:noProof/>
        </w:rPr>
      </w:pPr>
      <w:r>
        <w:rPr>
          <w:noProof/>
        </w:rPr>
        <w:t>Към 9 юни 2017 г. 16 419 души са били презаселени в 21 държави (Австрия, Белгия, Германия, Дания, Естония, Ирландия, Исландия, Испания, Италия, Латвия, Литва, Лихтенщайн, Нидерландия, Норвегия, Обединеното кралство, Португалия, Финландия, Франция, Чешката република, Швеция и Швейцария). Седем държави членки (Естония, Германия, Ирландия, Нидерландия, Обединеното кралство, Финландия и Швеция), както и три асоциирани държави (Исландия, Лихтенщайн и Швейцария) вече са изпълнили ангажиментите си. Въпреки че по-голям брой държави членки участват в презаселването в сравнение с предходни години, десет държави членки все още не са започнали да извършват презаселвания по тази схема</w:t>
      </w:r>
      <w:r>
        <w:rPr>
          <w:rStyle w:val="FootnoteReference"/>
          <w:noProof/>
        </w:rPr>
        <w:footnoteReference w:id="8"/>
      </w:r>
      <w:r>
        <w:rPr>
          <w:noProof/>
        </w:rPr>
        <w:t>. Става все по-съмнително, че държавите членки, чиито ангажименти не отговарят до голяма степен на действителното изпълнение, ще успеят да изпълнят ангажиментите си.</w:t>
      </w:r>
    </w:p>
    <w:p>
      <w:pPr>
        <w:jc w:val="both"/>
        <w:rPr>
          <w:noProof/>
        </w:rPr>
      </w:pPr>
    </w:p>
    <w:p>
      <w:pPr>
        <w:jc w:val="both"/>
        <w:rPr>
          <w:noProof/>
        </w:rPr>
      </w:pPr>
      <w:r>
        <w:rPr>
          <w:noProof/>
        </w:rPr>
        <w:t>Изпълнението на заключенията от 20 юли 2015 г. включва полагането на усилия от страна на държавите членки за презаселването на сирийци от Турция съгласно изявлението на ЕС и Турция. От 4 април 2016 г. досега 6 254 сирийци са презаселени от Турция съгласно частта относно презаселването от изявлението на ЕС и Турция. От последния период на докладване по този механизъм са били презаселени 559 сирийци и към момента оставащият брой по всички ангажименти е 24 461. Презаселване съгласно изявлението на ЕС и Турция е извършено в Австрия, Белгия, Естония, Германия, Испания, Италия, Латвия, Литва, Люксембург, Нидерландия, Португалия, Румъния, Финландия, Франция и Швеция. В допълнение Норвегия е презаселила 563 сирийци от Турция от 4 април 2016 г. досега.</w:t>
      </w:r>
    </w:p>
    <w:p>
      <w:pPr>
        <w:jc w:val="both"/>
        <w:rPr>
          <w:noProof/>
        </w:rPr>
      </w:pPr>
    </w:p>
    <w:p>
      <w:pPr>
        <w:jc w:val="both"/>
        <w:rPr>
          <w:bCs/>
          <w:noProof/>
          <w:color w:val="000000"/>
        </w:rPr>
      </w:pPr>
      <w:r>
        <w:rPr>
          <w:noProof/>
          <w:color w:val="000000"/>
        </w:rPr>
        <w:t>Държавите членки, извършващи презаселвания в съответствие с изявлението на ЕС и Турция, подготвят допълнителни операции, включително мисии в Турция за провеждане на интервюта с кандидатите за презаселване.</w:t>
      </w:r>
      <w:r>
        <w:rPr>
          <w:noProof/>
        </w:rPr>
        <w:t xml:space="preserve"> Румъния предприе действия във връзка с предходното си изявление, че започва презаселванията много скоро, като прие 11 сирийци. </w:t>
      </w:r>
      <w:r>
        <w:rPr>
          <w:noProof/>
          <w:color w:val="000000"/>
        </w:rPr>
        <w:t>Делегацията на ЕС в Анкара подчерта пред ВКБООН важността на изпращането на нови кандидатури и до държави членки с по-малък обем поети ангажименти.</w:t>
      </w:r>
    </w:p>
    <w:p>
      <w:pPr>
        <w:jc w:val="both"/>
        <w:rPr>
          <w:noProof/>
          <w:color w:val="000000"/>
        </w:rPr>
      </w:pPr>
    </w:p>
    <w:p>
      <w:pPr>
        <w:jc w:val="both"/>
        <w:rPr>
          <w:noProof/>
          <w:color w:val="000000"/>
        </w:rPr>
      </w:pPr>
      <w:r>
        <w:rPr>
          <w:noProof/>
          <w:color w:val="000000"/>
        </w:rPr>
        <w:t>Малта, която е сред</w:t>
      </w:r>
      <w:r>
        <w:rPr>
          <w:noProof/>
        </w:rPr>
        <w:t xml:space="preserve"> държавите членки, които до момента не са извършвали презаселвания от Турция</w:t>
      </w:r>
      <w:r>
        <w:rPr>
          <w:rStyle w:val="FootnoteReference"/>
          <w:noProof/>
        </w:rPr>
        <w:footnoteReference w:id="9"/>
      </w:r>
      <w:r>
        <w:rPr>
          <w:noProof/>
        </w:rPr>
        <w:t xml:space="preserve">, подготвя мисията си в Турция, а </w:t>
      </w:r>
      <w:r>
        <w:rPr>
          <w:noProof/>
          <w:color w:val="000000"/>
        </w:rPr>
        <w:t>Кипър вече официално се обърна към ВКБООН, изразявайки готовност да презасели 5 лица съгласно изявлението на ЕС и Турция. Има обаче и държави членки, получили преписки от ВКБООН още през лятото на 2016 г., които обаче след това не са предприели действия (България и Чешката република). Те се приканват своевременно да предприемат мерки по този въпрос.</w:t>
      </w:r>
    </w:p>
    <w:p>
      <w:pPr>
        <w:jc w:val="both"/>
        <w:rPr>
          <w:noProof/>
          <w:color w:val="000000"/>
        </w:rPr>
      </w:pPr>
    </w:p>
    <w:p>
      <w:pPr>
        <w:jc w:val="both"/>
        <w:rPr>
          <w:noProof/>
        </w:rPr>
      </w:pPr>
      <w:r>
        <w:rPr>
          <w:noProof/>
        </w:rPr>
        <w:t>С цел да подпомогне презаселването съгласно изявлението на ЕС и Турция и да обсъди провежданите понастоящем операции, делегацията на ЕС в Анкара продължи ежеседмичните си срещи с Генералната дирекция за управление на миграцията (ГДУМ) на Турция. Делегацията на ЕС организира ежеседмични срещи и с държавите членки, както и с ВКБООН и МОМ, за да сравнява статистически данни и да разисква оперативни промени.</w:t>
      </w:r>
    </w:p>
    <w:p>
      <w:pPr>
        <w:jc w:val="both"/>
        <w:rPr>
          <w:noProof/>
        </w:rPr>
      </w:pPr>
    </w:p>
    <w:p>
      <w:pPr>
        <w:jc w:val="both"/>
        <w:rPr>
          <w:bCs/>
          <w:noProof/>
        </w:rPr>
      </w:pPr>
      <w:r>
        <w:rPr>
          <w:noProof/>
        </w:rPr>
        <w:t>С цел да се преодолеят недостатъците и да се следва препоръката, посочена в предходните доклади, делегацията на ЕС предложи на държавите членки преработена версия на документа с въпроси и отговори, използван от ВКБООН, за да се гарантира, че информацията, предоставена на сирийските кандидати относно условията за приемане и културните, социалните и правните стандарти в държавите — членки на ЕС, е изчерпателна. Преработената версия на този документ е одобрена от ВКБООН, както и от повечето държави членки, като 13 държави членки вече са изпратили актуализираните си документи с въпроси и отговори.</w:t>
      </w:r>
    </w:p>
    <w:p>
      <w:pPr>
        <w:jc w:val="both"/>
        <w:rPr>
          <w:noProof/>
        </w:rPr>
      </w:pPr>
    </w:p>
    <w:p>
      <w:pPr>
        <w:jc w:val="both"/>
        <w:rPr>
          <w:noProof/>
        </w:rPr>
      </w:pPr>
      <w:r>
        <w:rPr>
          <w:noProof/>
        </w:rPr>
        <w:t xml:space="preserve">Успоредно с изпълнението на текущите ангажименти за презаселване от Турция напредват и преговорите по стандартните оперативни процедури на </w:t>
      </w:r>
      <w:r>
        <w:rPr>
          <w:b/>
          <w:noProof/>
        </w:rPr>
        <w:t>доброволната схема за хуманитарно приемане</w:t>
      </w:r>
      <w:r>
        <w:rPr>
          <w:noProof/>
        </w:rPr>
        <w:t xml:space="preserve"> с участващите държави и Турция, като целта е те да бъдат приети възможно най-скоро. </w:t>
      </w:r>
    </w:p>
    <w:p>
      <w:pPr>
        <w:jc w:val="both"/>
        <w:rPr>
          <w:b/>
          <w:noProof/>
          <w:u w:val="single"/>
        </w:rPr>
      </w:pPr>
    </w:p>
    <w:tbl>
      <w:tblPr>
        <w:tblStyle w:val="TableGrid"/>
        <w:tblW w:w="0" w:type="auto"/>
        <w:tblLook w:val="04A0" w:firstRow="1" w:lastRow="0" w:firstColumn="1" w:lastColumn="0" w:noHBand="0" w:noVBand="1"/>
      </w:tblPr>
      <w:tblGrid>
        <w:gridCol w:w="9212"/>
      </w:tblGrid>
      <w:tr>
        <w:tc>
          <w:tcPr>
            <w:tcW w:w="9212" w:type="dxa"/>
          </w:tcPr>
          <w:p>
            <w:pPr>
              <w:jc w:val="both"/>
              <w:rPr>
                <w:b/>
                <w:noProof/>
                <w:u w:val="single"/>
              </w:rPr>
            </w:pPr>
            <w:r>
              <w:rPr>
                <w:b/>
                <w:noProof/>
                <w:u w:val="single"/>
              </w:rPr>
              <w:t>Препоръки:</w:t>
            </w:r>
          </w:p>
          <w:p>
            <w:pPr>
              <w:pStyle w:val="ListParagraph"/>
              <w:numPr>
                <w:ilvl w:val="0"/>
                <w:numId w:val="43"/>
              </w:numPr>
              <w:jc w:val="both"/>
              <w:rPr>
                <w:noProof/>
              </w:rPr>
            </w:pPr>
            <w:r>
              <w:rPr>
                <w:noProof/>
              </w:rPr>
              <w:t>Държавите членки, които все още не са извършили презаселвания в рамките на текущите схеми на равнище ЕС (България, Гърция, Кипър, Малта, Полша, Словакия, Словения и Хърватия), и тези, които не са докладвали за напредък и все още са далеч от постигането на своите цели (Дания, Португалия и Чешката република</w:t>
            </w:r>
            <w:r>
              <w:rPr>
                <w:b/>
                <w:noProof/>
              </w:rPr>
              <w:t>),</w:t>
            </w:r>
            <w:r>
              <w:rPr>
                <w:noProof/>
              </w:rPr>
              <w:t xml:space="preserve"> следва незабавно да увеличат усилията си, за да постигнат своите ангажименти съгласно заключенията от 20 юли 2015 г.</w:t>
            </w:r>
          </w:p>
          <w:p>
            <w:pPr>
              <w:pStyle w:val="ListParagraph"/>
              <w:numPr>
                <w:ilvl w:val="0"/>
                <w:numId w:val="43"/>
              </w:numPr>
              <w:jc w:val="both"/>
              <w:rPr>
                <w:noProof/>
              </w:rPr>
            </w:pPr>
            <w:r>
              <w:rPr>
                <w:noProof/>
              </w:rPr>
              <w:t>България и Чешката република</w:t>
            </w:r>
            <w:r>
              <w:rPr>
                <w:b/>
                <w:noProof/>
              </w:rPr>
              <w:t>,</w:t>
            </w:r>
            <w:r>
              <w:rPr>
                <w:noProof/>
              </w:rPr>
              <w:t xml:space="preserve"> които са получили преписки от ВКБООН съгласно изявлението на ЕС и Турция още през лятото на 2016 г., следва да увеличат усилията си за приключване на процеса на презаселване от Турция във възможно най-кратък срок.</w:t>
            </w:r>
          </w:p>
          <w:p>
            <w:pPr>
              <w:pStyle w:val="ListParagraph"/>
              <w:numPr>
                <w:ilvl w:val="0"/>
                <w:numId w:val="43"/>
              </w:numPr>
              <w:jc w:val="both"/>
              <w:rPr>
                <w:b/>
                <w:noProof/>
              </w:rPr>
            </w:pPr>
            <w:r>
              <w:rPr>
                <w:noProof/>
              </w:rPr>
              <w:t>Държавите членки следва да</w:t>
            </w:r>
            <w:r>
              <w:rPr>
                <w:b/>
                <w:noProof/>
              </w:rPr>
              <w:t xml:space="preserve"> </w:t>
            </w:r>
            <w:r>
              <w:rPr>
                <w:noProof/>
              </w:rPr>
              <w:t>подобрят още повече</w:t>
            </w:r>
            <w:r>
              <w:rPr>
                <w:b/>
                <w:noProof/>
              </w:rPr>
              <w:t xml:space="preserve"> </w:t>
            </w:r>
            <w:r>
              <w:rPr>
                <w:noProof/>
              </w:rPr>
              <w:t>предоставянето на информация на сирийските кандидати относно държавите на презаселване съгласно изявлението на ЕС и Турция, като актуализират подобрената версия на документа с въпроси и отговори, използван от ВКБООН, за да се даде възможност на кандидатите да вземат информирано решение и да се намали броят на отказите на по-късен етап от процедурата по презаселване.</w:t>
            </w:r>
          </w:p>
        </w:tc>
      </w:tr>
    </w:tbl>
    <w:p>
      <w:pPr>
        <w:pStyle w:val="Heading1"/>
        <w:numPr>
          <w:ilvl w:val="0"/>
          <w:numId w:val="2"/>
        </w:numPr>
        <w:spacing w:after="120"/>
        <w:rPr>
          <w:b w:val="0"/>
          <w:noProof/>
          <w:color w:val="000000" w:themeColor="text1"/>
        </w:rPr>
      </w:pPr>
      <w:r>
        <w:rPr>
          <w:rFonts w:ascii="Times New Roman" w:hAnsi="Times New Roman"/>
          <w:noProof/>
          <w:color w:val="000000" w:themeColor="text1"/>
        </w:rPr>
        <w:t xml:space="preserve">Предстоящи стъпки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Европейските държавни и правителствени ръководители неведнъж са признавали неотложността на проблема, свързан с миграционната ситуация в Европа, и са призовавали за по-нататъшни действия за ускоряване на прилагането на схемата за преместване като основен израз на солидарност и справедливо разпределение на отговорността по отношение на Гърция и Италия.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Като се има предвид настоящият брой мигранти в Гърция и Италия, преместването на всички онези, които се очаква да отговарят на изискванията, е възможно и осъществимо до септември 2017 г. Това следва да бъде нашата обща цел, за която всички държави членки трябва да допринесат по справедлив и пропорционален начин. </w:t>
      </w:r>
      <w:r>
        <w:rPr>
          <w:noProof/>
          <w:color w:val="000000"/>
          <w:u w:color="000000"/>
        </w:rPr>
        <w:t>За да може това да се осъществи, държавите членки следва да положат спешно допълнителни усилия и да предприемат необходимите действия, както е посочено в настоящия доклад</w:t>
      </w:r>
      <w:r>
        <w:rPr>
          <w:noProof/>
        </w:rPr>
        <w:t>. Комисията ще продължи да съдейства на държавите членки за координиране на тези повишени усилия.</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Преместването, както е предвидено в решенията на Съвета, също така е правно задължение. Затова Комисията непрекъснато оказва съдействие на държавите членки чрез месечни доклади и редовна работа с тях, така че те да могат да допринасят към изпълнението на тази схема по справедлив и пропорционален начин. Повечето държави членки показаха, че е възможно и осъществимо преместването и на голям брой лица за кратко време, ако са налице воля и решителни действия за това. В резултат на тези съвместни усилия се наблюдава значително увеличение на преместванията; това трябва да продължи, така че всички отговарящи на изискванията лица да бъдат преместени своевременно на този последен етап от изпълнението.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През последните няколко месеца Комисията също така многократно припомни на държавите членки правните им задължения съгласно решенията на Съвета и призова онези от тях, които все още не са поели ангажименти и не са извършвали премествания от Гърция и Италия, да го направят незабавно. С наближаването на септември 2017 г. тези държави членки имат съвсем малко време, за да изпълнят задълженията си и да допринесат по справедлив и пропорционален начин.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 xml:space="preserve">За съжаление, въпреки неколкократните призиви </w:t>
      </w:r>
      <w:r>
        <w:rPr>
          <w:b/>
          <w:noProof/>
        </w:rPr>
        <w:t>Полша, Унгария и Чешката република</w:t>
      </w:r>
      <w:r>
        <w:rPr>
          <w:noProof/>
        </w:rPr>
        <w:t xml:space="preserve"> в нарушение на правните си задължения, произтичащи от решенията на Съвета и от ангажиментите им към другите държави членки, все още не са предприели необходимите действия.  При тези обстоятелства и както се посочва в предходния доклад относно преместването и презаселването, Комисията реши да даде ход на производства за установяване на нарушения срещу тези три държави членки.</w:t>
      </w:r>
      <w:r>
        <w:rPr>
          <w:noProof/>
          <w:highlight w:val="yellow"/>
        </w:rPr>
        <w:t xml:space="preserve"> </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Успоредно с това държавите членки следва да продължат да изпълняват ангажиментите си в областта на презаселването, като по-специално държавите членки, които все още не са извършили презаселване или не са постигнали определеното за тях целево равнище, следва да увеличат усилията си.</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jc w:val="both"/>
      </w:pPr>
      <w:r>
        <w:rPr>
          <w:rStyle w:val="FootnoteReference"/>
        </w:rPr>
        <w:footnoteRef/>
      </w:r>
      <w:r>
        <w:t xml:space="preserve"> </w:t>
      </w:r>
      <w:r>
        <w:tab/>
      </w:r>
      <w:r>
        <w:rPr>
          <w:color w:val="000000"/>
        </w:rPr>
        <w:t>Унгария и Словакия, подкрепени от Полша, оспориха законосъобразността на второто решение на Съвета относно преместването. Подаването на жалба за отмяна обаче не спира изпълнението на акта. Разглеждането на делата пред Съда на Европейския съюз се проведе на 10 май.</w:t>
      </w:r>
    </w:p>
  </w:footnote>
  <w:footnote w:id="3">
    <w:p>
      <w:pPr>
        <w:pStyle w:val="FootnoteText"/>
        <w:ind w:left="284" w:hanging="284"/>
        <w:jc w:val="both"/>
        <w:rPr>
          <w:color w:val="000000"/>
        </w:rPr>
      </w:pPr>
      <w:r>
        <w:rPr>
          <w:rStyle w:val="FootnoteReference"/>
        </w:rPr>
        <w:footnoteRef/>
      </w:r>
      <w:r>
        <w:t xml:space="preserve"> </w:t>
      </w:r>
      <w:r>
        <w:tab/>
      </w:r>
      <w:r>
        <w:rPr>
          <w:color w:val="000000"/>
        </w:rPr>
        <w:t>За да бъде предоставена допълнителна помощ на гръцките власти при планирането и изпълнението на допълнителните мерки за подкрепа, Комисията приканва гръцките власти да посочат точно общия брой мигранти, намиращи</w:t>
      </w:r>
      <w:r>
        <w:t xml:space="preserve"> се на територията на континентална Гърция и на островите.</w:t>
      </w:r>
    </w:p>
  </w:footnote>
  <w:footnote w:id="4">
    <w:p>
      <w:pPr>
        <w:pStyle w:val="FootnoteText"/>
        <w:ind w:left="284" w:hanging="284"/>
        <w:jc w:val="both"/>
      </w:pPr>
      <w:r>
        <w:rPr>
          <w:rStyle w:val="FootnoteReference"/>
        </w:rPr>
        <w:footnoteRef/>
      </w:r>
      <w:r>
        <w:t xml:space="preserve"> </w:t>
      </w:r>
      <w:r>
        <w:tab/>
        <w:t xml:space="preserve">Общо 2 312 кандидати за преместване са били отхвърлени от държавите членки на преместване и са били насочени към дъблинската процедура или към гръцката национална процедура (например защото подадената кандидатура е била отменена от Гърция по административни причини, поради отрицателни проверки във връзка със сигурността от страна на гръцката полиция преди подаването на кандидатурата и др.), или, в много ограничен брой случаи, са починали. </w:t>
      </w:r>
    </w:p>
  </w:footnote>
  <w:footnote w:id="5">
    <w:p>
      <w:pPr>
        <w:pStyle w:val="FootnoteText"/>
        <w:ind w:left="284" w:hanging="284"/>
      </w:pPr>
      <w:r>
        <w:rPr>
          <w:rStyle w:val="FootnoteReference"/>
        </w:rPr>
        <w:footnoteRef/>
      </w:r>
      <w:r>
        <w:t xml:space="preserve"> </w:t>
      </w:r>
      <w:r>
        <w:tab/>
        <w:t>С изключение на конкретни разпределения за оставащите 54 000 места.</w:t>
      </w:r>
    </w:p>
  </w:footnote>
  <w:footnote w:id="6">
    <w:p>
      <w:pPr>
        <w:pStyle w:val="FootnoteText"/>
        <w:ind w:left="284" w:hanging="284"/>
        <w:jc w:val="both"/>
      </w:pPr>
      <w:r>
        <w:rPr>
          <w:rStyle w:val="FootnoteReference"/>
        </w:rPr>
        <w:footnoteRef/>
      </w:r>
      <w:r>
        <w:t xml:space="preserve"> </w:t>
      </w:r>
      <w:r>
        <w:tab/>
        <w:t>Въпреки че по принцип са необходими ангажименти само за още 24 места, необходимостта от допълнителни места може да се увеличи, ако някои от исканията за непридружени ненавършили пълнолетие лица, изпратени до други държави членки съгласно Регламента от Дъблин, бъдат отхвърлени.</w:t>
      </w:r>
    </w:p>
  </w:footnote>
  <w:footnote w:id="7">
    <w:p>
      <w:pPr>
        <w:pStyle w:val="FootnoteText"/>
        <w:ind w:left="284" w:hanging="284"/>
      </w:pPr>
      <w:r>
        <w:rPr>
          <w:rStyle w:val="FootnoteReference"/>
        </w:rPr>
        <w:footnoteRef/>
      </w:r>
      <w:r>
        <w:t xml:space="preserve"> </w:t>
      </w:r>
      <w:r>
        <w:tab/>
        <w:t xml:space="preserve">С изключение на конкретни разпределения за оставащите 54 000 места. </w:t>
      </w:r>
    </w:p>
  </w:footnote>
  <w:footnote w:id="8">
    <w:p>
      <w:pPr>
        <w:pStyle w:val="FootnoteText"/>
        <w:ind w:left="284" w:hanging="284"/>
        <w:contextualSpacing/>
      </w:pPr>
      <w:r>
        <w:rPr>
          <w:rStyle w:val="FootnoteReference"/>
        </w:rPr>
        <w:footnoteRef/>
      </w:r>
      <w:r>
        <w:t xml:space="preserve"> </w:t>
      </w:r>
      <w:r>
        <w:tab/>
        <w:t>Тази група държави членки включва Люксембург и Румъния, въпреки че и двете държави вече са презаселили сирийци от Турция съгласно изявлението на ЕС и Турция.</w:t>
      </w:r>
    </w:p>
  </w:footnote>
  <w:footnote w:id="9">
    <w:p>
      <w:pPr>
        <w:pStyle w:val="FootnoteText"/>
        <w:ind w:left="284" w:hanging="284"/>
        <w:contextualSpacing/>
      </w:pPr>
      <w:r>
        <w:rPr>
          <w:rStyle w:val="FootnoteReference"/>
        </w:rPr>
        <w:footnoteRef/>
      </w:r>
      <w:r>
        <w:t xml:space="preserve">  </w:t>
      </w:r>
      <w:r>
        <w:tab/>
        <w:t>България, Гърция, Дания, Ирландия, Кипър, Малта, Обединеното кралство, Полша, Словакия, Словения, Унгария, Хърватия и Чешката република.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16715"/>
    <w:multiLevelType w:val="hybridMultilevel"/>
    <w:tmpl w:val="A442E678"/>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804FB"/>
    <w:multiLevelType w:val="hybridMultilevel"/>
    <w:tmpl w:val="758CE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0D577C80"/>
    <w:multiLevelType w:val="hybridMultilevel"/>
    <w:tmpl w:val="1FB48808"/>
    <w:lvl w:ilvl="0" w:tplc="A080C3EC">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4594D"/>
    <w:multiLevelType w:val="multilevel"/>
    <w:tmpl w:val="8DB03AD2"/>
    <w:lvl w:ilvl="0">
      <w:start w:val="1"/>
      <w:numFmt w:val="decimal"/>
      <w:lvlText w:val="%1"/>
      <w:lvlJc w:val="left"/>
      <w:pPr>
        <w:ind w:left="432" w:hanging="432"/>
      </w:pPr>
      <w:rPr>
        <w:rFonts w:ascii="Times New Roman" w:hAnsi="Times New Roman" w:cs="Times New Roman" w:hint="default"/>
        <w:b/>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FD1440D"/>
    <w:multiLevelType w:val="hybridMultilevel"/>
    <w:tmpl w:val="B2E446FC"/>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44B27"/>
    <w:multiLevelType w:val="hybridMultilevel"/>
    <w:tmpl w:val="D5C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5067D6"/>
    <w:multiLevelType w:val="hybridMultilevel"/>
    <w:tmpl w:val="AEC8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932052"/>
    <w:multiLevelType w:val="hybridMultilevel"/>
    <w:tmpl w:val="3F8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4341A5"/>
    <w:multiLevelType w:val="hybridMultilevel"/>
    <w:tmpl w:val="4A423ABE"/>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21">
    <w:nsid w:val="3F136F51"/>
    <w:multiLevelType w:val="hybridMultilevel"/>
    <w:tmpl w:val="6954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25BF2"/>
    <w:multiLevelType w:val="hybridMultilevel"/>
    <w:tmpl w:val="041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776A8F"/>
    <w:multiLevelType w:val="hybridMultilevel"/>
    <w:tmpl w:val="63CC16C6"/>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D2040D"/>
    <w:multiLevelType w:val="hybridMultilevel"/>
    <w:tmpl w:val="233A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180750"/>
    <w:multiLevelType w:val="hybridMultilevel"/>
    <w:tmpl w:val="50E6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4E7444"/>
    <w:multiLevelType w:val="hybridMultilevel"/>
    <w:tmpl w:val="65B8E2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nsid w:val="63574CA6"/>
    <w:multiLevelType w:val="hybridMultilevel"/>
    <w:tmpl w:val="F2789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9C1607A"/>
    <w:multiLevelType w:val="hybridMultilevel"/>
    <w:tmpl w:val="5C580A44"/>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70634C7B"/>
    <w:multiLevelType w:val="hybridMultilevel"/>
    <w:tmpl w:val="C222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BC1F69"/>
    <w:multiLevelType w:val="hybridMultilevel"/>
    <w:tmpl w:val="57C0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nsid w:val="7D4339EB"/>
    <w:multiLevelType w:val="hybridMultilevel"/>
    <w:tmpl w:val="4386CAF8"/>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38">
    <w:nsid w:val="7F7A3C99"/>
    <w:multiLevelType w:val="hybridMultilevel"/>
    <w:tmpl w:val="F7CC19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8"/>
  </w:num>
  <w:num w:numId="2">
    <w:abstractNumId w:val="12"/>
  </w:num>
  <w:num w:numId="3">
    <w:abstractNumId w:val="14"/>
  </w:num>
  <w:num w:numId="4">
    <w:abstractNumId w:val="14"/>
  </w:num>
  <w:num w:numId="5">
    <w:abstractNumId w:val="5"/>
  </w:num>
  <w:num w:numId="6">
    <w:abstractNumId w:val="11"/>
  </w:num>
  <w:num w:numId="7">
    <w:abstractNumId w:val="15"/>
  </w:num>
  <w:num w:numId="8">
    <w:abstractNumId w:val="7"/>
  </w:num>
  <w:num w:numId="9">
    <w:abstractNumId w:val="14"/>
  </w:num>
  <w:num w:numId="10">
    <w:abstractNumId w:val="14"/>
  </w:num>
  <w:num w:numId="11">
    <w:abstractNumId w:val="14"/>
  </w:num>
  <w:num w:numId="12">
    <w:abstractNumId w:val="33"/>
  </w:num>
  <w:num w:numId="13">
    <w:abstractNumId w:val="9"/>
  </w:num>
  <w:num w:numId="14">
    <w:abstractNumId w:val="36"/>
  </w:num>
  <w:num w:numId="15">
    <w:abstractNumId w:val="21"/>
  </w:num>
  <w:num w:numId="16">
    <w:abstractNumId w:val="8"/>
  </w:num>
  <w:num w:numId="17">
    <w:abstractNumId w:val="35"/>
  </w:num>
  <w:num w:numId="18">
    <w:abstractNumId w:val="25"/>
  </w:num>
  <w:num w:numId="19">
    <w:abstractNumId w:val="24"/>
  </w:num>
  <w:num w:numId="20">
    <w:abstractNumId w:val="30"/>
  </w:num>
  <w:num w:numId="21">
    <w:abstractNumId w:val="28"/>
  </w:num>
  <w:num w:numId="22">
    <w:abstractNumId w:val="0"/>
  </w:num>
  <w:num w:numId="23">
    <w:abstractNumId w:val="1"/>
  </w:num>
  <w:num w:numId="24">
    <w:abstractNumId w:val="2"/>
  </w:num>
  <w:num w:numId="25">
    <w:abstractNumId w:val="3"/>
  </w:num>
  <w:num w:numId="26">
    <w:abstractNumId w:val="37"/>
  </w:num>
  <w:num w:numId="27">
    <w:abstractNumId w:val="20"/>
  </w:num>
  <w:num w:numId="28">
    <w:abstractNumId w:val="38"/>
  </w:num>
  <w:num w:numId="29">
    <w:abstractNumId w:val="29"/>
  </w:num>
  <w:num w:numId="30">
    <w:abstractNumId w:val="23"/>
  </w:num>
  <w:num w:numId="31">
    <w:abstractNumId w:val="13"/>
  </w:num>
  <w:num w:numId="32">
    <w:abstractNumId w:val="34"/>
  </w:num>
  <w:num w:numId="33">
    <w:abstractNumId w:val="10"/>
  </w:num>
  <w:num w:numId="34">
    <w:abstractNumId w:val="19"/>
  </w:num>
  <w:num w:numId="35">
    <w:abstractNumId w:val="14"/>
  </w:num>
  <w:num w:numId="36">
    <w:abstractNumId w:val="4"/>
  </w:num>
  <w:num w:numId="37">
    <w:abstractNumId w:val="14"/>
  </w:num>
  <w:num w:numId="38">
    <w:abstractNumId w:val="14"/>
  </w:num>
  <w:num w:numId="39">
    <w:abstractNumId w:val="27"/>
  </w:num>
  <w:num w:numId="40">
    <w:abstractNumId w:val="22"/>
  </w:num>
  <w:num w:numId="41">
    <w:abstractNumId w:val="6"/>
  </w:num>
  <w:num w:numId="42">
    <w:abstractNumId w:val="16"/>
  </w:num>
  <w:num w:numId="43">
    <w:abstractNumId w:val="26"/>
  </w:num>
  <w:num w:numId="44">
    <w:abstractNumId w:val="32"/>
  </w:num>
  <w:num w:numId="45">
    <w:abstractNumId w:val="17"/>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7116857F9A34E7BB459D04B56A2CA7D"/>
    <w:docVar w:name="LW_CROSSREFERENCE" w:val="&lt;UNUSED&gt;"/>
    <w:docVar w:name="LW_DocType" w:val="NORMAL"/>
    <w:docVar w:name="LW_EMISSION" w:val="13.6.2017"/>
    <w:docVar w:name="LW_EMISSION_ISODATE" w:val="2017-06-13"/>
    <w:docVar w:name="LW_EMISSION_LOCATION" w:val="STR"/>
    <w:docVar w:name="LW_EMISSION_PREFIX" w:val="Страсбург,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30"/>
    <w:docVar w:name="LW_REF.INTERNE" w:val="&lt;UNUSED&gt;"/>
    <w:docVar w:name="LW_SOUS.TITRE.OBJ.CP" w:val="&lt;UNUSED&gt;"/>
    <w:docVar w:name="LW_SUPERTITRE" w:val="&lt;UNUSED&gt;"/>
    <w:docVar w:name="LW_TITRE.OBJ.CP" w:val="\u1058?\u1088?\u1080?\u1085?\u1072?\u1076?\u1077?\u1089?\u1077?\u1090?\u1080? \u1076?\u1086?\u1082?\u1083?\u1072?\u1076? \u1086?\u1090?\u1085?\u1086?\u1089?\u1085?\u1086? \u1087?\u1088?\u1077?\u1084?\u1077?\u1089?\u1090?\u1074?\u1072?\u1085?\u1077?\u1090?\u1086? \u1080? \u1087?\u1088?\u1077?\u1079?\u1072?\u1089?\u1077?\u1083?\u1074?\u1072?\u1085?\u1077?\u1090?\u1086?_x000b__x000b__x000b__x0009_"/>
    <w:docVar w:name="LW_TYPE.DOC.CP" w:val="\u1044?\u1054?\u1050?\u1051?\u1040?\u1044? \u1053?\u1040? \u1050?\u1054?\u1052?\u1048?\u1057?\u1048?\u1071?\u1058?\u1040? \u1044?\u1054? \u1045?\u1042?\u1056?\u1054?\u1055?\u1045?\u1049?\u1057?\u1050?\u1048?\u1071? \u1055?\u1040?\u1056?\u1051?\u1040?\u1052?\u1045?\u1053?\u1058?, \u1045?\u1042?\u1056?\u1054?\u1055?\u1045?\u1049?\u1057?\u1050?\u1048?\u1071? \u1057?\u1066?\u1042?\u1045?\u1058? \u1048?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bg-BG"/>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bg-BG"/>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rPr>
  </w:style>
  <w:style w:type="paragraph" w:customStyle="1" w:styleId="Nomdelinstitution">
    <w:name w:val="Nom de l'institution"/>
    <w:basedOn w:val="Normal"/>
    <w:next w:val="Normal"/>
    <w:rPr>
      <w:rFonts w:ascii="Arial" w:eastAsiaTheme="minorHAnsi" w:hAnsi="Arial" w:cs="Arial"/>
      <w:szCs w:val="22"/>
    </w:rPr>
  </w:style>
  <w:style w:type="paragraph" w:customStyle="1" w:styleId="Emission">
    <w:name w:val="Emission"/>
    <w:basedOn w:val="Normal"/>
    <w:next w:val="Normal"/>
    <w:pPr>
      <w:ind w:left="5103"/>
    </w:pPr>
    <w:rPr>
      <w:rFonts w:eastAsiaTheme="minorHAnsi"/>
      <w:szCs w:val="22"/>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rPr>
  </w:style>
  <w:style w:type="paragraph" w:customStyle="1" w:styleId="Confidentialit">
    <w:name w:val="Confidentialité"/>
    <w:basedOn w:val="Normal"/>
    <w:next w:val="Normal"/>
    <w:pPr>
      <w:spacing w:before="240" w:after="240"/>
      <w:ind w:left="5103"/>
    </w:pPr>
    <w:rPr>
      <w:rFonts w:eastAsiaTheme="minorHAnsi"/>
      <w:i/>
      <w:sz w:val="32"/>
      <w:szCs w:val="22"/>
    </w:rPr>
  </w:style>
  <w:style w:type="paragraph" w:customStyle="1" w:styleId="TypedudocumentPagedecouverture">
    <w:name w:val="Type du document (Page de couverture)"/>
    <w:basedOn w:val="Normal"/>
    <w:next w:val="Normal"/>
    <w:pPr>
      <w:spacing w:before="360"/>
      <w:jc w:val="center"/>
    </w:pPr>
    <w:rPr>
      <w:rFonts w:eastAsiaTheme="minorHAnsi"/>
      <w:b/>
      <w:szCs w:val="22"/>
    </w:rPr>
  </w:style>
  <w:style w:type="paragraph" w:customStyle="1" w:styleId="TitreobjetPagedecouverture">
    <w:name w:val="Titre objet (Page de couverture)"/>
    <w:basedOn w:val="Normal"/>
    <w:next w:val="Normal"/>
    <w:pPr>
      <w:spacing w:before="360" w:after="360"/>
      <w:jc w:val="center"/>
    </w:pPr>
    <w:rPr>
      <w:rFonts w:eastAsiaTheme="minorHAnsi"/>
      <w:b/>
      <w:szCs w:val="22"/>
    </w:rPr>
  </w:style>
  <w:style w:type="character" w:customStyle="1" w:styleId="apple-converted-space">
    <w:name w:val="apple-converted-space"/>
    <w:basedOn w:val="DefaultParagraphFo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3310376">
      <w:bodyDiv w:val="1"/>
      <w:marLeft w:val="0"/>
      <w:marRight w:val="0"/>
      <w:marTop w:val="0"/>
      <w:marBottom w:val="0"/>
      <w:divBdr>
        <w:top w:val="none" w:sz="0" w:space="0" w:color="auto"/>
        <w:left w:val="none" w:sz="0" w:space="0" w:color="auto"/>
        <w:bottom w:val="none" w:sz="0" w:space="0" w:color="auto"/>
        <w:right w:val="none" w:sz="0" w:space="0" w:color="auto"/>
      </w:divBdr>
      <w:divsChild>
        <w:div w:id="1694377179">
          <w:marLeft w:val="1440"/>
          <w:marRight w:val="0"/>
          <w:marTop w:val="0"/>
          <w:marBottom w:val="0"/>
          <w:divBdr>
            <w:top w:val="none" w:sz="0" w:space="0" w:color="auto"/>
            <w:left w:val="none" w:sz="0" w:space="0" w:color="auto"/>
            <w:bottom w:val="none" w:sz="0" w:space="0" w:color="auto"/>
            <w:right w:val="none" w:sz="0" w:space="0" w:color="auto"/>
          </w:divBdr>
        </w:div>
      </w:divsChild>
    </w:div>
    <w:div w:id="37437672">
      <w:bodyDiv w:val="1"/>
      <w:marLeft w:val="0"/>
      <w:marRight w:val="0"/>
      <w:marTop w:val="0"/>
      <w:marBottom w:val="0"/>
      <w:divBdr>
        <w:top w:val="none" w:sz="0" w:space="0" w:color="auto"/>
        <w:left w:val="none" w:sz="0" w:space="0" w:color="auto"/>
        <w:bottom w:val="none" w:sz="0" w:space="0" w:color="auto"/>
        <w:right w:val="none" w:sz="0" w:space="0" w:color="auto"/>
      </w:divBdr>
    </w:div>
    <w:div w:id="43798071">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3327095">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199636108">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5581468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5122392">
      <w:bodyDiv w:val="1"/>
      <w:marLeft w:val="0"/>
      <w:marRight w:val="0"/>
      <w:marTop w:val="0"/>
      <w:marBottom w:val="0"/>
      <w:divBdr>
        <w:top w:val="none" w:sz="0" w:space="0" w:color="auto"/>
        <w:left w:val="none" w:sz="0" w:space="0" w:color="auto"/>
        <w:bottom w:val="none" w:sz="0" w:space="0" w:color="auto"/>
        <w:right w:val="none" w:sz="0" w:space="0" w:color="auto"/>
      </w:divBdr>
      <w:divsChild>
        <w:div w:id="2009288013">
          <w:marLeft w:val="1440"/>
          <w:marRight w:val="0"/>
          <w:marTop w:val="0"/>
          <w:marBottom w:val="0"/>
          <w:divBdr>
            <w:top w:val="none" w:sz="0" w:space="0" w:color="auto"/>
            <w:left w:val="none" w:sz="0" w:space="0" w:color="auto"/>
            <w:bottom w:val="none" w:sz="0" w:space="0" w:color="auto"/>
            <w:right w:val="none" w:sz="0" w:space="0" w:color="auto"/>
          </w:divBdr>
        </w:div>
      </w:divsChild>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533617756">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32793979">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66525133">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165126025">
      <w:bodyDiv w:val="1"/>
      <w:marLeft w:val="0"/>
      <w:marRight w:val="0"/>
      <w:marTop w:val="0"/>
      <w:marBottom w:val="0"/>
      <w:divBdr>
        <w:top w:val="none" w:sz="0" w:space="0" w:color="auto"/>
        <w:left w:val="none" w:sz="0" w:space="0" w:color="auto"/>
        <w:bottom w:val="none" w:sz="0" w:space="0" w:color="auto"/>
        <w:right w:val="none" w:sz="0" w:space="0" w:color="auto"/>
      </w:divBdr>
    </w:div>
    <w:div w:id="118759843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437289805">
      <w:bodyDiv w:val="1"/>
      <w:marLeft w:val="0"/>
      <w:marRight w:val="0"/>
      <w:marTop w:val="0"/>
      <w:marBottom w:val="0"/>
      <w:divBdr>
        <w:top w:val="none" w:sz="0" w:space="0" w:color="auto"/>
        <w:left w:val="none" w:sz="0" w:space="0" w:color="auto"/>
        <w:bottom w:val="none" w:sz="0" w:space="0" w:color="auto"/>
        <w:right w:val="none" w:sz="0" w:space="0" w:color="auto"/>
      </w:divBdr>
    </w:div>
    <w:div w:id="1438020060">
      <w:bodyDiv w:val="1"/>
      <w:marLeft w:val="0"/>
      <w:marRight w:val="0"/>
      <w:marTop w:val="0"/>
      <w:marBottom w:val="0"/>
      <w:divBdr>
        <w:top w:val="none" w:sz="0" w:space="0" w:color="auto"/>
        <w:left w:val="none" w:sz="0" w:space="0" w:color="auto"/>
        <w:bottom w:val="none" w:sz="0" w:space="0" w:color="auto"/>
        <w:right w:val="none" w:sz="0" w:space="0" w:color="auto"/>
      </w:divBdr>
    </w:div>
    <w:div w:id="1446459895">
      <w:bodyDiv w:val="1"/>
      <w:marLeft w:val="0"/>
      <w:marRight w:val="0"/>
      <w:marTop w:val="0"/>
      <w:marBottom w:val="0"/>
      <w:divBdr>
        <w:top w:val="none" w:sz="0" w:space="0" w:color="auto"/>
        <w:left w:val="none" w:sz="0" w:space="0" w:color="auto"/>
        <w:bottom w:val="none" w:sz="0" w:space="0" w:color="auto"/>
        <w:right w:val="none" w:sz="0" w:space="0" w:color="auto"/>
      </w:divBdr>
    </w:div>
    <w:div w:id="1496145830">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7334627">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599750070">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2584730">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884049903">
      <w:bodyDiv w:val="1"/>
      <w:marLeft w:val="0"/>
      <w:marRight w:val="0"/>
      <w:marTop w:val="0"/>
      <w:marBottom w:val="0"/>
      <w:divBdr>
        <w:top w:val="none" w:sz="0" w:space="0" w:color="auto"/>
        <w:left w:val="none" w:sz="0" w:space="0" w:color="auto"/>
        <w:bottom w:val="none" w:sz="0" w:space="0" w:color="auto"/>
        <w:right w:val="none" w:sz="0" w:space="0" w:color="auto"/>
      </w:divBdr>
    </w:div>
    <w:div w:id="1899971452">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0424-62BD-4E1C-A348-325CB2239395}">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sharepoint/v3/fields"/>
    <ds:schemaRef ds:uri="http://schemas.microsoft.com/office/infopath/2007/PartnerControls"/>
    <ds:schemaRef ds:uri="http://purl.org/dc/dcmitype/"/>
    <ds:schemaRef ds:uri="http://purl.org/dc/elements/1.1/"/>
    <ds:schemaRef ds:uri="17b46552-d8b0-4a09-8203-d52bd02ecc12"/>
    <ds:schemaRef ds:uri="http://purl.org/dc/terms/"/>
  </ds:schemaRefs>
</ds:datastoreItem>
</file>

<file path=customXml/itemProps2.xml><?xml version="1.0" encoding="utf-8"?>
<ds:datastoreItem xmlns:ds="http://schemas.openxmlformats.org/officeDocument/2006/customXml" ds:itemID="{1309136E-8F95-4153-A9D0-49976838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61D97-9D51-41C2-9284-0FCD455D0586}">
  <ds:schemaRefs>
    <ds:schemaRef ds:uri="http://schemas.microsoft.com/sharepoint/v3/contenttype/forms"/>
  </ds:schemaRefs>
</ds:datastoreItem>
</file>

<file path=customXml/itemProps4.xml><?xml version="1.0" encoding="utf-8"?>
<ds:datastoreItem xmlns:ds="http://schemas.openxmlformats.org/officeDocument/2006/customXml" ds:itemID="{E995A496-3AB7-42A6-8434-71385860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3841</Words>
  <Characters>22203</Characters>
  <Application>Microsoft Office Word</Application>
  <DocSecurity>0</DocSecurity>
  <Lines>411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2017-06-12T14:26:00Z</dcterms:created>
  <dcterms:modified xsi:type="dcterms:W3CDTF">2017-07-04T07:55:00Z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0x010100258AA79CEB83498886A3A0868112325000E4784CB7A28D3C4488AA7E5C40997F0C</vt:lpwstr>
  </property>
  <property fmtid="{D5CDD505-2E9C-101B-9397-08002B2CF9AE}" pid="6" name="DocStatus">
    <vt:lpwstr>Green</vt:lpwstr>
  </property>
</Properties>
</file>