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D9" w:rsidRDefault="000A4E17" w:rsidP="000A4E1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A03400D6EC94E8D81D83E13FC155226" style="width:450.65pt;height:334.65pt">
            <v:imagedata r:id="rId9" o:title=""/>
          </v:shape>
        </w:pict>
      </w:r>
    </w:p>
    <w:bookmarkEnd w:id="0"/>
    <w:p w:rsidR="00DC02D9" w:rsidRDefault="00DC02D9">
      <w:pPr>
        <w:jc w:val="both"/>
        <w:rPr>
          <w:noProof/>
        </w:rPr>
        <w:sectPr w:rsidR="00DC02D9" w:rsidSect="000A4E1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DC02D9" w:rsidRDefault="000A4E17">
      <w:pPr>
        <w:pStyle w:val="ListParagraph"/>
        <w:numPr>
          <w:ilvl w:val="0"/>
          <w:numId w:val="1"/>
        </w:numPr>
        <w:spacing w:before="240" w:after="240" w:line="240" w:lineRule="auto"/>
        <w:contextualSpacing w:val="0"/>
        <w:jc w:val="both"/>
        <w:rPr>
          <w:rFonts w:ascii="Times New Roman" w:hAnsi="Times New Roman" w:cs="Times New Roman"/>
          <w:b/>
          <w:smallCaps/>
          <w:noProof/>
          <w:sz w:val="24"/>
          <w:szCs w:val="24"/>
        </w:rPr>
      </w:pPr>
      <w:bookmarkStart w:id="1" w:name="_GoBack"/>
      <w:bookmarkEnd w:id="1"/>
      <w:r>
        <w:rPr>
          <w:rFonts w:ascii="Times New Roman" w:hAnsi="Times New Roman"/>
          <w:b/>
          <w:smallCaps/>
          <w:noProof/>
          <w:sz w:val="24"/>
        </w:rPr>
        <w:lastRenderedPageBreak/>
        <w:t xml:space="preserve">Въведение </w:t>
      </w:r>
    </w:p>
    <w:p w:rsidR="00DC02D9" w:rsidRDefault="000A4E17">
      <w:pPr>
        <w:spacing w:before="240" w:after="240" w:line="240" w:lineRule="auto"/>
        <w:jc w:val="both"/>
        <w:rPr>
          <w:rFonts w:ascii="Times New Roman" w:hAnsi="Times New Roman" w:cs="Times New Roman"/>
          <w:b/>
          <w:i/>
          <w:smallCaps/>
          <w:noProof/>
          <w:sz w:val="24"/>
          <w:szCs w:val="24"/>
        </w:rPr>
      </w:pPr>
      <w:r>
        <w:rPr>
          <w:rFonts w:ascii="Times New Roman" w:hAnsi="Times New Roman"/>
          <w:b/>
          <w:i/>
          <w:noProof/>
          <w:sz w:val="24"/>
        </w:rPr>
        <w:t>1.1. Силен сектор на въздухоплаването за по-силен Съюз</w:t>
      </w:r>
    </w:p>
    <w:p w:rsidR="00DC02D9" w:rsidRDefault="000A4E17">
      <w:pPr>
        <w:pStyle w:val="NormalWeb"/>
        <w:jc w:val="both"/>
        <w:rPr>
          <w:noProof/>
        </w:rPr>
      </w:pPr>
      <w:r>
        <w:rPr>
          <w:noProof/>
        </w:rPr>
        <w:t>Въздухоплаването е от решаващо значение за Европейския съюз. То стимулира икономическия растеж, създава работни места, улеснява търговията и дава възможност на хората да пътуват. Понастоящем европейското въздухоплаване представлява 26 % от световния пазар,</w:t>
      </w:r>
      <w:r>
        <w:rPr>
          <w:noProof/>
        </w:rPr>
        <w:t xml:space="preserve"> като допринася с 510 милиарда евро годишно за европейския брутен вътрешен продукт и осигурява 9,3 млн. работни места в Европа. </w:t>
      </w:r>
    </w:p>
    <w:p w:rsidR="00DC02D9" w:rsidRDefault="000A4E17">
      <w:pPr>
        <w:pStyle w:val="NormalWeb"/>
        <w:jc w:val="both"/>
        <w:rPr>
          <w:noProof/>
        </w:rPr>
      </w:pPr>
      <w:r>
        <w:rPr>
          <w:noProof/>
        </w:rPr>
        <w:t>Отворените и свързани авиационни пазари предлагат полети на по-изгодни цени и по-голям избор от туристически дестинации по цели</w:t>
      </w:r>
      <w:r>
        <w:rPr>
          <w:noProof/>
        </w:rPr>
        <w:t>я свят. Свързаността по въздух е важна за пътуващите и за предприятията и икономиката като цяло, защото колкото по-добре даден град, регион или държава е свързан/а по въздух с други дестинации в Европа и други части на света, толкова по-голям растеж може д</w:t>
      </w:r>
      <w:r>
        <w:rPr>
          <w:noProof/>
        </w:rPr>
        <w:t>а бъде генериран. Пътуването с въздушен транспорт се увеличи значително след създаването на единния авиационен пазар на ЕС преди 25 години. Броят на ежедневните полети се увеличи от по-малко от 10 000 през 1992 г. до около 23 000 през 2016 г. Освен това пъ</w:t>
      </w:r>
      <w:r>
        <w:rPr>
          <w:noProof/>
        </w:rPr>
        <w:t>тниците вече имат достъп до повече дестинации. Понастоящем съществуват около 7400 маршрута в сравнение с по-малко от 2700 през 1992 г. През 2015 г. над 1,45 милиарда пътници са заминали от или пристигнали на летищата в ЕС.</w:t>
      </w:r>
    </w:p>
    <w:p w:rsidR="00DC02D9" w:rsidRDefault="000A4E17">
      <w:pPr>
        <w:pStyle w:val="NormalWeb"/>
        <w:jc w:val="both"/>
        <w:rPr>
          <w:noProof/>
        </w:rPr>
      </w:pPr>
      <w:r>
        <w:rPr>
          <w:noProof/>
        </w:rPr>
        <w:t>Европейското въздухоплаване трябв</w:t>
      </w:r>
      <w:r>
        <w:rPr>
          <w:noProof/>
        </w:rPr>
        <w:t>а да продължи да бъде конкурентоспособно в световен мащаб и да се възползва по устойчив начин от възможностите, предлагани от бързо променящата се световна икономика. По тази причина през декември 2015 г. Европейската комисия представи „Стратегия за въздух</w:t>
      </w:r>
      <w:r>
        <w:rPr>
          <w:noProof/>
        </w:rPr>
        <w:t>оплаването в Европа“</w:t>
      </w:r>
      <w:r>
        <w:rPr>
          <w:rStyle w:val="FootnoteReference"/>
          <w:noProof/>
        </w:rPr>
        <w:footnoteReference w:id="2"/>
      </w:r>
      <w:r>
        <w:rPr>
          <w:noProof/>
        </w:rPr>
        <w:t>, в която се съдържа амбициозна визия за бъдещето на европейското въздухоплаване. Тя е насочена към стимулиране на икономиката на Европа, укрепване на промишлената ѝ база и засилване на нейната водеща световна позиция в областта на въз</w:t>
      </w:r>
      <w:r>
        <w:rPr>
          <w:noProof/>
        </w:rPr>
        <w:t xml:space="preserve">духоплаването, като обръща внимание на предизвикателствата във връзка с околната среда и климатичните промени и така допринася пряко за </w:t>
      </w:r>
      <w:hyperlink r:id="rId16">
        <w:r>
          <w:rPr>
            <w:rStyle w:val="Hyperlink"/>
            <w:rFonts w:ascii="Times New Roman" w:hAnsi="Times New Roman"/>
            <w:noProof/>
          </w:rPr>
          <w:t>стратегическите приоритети</w:t>
        </w:r>
      </w:hyperlink>
      <w:r>
        <w:rPr>
          <w:noProof/>
        </w:rPr>
        <w:t xml:space="preserve"> на Комисията. </w:t>
      </w:r>
    </w:p>
    <w:p w:rsidR="00DC02D9" w:rsidRDefault="000A4E17">
      <w:pPr>
        <w:pStyle w:val="NormalWeb"/>
        <w:jc w:val="both"/>
        <w:rPr>
          <w:rFonts w:eastAsia="Calibri"/>
          <w:b/>
          <w:i/>
          <w:noProof/>
        </w:rPr>
      </w:pPr>
      <w:r>
        <w:rPr>
          <w:b/>
          <w:i/>
          <w:noProof/>
        </w:rPr>
        <w:t>1.2. Стратегият</w:t>
      </w:r>
      <w:r>
        <w:rPr>
          <w:b/>
          <w:i/>
          <w:noProof/>
        </w:rPr>
        <w:t>а за въздухоплаването в Европа постига резултати</w:t>
      </w:r>
    </w:p>
    <w:p w:rsidR="00DC02D9" w:rsidRDefault="000A4E17">
      <w:pPr>
        <w:pStyle w:val="NormalWeb"/>
        <w:jc w:val="both"/>
        <w:rPr>
          <w:rFonts w:eastAsia="Calibri"/>
          <w:noProof/>
        </w:rPr>
      </w:pPr>
      <w:r>
        <w:rPr>
          <w:noProof/>
        </w:rPr>
        <w:t xml:space="preserve">В стратегията за въздухоплаването в Европа е очертана поредица от действия в областта на политиката, които ще бъдат предприети през идните години. Настоящото съобщение, както и предложението и насоките, </w:t>
      </w:r>
      <w:r>
        <w:rPr>
          <w:noProof/>
        </w:rPr>
        <w:t>посочени в него, представени едновременно, надграждат тази стратегия, по-конкретно с дейностите, предназначени за постигане на следните резултати:</w:t>
      </w:r>
    </w:p>
    <w:p w:rsidR="00DC02D9" w:rsidRDefault="000A4E17">
      <w:pPr>
        <w:pStyle w:val="NormalWeb"/>
        <w:numPr>
          <w:ilvl w:val="0"/>
          <w:numId w:val="18"/>
        </w:numPr>
        <w:spacing w:before="120" w:beforeAutospacing="0" w:after="240" w:afterAutospacing="0"/>
        <w:ind w:left="357" w:hanging="357"/>
        <w:jc w:val="both"/>
        <w:rPr>
          <w:rFonts w:eastAsia="Calibri"/>
          <w:noProof/>
        </w:rPr>
      </w:pPr>
      <w:r>
        <w:rPr>
          <w:b/>
          <w:noProof/>
        </w:rPr>
        <w:t>Запазване на водеща позиция в международното въздухоплаване</w:t>
      </w:r>
      <w:r>
        <w:rPr>
          <w:noProof/>
        </w:rPr>
        <w:t xml:space="preserve"> чрез защита на конкуренцията и улесняване на чужд</w:t>
      </w:r>
      <w:r>
        <w:rPr>
          <w:noProof/>
        </w:rPr>
        <w:t>естранните инвестиции в авиокомпании от ЕС.</w:t>
      </w:r>
    </w:p>
    <w:p w:rsidR="00DC02D9" w:rsidRDefault="000A4E17">
      <w:pPr>
        <w:pStyle w:val="NormalWeb"/>
        <w:numPr>
          <w:ilvl w:val="0"/>
          <w:numId w:val="18"/>
        </w:numPr>
        <w:jc w:val="both"/>
        <w:rPr>
          <w:rFonts w:eastAsia="Calibri"/>
          <w:noProof/>
        </w:rPr>
      </w:pPr>
      <w:r>
        <w:rPr>
          <w:b/>
          <w:noProof/>
        </w:rPr>
        <w:t>Справяне с ограниченията пред растежа в европейското въздушно пространство</w:t>
      </w:r>
      <w:r>
        <w:rPr>
          <w:noProof/>
        </w:rPr>
        <w:t xml:space="preserve"> чрез подобряване на свързаността и ефективността на въздушното пространство. </w:t>
      </w:r>
    </w:p>
    <w:p w:rsidR="00DC02D9" w:rsidRDefault="000A4E17">
      <w:pPr>
        <w:pStyle w:val="ListParagraph"/>
        <w:numPr>
          <w:ilvl w:val="0"/>
          <w:numId w:val="1"/>
        </w:numPr>
        <w:spacing w:before="240" w:after="240" w:line="240" w:lineRule="auto"/>
        <w:contextualSpacing w:val="0"/>
        <w:jc w:val="both"/>
        <w:rPr>
          <w:rFonts w:ascii="Times New Roman" w:hAnsi="Times New Roman" w:cs="Times New Roman"/>
          <w:b/>
          <w:smallCaps/>
          <w:noProof/>
          <w:sz w:val="24"/>
          <w:szCs w:val="24"/>
        </w:rPr>
      </w:pPr>
      <w:r>
        <w:rPr>
          <w:rFonts w:ascii="Times New Roman" w:hAnsi="Times New Roman"/>
          <w:b/>
          <w:smallCaps/>
          <w:noProof/>
          <w:sz w:val="24"/>
        </w:rPr>
        <w:lastRenderedPageBreak/>
        <w:t xml:space="preserve">Водеща позиция в международното въздухоплаване </w:t>
      </w:r>
    </w:p>
    <w:p w:rsidR="00DC02D9" w:rsidRDefault="000A4E17">
      <w:pPr>
        <w:pStyle w:val="NormalWeb"/>
        <w:ind w:left="720" w:hanging="720"/>
        <w:jc w:val="both"/>
        <w:rPr>
          <w:rFonts w:eastAsia="Calibri"/>
          <w:noProof/>
        </w:rPr>
      </w:pPr>
      <w:r>
        <w:rPr>
          <w:b/>
          <w:i/>
          <w:noProof/>
        </w:rPr>
        <w:t>2.1. Защита</w:t>
      </w:r>
      <w:r>
        <w:rPr>
          <w:b/>
          <w:i/>
          <w:noProof/>
        </w:rPr>
        <w:t xml:space="preserve"> на конкуренцията в областта на въздухоплаването </w:t>
      </w:r>
    </w:p>
    <w:p w:rsidR="00DC02D9" w:rsidRDefault="000A4E17">
      <w:pPr>
        <w:pStyle w:val="NormalWeb"/>
        <w:jc w:val="both"/>
        <w:rPr>
          <w:rFonts w:eastAsia="Calibri"/>
          <w:noProof/>
        </w:rPr>
      </w:pPr>
      <w:r>
        <w:rPr>
          <w:noProof/>
        </w:rPr>
        <w:t>ЕС подобрява достъпа до пазара и възможностите за инвестиции за европейското въздухоплаване на важни отвъдморски пазари, като му помага да увеличи своето международно присъствие и осигурява отворени пазарни</w:t>
      </w:r>
      <w:r>
        <w:rPr>
          <w:noProof/>
        </w:rPr>
        <w:t xml:space="preserve"> условия за всички авиокомпании от ЕС. Сключването на споразумения за въздухоплавателни услуги между ЕС и трети държави подкрепя отворения и свързан пазар. Това води до предлагане на повече полети и дестинации на по-ниски цени. Някои споразумения вече са ф</w:t>
      </w:r>
      <w:r>
        <w:rPr>
          <w:noProof/>
        </w:rPr>
        <w:t>акт, други са в процес на договаряне или все още не са подписани (с Украйна), очаква се през следващите години да бъдат договорени още споразумения въз основа на препоръките на Комисията към Съвета за оправомощаване относно започване на допълнителни прегов</w:t>
      </w:r>
      <w:r>
        <w:rPr>
          <w:noProof/>
        </w:rPr>
        <w:t xml:space="preserve">ори.  </w:t>
      </w:r>
    </w:p>
    <w:p w:rsidR="00DC02D9" w:rsidRDefault="000A4E17">
      <w:pPr>
        <w:pStyle w:val="NormalWeb"/>
        <w:jc w:val="both"/>
        <w:rPr>
          <w:rFonts w:eastAsia="Calibri"/>
          <w:noProof/>
        </w:rPr>
      </w:pPr>
      <w:r>
        <w:rPr>
          <w:noProof/>
        </w:rPr>
        <w:t>Понастоящем в рамките на Световната търговска организация или Международната организация за гражданско въздухоплаване не съществуват международни стандарти, които да обхващат достъпа до пазари. Ето защо — с цел създаване на правна предвидимост и сиг</w:t>
      </w:r>
      <w:r>
        <w:rPr>
          <w:noProof/>
        </w:rPr>
        <w:t xml:space="preserve">урност за инвеститорите — ЕС определя условията за отваряне на пазара с трети държави чрез споразумения за въздухоплавателни услуги. </w:t>
      </w:r>
    </w:p>
    <w:p w:rsidR="00DC02D9" w:rsidRDefault="000A4E17">
      <w:pPr>
        <w:pStyle w:val="NormalWeb"/>
        <w:jc w:val="both"/>
        <w:rPr>
          <w:rFonts w:eastAsia="Calibri"/>
          <w:noProof/>
        </w:rPr>
      </w:pPr>
      <w:r>
        <w:rPr>
          <w:noProof/>
        </w:rPr>
        <w:t xml:space="preserve">Въпреки това, в отсъствието на европейско споразумение за въздухоплавателни услуги с определена трета държава, или когато </w:t>
      </w:r>
      <w:r>
        <w:rPr>
          <w:noProof/>
        </w:rPr>
        <w:t>съществуващите споразумения (на ЕС или национални) не съдържат достатъчно правила за борба с практиките, оказващи отрицателно въздействие върху конкуренцията, свързаността в Европа може да бъде накърнена, ако авиокомпании от ЕС са обект на подобни практики</w:t>
      </w:r>
      <w:r>
        <w:rPr>
          <w:noProof/>
        </w:rPr>
        <w:t xml:space="preserve"> от страна на трети държави или на субекти от трети държави. В по-дългосрочен план, ако бъде позволено те да продължат да съществуват, тези практики биха могли да окажат отрицателно въздействие върху конкурентното положение на пазара и следователно да дове</w:t>
      </w:r>
      <w:r>
        <w:rPr>
          <w:noProof/>
        </w:rPr>
        <w:t xml:space="preserve">дат до по-ограничен избор, по-слаба свързаност и по-високи цени за гражданите и предприятията в ЕС. </w:t>
      </w:r>
    </w:p>
    <w:p w:rsidR="00DC02D9" w:rsidRDefault="000A4E17">
      <w:pPr>
        <w:pStyle w:val="NormalWeb"/>
        <w:jc w:val="both"/>
        <w:rPr>
          <w:rFonts w:eastAsia="Calibri"/>
          <w:noProof/>
        </w:rPr>
      </w:pPr>
      <w:r>
        <w:rPr>
          <w:noProof/>
        </w:rPr>
        <w:t>Авиокомпаниите от ЕС, разбира се, носят отговорност за собствената си конкурентоспособност и следва да продължат да адаптират своите продукти и бизнес моде</w:t>
      </w:r>
      <w:r>
        <w:rPr>
          <w:noProof/>
        </w:rPr>
        <w:t>ли към пазарните условия. Когато обаче свързаността и конкурентоспособността на Съюза в областта на международния въздушен транспорт биват изложени на риск чрез дискриминационни практики, ЕС следва да бъде в състояние да предприеме подходящи действия.</w:t>
      </w:r>
    </w:p>
    <w:p w:rsidR="00DC02D9" w:rsidRDefault="000A4E17">
      <w:pPr>
        <w:pStyle w:val="Considrant"/>
        <w:numPr>
          <w:ilvl w:val="0"/>
          <w:numId w:val="0"/>
        </w:numPr>
        <w:rPr>
          <w:noProof/>
          <w:szCs w:val="24"/>
        </w:rPr>
      </w:pPr>
      <w:r>
        <w:rPr>
          <w:noProof/>
        </w:rPr>
        <w:t>Необ</w:t>
      </w:r>
      <w:r>
        <w:rPr>
          <w:noProof/>
        </w:rPr>
        <w:t>ходими са различни действия, за да се намали рискът от практики, засягащи конкуренцията. Първо, ЕС и неговите държави членки следва да продължат усилията си в международния контекст на Международната организация за гражданско въздухоплаване и Световната тъ</w:t>
      </w:r>
      <w:r>
        <w:rPr>
          <w:noProof/>
        </w:rPr>
        <w:t>рговска организация и активно да подкрепят разработването на многостранни правила, гарантиращи еднакъв достъп до пазара и еднакви условия на конкуренция в глобален план за всички авиокомпании. Второ, ЕС и неговите държави членки следва да продължат да рабо</w:t>
      </w:r>
      <w:r>
        <w:rPr>
          <w:noProof/>
        </w:rPr>
        <w:t xml:space="preserve">тят съвместно с трети държави и </w:t>
      </w:r>
      <w:r>
        <w:rPr>
          <w:noProof/>
        </w:rPr>
        <w:lastRenderedPageBreak/>
        <w:t>да разглеждат този въпрос в рамките на споразуменията за въздухоплавателни услуги</w:t>
      </w:r>
      <w:r>
        <w:rPr>
          <w:rStyle w:val="FootnoteReference"/>
          <w:noProof/>
        </w:rPr>
        <w:footnoteReference w:id="3"/>
      </w:r>
      <w:r>
        <w:rPr>
          <w:noProof/>
        </w:rPr>
        <w:t xml:space="preserve">. Последните остават предпочитан начин на действие за ЕС. </w:t>
      </w:r>
    </w:p>
    <w:p w:rsidR="00DC02D9" w:rsidRDefault="000A4E17">
      <w:pPr>
        <w:pStyle w:val="Considrant"/>
        <w:numPr>
          <w:ilvl w:val="0"/>
          <w:numId w:val="0"/>
        </w:numPr>
        <w:rPr>
          <w:rFonts w:eastAsia="Calibri"/>
          <w:noProof/>
          <w:szCs w:val="24"/>
        </w:rPr>
      </w:pPr>
      <w:r>
        <w:rPr>
          <w:noProof/>
        </w:rPr>
        <w:t>Необходими са също така правила на равнище ЕС, които да позволяват подаването на жа</w:t>
      </w:r>
      <w:r>
        <w:rPr>
          <w:noProof/>
        </w:rPr>
        <w:t>лби до Комисията.  След това Комисията може да проведе разследване, за да определи дали авиокомпаниите от ЕС са били засегнати от съответните практики от страна на трети държави, което би могло да доведе до приемането на компенсаторни мерки. Подходът, пред</w:t>
      </w:r>
      <w:r>
        <w:rPr>
          <w:noProof/>
        </w:rPr>
        <w:t>виден в действащия регламент, в чието приложно поле попадат посочените въпроси</w:t>
      </w:r>
      <w:r>
        <w:rPr>
          <w:rStyle w:val="FootnoteReference"/>
          <w:noProof/>
        </w:rPr>
        <w:footnoteReference w:id="4"/>
      </w:r>
      <w:r>
        <w:rPr>
          <w:noProof/>
        </w:rPr>
        <w:t xml:space="preserve">, се оказа недостатъчно добре съобразен и затова е необходимо регламентът да бъде заменен с по-ефективен инструмент. </w:t>
      </w:r>
    </w:p>
    <w:tbl>
      <w:tblPr>
        <w:tblStyle w:val="TableGrid"/>
        <w:tblW w:w="0" w:type="auto"/>
        <w:tblLook w:val="04A0" w:firstRow="1" w:lastRow="0" w:firstColumn="1" w:lastColumn="0" w:noHBand="0" w:noVBand="1"/>
      </w:tblPr>
      <w:tblGrid>
        <w:gridCol w:w="9288"/>
      </w:tblGrid>
      <w:tr w:rsidR="00DC02D9">
        <w:tc>
          <w:tcPr>
            <w:tcW w:w="9288" w:type="dxa"/>
          </w:tcPr>
          <w:p w:rsidR="00DC02D9" w:rsidRDefault="000A4E17">
            <w:pPr>
              <w:pStyle w:val="NormalWeb"/>
              <w:spacing w:before="120" w:beforeAutospacing="0" w:after="200" w:afterAutospacing="0"/>
              <w:jc w:val="both"/>
              <w:rPr>
                <w:rFonts w:eastAsia="Calibri"/>
                <w:b/>
                <w:noProof/>
              </w:rPr>
            </w:pPr>
            <w:r>
              <w:rPr>
                <w:b/>
                <w:noProof/>
              </w:rPr>
              <w:t>Комисията:</w:t>
            </w:r>
          </w:p>
          <w:p w:rsidR="00DC02D9" w:rsidRDefault="000A4E17">
            <w:pPr>
              <w:pStyle w:val="NormalWeb"/>
              <w:numPr>
                <w:ilvl w:val="0"/>
                <w:numId w:val="19"/>
              </w:numPr>
              <w:spacing w:before="0" w:beforeAutospacing="0" w:after="200" w:afterAutospacing="0"/>
              <w:jc w:val="both"/>
              <w:rPr>
                <w:rFonts w:eastAsia="Calibri"/>
                <w:b/>
                <w:noProof/>
              </w:rPr>
            </w:pPr>
            <w:r>
              <w:rPr>
                <w:b/>
                <w:noProof/>
              </w:rPr>
              <w:t>Предлага нов регламент за защита на конкуренцият</w:t>
            </w:r>
            <w:r>
              <w:rPr>
                <w:b/>
                <w:noProof/>
              </w:rPr>
              <w:t>а във въздушния транспорт, който да замени Регламент (ЕО) № 868/2004.</w:t>
            </w:r>
          </w:p>
          <w:p w:rsidR="00DC02D9" w:rsidRDefault="000A4E17">
            <w:pPr>
              <w:pStyle w:val="NormalWeb"/>
              <w:numPr>
                <w:ilvl w:val="0"/>
                <w:numId w:val="19"/>
              </w:numPr>
              <w:spacing w:after="120" w:afterAutospacing="0"/>
              <w:jc w:val="both"/>
              <w:rPr>
                <w:rFonts w:eastAsia="Calibri"/>
                <w:noProof/>
              </w:rPr>
            </w:pPr>
            <w:r>
              <w:rPr>
                <w:b/>
                <w:noProof/>
              </w:rPr>
              <w:t xml:space="preserve">Настоятелно призовава Съвета да разреши започването на преговори за сключване на допълнителни всеобхватни споразумения от ЕС в областта на въздухоплаването (с Бахрейн, Китай, Кувейт, </w:t>
            </w:r>
            <w:r>
              <w:rPr>
                <w:b/>
                <w:noProof/>
              </w:rPr>
              <w:t>Мексико, Оман и Саудитска Арабия) и неотложно да вземе решение относно подписването на всеобхватното споразумение в областта на въздухоплаването между ЕС и Украйна.</w:t>
            </w:r>
          </w:p>
        </w:tc>
      </w:tr>
    </w:tbl>
    <w:p w:rsidR="00DC02D9" w:rsidRDefault="000A4E17">
      <w:pPr>
        <w:pStyle w:val="NormalWeb"/>
        <w:ind w:left="720" w:hanging="720"/>
        <w:jc w:val="both"/>
        <w:rPr>
          <w:rFonts w:eastAsia="Calibri"/>
          <w:b/>
          <w:i/>
          <w:noProof/>
        </w:rPr>
      </w:pPr>
      <w:r>
        <w:rPr>
          <w:b/>
          <w:i/>
          <w:noProof/>
        </w:rPr>
        <w:t xml:space="preserve">2.2. Улесняване на чуждестранните инвестиции в авиокомпании от ЕС </w:t>
      </w:r>
    </w:p>
    <w:p w:rsidR="00DC02D9" w:rsidRDefault="000A4E17">
      <w:pPr>
        <w:pStyle w:val="NormalWeb"/>
        <w:jc w:val="both"/>
        <w:rPr>
          <w:rFonts w:eastAsia="Calibri"/>
          <w:noProof/>
        </w:rPr>
      </w:pPr>
      <w:r>
        <w:rPr>
          <w:noProof/>
        </w:rPr>
        <w:t>Европейските авиокомпан</w:t>
      </w:r>
      <w:r>
        <w:rPr>
          <w:noProof/>
        </w:rPr>
        <w:t>ии имат нужда от достъп до инвестиции, включително чуждестранни, за да могат да се разрастват.</w:t>
      </w:r>
    </w:p>
    <w:p w:rsidR="00DC02D9" w:rsidRDefault="000A4E17">
      <w:pPr>
        <w:pStyle w:val="NormalWeb"/>
        <w:jc w:val="both"/>
        <w:rPr>
          <w:rFonts w:eastAsia="Calibri"/>
          <w:noProof/>
        </w:rPr>
      </w:pPr>
      <w:r>
        <w:rPr>
          <w:noProof/>
        </w:rPr>
        <w:t>Либерализирането на авиационния пазар на ЕС премахна всички пречки пред инвестициите между европейските авиокомпании. Чрез подобряване на жизнеспособността на ав</w:t>
      </w:r>
      <w:r>
        <w:rPr>
          <w:noProof/>
        </w:rPr>
        <w:t xml:space="preserve">иокомпаниите и предоставяне на повече полети това е от полза както за авиокомпаниите, така и за пътниците. </w:t>
      </w:r>
    </w:p>
    <w:p w:rsidR="00DC02D9" w:rsidRDefault="000A4E17">
      <w:pPr>
        <w:pStyle w:val="NormalWeb"/>
        <w:jc w:val="both"/>
        <w:rPr>
          <w:rFonts w:eastAsia="Calibri"/>
          <w:noProof/>
        </w:rPr>
      </w:pPr>
      <w:r>
        <w:rPr>
          <w:noProof/>
        </w:rPr>
        <w:t>Чуждестранните авиокомпании не само имат право да изпълняват полети в рамките на ЕС, но и да инвестират в авиокомпании от ЕС.  При все това съгласно</w:t>
      </w:r>
      <w:r>
        <w:rPr>
          <w:noProof/>
        </w:rPr>
        <w:t xml:space="preserve"> настоящите правила</w:t>
      </w:r>
      <w:r>
        <w:rPr>
          <w:rStyle w:val="FootnoteReference"/>
          <w:noProof/>
        </w:rPr>
        <w:footnoteReference w:id="5"/>
      </w:r>
      <w:r>
        <w:rPr>
          <w:noProof/>
        </w:rPr>
        <w:t xml:space="preserve"> инвестициите в авиокомпании от ЕС от страна на трети държави или граждани на трети държави не може да надхвърлят 49 % от собствеността, а ефективният контрол върху дружеството трябва да остане в ръцете на държавите членки или на техни </w:t>
      </w:r>
      <w:r>
        <w:rPr>
          <w:noProof/>
        </w:rPr>
        <w:t>граждани. В противен случай авиокомпаниите не биха могли да започнат или да продължат да изпълняват полети като авиокомпании от ЕС. Направените през последните години няколко големи чуждестранни инвестиции дадоха повод за извършване на преглед от страна на</w:t>
      </w:r>
      <w:r>
        <w:rPr>
          <w:noProof/>
        </w:rPr>
        <w:t xml:space="preserve"> държавите членки на ЕС и на Комисията, за да се гарантира, че посочените изисквания продължават да бъдат изпълнени.</w:t>
      </w:r>
    </w:p>
    <w:p w:rsidR="00DC02D9" w:rsidRDefault="000A4E17">
      <w:pPr>
        <w:pStyle w:val="NormalWeb"/>
        <w:jc w:val="both"/>
        <w:rPr>
          <w:rFonts w:eastAsia="Calibri"/>
          <w:noProof/>
        </w:rPr>
      </w:pPr>
      <w:r>
        <w:rPr>
          <w:noProof/>
        </w:rPr>
        <w:t>Ето защо с цел подобряване на правната сигурност и яснота за чуждестранните инвеститори и авиокомпаниите по отношение на това кои инвестици</w:t>
      </w:r>
      <w:r>
        <w:rPr>
          <w:noProof/>
        </w:rPr>
        <w:t>онни схеми им позволяват да продължат да изпълняват полети като авиокомпания от ЕС, Комисията представи тълкувателни насоки на действащите правила относно притежанието и контрола, включени в Регламент (ЕО) № 1008/2008. С тези насоки се очертава методология</w:t>
      </w:r>
      <w:r>
        <w:rPr>
          <w:noProof/>
        </w:rPr>
        <w:t xml:space="preserve">та, използвана от Комисията в рамките на преценката на изискванията относно притежанието и контрола, особено що се отнася до чуждестранните инвестиции. </w:t>
      </w:r>
    </w:p>
    <w:p w:rsidR="00DC02D9" w:rsidRDefault="000A4E17">
      <w:pPr>
        <w:pStyle w:val="NormalWeb"/>
        <w:jc w:val="both"/>
        <w:rPr>
          <w:rFonts w:eastAsia="Calibri"/>
          <w:noProof/>
        </w:rPr>
      </w:pPr>
      <w:r>
        <w:rPr>
          <w:noProof/>
        </w:rPr>
        <w:t>Като следваща стъпка, правилата относно притежанието и контрола ще бъдат преразгледани от Комисията и —</w:t>
      </w:r>
      <w:r>
        <w:rPr>
          <w:noProof/>
        </w:rPr>
        <w:t xml:space="preserve"> при необходимост — ще бъдат адаптирани, за да останат целесъобразни и ефективни в контекста на динамичния авиационен пазар.</w:t>
      </w:r>
    </w:p>
    <w:tbl>
      <w:tblPr>
        <w:tblStyle w:val="TableGrid"/>
        <w:tblW w:w="0" w:type="auto"/>
        <w:tblLook w:val="04A0" w:firstRow="1" w:lastRow="0" w:firstColumn="1" w:lastColumn="0" w:noHBand="0" w:noVBand="1"/>
      </w:tblPr>
      <w:tblGrid>
        <w:gridCol w:w="9288"/>
      </w:tblGrid>
      <w:tr w:rsidR="00DC02D9">
        <w:tc>
          <w:tcPr>
            <w:tcW w:w="9288" w:type="dxa"/>
          </w:tcPr>
          <w:p w:rsidR="00DC02D9" w:rsidRDefault="000A4E17">
            <w:pPr>
              <w:pStyle w:val="NormalWeb"/>
              <w:spacing w:before="240" w:beforeAutospacing="0" w:after="240" w:afterAutospacing="0"/>
              <w:jc w:val="both"/>
              <w:rPr>
                <w:rFonts w:eastAsia="Calibri"/>
                <w:b/>
                <w:noProof/>
              </w:rPr>
            </w:pPr>
            <w:r>
              <w:rPr>
                <w:b/>
                <w:noProof/>
              </w:rPr>
              <w:t>Комисията:</w:t>
            </w:r>
          </w:p>
          <w:p w:rsidR="00DC02D9" w:rsidRDefault="000A4E17">
            <w:pPr>
              <w:pStyle w:val="NormalWeb"/>
              <w:numPr>
                <w:ilvl w:val="0"/>
                <w:numId w:val="20"/>
              </w:numPr>
              <w:spacing w:before="240" w:beforeAutospacing="0" w:after="240" w:afterAutospacing="0"/>
              <w:jc w:val="both"/>
              <w:rPr>
                <w:rFonts w:eastAsia="Calibri"/>
                <w:noProof/>
              </w:rPr>
            </w:pPr>
            <w:r>
              <w:rPr>
                <w:b/>
                <w:noProof/>
              </w:rPr>
              <w:t>Представя тълкувателни насоки за правилата относно притежанието и контрола върху европейските авиокомпании, съдържащи се</w:t>
            </w:r>
            <w:r>
              <w:rPr>
                <w:b/>
                <w:noProof/>
              </w:rPr>
              <w:t xml:space="preserve"> в Регламент (ЕО) № 1008/2008.</w:t>
            </w:r>
          </w:p>
          <w:p w:rsidR="00DC02D9" w:rsidRDefault="000A4E17">
            <w:pPr>
              <w:pStyle w:val="NormalWeb"/>
              <w:numPr>
                <w:ilvl w:val="0"/>
                <w:numId w:val="20"/>
              </w:numPr>
              <w:spacing w:before="240" w:beforeAutospacing="0" w:after="240" w:afterAutospacing="0"/>
              <w:jc w:val="both"/>
              <w:rPr>
                <w:rFonts w:eastAsia="Calibri"/>
                <w:b/>
                <w:noProof/>
              </w:rPr>
            </w:pPr>
            <w:r>
              <w:rPr>
                <w:b/>
                <w:noProof/>
              </w:rPr>
              <w:t>Извършва преглед на правилата относно притежанието и контрола върху авиокомпаниите от ЕС като част от оценката на Регламент (ЕО) № 1008/2008</w:t>
            </w:r>
            <w:r>
              <w:rPr>
                <w:rStyle w:val="FootnoteReference"/>
                <w:b/>
                <w:noProof/>
              </w:rPr>
              <w:footnoteReference w:id="6"/>
            </w:r>
            <w:r>
              <w:rPr>
                <w:b/>
                <w:noProof/>
              </w:rPr>
              <w:t>.</w:t>
            </w:r>
          </w:p>
        </w:tc>
      </w:tr>
    </w:tbl>
    <w:p w:rsidR="00DC02D9" w:rsidRDefault="000A4E17">
      <w:pPr>
        <w:pStyle w:val="NormalWeb"/>
        <w:jc w:val="both"/>
        <w:rPr>
          <w:rFonts w:eastAsiaTheme="minorHAnsi"/>
          <w:b/>
          <w:smallCaps/>
          <w:noProof/>
        </w:rPr>
      </w:pPr>
      <w:r>
        <w:rPr>
          <w:rFonts w:eastAsiaTheme="minorHAnsi"/>
          <w:b/>
          <w:smallCaps/>
          <w:noProof/>
        </w:rPr>
        <w:t>3. Справяне с ограниченията пред растежа в европейското въздушно пространство</w:t>
      </w:r>
    </w:p>
    <w:p w:rsidR="00DC02D9" w:rsidRDefault="000A4E17">
      <w:pPr>
        <w:pStyle w:val="NormalWeb"/>
        <w:jc w:val="both"/>
        <w:rPr>
          <w:rFonts w:eastAsia="Calibri"/>
          <w:b/>
          <w:i/>
          <w:noProof/>
        </w:rPr>
      </w:pPr>
      <w:r>
        <w:rPr>
          <w:b/>
          <w:i/>
          <w:noProof/>
        </w:rPr>
        <w:t>3.1. Подобряване на свързаността по въздух</w:t>
      </w:r>
    </w:p>
    <w:p w:rsidR="00DC02D9" w:rsidRDefault="000A4E17">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Въздушният транспорт продължава да бъде предизвикателство за някои региони в ЕС, което вероятно се отнася и за най-отдалечените региони. ЕС призна необходимостта да се обърне внимание на случаите, при които по определени маршрути — поради специфични услови</w:t>
      </w:r>
      <w:r>
        <w:rPr>
          <w:rFonts w:ascii="Times New Roman" w:hAnsi="Times New Roman"/>
          <w:noProof/>
          <w:sz w:val="24"/>
        </w:rPr>
        <w:t>я, недостатъчно търсене или пазарна неефективност — не се предлагат достатъчно полети за обслужване на потребностите на местните общности. В такива случаи налагането на задължения за извършване на обществени услуги може конкретно да гарантира, че периферни</w:t>
      </w:r>
      <w:r>
        <w:rPr>
          <w:rFonts w:ascii="Times New Roman" w:hAnsi="Times New Roman"/>
          <w:noProof/>
          <w:sz w:val="24"/>
        </w:rPr>
        <w:t>те региони или регионите в развитие са добре свързани с останалата част на Европа. С оглед запазване на конкуренцията, налагането на задължения за извършване на обществени услуги в ЕС се разрешава само при много специфични условия, посочени в Регламент (ЕО</w:t>
      </w:r>
      <w:r>
        <w:rPr>
          <w:rFonts w:ascii="Times New Roman" w:hAnsi="Times New Roman"/>
          <w:noProof/>
          <w:sz w:val="24"/>
        </w:rPr>
        <w:t xml:space="preserve">) № 1008/2008. Въпреки това опитът показва, че съществуващите разпоредби не винаги се прилагат последователно, което може да попречи на целта за запазване на свързаността и на конкуренцията по въпросните маршрути. </w:t>
      </w:r>
    </w:p>
    <w:p w:rsidR="00DC02D9" w:rsidRDefault="000A4E17">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Ето защо Комисията представя тълкувателни</w:t>
      </w:r>
      <w:r>
        <w:rPr>
          <w:rFonts w:ascii="Times New Roman" w:hAnsi="Times New Roman"/>
          <w:noProof/>
          <w:sz w:val="24"/>
        </w:rPr>
        <w:t xml:space="preserve"> насоки, за да внесе яснота по въпросите, повдигнати от държавите членки и местните органи при създаването, разработването и прилагането на техните режими за налагане на задължения за извършване на обществени услуги. В тези насоки ще бъде описана методолог</w:t>
      </w:r>
      <w:r>
        <w:rPr>
          <w:rFonts w:ascii="Times New Roman" w:hAnsi="Times New Roman"/>
          <w:noProof/>
          <w:sz w:val="24"/>
        </w:rPr>
        <w:t xml:space="preserve">ията, използвана от Комисията при оценяване на задълженията за извършване на обществени услуги. Това би следвало да помогне на държавите членки да прилагат правилно и ефективно правилата за извършване на обществени услуги — където това е необходимо — като </w:t>
      </w:r>
      <w:r>
        <w:rPr>
          <w:rFonts w:ascii="Times New Roman" w:hAnsi="Times New Roman"/>
          <w:noProof/>
          <w:sz w:val="24"/>
        </w:rPr>
        <w:t xml:space="preserve">една от възможностите за справяне с пропуските в свързаността. Като следваща стъпка, правилата относно задълженията за извършване на обществени услуги ще бъдат преразгледани и при необходимост — адаптирани с цел да се гарантира, че те продължават да бъдат </w:t>
      </w:r>
      <w:r>
        <w:rPr>
          <w:rFonts w:ascii="Times New Roman" w:hAnsi="Times New Roman"/>
          <w:noProof/>
          <w:sz w:val="24"/>
        </w:rPr>
        <w:t>ефективни и ясни.</w:t>
      </w:r>
    </w:p>
    <w:tbl>
      <w:tblPr>
        <w:tblStyle w:val="TableGrid"/>
        <w:tblW w:w="0" w:type="auto"/>
        <w:tblLook w:val="04A0" w:firstRow="1" w:lastRow="0" w:firstColumn="1" w:lastColumn="0" w:noHBand="0" w:noVBand="1"/>
      </w:tblPr>
      <w:tblGrid>
        <w:gridCol w:w="9288"/>
      </w:tblGrid>
      <w:tr w:rsidR="00DC02D9">
        <w:tc>
          <w:tcPr>
            <w:tcW w:w="9288" w:type="dxa"/>
          </w:tcPr>
          <w:p w:rsidR="00DC02D9" w:rsidRDefault="000A4E17">
            <w:pPr>
              <w:pStyle w:val="NormalWeb"/>
              <w:spacing w:before="240" w:beforeAutospacing="0" w:after="240" w:afterAutospacing="0"/>
              <w:jc w:val="both"/>
              <w:rPr>
                <w:rFonts w:eastAsia="Calibri"/>
                <w:b/>
                <w:noProof/>
              </w:rPr>
            </w:pPr>
            <w:r>
              <w:rPr>
                <w:b/>
                <w:noProof/>
              </w:rPr>
              <w:t>Комисията:</w:t>
            </w:r>
          </w:p>
          <w:p w:rsidR="00DC02D9" w:rsidRDefault="000A4E17">
            <w:pPr>
              <w:pStyle w:val="NormalWeb"/>
              <w:numPr>
                <w:ilvl w:val="0"/>
                <w:numId w:val="20"/>
              </w:numPr>
              <w:spacing w:before="240" w:beforeAutospacing="0" w:after="240" w:afterAutospacing="0"/>
              <w:jc w:val="both"/>
              <w:rPr>
                <w:rFonts w:eastAsia="Calibri"/>
                <w:noProof/>
              </w:rPr>
            </w:pPr>
            <w:r>
              <w:rPr>
                <w:b/>
                <w:noProof/>
              </w:rPr>
              <w:t>Представя тълкувателни насоки относно правилата за задълженията за извършване на обществени услуги, съдържащи се в Регламент (ЕО) № 1008/2008.</w:t>
            </w:r>
          </w:p>
          <w:p w:rsidR="00DC02D9" w:rsidRDefault="000A4E17">
            <w:pPr>
              <w:pStyle w:val="ListParagraph"/>
              <w:numPr>
                <w:ilvl w:val="0"/>
                <w:numId w:val="20"/>
              </w:numPr>
              <w:spacing w:before="100" w:beforeAutospacing="1" w:after="100" w:afterAutospacing="1"/>
              <w:jc w:val="both"/>
              <w:rPr>
                <w:rFonts w:ascii="Times New Roman" w:eastAsia="Calibri" w:hAnsi="Times New Roman" w:cs="Times New Roman"/>
                <w:b/>
                <w:noProof/>
                <w:sz w:val="24"/>
                <w:szCs w:val="24"/>
              </w:rPr>
            </w:pPr>
            <w:r>
              <w:rPr>
                <w:rFonts w:ascii="Times New Roman" w:hAnsi="Times New Roman"/>
                <w:b/>
                <w:noProof/>
                <w:sz w:val="24"/>
              </w:rPr>
              <w:t>Извършва преглед на правилата за задълженията за извършване на обществени услуги, ка</w:t>
            </w:r>
            <w:r>
              <w:rPr>
                <w:rFonts w:ascii="Times New Roman" w:hAnsi="Times New Roman"/>
                <w:b/>
                <w:noProof/>
                <w:sz w:val="24"/>
              </w:rPr>
              <w:t>то част от оценката на Регламент (ЕО) № 1008/2008.</w:t>
            </w:r>
          </w:p>
        </w:tc>
      </w:tr>
    </w:tbl>
    <w:p w:rsidR="00DC02D9" w:rsidRDefault="000A4E17">
      <w:pPr>
        <w:pStyle w:val="NormalWeb"/>
        <w:jc w:val="both"/>
        <w:rPr>
          <w:rFonts w:eastAsia="Calibri"/>
          <w:b/>
          <w:i/>
          <w:noProof/>
        </w:rPr>
      </w:pPr>
      <w:r>
        <w:rPr>
          <w:noProof/>
        </w:rPr>
        <w:t xml:space="preserve">Освен това службите на Комисията понастоящем разработват показател за свързаност с цел да бъдат набелязани по-добре пропуските в свързаността и да се съпоставят различните нива на авиационни услуги между </w:t>
      </w:r>
      <w:r>
        <w:rPr>
          <w:noProof/>
        </w:rPr>
        <w:t>регионите на ЕС. Този показател ще бъде публикуван до края на 2017 г.</w:t>
      </w:r>
    </w:p>
    <w:p w:rsidR="00DC02D9" w:rsidRDefault="000A4E17">
      <w:pPr>
        <w:pStyle w:val="NormalWeb"/>
        <w:ind w:left="720" w:hanging="720"/>
        <w:jc w:val="both"/>
        <w:rPr>
          <w:rFonts w:eastAsia="Calibri"/>
          <w:b/>
          <w:i/>
          <w:noProof/>
        </w:rPr>
      </w:pPr>
      <w:r>
        <w:rPr>
          <w:b/>
          <w:i/>
          <w:noProof/>
        </w:rPr>
        <w:t>3.2. Подобряване на ефективността на въздушното пространство</w:t>
      </w:r>
    </w:p>
    <w:p w:rsidR="00DC02D9" w:rsidRDefault="000A4E17">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Основното предизвикателство пред растежа на европейското въздухоплаване е да бъдат намалени ограниченията на ефективността, к</w:t>
      </w:r>
      <w:r>
        <w:rPr>
          <w:rFonts w:ascii="Times New Roman" w:hAnsi="Times New Roman"/>
          <w:noProof/>
          <w:sz w:val="24"/>
        </w:rPr>
        <w:t xml:space="preserve">оито сериозно възпрепятстват европейския сектор на въздухоплаването да бележи устойчив растеж и да се конкурира в международен план и които водят до закъснения. Цената на фрагментирането на европейското въздушно пространство е поне 3 милиарда евро годишно </w:t>
      </w:r>
      <w:r>
        <w:rPr>
          <w:rFonts w:ascii="Times New Roman" w:hAnsi="Times New Roman"/>
          <w:noProof/>
          <w:sz w:val="24"/>
        </w:rPr>
        <w:t>и до 50 млн. тона въглероден диоксид.</w:t>
      </w:r>
    </w:p>
    <w:p w:rsidR="00DC02D9" w:rsidRDefault="000A4E17">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Инициативата за Единно европейско небе е конкретен пример за това как ЕС бележи успехи чрез увеличаване на капацитета, подобряване на безопасността и намаляване на разходите, като същевременно екологичното въздействие </w:t>
      </w:r>
      <w:r>
        <w:rPr>
          <w:rFonts w:ascii="Times New Roman" w:hAnsi="Times New Roman"/>
          <w:noProof/>
          <w:sz w:val="24"/>
        </w:rPr>
        <w:t xml:space="preserve">на въздухоплаването се свежда до минимум. Въпреки тези подобрения, смущенията във въздушното движение, свързани с неблагоприятни климатични условия, технически повреди, извънредни събития, кризисни ситуации, както и стачни действия продължават сериозно да </w:t>
      </w:r>
      <w:r>
        <w:rPr>
          <w:rFonts w:ascii="Times New Roman" w:hAnsi="Times New Roman"/>
          <w:noProof/>
          <w:sz w:val="24"/>
        </w:rPr>
        <w:t>възпрепятстват пътуването по въздух в Европа</w:t>
      </w:r>
      <w:r>
        <w:rPr>
          <w:rStyle w:val="FootnoteReference"/>
          <w:rFonts w:ascii="Times New Roman" w:hAnsi="Times New Roman"/>
          <w:noProof/>
          <w:sz w:val="24"/>
        </w:rPr>
        <w:footnoteReference w:id="7"/>
      </w:r>
      <w:r>
        <w:rPr>
          <w:rFonts w:ascii="Times New Roman" w:hAnsi="Times New Roman"/>
          <w:noProof/>
          <w:sz w:val="24"/>
        </w:rPr>
        <w:t>. Освен това редица изключително важни реформи, предложени от Комисията с цел подобряване на ефективността на въздушното пространство — чрез по-кратки маршрути и по-ниски оперативни и екологични разходи — са бло</w:t>
      </w:r>
      <w:r>
        <w:rPr>
          <w:rFonts w:ascii="Times New Roman" w:hAnsi="Times New Roman"/>
          <w:noProof/>
          <w:sz w:val="24"/>
        </w:rPr>
        <w:t xml:space="preserve">кирани в Съвета от 2014 г. насам (ЕЕН 2+). Тези реформи биха могли да доведат до икономии в размер на 36 милиарда евро през следващите 20 години и до създаване на почти 11 000 работни места. </w:t>
      </w:r>
    </w:p>
    <w:p w:rsidR="00DC02D9" w:rsidRDefault="000A4E17">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hAnsi="Times New Roman"/>
          <w:noProof/>
          <w:sz w:val="24"/>
        </w:rPr>
        <w:t>От всички причини за смущения във въздушното движение стачните д</w:t>
      </w:r>
      <w:r>
        <w:rPr>
          <w:rFonts w:ascii="Times New Roman" w:hAnsi="Times New Roman"/>
          <w:noProof/>
          <w:sz w:val="24"/>
        </w:rPr>
        <w:t>ействия създават най-сложни предизвикателства, тъй като стачките на служителите в областта на управлението на въздушното движение обикновено водят до много анулирани полети и закъснения, а пътниците остават блокирани на летищата. Тези действия засягат сери</w:t>
      </w:r>
      <w:r>
        <w:rPr>
          <w:rFonts w:ascii="Times New Roman" w:hAnsi="Times New Roman"/>
          <w:noProof/>
          <w:sz w:val="24"/>
        </w:rPr>
        <w:t>озно функционирането на вътрешния пазар</w:t>
      </w:r>
      <w:r>
        <w:rPr>
          <w:rFonts w:ascii="Times New Roman" w:hAnsi="Times New Roman"/>
          <w:noProof/>
          <w:sz w:val="24"/>
          <w:vertAlign w:val="superscript"/>
        </w:rPr>
        <w:footnoteReference w:id="8"/>
      </w:r>
      <w:r>
        <w:rPr>
          <w:rFonts w:ascii="Times New Roman" w:hAnsi="Times New Roman"/>
          <w:noProof/>
          <w:sz w:val="24"/>
        </w:rPr>
        <w:t>. От 2005 г. до 2016 г. 243 660 полета бяха отменени в резултат на стачки на служители в областта на управлението на въздушното движение, което засегна приблизително 27 милиона пътници. За същия период авиокомпаниите</w:t>
      </w:r>
      <w:r>
        <w:rPr>
          <w:rFonts w:ascii="Times New Roman" w:hAnsi="Times New Roman"/>
          <w:noProof/>
          <w:sz w:val="24"/>
        </w:rPr>
        <w:t xml:space="preserve"> натрупаха разходи в размер на над 1 милиард евро поради закъснения в резултат на стачни действия на служители в областта на управлението на въздушното движение.</w:t>
      </w:r>
    </w:p>
    <w:p w:rsidR="00DC02D9" w:rsidRDefault="000A4E17">
      <w:pPr>
        <w:pStyle w:val="NormalWeb"/>
        <w:jc w:val="both"/>
        <w:rPr>
          <w:rFonts w:eastAsia="Calibri"/>
          <w:noProof/>
        </w:rPr>
      </w:pPr>
      <w:r>
        <w:rPr>
          <w:noProof/>
        </w:rPr>
        <w:t>Правото на стачка е основно право</w:t>
      </w:r>
      <w:r>
        <w:rPr>
          <w:rStyle w:val="FootnoteReference"/>
          <w:noProof/>
        </w:rPr>
        <w:footnoteReference w:id="9"/>
      </w:r>
      <w:r>
        <w:rPr>
          <w:noProof/>
        </w:rPr>
        <w:t>. По същество понастоящем то е регламентирано в националното</w:t>
      </w:r>
      <w:r>
        <w:rPr>
          <w:noProof/>
        </w:rPr>
        <w:t xml:space="preserve"> законодателство. Някои практики, прилагани днес в редица държави членки, спомагат за намаляване на анулираните полети и закъсненията за европейските пътници. Комисията набеляза поредица от оперативни мерки, които биха могли да бъдат прилагани от заинтерес</w:t>
      </w:r>
      <w:r>
        <w:rPr>
          <w:noProof/>
        </w:rPr>
        <w:t>ованите страни за намирането на решение на този въпрос. Те включват подобряване на социалния диалог в сектора на управлението на въздушното движение — въз основа на набор от инструменти, разработени от социалните партньори, но също така и ранно уведомяване</w:t>
      </w:r>
      <w:r>
        <w:rPr>
          <w:noProof/>
        </w:rPr>
        <w:t xml:space="preserve"> за стачки от синдикалните организации, индивидуално уведомяване от страна на служителите, гарантиране на обслужването на прелитащите полети и гарантиране на обслужването в периоди на върхово натоварване на въздушното движение. </w:t>
      </w:r>
    </w:p>
    <w:tbl>
      <w:tblPr>
        <w:tblStyle w:val="TableGrid"/>
        <w:tblW w:w="0" w:type="auto"/>
        <w:tblLook w:val="04A0" w:firstRow="1" w:lastRow="0" w:firstColumn="1" w:lastColumn="0" w:noHBand="0" w:noVBand="1"/>
      </w:tblPr>
      <w:tblGrid>
        <w:gridCol w:w="9288"/>
      </w:tblGrid>
      <w:tr w:rsidR="00DC02D9">
        <w:tc>
          <w:tcPr>
            <w:tcW w:w="9288" w:type="dxa"/>
          </w:tcPr>
          <w:p w:rsidR="00DC02D9" w:rsidRDefault="000A4E17">
            <w:pPr>
              <w:pStyle w:val="NormalWeb"/>
              <w:spacing w:before="120" w:beforeAutospacing="0" w:after="60" w:afterAutospacing="0"/>
              <w:jc w:val="both"/>
              <w:rPr>
                <w:rFonts w:eastAsia="Calibri"/>
                <w:b/>
                <w:noProof/>
              </w:rPr>
            </w:pPr>
            <w:r>
              <w:rPr>
                <w:b/>
                <w:noProof/>
              </w:rPr>
              <w:t>Комисията:</w:t>
            </w:r>
          </w:p>
          <w:p w:rsidR="00DC02D9" w:rsidRDefault="000A4E17">
            <w:pPr>
              <w:pStyle w:val="NormalWeb"/>
              <w:numPr>
                <w:ilvl w:val="0"/>
                <w:numId w:val="32"/>
              </w:numPr>
              <w:spacing w:before="120" w:beforeAutospacing="0" w:after="60" w:afterAutospacing="0"/>
              <w:jc w:val="both"/>
              <w:rPr>
                <w:rFonts w:eastAsia="Calibri"/>
                <w:b/>
                <w:noProof/>
              </w:rPr>
            </w:pPr>
            <w:r>
              <w:rPr>
                <w:b/>
                <w:noProof/>
              </w:rPr>
              <w:t xml:space="preserve">Насърчава </w:t>
            </w:r>
            <w:r>
              <w:rPr>
                <w:b/>
                <w:noProof/>
              </w:rPr>
              <w:t>държавите членки и заинтересованите страни, включително социалните партньори, да прилагат следните практики с оглед подобряване на непрекъснатостта на услугите по управление на въздушното движение:</w:t>
            </w:r>
          </w:p>
          <w:p w:rsidR="00DC02D9" w:rsidRDefault="000A4E17">
            <w:pPr>
              <w:pStyle w:val="ListParagraph"/>
              <w:numPr>
                <w:ilvl w:val="0"/>
                <w:numId w:val="31"/>
              </w:numPr>
              <w:spacing w:beforeLines="60" w:before="144" w:afterLines="60" w:after="144"/>
              <w:ind w:left="1200"/>
              <w:contextualSpacing w:val="0"/>
              <w:jc w:val="both"/>
              <w:rPr>
                <w:rFonts w:ascii="Times New Roman" w:hAnsi="Times New Roman" w:cs="Times New Roman"/>
                <w:b/>
                <w:noProof/>
                <w:sz w:val="24"/>
                <w:szCs w:val="24"/>
              </w:rPr>
            </w:pPr>
            <w:r>
              <w:rPr>
                <w:rFonts w:ascii="Times New Roman" w:hAnsi="Times New Roman"/>
                <w:b/>
                <w:noProof/>
                <w:sz w:val="24"/>
              </w:rPr>
              <w:t>да се насърчава надежден и ефективен социален диалог в пре</w:t>
            </w:r>
            <w:r>
              <w:rPr>
                <w:rFonts w:ascii="Times New Roman" w:hAnsi="Times New Roman"/>
                <w:b/>
                <w:noProof/>
                <w:sz w:val="24"/>
              </w:rPr>
              <w:t>дприятията</w:t>
            </w:r>
            <w:r>
              <w:rPr>
                <w:rFonts w:ascii="Times New Roman" w:hAnsi="Times New Roman"/>
                <w:noProof/>
                <w:sz w:val="24"/>
              </w:rPr>
              <w:t xml:space="preserve"> от областта на управлението на въздушното движение — намаляването на въздействието от стачните действия върху мрежата за управление на въздушното движение започва с ограничаване на вероятността от стачки чрез подобрен социален диалог; </w:t>
            </w:r>
          </w:p>
          <w:p w:rsidR="00DC02D9" w:rsidRDefault="000A4E17">
            <w:pPr>
              <w:pStyle w:val="ListParagraph"/>
              <w:numPr>
                <w:ilvl w:val="0"/>
                <w:numId w:val="31"/>
              </w:numPr>
              <w:spacing w:beforeLines="60" w:before="144" w:afterLines="60" w:after="144"/>
              <w:ind w:left="1200"/>
              <w:contextualSpacing w:val="0"/>
              <w:jc w:val="both"/>
              <w:rPr>
                <w:rFonts w:ascii="Times New Roman" w:hAnsi="Times New Roman" w:cs="Times New Roman"/>
                <w:noProof/>
                <w:sz w:val="24"/>
                <w:szCs w:val="24"/>
              </w:rPr>
            </w:pPr>
            <w:r>
              <w:rPr>
                <w:rFonts w:ascii="Times New Roman" w:hAnsi="Times New Roman"/>
                <w:b/>
                <w:noProof/>
                <w:sz w:val="24"/>
              </w:rPr>
              <w:t>синдикати</w:t>
            </w:r>
            <w:r>
              <w:rPr>
                <w:rFonts w:ascii="Times New Roman" w:hAnsi="Times New Roman"/>
                <w:b/>
                <w:noProof/>
                <w:sz w:val="24"/>
              </w:rPr>
              <w:t>те да осигуряват ранно уведомяване за стачки —</w:t>
            </w:r>
            <w:r>
              <w:rPr>
                <w:noProof/>
              </w:rPr>
              <w:t xml:space="preserve"> </w:t>
            </w:r>
            <w:r>
              <w:rPr>
                <w:rFonts w:ascii="Times New Roman" w:hAnsi="Times New Roman"/>
                <w:noProof/>
                <w:sz w:val="24"/>
              </w:rPr>
              <w:t>предоставянето на предизвестие за стачка достатъчно рано, с цел да се даде възможност на заинтересовани страни в сектора на въздухоплаването да подготвят планове за смекчаване на въздействието преди началото н</w:t>
            </w:r>
            <w:r>
              <w:rPr>
                <w:rFonts w:ascii="Times New Roman" w:hAnsi="Times New Roman"/>
                <w:noProof/>
                <w:sz w:val="24"/>
              </w:rPr>
              <w:t xml:space="preserve">а стачните действия (например най-малко 14 дни преди началото на стачката); </w:t>
            </w:r>
          </w:p>
          <w:p w:rsidR="00DC02D9" w:rsidRDefault="000A4E17">
            <w:pPr>
              <w:pStyle w:val="ListParagraph"/>
              <w:numPr>
                <w:ilvl w:val="0"/>
                <w:numId w:val="31"/>
              </w:numPr>
              <w:spacing w:beforeLines="60" w:before="144" w:afterLines="60" w:after="144"/>
              <w:ind w:left="1200"/>
              <w:contextualSpacing w:val="0"/>
              <w:jc w:val="both"/>
              <w:rPr>
                <w:rFonts w:ascii="Times New Roman" w:hAnsi="Times New Roman" w:cs="Times New Roman"/>
                <w:noProof/>
                <w:sz w:val="24"/>
                <w:szCs w:val="24"/>
              </w:rPr>
            </w:pPr>
            <w:r>
              <w:rPr>
                <w:rFonts w:ascii="Times New Roman" w:hAnsi="Times New Roman"/>
                <w:b/>
                <w:noProof/>
                <w:sz w:val="24"/>
              </w:rPr>
              <w:t>членовете на персонала да дават индивидуално уведомление за своето участие в стачни действия —</w:t>
            </w:r>
            <w:r>
              <w:rPr>
                <w:noProof/>
              </w:rPr>
              <w:t xml:space="preserve"> </w:t>
            </w:r>
            <w:r>
              <w:rPr>
                <w:rFonts w:ascii="Times New Roman" w:hAnsi="Times New Roman"/>
                <w:noProof/>
                <w:sz w:val="24"/>
              </w:rPr>
              <w:t>индивидуално уведомление, дадено достатъчно рано от членовете на персонала (например</w:t>
            </w:r>
            <w:r>
              <w:rPr>
                <w:rFonts w:ascii="Times New Roman" w:hAnsi="Times New Roman"/>
                <w:noProof/>
                <w:sz w:val="24"/>
              </w:rPr>
              <w:t xml:space="preserve"> 72 часа преди началото на стачката), за да може ръководството да организира въздушното движение и управлението на персонала преди стачката;</w:t>
            </w:r>
          </w:p>
          <w:p w:rsidR="00DC02D9" w:rsidRDefault="000A4E17">
            <w:pPr>
              <w:pStyle w:val="ListParagraph"/>
              <w:numPr>
                <w:ilvl w:val="0"/>
                <w:numId w:val="31"/>
              </w:numPr>
              <w:spacing w:beforeLines="60" w:before="144" w:afterLines="60" w:after="144"/>
              <w:ind w:left="1200"/>
              <w:contextualSpacing w:val="0"/>
              <w:jc w:val="both"/>
              <w:rPr>
                <w:rFonts w:ascii="Times New Roman" w:hAnsi="Times New Roman" w:cs="Times New Roman"/>
                <w:i/>
                <w:noProof/>
                <w:sz w:val="24"/>
                <w:szCs w:val="24"/>
              </w:rPr>
            </w:pPr>
            <w:r>
              <w:rPr>
                <w:rFonts w:ascii="Times New Roman" w:hAnsi="Times New Roman"/>
                <w:b/>
                <w:noProof/>
                <w:sz w:val="24"/>
              </w:rPr>
              <w:t>да се запази обслужването на прелитащите полети над държавите членки, засегнати от стачки</w:t>
            </w:r>
            <w:r>
              <w:rPr>
                <w:noProof/>
              </w:rPr>
              <w:t xml:space="preserve"> </w:t>
            </w:r>
            <w:r>
              <w:rPr>
                <w:rFonts w:ascii="Times New Roman" w:hAnsi="Times New Roman"/>
                <w:noProof/>
                <w:sz w:val="24"/>
              </w:rPr>
              <w:t xml:space="preserve">— гарантирането на 100 % </w:t>
            </w:r>
            <w:r>
              <w:rPr>
                <w:rFonts w:ascii="Times New Roman" w:hAnsi="Times New Roman"/>
                <w:noProof/>
                <w:sz w:val="24"/>
              </w:rPr>
              <w:t xml:space="preserve">непрекъснатост на обслужването на полети, преминаващи през въздушното пространство на засегнатите от стачки държави членки, ще намали значително въздействието върху цялата европейска мрежа за управление на въздушното движение; </w:t>
            </w:r>
          </w:p>
          <w:p w:rsidR="00DC02D9" w:rsidRDefault="000A4E17">
            <w:pPr>
              <w:pStyle w:val="ListParagraph"/>
              <w:numPr>
                <w:ilvl w:val="0"/>
                <w:numId w:val="31"/>
              </w:numPr>
              <w:spacing w:beforeLines="60" w:before="144" w:afterLines="60" w:after="144"/>
              <w:ind w:left="1200"/>
              <w:contextualSpacing w:val="0"/>
              <w:jc w:val="both"/>
              <w:rPr>
                <w:rFonts w:ascii="Times New Roman" w:hAnsi="Times New Roman" w:cs="Times New Roman"/>
                <w:b/>
                <w:noProof/>
                <w:sz w:val="24"/>
                <w:szCs w:val="24"/>
              </w:rPr>
            </w:pPr>
            <w:bookmarkStart w:id="2" w:name="_Toc476663865"/>
            <w:bookmarkStart w:id="3" w:name="_Toc480797575"/>
            <w:r>
              <w:rPr>
                <w:rFonts w:ascii="Times New Roman" w:hAnsi="Times New Roman"/>
                <w:b/>
                <w:noProof/>
                <w:sz w:val="24"/>
              </w:rPr>
              <w:t>да се гарантира обслужването</w:t>
            </w:r>
            <w:r>
              <w:rPr>
                <w:rFonts w:ascii="Times New Roman" w:hAnsi="Times New Roman"/>
                <w:b/>
                <w:noProof/>
                <w:sz w:val="24"/>
              </w:rPr>
              <w:t xml:space="preserve"> в периоди на върхово натоварване на въздушното движение</w:t>
            </w:r>
            <w:bookmarkEnd w:id="2"/>
            <w:bookmarkEnd w:id="3"/>
            <w:r>
              <w:rPr>
                <w:rFonts w:ascii="Times New Roman" w:hAnsi="Times New Roman"/>
                <w:b/>
                <w:noProof/>
                <w:sz w:val="24"/>
              </w:rPr>
              <w:t xml:space="preserve"> — </w:t>
            </w:r>
            <w:r>
              <w:rPr>
                <w:rFonts w:ascii="Times New Roman" w:hAnsi="Times New Roman"/>
                <w:noProof/>
                <w:sz w:val="24"/>
              </w:rPr>
              <w:t>стачките, провеждани по време на периоди на върхово натоварване през денонощието и годината, следва да се избягват.</w:t>
            </w:r>
          </w:p>
          <w:p w:rsidR="00DC02D9" w:rsidRDefault="000A4E17">
            <w:pPr>
              <w:pStyle w:val="NormalWeb"/>
              <w:numPr>
                <w:ilvl w:val="0"/>
                <w:numId w:val="32"/>
              </w:numPr>
              <w:spacing w:before="120" w:beforeAutospacing="0" w:after="60" w:afterAutospacing="0"/>
              <w:jc w:val="both"/>
              <w:rPr>
                <w:rFonts w:eastAsia="Calibri"/>
                <w:b/>
                <w:noProof/>
              </w:rPr>
            </w:pPr>
            <w:r>
              <w:rPr>
                <w:b/>
                <w:noProof/>
              </w:rPr>
              <w:t>Насърчава оперативно заинтересованите страни и управителния орган на мрежата да з</w:t>
            </w:r>
            <w:r>
              <w:rPr>
                <w:b/>
                <w:noProof/>
              </w:rPr>
              <w:t>асилят сътрудничеството си, за да намерят решение за смущенията във въздушното движение в случай на стачки и да доразвият съществуващите мерки за смекчаване на въздействието. Доставчиците на аеронавигационно обслужване се насърчават да сключват споразумени</w:t>
            </w:r>
            <w:r>
              <w:rPr>
                <w:b/>
                <w:noProof/>
              </w:rPr>
              <w:t xml:space="preserve">я за сътрудничество на двустранна или многостранна основа с цел подобряване непрекъснатостта на обслужването в случай на стачки. Управителният орган на мрежата следва да наблюдава напредъка в тази област чрез поддържане на регистър на стачните действия. </w:t>
            </w:r>
          </w:p>
          <w:p w:rsidR="00DC02D9" w:rsidRDefault="000A4E17">
            <w:pPr>
              <w:pStyle w:val="NormalWeb"/>
              <w:numPr>
                <w:ilvl w:val="0"/>
                <w:numId w:val="32"/>
              </w:numPr>
              <w:spacing w:before="120" w:beforeAutospacing="0" w:after="60" w:afterAutospacing="0"/>
              <w:jc w:val="both"/>
              <w:rPr>
                <w:rFonts w:eastAsia="Calibri"/>
                <w:b/>
                <w:noProof/>
              </w:rPr>
            </w:pPr>
            <w:r>
              <w:rPr>
                <w:b/>
                <w:noProof/>
              </w:rPr>
              <w:t>З</w:t>
            </w:r>
            <w:r>
              <w:rPr>
                <w:b/>
                <w:noProof/>
              </w:rPr>
              <w:t>аедно със заинтересованите страни ще проучи допълнително идеята за все по-интегрирано функциониращо европейско въздушно пространство с цел гарантиране на оптимална непрекъснатост на обслужването. Също така ще проучи мерки в рамката за ефективност на Единно</w:t>
            </w:r>
            <w:r>
              <w:rPr>
                <w:b/>
                <w:noProof/>
              </w:rPr>
              <w:t xml:space="preserve">то европейско небе, така че да бъде отразено по-добре въздействието на стачните действия върху ефективността на управлението на въздушното движение. </w:t>
            </w:r>
          </w:p>
          <w:p w:rsidR="00DC02D9" w:rsidRDefault="000A4E17">
            <w:pPr>
              <w:pStyle w:val="NormalWeb"/>
              <w:numPr>
                <w:ilvl w:val="0"/>
                <w:numId w:val="32"/>
              </w:numPr>
              <w:spacing w:before="120" w:beforeAutospacing="0" w:after="60" w:afterAutospacing="0"/>
              <w:jc w:val="both"/>
              <w:rPr>
                <w:rFonts w:eastAsia="Calibri"/>
                <w:b/>
                <w:noProof/>
              </w:rPr>
            </w:pPr>
            <w:r>
              <w:rPr>
                <w:b/>
                <w:noProof/>
              </w:rPr>
              <w:t>Призовава съзаконодателите бързо да приемат предложенията от пакета за Единно европейско небе (ЕЕН 2+) и щ</w:t>
            </w:r>
            <w:r>
              <w:rPr>
                <w:b/>
                <w:noProof/>
              </w:rPr>
              <w:t>е продължи да си сътрудничи с държавите членки и другите заинтересовани страни за цялостното прилагане на Единното европейско небе.</w:t>
            </w:r>
          </w:p>
        </w:tc>
      </w:tr>
    </w:tbl>
    <w:p w:rsidR="00DC02D9" w:rsidRDefault="00DC02D9">
      <w:pPr>
        <w:jc w:val="both"/>
        <w:rPr>
          <w:rFonts w:ascii="Times New Roman" w:hAnsi="Times New Roman" w:cs="Times New Roman"/>
          <w:b/>
          <w:i/>
          <w:noProof/>
          <w:sz w:val="24"/>
          <w:szCs w:val="24"/>
        </w:rPr>
      </w:pPr>
    </w:p>
    <w:p w:rsidR="00DC02D9" w:rsidRDefault="000A4E17">
      <w:pPr>
        <w:jc w:val="both"/>
        <w:rPr>
          <w:rFonts w:ascii="Times New Roman" w:hAnsi="Times New Roman" w:cs="Times New Roman"/>
          <w:b/>
          <w:smallCaps/>
          <w:noProof/>
          <w:sz w:val="24"/>
          <w:szCs w:val="24"/>
        </w:rPr>
      </w:pPr>
      <w:r>
        <w:rPr>
          <w:rFonts w:ascii="Times New Roman" w:hAnsi="Times New Roman"/>
          <w:b/>
          <w:smallCaps/>
          <w:noProof/>
          <w:sz w:val="24"/>
        </w:rPr>
        <w:t>4. ЗАКЛЮЧЕНИЕ</w:t>
      </w:r>
    </w:p>
    <w:p w:rsidR="00DC02D9" w:rsidRDefault="000A4E17">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Силният, конкурентоспособен и устойчив европейски сектор на въздухоплаването е от ключово значение за икономиката на ЕС. </w:t>
      </w:r>
    </w:p>
    <w:p w:rsidR="00DC02D9" w:rsidRDefault="000A4E17">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Въздухоплаването на ЕС трябва да запази водещото си място на международно равнище. Това следва да се осъществи по-конкретно чрез излизане на нови международни пазари и гарантиране на открита конкуренция между всички въздушни превозвачи. Чуждестранните инве</w:t>
      </w:r>
      <w:r>
        <w:rPr>
          <w:rFonts w:ascii="Times New Roman" w:hAnsi="Times New Roman"/>
          <w:noProof/>
          <w:sz w:val="24"/>
        </w:rPr>
        <w:t xml:space="preserve">стиции в авиокомпании от ЕС също следва да бъдат улеснени. </w:t>
      </w:r>
    </w:p>
    <w:p w:rsidR="00DC02D9" w:rsidRDefault="000A4E17">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Аналогично, ЕС следва да се възползва от широката свързаност и оптимизиране на ефективността на своето въздушно пространство. Действия на равнището на ЕС и на национално равнище ще позволят на въз</w:t>
      </w:r>
      <w:r>
        <w:rPr>
          <w:rFonts w:ascii="Times New Roman" w:hAnsi="Times New Roman"/>
          <w:noProof/>
          <w:sz w:val="24"/>
        </w:rPr>
        <w:t xml:space="preserve">духоплавателния сектор да функционира ефективно в случаи на пазарна неефективност или при смущения във въздушното движение.    </w:t>
      </w:r>
    </w:p>
    <w:p w:rsidR="00DC02D9" w:rsidRDefault="000A4E17">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Посочените по-горе действия са необходими, за да се поддържа отворен и свързан авиационен пазар, който носи преки ползи за гражд</w:t>
      </w:r>
      <w:r>
        <w:rPr>
          <w:rFonts w:ascii="Times New Roman" w:hAnsi="Times New Roman"/>
          <w:noProof/>
          <w:sz w:val="24"/>
        </w:rPr>
        <w:t>аните, работещите и предприятията от ЕС.</w:t>
      </w:r>
    </w:p>
    <w:sectPr w:rsidR="00DC02D9">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2D9" w:rsidRDefault="000A4E17">
      <w:pPr>
        <w:spacing w:after="0" w:line="240" w:lineRule="auto"/>
      </w:pPr>
      <w:r>
        <w:separator/>
      </w:r>
    </w:p>
  </w:endnote>
  <w:endnote w:type="continuationSeparator" w:id="0">
    <w:p w:rsidR="00DC02D9" w:rsidRDefault="000A4E17">
      <w:pPr>
        <w:spacing w:after="0" w:line="240" w:lineRule="auto"/>
      </w:pPr>
      <w:r>
        <w:continuationSeparator/>
      </w:r>
    </w:p>
  </w:endnote>
  <w:endnote w:type="continuationNotice" w:id="1">
    <w:p w:rsidR="00DC02D9" w:rsidRDefault="00DC0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harter ITC Std">
    <w:altName w:val="Charter ITC St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17" w:rsidRPr="000A4E17" w:rsidRDefault="000A4E17" w:rsidP="000A4E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17" w:rsidRPr="000A4E17" w:rsidRDefault="000A4E17" w:rsidP="000A4E17">
    <w:pPr>
      <w:pStyle w:val="FooterCoverPage"/>
      <w:rPr>
        <w:rFonts w:ascii="Arial" w:hAnsi="Arial" w:cs="Arial"/>
        <w:b/>
        <w:sz w:val="48"/>
      </w:rPr>
    </w:pPr>
    <w:r w:rsidRPr="000A4E17">
      <w:rPr>
        <w:rFonts w:ascii="Arial" w:hAnsi="Arial" w:cs="Arial"/>
        <w:b/>
        <w:sz w:val="48"/>
      </w:rPr>
      <w:t>BG</w:t>
    </w:r>
    <w:r w:rsidRPr="000A4E17">
      <w:rPr>
        <w:rFonts w:ascii="Arial" w:hAnsi="Arial" w:cs="Arial"/>
        <w:b/>
        <w:sz w:val="48"/>
      </w:rPr>
      <w:tab/>
    </w:r>
    <w:r w:rsidRPr="000A4E17">
      <w:rPr>
        <w:rFonts w:ascii="Arial" w:hAnsi="Arial" w:cs="Arial"/>
        <w:b/>
        <w:sz w:val="48"/>
      </w:rPr>
      <w:tab/>
    </w:r>
    <w:fldSimple w:instr=" DOCVARIABLE &quot;LW_Confidence&quot; \* MERGEFORMAT ">
      <w:r>
        <w:t xml:space="preserve"> </w:t>
      </w:r>
    </w:fldSimple>
    <w:r w:rsidRPr="000A4E17">
      <w:tab/>
    </w:r>
    <w:r w:rsidRPr="000A4E17">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17" w:rsidRPr="000A4E17" w:rsidRDefault="000A4E17" w:rsidP="000A4E1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D9" w:rsidRDefault="00DC02D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D9" w:rsidRDefault="000A4E17">
    <w:pPr>
      <w:tabs>
        <w:tab w:val="center" w:pos="4535"/>
        <w:tab w:val="right" w:pos="9071"/>
        <w:tab w:val="right" w:pos="9921"/>
      </w:tabs>
      <w:spacing w:before="360" w:after="0" w:line="240" w:lineRule="auto"/>
      <w:ind w:left="-850" w:right="-850"/>
      <w:jc w:val="center"/>
      <w:rPr>
        <w:rFonts w:ascii="Arial" w:eastAsia="Times New Roman" w:hAnsi="Arial" w:cs="Arial"/>
        <w:b/>
        <w:sz w:val="48"/>
        <w:szCs w:val="24"/>
      </w:rPr>
    </w:pPr>
    <w:r>
      <w:rPr>
        <w:rFonts w:ascii="Arial" w:hAnsi="Arial" w:cs="Arial"/>
        <w:b/>
        <w:sz w:val="48"/>
      </w:rPr>
      <w:t>BG</w:t>
    </w:r>
    <w: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DOCPROPERTY "Classification"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end"/>
    </w:r>
    <w:r>
      <w:tab/>
    </w:r>
    <w:r>
      <w:rPr>
        <w:rFonts w:ascii="Arial" w:hAnsi="Arial" w:cs="Arial"/>
        <w:b/>
        <w:sz w:val="48"/>
      </w:rPr>
      <w:t>BG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D9" w:rsidRDefault="00DC0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2D9" w:rsidRDefault="000A4E17">
      <w:pPr>
        <w:spacing w:after="0" w:line="240" w:lineRule="auto"/>
      </w:pPr>
      <w:r>
        <w:separator/>
      </w:r>
    </w:p>
  </w:footnote>
  <w:footnote w:type="continuationSeparator" w:id="0">
    <w:p w:rsidR="00DC02D9" w:rsidRDefault="000A4E17">
      <w:pPr>
        <w:spacing w:after="0" w:line="240" w:lineRule="auto"/>
      </w:pPr>
      <w:r>
        <w:continuationSeparator/>
      </w:r>
    </w:p>
  </w:footnote>
  <w:footnote w:type="continuationNotice" w:id="1">
    <w:p w:rsidR="00DC02D9" w:rsidRDefault="00DC02D9">
      <w:pPr>
        <w:spacing w:after="0" w:line="240" w:lineRule="auto"/>
      </w:pPr>
    </w:p>
  </w:footnote>
  <w:footnote w:id="2">
    <w:p w:rsidR="00DC02D9" w:rsidRDefault="000A4E17">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Съобщение на Комисията „Стратегия за въздухоплаването в Европа“, COM(2015) 598 final.</w:t>
      </w:r>
    </w:p>
  </w:footnote>
  <w:footnote w:id="3">
    <w:p w:rsidR="00DC02D9" w:rsidRDefault="000A4E17">
      <w:pPr>
        <w:pStyle w:val="FootnoteText"/>
        <w:ind w:left="720" w:hanging="720"/>
        <w:jc w:val="both"/>
      </w:pPr>
      <w:r>
        <w:rPr>
          <w:rFonts w:ascii="Times New Roman" w:hAnsi="Times New Roman"/>
          <w:vertAlign w:val="superscript"/>
        </w:rPr>
        <w:footnoteRef/>
      </w:r>
      <w:r>
        <w:rPr>
          <w:rFonts w:ascii="Times New Roman" w:hAnsi="Times New Roman"/>
          <w:vertAlign w:val="superscript"/>
        </w:rPr>
        <w:t xml:space="preserve"> </w:t>
      </w:r>
      <w:r>
        <w:tab/>
      </w:r>
      <w:hyperlink r:id="rId1">
        <w:r>
          <w:rPr>
            <w:rFonts w:ascii="Times New Roman" w:hAnsi="Times New Roman"/>
          </w:rPr>
          <w:t>http://ec.europa.eu/transport/modes/air/aviation-strategy/external_policy</w:t>
        </w:r>
      </w:hyperlink>
      <w:r>
        <w:t>.</w:t>
      </w:r>
    </w:p>
  </w:footnote>
  <w:footnote w:id="4">
    <w:p w:rsidR="00DC02D9" w:rsidRDefault="000A4E17">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Регламент (EО) № 868/2004 относно защита срещу субсидиране и практики на несправедливо </w:t>
      </w:r>
      <w:r>
        <w:rPr>
          <w:rFonts w:ascii="Times New Roman" w:hAnsi="Times New Roman"/>
        </w:rPr>
        <w:t>ценообразуване, причиняващи щети на въздушните превозвачи на Общността при осигуряване на въздушно обслужване от държави, които не са членки на Европейската общност.</w:t>
      </w:r>
    </w:p>
  </w:footnote>
  <w:footnote w:id="5">
    <w:p w:rsidR="00DC02D9" w:rsidRDefault="000A4E1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(ЕО) № 1008/2008.</w:t>
      </w:r>
    </w:p>
  </w:footnote>
  <w:footnote w:id="6">
    <w:p w:rsidR="00DC02D9" w:rsidRDefault="000A4E17">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Към предложенията се прилагат изискванията на Комисията </w:t>
      </w:r>
      <w:r>
        <w:rPr>
          <w:rFonts w:ascii="Times New Roman" w:hAnsi="Times New Roman"/>
        </w:rPr>
        <w:t>за по-добро регулиране.</w:t>
      </w:r>
    </w:p>
  </w:footnote>
  <w:footnote w:id="7">
    <w:p w:rsidR="00DC02D9" w:rsidRDefault="000A4E17">
      <w:pPr>
        <w:pStyle w:val="FootnoteText"/>
        <w:ind w:left="709" w:hanging="709"/>
        <w:jc w:val="both"/>
      </w:pPr>
      <w:r>
        <w:rPr>
          <w:rStyle w:val="FootnoteReference"/>
        </w:rPr>
        <w:footnoteRef/>
      </w:r>
      <w:r>
        <w:t xml:space="preserve"> </w:t>
      </w:r>
      <w:r>
        <w:tab/>
      </w:r>
      <w:r>
        <w:rPr>
          <w:rFonts w:ascii="Times New Roman" w:hAnsi="Times New Roman"/>
          <w:sz w:val="18"/>
        </w:rPr>
        <w:t>През 2016 г. закъсненията в УПВД по маршрута се дължат на следните причини в следните съотношения: капацитет/персонал на КВД (57 %), метеорологични условия (19 %), стачки на УВД (14 %) и други събития (9 %).</w:t>
      </w:r>
    </w:p>
  </w:footnote>
  <w:footnote w:id="8">
    <w:p w:rsidR="00DC02D9" w:rsidRDefault="000A4E17">
      <w:pPr>
        <w:pStyle w:val="FootnoteText"/>
        <w:ind w:left="720" w:hanging="720"/>
        <w:jc w:val="both"/>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Всъщност след въве</w:t>
      </w:r>
      <w:r>
        <w:rPr>
          <w:rFonts w:ascii="Times New Roman" w:hAnsi="Times New Roman"/>
          <w:sz w:val="18"/>
        </w:rPr>
        <w:t xml:space="preserve">ждането на Единното европейско небе през 2004 г. във въздухоплавателната мрежа на ЕС са били регистрирани 375 дни на стачки, които се равняват на повече от година стачни действия за период от тринадесет години. </w:t>
      </w:r>
    </w:p>
  </w:footnote>
  <w:footnote w:id="9">
    <w:p w:rsidR="00DC02D9" w:rsidRDefault="000A4E17">
      <w:pPr>
        <w:pStyle w:val="FootnoteText"/>
        <w:ind w:left="709" w:hanging="709"/>
        <w:jc w:val="both"/>
      </w:pPr>
      <w:r>
        <w:rPr>
          <w:rStyle w:val="FootnoteReference"/>
        </w:rPr>
        <w:footnoteRef/>
      </w:r>
      <w:r>
        <w:t xml:space="preserve"> </w:t>
      </w:r>
      <w:r>
        <w:tab/>
        <w:t>З</w:t>
      </w:r>
      <w:r>
        <w:rPr>
          <w:rFonts w:ascii="Times New Roman" w:hAnsi="Times New Roman"/>
          <w:sz w:val="18"/>
        </w:rPr>
        <w:t xml:space="preserve">алегнало в член 28 от Хартата на </w:t>
      </w:r>
      <w:r>
        <w:rPr>
          <w:rFonts w:ascii="Times New Roman" w:hAnsi="Times New Roman"/>
          <w:sz w:val="18"/>
        </w:rPr>
        <w:t>основните права, в който е предвидено, че: „[в] съответствие с правото на Съюза и с националните законодателства и практики работниците и работодателите, или съответните им организации, имат правото да преговарят и да сключват колективни договори на съотве</w:t>
      </w:r>
      <w:r>
        <w:rPr>
          <w:rFonts w:ascii="Times New Roman" w:hAnsi="Times New Roman"/>
          <w:sz w:val="18"/>
        </w:rPr>
        <w:t>тните равнища, както и да предприемат колективни действия за защита на техните интереси, включително стачка, в случай на конфликт на интереси“. Вж. също член 6 от Европейската социална харта (преработена), в който се признава правото на работниците и на ра</w:t>
      </w:r>
      <w:r>
        <w:rPr>
          <w:rFonts w:ascii="Times New Roman" w:hAnsi="Times New Roman"/>
          <w:sz w:val="18"/>
        </w:rPr>
        <w:t>ботодателите на колективни действия в случай на конфликт на интереси, включително и правото на стачка.</w:t>
      </w:r>
    </w:p>
    <w:p w:rsidR="00DC02D9" w:rsidRDefault="00DC02D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17" w:rsidRPr="000A4E17" w:rsidRDefault="000A4E17" w:rsidP="000A4E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17" w:rsidRPr="000A4E17" w:rsidRDefault="000A4E17" w:rsidP="000A4E1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17" w:rsidRPr="000A4E17" w:rsidRDefault="000A4E17" w:rsidP="000A4E1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D9" w:rsidRDefault="00DC02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D9" w:rsidRDefault="00DC02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D9" w:rsidRDefault="00DC02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B055B"/>
    <w:multiLevelType w:val="hybridMultilevel"/>
    <w:tmpl w:val="3BAB7A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913581"/>
    <w:multiLevelType w:val="hybridMultilevel"/>
    <w:tmpl w:val="90CC5B3A"/>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03BB5F30"/>
    <w:multiLevelType w:val="hybridMultilevel"/>
    <w:tmpl w:val="16867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5B733C"/>
    <w:multiLevelType w:val="hybridMultilevel"/>
    <w:tmpl w:val="0CB86074"/>
    <w:lvl w:ilvl="0" w:tplc="55A4F6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8D6C4B"/>
    <w:multiLevelType w:val="hybridMultilevel"/>
    <w:tmpl w:val="7DA0EE3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0354589"/>
    <w:multiLevelType w:val="hybridMultilevel"/>
    <w:tmpl w:val="99BC46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515CCA"/>
    <w:multiLevelType w:val="hybridMultilevel"/>
    <w:tmpl w:val="A5B8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3C1DE3"/>
    <w:multiLevelType w:val="hybridMultilevel"/>
    <w:tmpl w:val="974A88D4"/>
    <w:lvl w:ilvl="0" w:tplc="AE384266">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914212"/>
    <w:multiLevelType w:val="hybridMultilevel"/>
    <w:tmpl w:val="2386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2817D3"/>
    <w:multiLevelType w:val="hybridMultilevel"/>
    <w:tmpl w:val="6120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7B001E"/>
    <w:multiLevelType w:val="multilevel"/>
    <w:tmpl w:val="FB1E3032"/>
    <w:lvl w:ilvl="0">
      <w:start w:val="1"/>
      <w:numFmt w:val="decimal"/>
      <w:lvlText w:val="2.%1."/>
      <w:lvlJc w:val="left"/>
      <w:pPr>
        <w:ind w:left="432" w:hanging="432"/>
      </w:pPr>
      <w:rPr>
        <w:rFonts w:ascii="Times New Roman" w:hAnsi="Times New Roman" w:hint="default"/>
        <w:b w:val="0"/>
        <w:i w:val="0"/>
        <w:caps w:val="0"/>
        <w:strike w:val="0"/>
        <w:dstrike w:val="0"/>
        <w:vanish w:val="0"/>
        <w:sz w:val="24"/>
        <w:u w:val="single"/>
        <w:vertAlign w:val="base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29F6770C"/>
    <w:multiLevelType w:val="hybridMultilevel"/>
    <w:tmpl w:val="98FA2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73570E"/>
    <w:multiLevelType w:val="hybridMultilevel"/>
    <w:tmpl w:val="FEC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564F4F"/>
    <w:multiLevelType w:val="hybridMultilevel"/>
    <w:tmpl w:val="795A0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9D97C2B"/>
    <w:multiLevelType w:val="hybridMultilevel"/>
    <w:tmpl w:val="A586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DE1317"/>
    <w:multiLevelType w:val="hybridMultilevel"/>
    <w:tmpl w:val="F488B0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9A0F43"/>
    <w:multiLevelType w:val="hybridMultilevel"/>
    <w:tmpl w:val="68EEE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DA16E4"/>
    <w:multiLevelType w:val="hybridMultilevel"/>
    <w:tmpl w:val="A0B4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FF7AD7"/>
    <w:multiLevelType w:val="hybridMultilevel"/>
    <w:tmpl w:val="16C8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455384"/>
    <w:multiLevelType w:val="hybridMultilevel"/>
    <w:tmpl w:val="50F2B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FE968C6"/>
    <w:multiLevelType w:val="hybridMultilevel"/>
    <w:tmpl w:val="022C9D5E"/>
    <w:lvl w:ilvl="0" w:tplc="D0445F14">
      <w:start w:val="1"/>
      <w:numFmt w:val="decimal"/>
      <w:lvlText w:val="%1."/>
      <w:lvlJc w:val="left"/>
      <w:pPr>
        <w:ind w:left="720" w:hanging="360"/>
      </w:pPr>
      <w:rPr>
        <w:rFonts w:ascii="Times New Roman" w:hAnsi="Times New Roman" w:cs="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F03804"/>
    <w:multiLevelType w:val="hybridMultilevel"/>
    <w:tmpl w:val="6C4E8406"/>
    <w:lvl w:ilvl="0" w:tplc="08090003">
      <w:start w:val="1"/>
      <w:numFmt w:val="bullet"/>
      <w:lvlText w:val="o"/>
      <w:lvlJc w:val="left"/>
      <w:pPr>
        <w:ind w:left="1437" w:hanging="360"/>
      </w:pPr>
      <w:rPr>
        <w:rFonts w:ascii="Courier New" w:hAnsi="Courier New" w:cs="Courier New"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3">
    <w:nsid w:val="69553DBC"/>
    <w:multiLevelType w:val="hybridMultilevel"/>
    <w:tmpl w:val="E8CA0C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F023BC"/>
    <w:multiLevelType w:val="hybridMultilevel"/>
    <w:tmpl w:val="49EAF6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477111"/>
    <w:multiLevelType w:val="hybridMultilevel"/>
    <w:tmpl w:val="A09C0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BE3865"/>
    <w:multiLevelType w:val="hybridMultilevel"/>
    <w:tmpl w:val="5EF67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B5B7CF3"/>
    <w:multiLevelType w:val="hybridMultilevel"/>
    <w:tmpl w:val="06C321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9">
    <w:nsid w:val="7CF815FC"/>
    <w:multiLevelType w:val="hybridMultilevel"/>
    <w:tmpl w:val="24B6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1674D2"/>
    <w:multiLevelType w:val="hybridMultilevel"/>
    <w:tmpl w:val="F35A6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
  </w:num>
  <w:num w:numId="3">
    <w:abstractNumId w:val="15"/>
  </w:num>
  <w:num w:numId="4">
    <w:abstractNumId w:val="6"/>
  </w:num>
  <w:num w:numId="5">
    <w:abstractNumId w:val="18"/>
  </w:num>
  <w:num w:numId="6">
    <w:abstractNumId w:val="27"/>
  </w:num>
  <w:num w:numId="7">
    <w:abstractNumId w:val="0"/>
  </w:num>
  <w:num w:numId="8">
    <w:abstractNumId w:val="11"/>
  </w:num>
  <w:num w:numId="9">
    <w:abstractNumId w:val="9"/>
  </w:num>
  <w:num w:numId="10">
    <w:abstractNumId w:val="9"/>
  </w:num>
  <w:num w:numId="11">
    <w:abstractNumId w:val="20"/>
  </w:num>
  <w:num w:numId="12">
    <w:abstractNumId w:val="28"/>
  </w:num>
  <w:num w:numId="13">
    <w:abstractNumId w:val="30"/>
  </w:num>
  <w:num w:numId="14">
    <w:abstractNumId w:val="5"/>
  </w:num>
  <w:num w:numId="15">
    <w:abstractNumId w:val="10"/>
  </w:num>
  <w:num w:numId="16">
    <w:abstractNumId w:val="12"/>
  </w:num>
  <w:num w:numId="17">
    <w:abstractNumId w:val="13"/>
  </w:num>
  <w:num w:numId="18">
    <w:abstractNumId w:val="14"/>
  </w:num>
  <w:num w:numId="19">
    <w:abstractNumId w:val="19"/>
  </w:num>
  <w:num w:numId="20">
    <w:abstractNumId w:val="8"/>
  </w:num>
  <w:num w:numId="21">
    <w:abstractNumId w:val="25"/>
  </w:num>
  <w:num w:numId="22">
    <w:abstractNumId w:val="4"/>
  </w:num>
  <w:num w:numId="23">
    <w:abstractNumId w:val="26"/>
  </w:num>
  <w:num w:numId="24">
    <w:abstractNumId w:val="7"/>
  </w:num>
  <w:num w:numId="25">
    <w:abstractNumId w:val="2"/>
  </w:num>
  <w:num w:numId="26">
    <w:abstractNumId w:val="23"/>
  </w:num>
  <w:num w:numId="27">
    <w:abstractNumId w:val="1"/>
  </w:num>
  <w:num w:numId="28">
    <w:abstractNumId w:val="17"/>
  </w:num>
  <w:num w:numId="29">
    <w:abstractNumId w:val="24"/>
  </w:num>
  <w:num w:numId="30">
    <w:abstractNumId w:val="16"/>
  </w:num>
  <w:num w:numId="31">
    <w:abstractNumId w:val="2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7A03400D6EC94E8D81D83E13FC155226"/>
    <w:docVar w:name="LW_CROSSREFERENCE" w:val="{SWD(2017) 207 final}"/>
    <w:docVar w:name="LW_DocType" w:val="NORMAL"/>
    <w:docVar w:name="LW_EMISSION" w:val="8.6.2017"/>
    <w:docVar w:name="LW_EMISSION_ISODATE" w:val="2017-06-08"/>
    <w:docVar w:name="LW_EMISSION_LOCATION" w:val="BRX"/>
    <w:docVar w:name="LW_EMISSION_PREFIX" w:val="\u1041?\u1088?\u1102?\u1082?\u1089?\u1077?\u1083?,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286"/>
    <w:docVar w:name="LW_REF.INTERNE" w:val="&lt;UNUSED&gt;"/>
    <w:docVar w:name="LW_SOUS.TITRE.OBJ.CP" w:val="&lt;UNUSED&gt;"/>
    <w:docVar w:name="LW_SUPERTITRE" w:val="&lt;UNUSED&gt;"/>
    <w:docVar w:name="LW_TITRE.OBJ.CP" w:val="\u1042?\u1098?\u1079?\u1076?\u1091?\u1093?\u1086?\u1087?\u1083?\u1072?\u1074?\u1072?\u1085?\u1077?: \u1086?\u1090?\u1074?\u1086?\u1088?\u1077?\u1085?\u1072? \u1080? \u1089?\u1074?\u1098?\u1088?\u1079?\u1072?\u1085?\u1072? \u1045?\u1074?\u1088?\u1086?\u1087?\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DC02D9"/>
    <w:rsid w:val="000A4E17"/>
    <w:rsid w:val="00DC02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copyright">
    <w:name w:val="media-copyrigh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
    <w:basedOn w:val="Normal"/>
    <w:link w:val="FootnoteTextChar"/>
    <w:uiPriority w:val="99"/>
    <w:unhideWhenUsed/>
    <w:pPr>
      <w:spacing w:after="0" w:line="240" w:lineRule="auto"/>
    </w:pPr>
    <w:rPr>
      <w:sz w:val="20"/>
      <w:szCs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rPr>
      <w:sz w:val="20"/>
      <w:szCs w:val="20"/>
    </w:rPr>
  </w:style>
  <w:style w:type="character" w:styleId="FootnoteReference">
    <w:name w:val="footnote reference"/>
    <w:aliases w:val="Odwołanie przypisu,Footnote symbol,Footnote Reference Superscript,BVI fnr, BVI fnr,Footnote reference number,number,note TESI,SUPERS,EN Footnote Reference,Times 10 Point,Exposant 3 Point, Exposant 3 Point,Footnote Reference_LVL6"/>
    <w:basedOn w:val="DefaultParagraphFont"/>
    <w:link w:val="Footnotenumber"/>
    <w:uiPriority w:val="99"/>
    <w:unhideWhenUsed/>
    <w:qFormat/>
    <w:rPr>
      <w:vertAlign w:val="superscript"/>
    </w:rPr>
  </w:style>
  <w:style w:type="paragraph" w:customStyle="1" w:styleId="Footnotenumber">
    <w:name w:val="Footnote number"/>
    <w:aliases w:val="fr"/>
    <w:basedOn w:val="Normal"/>
    <w:link w:val="FootnoteReference"/>
    <w:pPr>
      <w:spacing w:after="160" w:line="240" w:lineRule="exact"/>
    </w:pPr>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locked/>
    <w:rPr>
      <w:rFonts w:ascii="Arial" w:eastAsia="Times New Roman" w:hAnsi="Arial" w:cs="Arial"/>
      <w:szCs w:val="24"/>
    </w:rPr>
  </w:style>
  <w:style w:type="paragraph" w:customStyle="1" w:styleId="aa">
    <w:name w:val="a.a."/>
    <w:basedOn w:val="Normal"/>
    <w:link w:val="aaChar"/>
    <w:qFormat/>
    <w:pPr>
      <w:autoSpaceDE w:val="0"/>
      <w:autoSpaceDN w:val="0"/>
      <w:adjustRightInd w:val="0"/>
      <w:spacing w:after="240"/>
      <w:jc w:val="both"/>
    </w:pPr>
    <w:rPr>
      <w:rFonts w:ascii="Times New Roman" w:eastAsia="Times New Roman" w:hAnsi="Times New Roman" w:cs="Times New Roman"/>
      <w:b/>
    </w:rPr>
  </w:style>
  <w:style w:type="character" w:customStyle="1" w:styleId="aaChar">
    <w:name w:val="a.a. Char"/>
    <w:basedOn w:val="DefaultParagraphFont"/>
    <w:link w:val="aa"/>
    <w:locked/>
    <w:rPr>
      <w:rFonts w:ascii="Times New Roman" w:eastAsia="Times New Roman" w:hAnsi="Times New Roman" w:cs="Times New Roman"/>
      <w:b/>
    </w:rPr>
  </w:style>
  <w:style w:type="paragraph" w:customStyle="1" w:styleId="Pa5">
    <w:name w:val="Pa5"/>
    <w:basedOn w:val="Default"/>
    <w:next w:val="Default"/>
    <w:uiPriority w:val="99"/>
    <w:pPr>
      <w:spacing w:line="201" w:lineRule="atLeast"/>
    </w:pPr>
    <w:rPr>
      <w:rFonts w:ascii="Charter ITC Std" w:hAnsi="Charter ITC Std" w:cstheme="minorBidi"/>
      <w:color w:val="auto"/>
    </w:rPr>
  </w:style>
  <w:style w:type="character" w:customStyle="1" w:styleId="A6">
    <w:name w:val="A6"/>
    <w:uiPriority w:val="99"/>
    <w:rPr>
      <w:rFonts w:cs="Charter ITC Std"/>
      <w:color w:val="000000"/>
      <w:sz w:val="11"/>
      <w:szCs w:val="11"/>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NumPar1">
    <w:name w:val="NumPar 1"/>
    <w:basedOn w:val="Normal"/>
    <w:next w:val="Normal"/>
    <w:pPr>
      <w:numPr>
        <w:numId w:val="9"/>
      </w:numPr>
      <w:spacing w:before="120" w:after="120" w:line="240" w:lineRule="auto"/>
      <w:jc w:val="both"/>
    </w:pPr>
    <w:rPr>
      <w:rFonts w:ascii="Times New Roman" w:eastAsia="Calibri" w:hAnsi="Times New Roman" w:cs="Times New Roman"/>
      <w:sz w:val="24"/>
    </w:rPr>
  </w:style>
  <w:style w:type="paragraph" w:customStyle="1" w:styleId="NumPar2">
    <w:name w:val="NumPar 2"/>
    <w:basedOn w:val="Normal"/>
    <w:next w:val="Normal"/>
    <w:pPr>
      <w:numPr>
        <w:ilvl w:val="1"/>
        <w:numId w:val="9"/>
      </w:numPr>
      <w:spacing w:before="120" w:after="120" w:line="240" w:lineRule="auto"/>
      <w:jc w:val="both"/>
    </w:pPr>
    <w:rPr>
      <w:rFonts w:ascii="Times New Roman" w:eastAsia="Calibri" w:hAnsi="Times New Roman" w:cs="Times New Roman"/>
      <w:sz w:val="24"/>
    </w:rPr>
  </w:style>
  <w:style w:type="paragraph" w:customStyle="1" w:styleId="NumPar3">
    <w:name w:val="NumPar 3"/>
    <w:basedOn w:val="Normal"/>
    <w:next w:val="Normal"/>
    <w:pPr>
      <w:numPr>
        <w:ilvl w:val="2"/>
        <w:numId w:val="9"/>
      </w:numPr>
      <w:spacing w:before="120" w:after="120" w:line="240" w:lineRule="auto"/>
      <w:jc w:val="both"/>
    </w:pPr>
    <w:rPr>
      <w:rFonts w:ascii="Times New Roman" w:eastAsia="Calibri" w:hAnsi="Times New Roman" w:cs="Times New Roman"/>
      <w:sz w:val="24"/>
    </w:rPr>
  </w:style>
  <w:style w:type="paragraph" w:customStyle="1" w:styleId="NumPar4">
    <w:name w:val="NumPar 4"/>
    <w:basedOn w:val="Normal"/>
    <w:next w:val="Normal"/>
    <w:pPr>
      <w:numPr>
        <w:ilvl w:val="3"/>
        <w:numId w:val="9"/>
      </w:numPr>
      <w:spacing w:before="120" w:after="120" w:line="240" w:lineRule="auto"/>
      <w:jc w:val="both"/>
    </w:pPr>
    <w:rPr>
      <w:rFonts w:ascii="Times New Roman" w:eastAsia="Calibri"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
    <w:name w:val="Considérant"/>
    <w:basedOn w:val="Normal"/>
    <w:pPr>
      <w:numPr>
        <w:numId w:val="12"/>
      </w:numPr>
      <w:spacing w:before="120" w:after="120" w:line="240" w:lineRule="auto"/>
      <w:jc w:val="both"/>
    </w:pPr>
    <w:rPr>
      <w:rFonts w:ascii="Times New Roman" w:hAnsi="Times New Roman" w:cs="Times New Roman"/>
      <w:sz w:val="24"/>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copyright">
    <w:name w:val="media-copyrigh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
    <w:basedOn w:val="Normal"/>
    <w:link w:val="FootnoteTextChar"/>
    <w:uiPriority w:val="99"/>
    <w:unhideWhenUsed/>
    <w:pPr>
      <w:spacing w:after="0" w:line="240" w:lineRule="auto"/>
    </w:pPr>
    <w:rPr>
      <w:sz w:val="20"/>
      <w:szCs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rPr>
      <w:sz w:val="20"/>
      <w:szCs w:val="20"/>
    </w:rPr>
  </w:style>
  <w:style w:type="character" w:styleId="FootnoteReference">
    <w:name w:val="footnote reference"/>
    <w:aliases w:val="Odwołanie przypisu,Footnote symbol,Footnote Reference Superscript,BVI fnr, BVI fnr,Footnote reference number,number,note TESI,SUPERS,EN Footnote Reference,Times 10 Point,Exposant 3 Point, Exposant 3 Point,Footnote Reference_LVL6"/>
    <w:basedOn w:val="DefaultParagraphFont"/>
    <w:link w:val="Footnotenumber"/>
    <w:uiPriority w:val="99"/>
    <w:unhideWhenUsed/>
    <w:qFormat/>
    <w:rPr>
      <w:vertAlign w:val="superscript"/>
    </w:rPr>
  </w:style>
  <w:style w:type="paragraph" w:customStyle="1" w:styleId="Footnotenumber">
    <w:name w:val="Footnote number"/>
    <w:aliases w:val="fr"/>
    <w:basedOn w:val="Normal"/>
    <w:link w:val="FootnoteReference"/>
    <w:pPr>
      <w:spacing w:after="160" w:line="240" w:lineRule="exact"/>
    </w:pPr>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locked/>
    <w:rPr>
      <w:rFonts w:ascii="Arial" w:eastAsia="Times New Roman" w:hAnsi="Arial" w:cs="Arial"/>
      <w:szCs w:val="24"/>
    </w:rPr>
  </w:style>
  <w:style w:type="paragraph" w:customStyle="1" w:styleId="aa">
    <w:name w:val="a.a."/>
    <w:basedOn w:val="Normal"/>
    <w:link w:val="aaChar"/>
    <w:qFormat/>
    <w:pPr>
      <w:autoSpaceDE w:val="0"/>
      <w:autoSpaceDN w:val="0"/>
      <w:adjustRightInd w:val="0"/>
      <w:spacing w:after="240"/>
      <w:jc w:val="both"/>
    </w:pPr>
    <w:rPr>
      <w:rFonts w:ascii="Times New Roman" w:eastAsia="Times New Roman" w:hAnsi="Times New Roman" w:cs="Times New Roman"/>
      <w:b/>
    </w:rPr>
  </w:style>
  <w:style w:type="character" w:customStyle="1" w:styleId="aaChar">
    <w:name w:val="a.a. Char"/>
    <w:basedOn w:val="DefaultParagraphFont"/>
    <w:link w:val="aa"/>
    <w:locked/>
    <w:rPr>
      <w:rFonts w:ascii="Times New Roman" w:eastAsia="Times New Roman" w:hAnsi="Times New Roman" w:cs="Times New Roman"/>
      <w:b/>
    </w:rPr>
  </w:style>
  <w:style w:type="paragraph" w:customStyle="1" w:styleId="Pa5">
    <w:name w:val="Pa5"/>
    <w:basedOn w:val="Default"/>
    <w:next w:val="Default"/>
    <w:uiPriority w:val="99"/>
    <w:pPr>
      <w:spacing w:line="201" w:lineRule="atLeast"/>
    </w:pPr>
    <w:rPr>
      <w:rFonts w:ascii="Charter ITC Std" w:hAnsi="Charter ITC Std" w:cstheme="minorBidi"/>
      <w:color w:val="auto"/>
    </w:rPr>
  </w:style>
  <w:style w:type="character" w:customStyle="1" w:styleId="A6">
    <w:name w:val="A6"/>
    <w:uiPriority w:val="99"/>
    <w:rPr>
      <w:rFonts w:cs="Charter ITC Std"/>
      <w:color w:val="000000"/>
      <w:sz w:val="11"/>
      <w:szCs w:val="11"/>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NumPar1">
    <w:name w:val="NumPar 1"/>
    <w:basedOn w:val="Normal"/>
    <w:next w:val="Normal"/>
    <w:pPr>
      <w:numPr>
        <w:numId w:val="9"/>
      </w:numPr>
      <w:spacing w:before="120" w:after="120" w:line="240" w:lineRule="auto"/>
      <w:jc w:val="both"/>
    </w:pPr>
    <w:rPr>
      <w:rFonts w:ascii="Times New Roman" w:eastAsia="Calibri" w:hAnsi="Times New Roman" w:cs="Times New Roman"/>
      <w:sz w:val="24"/>
    </w:rPr>
  </w:style>
  <w:style w:type="paragraph" w:customStyle="1" w:styleId="NumPar2">
    <w:name w:val="NumPar 2"/>
    <w:basedOn w:val="Normal"/>
    <w:next w:val="Normal"/>
    <w:pPr>
      <w:numPr>
        <w:ilvl w:val="1"/>
        <w:numId w:val="9"/>
      </w:numPr>
      <w:spacing w:before="120" w:after="120" w:line="240" w:lineRule="auto"/>
      <w:jc w:val="both"/>
    </w:pPr>
    <w:rPr>
      <w:rFonts w:ascii="Times New Roman" w:eastAsia="Calibri" w:hAnsi="Times New Roman" w:cs="Times New Roman"/>
      <w:sz w:val="24"/>
    </w:rPr>
  </w:style>
  <w:style w:type="paragraph" w:customStyle="1" w:styleId="NumPar3">
    <w:name w:val="NumPar 3"/>
    <w:basedOn w:val="Normal"/>
    <w:next w:val="Normal"/>
    <w:pPr>
      <w:numPr>
        <w:ilvl w:val="2"/>
        <w:numId w:val="9"/>
      </w:numPr>
      <w:spacing w:before="120" w:after="120" w:line="240" w:lineRule="auto"/>
      <w:jc w:val="both"/>
    </w:pPr>
    <w:rPr>
      <w:rFonts w:ascii="Times New Roman" w:eastAsia="Calibri" w:hAnsi="Times New Roman" w:cs="Times New Roman"/>
      <w:sz w:val="24"/>
    </w:rPr>
  </w:style>
  <w:style w:type="paragraph" w:customStyle="1" w:styleId="NumPar4">
    <w:name w:val="NumPar 4"/>
    <w:basedOn w:val="Normal"/>
    <w:next w:val="Normal"/>
    <w:pPr>
      <w:numPr>
        <w:ilvl w:val="3"/>
        <w:numId w:val="9"/>
      </w:numPr>
      <w:spacing w:before="120" w:after="120" w:line="240" w:lineRule="auto"/>
      <w:jc w:val="both"/>
    </w:pPr>
    <w:rPr>
      <w:rFonts w:ascii="Times New Roman" w:eastAsia="Calibri"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
    <w:name w:val="Considérant"/>
    <w:basedOn w:val="Normal"/>
    <w:pPr>
      <w:numPr>
        <w:numId w:val="12"/>
      </w:numPr>
      <w:spacing w:before="120" w:after="120" w:line="240" w:lineRule="auto"/>
      <w:jc w:val="both"/>
    </w:pPr>
    <w:rPr>
      <w:rFonts w:ascii="Times New Roman" w:hAnsi="Times New Roman" w:cs="Times New Roman"/>
      <w:sz w:val="24"/>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74479">
      <w:bodyDiv w:val="1"/>
      <w:marLeft w:val="0"/>
      <w:marRight w:val="0"/>
      <w:marTop w:val="0"/>
      <w:marBottom w:val="0"/>
      <w:divBdr>
        <w:top w:val="none" w:sz="0" w:space="0" w:color="auto"/>
        <w:left w:val="none" w:sz="0" w:space="0" w:color="auto"/>
        <w:bottom w:val="none" w:sz="0" w:space="0" w:color="auto"/>
        <w:right w:val="none" w:sz="0" w:space="0" w:color="auto"/>
      </w:divBdr>
      <w:divsChild>
        <w:div w:id="480274680">
          <w:marLeft w:val="0"/>
          <w:marRight w:val="0"/>
          <w:marTop w:val="0"/>
          <w:marBottom w:val="0"/>
          <w:divBdr>
            <w:top w:val="none" w:sz="0" w:space="0" w:color="auto"/>
            <w:left w:val="none" w:sz="0" w:space="0" w:color="auto"/>
            <w:bottom w:val="none" w:sz="0" w:space="0" w:color="auto"/>
            <w:right w:val="none" w:sz="0" w:space="0" w:color="auto"/>
          </w:divBdr>
          <w:divsChild>
            <w:div w:id="678393074">
              <w:marLeft w:val="0"/>
              <w:marRight w:val="0"/>
              <w:marTop w:val="0"/>
              <w:marBottom w:val="150"/>
              <w:divBdr>
                <w:top w:val="none" w:sz="0" w:space="0" w:color="auto"/>
                <w:left w:val="none" w:sz="0" w:space="0" w:color="auto"/>
                <w:bottom w:val="none" w:sz="0" w:space="0" w:color="auto"/>
                <w:right w:val="none" w:sz="0" w:space="0" w:color="auto"/>
              </w:divBdr>
              <w:divsChild>
                <w:div w:id="779182498">
                  <w:marLeft w:val="0"/>
                  <w:marRight w:val="0"/>
                  <w:marTop w:val="0"/>
                  <w:marBottom w:val="0"/>
                  <w:divBdr>
                    <w:top w:val="none" w:sz="0" w:space="0" w:color="auto"/>
                    <w:left w:val="none" w:sz="0" w:space="0" w:color="auto"/>
                    <w:bottom w:val="none" w:sz="0" w:space="0" w:color="auto"/>
                    <w:right w:val="none" w:sz="0" w:space="0" w:color="auto"/>
                  </w:divBdr>
                  <w:divsChild>
                    <w:div w:id="1759404754">
                      <w:marLeft w:val="0"/>
                      <w:marRight w:val="0"/>
                      <w:marTop w:val="0"/>
                      <w:marBottom w:val="0"/>
                      <w:divBdr>
                        <w:top w:val="none" w:sz="0" w:space="0" w:color="auto"/>
                        <w:left w:val="none" w:sz="0" w:space="0" w:color="auto"/>
                        <w:bottom w:val="none" w:sz="0" w:space="0" w:color="auto"/>
                        <w:right w:val="none" w:sz="0" w:space="0" w:color="auto"/>
                      </w:divBdr>
                      <w:divsChild>
                        <w:div w:id="330832600">
                          <w:marLeft w:val="0"/>
                          <w:marRight w:val="0"/>
                          <w:marTop w:val="0"/>
                          <w:marBottom w:val="0"/>
                          <w:divBdr>
                            <w:top w:val="none" w:sz="0" w:space="0" w:color="auto"/>
                            <w:left w:val="none" w:sz="0" w:space="0" w:color="auto"/>
                            <w:bottom w:val="none" w:sz="0" w:space="0" w:color="auto"/>
                            <w:right w:val="none" w:sz="0" w:space="0" w:color="auto"/>
                          </w:divBdr>
                          <w:divsChild>
                            <w:div w:id="715935366">
                              <w:marLeft w:val="0"/>
                              <w:marRight w:val="0"/>
                              <w:marTop w:val="0"/>
                              <w:marBottom w:val="0"/>
                              <w:divBdr>
                                <w:top w:val="none" w:sz="0" w:space="0" w:color="auto"/>
                                <w:left w:val="none" w:sz="0" w:space="0" w:color="auto"/>
                                <w:bottom w:val="none" w:sz="0" w:space="0" w:color="auto"/>
                                <w:right w:val="none" w:sz="0" w:space="0" w:color="auto"/>
                              </w:divBdr>
                              <w:divsChild>
                                <w:div w:id="1211769162">
                                  <w:marLeft w:val="0"/>
                                  <w:marRight w:val="-3600"/>
                                  <w:marTop w:val="150"/>
                                  <w:marBottom w:val="0"/>
                                  <w:divBdr>
                                    <w:top w:val="none" w:sz="0" w:space="0" w:color="auto"/>
                                    <w:left w:val="none" w:sz="0" w:space="0" w:color="auto"/>
                                    <w:bottom w:val="none" w:sz="0" w:space="0" w:color="auto"/>
                                    <w:right w:val="none" w:sz="0" w:space="0" w:color="auto"/>
                                  </w:divBdr>
                                  <w:divsChild>
                                    <w:div w:id="741374359">
                                      <w:marLeft w:val="0"/>
                                      <w:marRight w:val="3600"/>
                                      <w:marTop w:val="0"/>
                                      <w:marBottom w:val="0"/>
                                      <w:divBdr>
                                        <w:top w:val="none" w:sz="0" w:space="0" w:color="auto"/>
                                        <w:left w:val="none" w:sz="0" w:space="0" w:color="auto"/>
                                        <w:bottom w:val="none" w:sz="0" w:space="0" w:color="auto"/>
                                        <w:right w:val="none" w:sz="0" w:space="0" w:color="auto"/>
                                      </w:divBdr>
                                      <w:divsChild>
                                        <w:div w:id="1856963435">
                                          <w:marLeft w:val="0"/>
                                          <w:marRight w:val="0"/>
                                          <w:marTop w:val="0"/>
                                          <w:marBottom w:val="0"/>
                                          <w:divBdr>
                                            <w:top w:val="none" w:sz="0" w:space="0" w:color="auto"/>
                                            <w:left w:val="none" w:sz="0" w:space="0" w:color="auto"/>
                                            <w:bottom w:val="none" w:sz="0" w:space="0" w:color="auto"/>
                                            <w:right w:val="none" w:sz="0" w:space="0" w:color="auto"/>
                                          </w:divBdr>
                                          <w:divsChild>
                                            <w:div w:id="1588735619">
                                              <w:marLeft w:val="0"/>
                                              <w:marRight w:val="0"/>
                                              <w:marTop w:val="0"/>
                                              <w:marBottom w:val="0"/>
                                              <w:divBdr>
                                                <w:top w:val="none" w:sz="0" w:space="0" w:color="auto"/>
                                                <w:left w:val="none" w:sz="0" w:space="0" w:color="auto"/>
                                                <w:bottom w:val="none" w:sz="0" w:space="0" w:color="auto"/>
                                                <w:right w:val="none" w:sz="0" w:space="0" w:color="auto"/>
                                              </w:divBdr>
                                              <w:divsChild>
                                                <w:div w:id="1698117755">
                                                  <w:marLeft w:val="0"/>
                                                  <w:marRight w:val="0"/>
                                                  <w:marTop w:val="0"/>
                                                  <w:marBottom w:val="0"/>
                                                  <w:divBdr>
                                                    <w:top w:val="none" w:sz="0" w:space="0" w:color="auto"/>
                                                    <w:left w:val="none" w:sz="0" w:space="0" w:color="auto"/>
                                                    <w:bottom w:val="none" w:sz="0" w:space="0" w:color="auto"/>
                                                    <w:right w:val="none" w:sz="0" w:space="0" w:color="auto"/>
                                                  </w:divBdr>
                                                  <w:divsChild>
                                                    <w:div w:id="1200387780">
                                                      <w:marLeft w:val="0"/>
                                                      <w:marRight w:val="0"/>
                                                      <w:marTop w:val="0"/>
                                                      <w:marBottom w:val="0"/>
                                                      <w:divBdr>
                                                        <w:top w:val="none" w:sz="0" w:space="0" w:color="auto"/>
                                                        <w:left w:val="none" w:sz="0" w:space="0" w:color="auto"/>
                                                        <w:bottom w:val="none" w:sz="0" w:space="0" w:color="auto"/>
                                                        <w:right w:val="none" w:sz="0" w:space="0" w:color="auto"/>
                                                      </w:divBdr>
                                                      <w:divsChild>
                                                        <w:div w:id="1819297804">
                                                          <w:marLeft w:val="0"/>
                                                          <w:marRight w:val="0"/>
                                                          <w:marTop w:val="0"/>
                                                          <w:marBottom w:val="0"/>
                                                          <w:divBdr>
                                                            <w:top w:val="none" w:sz="0" w:space="0" w:color="auto"/>
                                                            <w:left w:val="none" w:sz="0" w:space="0" w:color="auto"/>
                                                            <w:bottom w:val="none" w:sz="0" w:space="0" w:color="auto"/>
                                                            <w:right w:val="none" w:sz="0" w:space="0" w:color="auto"/>
                                                          </w:divBdr>
                                                        </w:div>
                                                        <w:div w:id="423652771">
                                                          <w:marLeft w:val="0"/>
                                                          <w:marRight w:val="0"/>
                                                          <w:marTop w:val="0"/>
                                                          <w:marBottom w:val="0"/>
                                                          <w:divBdr>
                                                            <w:top w:val="none" w:sz="0" w:space="0" w:color="auto"/>
                                                            <w:left w:val="none" w:sz="0" w:space="0" w:color="auto"/>
                                                            <w:bottom w:val="none" w:sz="0" w:space="0" w:color="auto"/>
                                                            <w:right w:val="none" w:sz="0" w:space="0" w:color="auto"/>
                                                          </w:divBdr>
                                                        </w:div>
                                                        <w:div w:id="94800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23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priorities/index_en.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ort/modes/air/aviation-strategy/external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70DF2-40D7-42E1-B0E7-94028EC31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2604</Words>
  <Characters>15895</Characters>
  <Application>Microsoft Office Word</Application>
  <DocSecurity>0</DocSecurity>
  <Lines>276</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37</cp:revision>
  <cp:lastPrinted>2017-05-24T14:35:00Z</cp:lastPrinted>
  <dcterms:created xsi:type="dcterms:W3CDTF">2017-06-01T13:02:00Z</dcterms:created>
  <dcterms:modified xsi:type="dcterms:W3CDTF">2017-07-04T10:07:00Z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