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D2" w:rsidRDefault="000F2FA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C66512C4A4F456B8A8E8D00935D4B1D" style="width:450.75pt;height:320.25pt">
            <v:imagedata r:id="rId12" o:title=""/>
          </v:shape>
        </w:pict>
      </w:r>
    </w:p>
    <w:bookmarkEnd w:id="0"/>
    <w:p w:rsidR="002216D2" w:rsidRDefault="002216D2">
      <w:pPr>
        <w:rPr>
          <w:rFonts w:eastAsiaTheme="minorHAnsi"/>
          <w:noProof/>
        </w:rPr>
        <w:sectPr w:rsidR="002216D2">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2216D2" w:rsidRDefault="000F2FA0">
      <w:pPr>
        <w:spacing w:after="0"/>
        <w:jc w:val="both"/>
        <w:rPr>
          <w:rFonts w:ascii="Times New Roman" w:hAnsi="Times New Roman" w:cs="Times New Roman"/>
          <w:b/>
          <w:noProof/>
          <w:sz w:val="24"/>
          <w:szCs w:val="24"/>
        </w:rPr>
      </w:pPr>
      <w:r>
        <w:rPr>
          <w:rFonts w:ascii="Times New Roman" w:hAnsi="Times New Roman"/>
          <w:b/>
          <w:noProof/>
          <w:sz w:val="24"/>
        </w:rPr>
        <w:lastRenderedPageBreak/>
        <w:t>1. Introduction</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 système européen d’information sur les casiers judiciaires (ECRIS) est devenu </w:t>
      </w:r>
      <w:r>
        <w:rPr>
          <w:rFonts w:ascii="Times New Roman" w:hAnsi="Times New Roman"/>
          <w:noProof/>
          <w:sz w:val="24"/>
        </w:rPr>
        <w:t>opérationnel en avril 2012. Il est réglementé par la décision-cadre 2009/315/JAI du Conseil du 26 février 2009 concernant l’organisation et le contenu des échanges d’informations extraites du casier judiciaire entre les États membres (la «décision-cadre»)</w:t>
      </w:r>
      <w:r>
        <w:rPr>
          <w:rStyle w:val="FootnoteReference"/>
          <w:rFonts w:ascii="Times New Roman" w:hAnsi="Times New Roman"/>
          <w:noProof/>
          <w:sz w:val="24"/>
        </w:rPr>
        <w:footnoteReference w:id="2"/>
      </w:r>
      <w:r>
        <w:rPr>
          <w:rFonts w:ascii="Times New Roman" w:hAnsi="Times New Roman"/>
          <w:noProof/>
          <w:sz w:val="24"/>
        </w:rPr>
        <w:t xml:space="preserve"> et la décision 2009/316/JAI du Conseil du 6 avril 2009 relative à la création du système européen d’information sur les casiers judiciaires (ECRIS), en application de l’article 11 de la décision-cadre 2009/316/JAI</w:t>
      </w:r>
      <w:r>
        <w:rPr>
          <w:rStyle w:val="FootnoteReference"/>
          <w:rFonts w:ascii="Times New Roman" w:hAnsi="Times New Roman"/>
          <w:noProof/>
          <w:sz w:val="24"/>
        </w:rPr>
        <w:footnoteReference w:id="3"/>
      </w:r>
      <w:r>
        <w:rPr>
          <w:rFonts w:ascii="Times New Roman" w:hAnsi="Times New Roman"/>
          <w:noProof/>
          <w:sz w:val="24"/>
        </w:rPr>
        <w:t xml:space="preserve">.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Ce système a pour but d’améliorer la </w:t>
      </w:r>
      <w:r>
        <w:rPr>
          <w:rFonts w:ascii="Times New Roman" w:hAnsi="Times New Roman"/>
          <w:noProof/>
          <w:sz w:val="24"/>
        </w:rPr>
        <w:t>sécurité des citoyens dans l’espace européen de liberté, de sécurité et de justice, en permettant un échange efficace d’informations entre les États membres sur les précédentes condamnations pénales prononcées par les tribunaux pénaux dans l’UE.</w:t>
      </w:r>
    </w:p>
    <w:p w:rsidR="002216D2" w:rsidRDefault="000F2FA0">
      <w:pPr>
        <w:jc w:val="both"/>
        <w:rPr>
          <w:rFonts w:ascii="Times New Roman" w:hAnsi="Times New Roman" w:cs="Times New Roman"/>
          <w:noProof/>
          <w:sz w:val="24"/>
          <w:szCs w:val="24"/>
        </w:rPr>
      </w:pPr>
      <w:r>
        <w:rPr>
          <w:rFonts w:ascii="Times New Roman" w:hAnsi="Times New Roman"/>
          <w:noProof/>
          <w:sz w:val="24"/>
        </w:rPr>
        <w:t>Le présent</w:t>
      </w:r>
      <w:r>
        <w:rPr>
          <w:rFonts w:ascii="Times New Roman" w:hAnsi="Times New Roman"/>
          <w:noProof/>
          <w:sz w:val="24"/>
        </w:rPr>
        <w:t xml:space="preserve"> rapport est le premier rapport statistique de la Commission sur les échanges, au moyen de l’ECRIS, d’informations extraites des casiers judiciaires entre les États membres, comme prévu à l’article 7 de la décision 2009/316/JAI du Conseil.</w:t>
      </w:r>
    </w:p>
    <w:p w:rsidR="002216D2" w:rsidRDefault="000F2FA0">
      <w:pPr>
        <w:jc w:val="both"/>
        <w:rPr>
          <w:rFonts w:ascii="Times New Roman" w:hAnsi="Times New Roman" w:cs="Times New Roman"/>
          <w:noProof/>
          <w:sz w:val="24"/>
          <w:szCs w:val="24"/>
        </w:rPr>
      </w:pPr>
      <w:r>
        <w:rPr>
          <w:rFonts w:ascii="Times New Roman" w:hAnsi="Times New Roman"/>
          <w:b/>
          <w:noProof/>
          <w:sz w:val="24"/>
        </w:rPr>
        <w:t>1.1. Principes g</w:t>
      </w:r>
      <w:r>
        <w:rPr>
          <w:rFonts w:ascii="Times New Roman" w:hAnsi="Times New Roman"/>
          <w:b/>
          <w:noProof/>
          <w:sz w:val="24"/>
        </w:rPr>
        <w:t>énéraux du système ECRIS</w:t>
      </w:r>
      <w:r>
        <w:rPr>
          <w:rFonts w:ascii="Times New Roman" w:hAnsi="Times New Roman"/>
          <w:noProof/>
          <w:sz w:val="24"/>
        </w:rPr>
        <w:t xml:space="preserve">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L’ECRIS est fondé sur une architecture décentralisée, reliant les États membres entre eux et leur permettant d’échanger efficacement des informations sur les casiers judiciaires. </w:t>
      </w:r>
    </w:p>
    <w:p w:rsidR="002216D2" w:rsidRDefault="000F2FA0">
      <w:pPr>
        <w:numPr>
          <w:ilvl w:val="0"/>
          <w:numId w:val="20"/>
        </w:numPr>
        <w:ind w:left="360"/>
        <w:jc w:val="both"/>
        <w:rPr>
          <w:rFonts w:ascii="Times New Roman" w:hAnsi="Times New Roman" w:cs="Times New Roman"/>
          <w:noProof/>
          <w:sz w:val="24"/>
          <w:szCs w:val="24"/>
        </w:rPr>
      </w:pPr>
      <w:r>
        <w:rPr>
          <w:rFonts w:ascii="Times New Roman" w:hAnsi="Times New Roman"/>
          <w:noProof/>
          <w:sz w:val="24"/>
        </w:rPr>
        <w:t>Pour les besoins de l’ECRIS, chaque État membre dé</w:t>
      </w:r>
      <w:r>
        <w:rPr>
          <w:rFonts w:ascii="Times New Roman" w:hAnsi="Times New Roman"/>
          <w:noProof/>
          <w:sz w:val="24"/>
        </w:rPr>
        <w:t xml:space="preserve">signe une (ou plusieurs) autorité(s) centrale(s) en tant que point de contact unique et lui délègue l’ensemble des responsabilités découlant de la décision-cadre sur l’ECRIS. </w:t>
      </w:r>
    </w:p>
    <w:p w:rsidR="002216D2" w:rsidRDefault="000F2FA0">
      <w:pPr>
        <w:numPr>
          <w:ilvl w:val="0"/>
          <w:numId w:val="20"/>
        </w:numPr>
        <w:ind w:left="360"/>
        <w:jc w:val="both"/>
        <w:rPr>
          <w:rFonts w:ascii="Times New Roman" w:hAnsi="Times New Roman" w:cs="Times New Roman"/>
          <w:noProof/>
          <w:sz w:val="24"/>
          <w:szCs w:val="24"/>
        </w:rPr>
      </w:pPr>
      <w:r>
        <w:rPr>
          <w:rFonts w:ascii="Times New Roman" w:hAnsi="Times New Roman"/>
          <w:noProof/>
          <w:sz w:val="24"/>
        </w:rPr>
        <w:t>Les informations sont échangées par voie électronique entre les autorités centra</w:t>
      </w:r>
      <w:r>
        <w:rPr>
          <w:rFonts w:ascii="Times New Roman" w:hAnsi="Times New Roman"/>
          <w:noProof/>
          <w:sz w:val="24"/>
        </w:rPr>
        <w:t xml:space="preserve">les des États membres, sur la base d’un format standardisé permettant une communication efficace et immédiatement compréhensible dans toutes les langues de l’UE, et ce dans des délais courts de 10 ou 20 jours. </w:t>
      </w:r>
    </w:p>
    <w:p w:rsidR="002216D2" w:rsidRDefault="000F2FA0">
      <w:pPr>
        <w:numPr>
          <w:ilvl w:val="0"/>
          <w:numId w:val="19"/>
        </w:numPr>
        <w:ind w:left="360"/>
        <w:jc w:val="both"/>
        <w:rPr>
          <w:rFonts w:ascii="Times New Roman" w:hAnsi="Times New Roman" w:cs="Times New Roman"/>
          <w:noProof/>
          <w:sz w:val="24"/>
          <w:szCs w:val="24"/>
        </w:rPr>
      </w:pPr>
      <w:r>
        <w:rPr>
          <w:rFonts w:ascii="Times New Roman" w:hAnsi="Times New Roman"/>
          <w:noProof/>
          <w:sz w:val="24"/>
        </w:rPr>
        <w:t xml:space="preserve">Un État membre qui condamne un citoyen d’un </w:t>
      </w:r>
      <w:r>
        <w:rPr>
          <w:rFonts w:ascii="Times New Roman" w:hAnsi="Times New Roman"/>
          <w:noProof/>
          <w:sz w:val="24"/>
        </w:rPr>
        <w:t xml:space="preserve">autre État membre est légalement tenu de transmettre dans les plus brefs délais, via l’ECRIS, les informations relatives à cette condamnation à l’État membre ou aux États membres de la nationalité de cette personne, ainsi que les informations subséquentes </w:t>
      </w:r>
      <w:r>
        <w:rPr>
          <w:rFonts w:ascii="Times New Roman" w:hAnsi="Times New Roman"/>
          <w:noProof/>
          <w:sz w:val="24"/>
        </w:rPr>
        <w:t>(notifications sur les nouvelles condamnations et dernières informations).</w:t>
      </w:r>
    </w:p>
    <w:p w:rsidR="002216D2" w:rsidRDefault="000F2FA0">
      <w:pPr>
        <w:numPr>
          <w:ilvl w:val="0"/>
          <w:numId w:val="19"/>
        </w:numPr>
        <w:ind w:left="360"/>
        <w:jc w:val="both"/>
        <w:rPr>
          <w:rFonts w:ascii="Times New Roman" w:hAnsi="Times New Roman" w:cs="Times New Roman"/>
          <w:noProof/>
          <w:sz w:val="24"/>
          <w:szCs w:val="24"/>
        </w:rPr>
      </w:pPr>
      <w:r>
        <w:rPr>
          <w:rFonts w:ascii="Times New Roman" w:hAnsi="Times New Roman"/>
          <w:noProof/>
          <w:sz w:val="24"/>
        </w:rPr>
        <w:t>L’État membre de nationalité tient ainsi un répertoire central de toutes les condamnations prononcées dans l’UE par des tribunaux pénaux contre ses ressortissants. Il est tenu de co</w:t>
      </w:r>
      <w:r>
        <w:rPr>
          <w:rFonts w:ascii="Times New Roman" w:hAnsi="Times New Roman"/>
          <w:noProof/>
          <w:sz w:val="24"/>
        </w:rPr>
        <w:t>nserver et de mettre à jour toutes les informations qu’il reçoit via l’ECRIS, ainsi que de fournir des informations complètes sur les casiers judiciaires via l’ECRIS (réponses aux demandes) lorsqu’un autre État membre lui en fait la demande (demandes d’inf</w:t>
      </w:r>
      <w:r>
        <w:rPr>
          <w:rFonts w:ascii="Times New Roman" w:hAnsi="Times New Roman"/>
          <w:noProof/>
          <w:sz w:val="24"/>
        </w:rPr>
        <w:t>ormation).</w:t>
      </w:r>
    </w:p>
    <w:p w:rsidR="002216D2" w:rsidRDefault="000F2FA0">
      <w:pPr>
        <w:numPr>
          <w:ilvl w:val="0"/>
          <w:numId w:val="19"/>
        </w:numPr>
        <w:ind w:left="360"/>
        <w:jc w:val="both"/>
        <w:rPr>
          <w:rFonts w:ascii="Times New Roman" w:hAnsi="Times New Roman" w:cs="Times New Roman"/>
          <w:noProof/>
          <w:sz w:val="24"/>
          <w:szCs w:val="24"/>
        </w:rPr>
      </w:pPr>
      <w:r>
        <w:rPr>
          <w:rFonts w:ascii="Times New Roman" w:hAnsi="Times New Roman"/>
          <w:noProof/>
          <w:sz w:val="24"/>
        </w:rPr>
        <w:t>Les informations sur les condamnations doivent être échangées aux fins des procédures pénales et, si le droit national le permet, peuvent également être échangées à d’autres fins (par exemple une procédure administrative, un emploi, une licence,</w:t>
      </w:r>
      <w:r>
        <w:rPr>
          <w:rFonts w:ascii="Times New Roman" w:hAnsi="Times New Roman"/>
          <w:noProof/>
          <w:sz w:val="24"/>
        </w:rPr>
        <w:t xml:space="preserve"> etc.). </w:t>
      </w:r>
    </w:p>
    <w:p w:rsidR="002216D2" w:rsidRDefault="000F2FA0">
      <w:pPr>
        <w:numPr>
          <w:ilvl w:val="0"/>
          <w:numId w:val="19"/>
        </w:numPr>
        <w:ind w:left="360"/>
        <w:jc w:val="both"/>
        <w:rPr>
          <w:rFonts w:ascii="Times New Roman" w:hAnsi="Times New Roman" w:cs="Times New Roman"/>
          <w:noProof/>
          <w:sz w:val="24"/>
          <w:szCs w:val="24"/>
        </w:rPr>
      </w:pPr>
      <w:r>
        <w:rPr>
          <w:rFonts w:ascii="Times New Roman" w:hAnsi="Times New Roman"/>
          <w:noProof/>
          <w:sz w:val="24"/>
        </w:rPr>
        <w:t>Si l’ECRIS a pour but principal l’échange d’informations sur les ressortissants de l’UE, ce système permet également d’échanger des informations sur des ressortissants de pays tiers et des personnes apatrides  (ci-après: TCN). La Commission a prop</w:t>
      </w:r>
      <w:r>
        <w:rPr>
          <w:rFonts w:ascii="Times New Roman" w:hAnsi="Times New Roman"/>
          <w:noProof/>
          <w:sz w:val="24"/>
        </w:rPr>
        <w:t xml:space="preserve">osé, dans le même </w:t>
      </w:r>
      <w:r>
        <w:rPr>
          <w:rFonts w:ascii="Times New Roman" w:hAnsi="Times New Roman"/>
          <w:noProof/>
          <w:sz w:val="24"/>
        </w:rPr>
        <w:lastRenderedPageBreak/>
        <w:t>paquet que le présent rapport statistique, de compléter la législation créant un système ECRIS-TCN, afin de faciliter les échanges d’informations sur les ressortissants de pays tiers via l’ECRIS.</w:t>
      </w:r>
    </w:p>
    <w:p w:rsidR="002216D2" w:rsidRDefault="000F2FA0">
      <w:pPr>
        <w:jc w:val="both"/>
        <w:rPr>
          <w:rFonts w:ascii="Times New Roman" w:hAnsi="Times New Roman" w:cs="Times New Roman"/>
          <w:noProof/>
          <w:sz w:val="24"/>
          <w:szCs w:val="24"/>
        </w:rPr>
      </w:pPr>
      <w:r>
        <w:rPr>
          <w:rFonts w:ascii="Times New Roman" w:hAnsi="Times New Roman"/>
          <w:noProof/>
          <w:sz w:val="24"/>
        </w:rPr>
        <w:t>En vertu de la décision-cadre, les États m</w:t>
      </w:r>
      <w:r>
        <w:rPr>
          <w:rFonts w:ascii="Times New Roman" w:hAnsi="Times New Roman"/>
          <w:noProof/>
          <w:sz w:val="24"/>
        </w:rPr>
        <w:t>embres étaient tenus de mettre en œuvre le système sur le plan juridique et technique, de mettre en place l’interconnexion électronique entre eux et de commencer les échanges conformément aux principes généraux décrits ci-dessus au plus tard pour le 27 avr</w:t>
      </w:r>
      <w:r>
        <w:rPr>
          <w:rFonts w:ascii="Times New Roman" w:hAnsi="Times New Roman"/>
          <w:noProof/>
          <w:sz w:val="24"/>
        </w:rPr>
        <w:t xml:space="preserve">il 2012. </w:t>
      </w:r>
      <w:bookmarkStart w:id="1" w:name="_Toc479267018"/>
    </w:p>
    <w:p w:rsidR="002216D2" w:rsidRDefault="000F2FA0">
      <w:pPr>
        <w:jc w:val="both"/>
        <w:rPr>
          <w:rFonts w:ascii="Times New Roman" w:hAnsi="Times New Roman" w:cs="Times New Roman"/>
          <w:noProof/>
          <w:sz w:val="24"/>
          <w:szCs w:val="24"/>
        </w:rPr>
      </w:pPr>
      <w:r>
        <w:rPr>
          <w:rFonts w:ascii="Times New Roman" w:hAnsi="Times New Roman"/>
          <w:b/>
          <w:noProof/>
          <w:sz w:val="24"/>
        </w:rPr>
        <w:t>1.2. Fondements juridiques de l’ECRIS et de ses statistiques</w:t>
      </w:r>
      <w:bookmarkEnd w:id="1"/>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Les principes généraux régissant les échanges d’informations et le fonctionnement du système sont énoncés dans la décision-cadre 2009/315/JAI.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La décision 2009/316/JAI du Conseil a établi un format standardisé pour l’échange électronique entre les États membres d’informations extraites des casiers judiciaires nationaux, notamment en ce qui concerne les informations relatives à l’infraction ayant </w:t>
      </w:r>
      <w:r>
        <w:rPr>
          <w:rFonts w:ascii="Times New Roman" w:hAnsi="Times New Roman"/>
          <w:noProof/>
          <w:sz w:val="24"/>
        </w:rPr>
        <w:t xml:space="preserve">donné lieu à la condamnation et les informations relatives au contenu de celle-ci. Elle a également établi d’autres moyens techniques et généraux de mise en œuvre liés à l’organisation et à la facilitation des échanges d’informations. </w:t>
      </w:r>
    </w:p>
    <w:p w:rsidR="002216D2" w:rsidRDefault="000F2FA0">
      <w:pPr>
        <w:jc w:val="both"/>
        <w:rPr>
          <w:rFonts w:ascii="Times New Roman" w:hAnsi="Times New Roman" w:cs="Times New Roman"/>
          <w:noProof/>
          <w:sz w:val="24"/>
          <w:szCs w:val="24"/>
        </w:rPr>
      </w:pPr>
      <w:r>
        <w:rPr>
          <w:rFonts w:ascii="Times New Roman" w:hAnsi="Times New Roman"/>
          <w:noProof/>
          <w:sz w:val="24"/>
        </w:rPr>
        <w:t>Le Conseil a par ail</w:t>
      </w:r>
      <w:r>
        <w:rPr>
          <w:rFonts w:ascii="Times New Roman" w:hAnsi="Times New Roman"/>
          <w:noProof/>
          <w:sz w:val="24"/>
        </w:rPr>
        <w:t>leurs adopté des modalités supplémentaires de mise en œuvre du système ECRIS, y compris son analyse opérationnelle, des spécifications techniques détaillées et des informations statistiques</w:t>
      </w:r>
      <w:r>
        <w:rPr>
          <w:rStyle w:val="FootnoteReference"/>
          <w:rFonts w:ascii="Times New Roman" w:hAnsi="Times New Roman"/>
          <w:noProof/>
          <w:sz w:val="24"/>
        </w:rPr>
        <w:footnoteReference w:id="4"/>
      </w:r>
      <w:r>
        <w:rPr>
          <w:rFonts w:ascii="Times New Roman" w:hAnsi="Times New Roman"/>
          <w:noProof/>
          <w:sz w:val="24"/>
        </w:rPr>
        <w:t>.</w:t>
      </w:r>
    </w:p>
    <w:p w:rsidR="002216D2" w:rsidRDefault="000F2FA0">
      <w:pPr>
        <w:jc w:val="both"/>
        <w:rPr>
          <w:rFonts w:ascii="Times New Roman" w:hAnsi="Times New Roman" w:cs="Times New Roman"/>
          <w:noProof/>
          <w:sz w:val="24"/>
          <w:szCs w:val="24"/>
        </w:rPr>
      </w:pPr>
      <w:r>
        <w:rPr>
          <w:rFonts w:ascii="Times New Roman" w:hAnsi="Times New Roman"/>
          <w:noProof/>
          <w:sz w:val="24"/>
        </w:rPr>
        <w:t>Conformément à ces dispositions, le système collecte automatique</w:t>
      </w:r>
      <w:r>
        <w:rPr>
          <w:rFonts w:ascii="Times New Roman" w:hAnsi="Times New Roman"/>
          <w:noProof/>
          <w:sz w:val="24"/>
        </w:rPr>
        <w:t>ment des données statistiques non personnelles afin de surveiller le fonctionnement et l’efficacité de l’ECRIS</w:t>
      </w:r>
      <w:bookmarkStart w:id="2" w:name="_Hlk480975838"/>
      <w:r>
        <w:rPr>
          <w:rFonts w:ascii="Times New Roman" w:hAnsi="Times New Roman"/>
          <w:noProof/>
          <w:sz w:val="24"/>
        </w:rPr>
        <w:t>, ainsi que la conformité des échanges entre les États membres avec le cadre juridique de l’ECRIS</w:t>
      </w:r>
      <w:bookmarkEnd w:id="2"/>
      <w:r>
        <w:rPr>
          <w:rFonts w:ascii="Times New Roman" w:hAnsi="Times New Roman"/>
          <w:noProof/>
          <w:sz w:val="24"/>
        </w:rPr>
        <w:t xml:space="preserve">. </w:t>
      </w:r>
    </w:p>
    <w:p w:rsidR="002216D2" w:rsidRDefault="000F2FA0">
      <w:pPr>
        <w:jc w:val="both"/>
        <w:rPr>
          <w:rFonts w:ascii="Times New Roman" w:hAnsi="Times New Roman" w:cs="Times New Roman"/>
          <w:noProof/>
          <w:sz w:val="24"/>
          <w:szCs w:val="24"/>
        </w:rPr>
      </w:pPr>
      <w:r>
        <w:rPr>
          <w:rFonts w:ascii="Times New Roman" w:hAnsi="Times New Roman"/>
          <w:noProof/>
          <w:sz w:val="24"/>
        </w:rPr>
        <w:t>Les spécifications techniques détaillées de l’</w:t>
      </w:r>
      <w:r>
        <w:rPr>
          <w:rFonts w:ascii="Times New Roman" w:hAnsi="Times New Roman"/>
          <w:noProof/>
          <w:sz w:val="24"/>
        </w:rPr>
        <w:t xml:space="preserve">ECRIS incluent actuellement 225 indicateurs définis pour la surveillance de l’ECRIS. Ces statistiques sont générées automatiquement par le système au niveau national et envoyées chaque mois par les États membres à la Commission européenne.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L’article 7 de </w:t>
      </w:r>
      <w:r>
        <w:rPr>
          <w:rFonts w:ascii="Times New Roman" w:hAnsi="Times New Roman"/>
          <w:noProof/>
          <w:sz w:val="24"/>
        </w:rPr>
        <w:t>la décision 2009/316/JAI du Conseil dispose ce qui suit:</w:t>
      </w:r>
    </w:p>
    <w:p w:rsidR="002216D2" w:rsidRDefault="000F2FA0">
      <w:pPr>
        <w:jc w:val="both"/>
        <w:rPr>
          <w:rFonts w:ascii="Times New Roman" w:hAnsi="Times New Roman" w:cs="Times New Roman"/>
          <w:i/>
          <w:noProof/>
          <w:sz w:val="24"/>
          <w:szCs w:val="24"/>
        </w:rPr>
      </w:pPr>
      <w:r>
        <w:rPr>
          <w:rFonts w:ascii="Times New Roman" w:hAnsi="Times New Roman"/>
          <w:i/>
          <w:noProof/>
          <w:sz w:val="24"/>
        </w:rPr>
        <w:t xml:space="preserve">«[l]es services de la Commission publient régulièrement un rapport sur les échanges, au moyen de l’ECRIS, d’informations extraites du casier judiciaire, fondé notamment sur les statistiques visées à </w:t>
      </w:r>
      <w:r>
        <w:rPr>
          <w:rFonts w:ascii="Times New Roman" w:hAnsi="Times New Roman"/>
          <w:i/>
          <w:noProof/>
          <w:sz w:val="24"/>
        </w:rPr>
        <w:t>l’[article 6, paragraphe 2]. Ce rapport est publié pour la première fois un an après la présentation du rapport visé à l’article 13, paragraphe 3, de la décision-cadre [...].»</w:t>
      </w:r>
    </w:p>
    <w:p w:rsidR="002216D2" w:rsidRDefault="000F2FA0">
      <w:pPr>
        <w:jc w:val="both"/>
        <w:rPr>
          <w:rFonts w:ascii="Times New Roman" w:hAnsi="Times New Roman" w:cs="Times New Roman"/>
          <w:noProof/>
          <w:sz w:val="24"/>
          <w:szCs w:val="24"/>
        </w:rPr>
      </w:pPr>
      <w:r>
        <w:rPr>
          <w:rFonts w:ascii="Times New Roman" w:hAnsi="Times New Roman"/>
          <w:noProof/>
          <w:sz w:val="24"/>
        </w:rPr>
        <w:t>Le rapport sur l’application de la décision-cadre 2009/315/JAI du Conseil mentio</w:t>
      </w:r>
      <w:r>
        <w:rPr>
          <w:rFonts w:ascii="Times New Roman" w:hAnsi="Times New Roman"/>
          <w:noProof/>
          <w:sz w:val="24"/>
        </w:rPr>
        <w:t>nné ci-dessus a été adopté le 19 janvier 2016</w:t>
      </w:r>
      <w:r>
        <w:rPr>
          <w:rStyle w:val="FootnoteReference"/>
          <w:rFonts w:ascii="Times New Roman" w:hAnsi="Times New Roman"/>
          <w:noProof/>
          <w:sz w:val="24"/>
        </w:rPr>
        <w:footnoteReference w:id="5"/>
      </w:r>
      <w:r>
        <w:rPr>
          <w:rFonts w:ascii="Times New Roman" w:hAnsi="Times New Roman"/>
          <w:noProof/>
          <w:sz w:val="24"/>
        </w:rPr>
        <w:t>. La Commission a décidé de présenter son premier rapport statistique, conformément à l’article 7, dans un paquet, en même temps qu’une proposition de règlement portant création d'un système européen d’informat</w:t>
      </w:r>
      <w:r>
        <w:rPr>
          <w:rFonts w:ascii="Times New Roman" w:hAnsi="Times New Roman"/>
          <w:noProof/>
          <w:sz w:val="24"/>
        </w:rPr>
        <w:t>ion sur les casiers judiciaires pour les ressortissants de pays tiers (ECRIS-TCN)</w:t>
      </w:r>
      <w:r>
        <w:rPr>
          <w:rStyle w:val="FootnoteReference"/>
          <w:rFonts w:ascii="Times New Roman" w:hAnsi="Times New Roman"/>
          <w:noProof/>
          <w:sz w:val="24"/>
        </w:rPr>
        <w:footnoteReference w:id="6"/>
      </w:r>
      <w:r>
        <w:rPr>
          <w:rFonts w:ascii="Times New Roman" w:hAnsi="Times New Roman"/>
          <w:noProof/>
          <w:sz w:val="24"/>
        </w:rPr>
        <w:t>, qui viendra compléter l’actuel système ECRIS.</w:t>
      </w:r>
    </w:p>
    <w:p w:rsidR="002216D2" w:rsidRDefault="000F2FA0">
      <w:pPr>
        <w:jc w:val="both"/>
        <w:rPr>
          <w:rFonts w:ascii="Times New Roman" w:hAnsi="Times New Roman"/>
          <w:noProof/>
          <w:sz w:val="24"/>
        </w:rPr>
      </w:pPr>
      <w:r>
        <w:rPr>
          <w:rFonts w:ascii="Times New Roman" w:hAnsi="Times New Roman"/>
          <w:noProof/>
          <w:sz w:val="24"/>
        </w:rPr>
        <w:t>Le présent rapport propose une vue d’ensemble de l’utilisation et de l’application pratique de l’ECRIS depuis son lancement, d</w:t>
      </w:r>
      <w:r>
        <w:rPr>
          <w:rFonts w:ascii="Times New Roman" w:hAnsi="Times New Roman"/>
          <w:noProof/>
          <w:sz w:val="24"/>
        </w:rPr>
        <w:t>’avril 2012 au 31 décembre 2016, en mettant l'accent sur l’année 2016. Son but est de présenter la conformité des échanges des États membres avec le cadre juridique de l’ECRIS ainsi que de décrire les éventuels problèmes relatifs à l’efficacité du système,</w:t>
      </w:r>
      <w:r>
        <w:rPr>
          <w:rFonts w:ascii="Times New Roman" w:hAnsi="Times New Roman"/>
          <w:noProof/>
          <w:sz w:val="24"/>
        </w:rPr>
        <w:t xml:space="preserve"> en vue d’y remédier. </w:t>
      </w:r>
    </w:p>
    <w:p w:rsidR="002216D2" w:rsidRDefault="000F2FA0">
      <w:pPr>
        <w:jc w:val="both"/>
        <w:rPr>
          <w:rFonts w:ascii="Times New Roman" w:hAnsi="Times New Roman" w:cs="Times New Roman"/>
          <w:noProof/>
          <w:sz w:val="24"/>
          <w:szCs w:val="24"/>
        </w:rPr>
      </w:pPr>
      <w:r>
        <w:rPr>
          <w:rFonts w:ascii="Times New Roman" w:hAnsi="Times New Roman"/>
          <w:noProof/>
          <w:sz w:val="24"/>
        </w:rPr>
        <w:t>Si les statistiques présentant un aperçu général de la situation couvrent entièrement les cinq années de fonctionnement de l’ECRIS, les données statistiques comparatives relatives à tous les États membres, ainsi que les tableaux stat</w:t>
      </w:r>
      <w:r>
        <w:rPr>
          <w:rFonts w:ascii="Times New Roman" w:hAnsi="Times New Roman"/>
          <w:noProof/>
          <w:sz w:val="24"/>
        </w:rPr>
        <w:t>istiques des différents États membres à la section 2 de l’annexe, ne couvrent que les échanges ECRIS qui ont eu lieu entre 2014 et 2016. Le choix des trois dernières années de fonctionnement de l’ECRIS pour cette analyse a été motivé par le fait que 2014 a</w:t>
      </w:r>
      <w:r>
        <w:rPr>
          <w:rFonts w:ascii="Times New Roman" w:hAnsi="Times New Roman"/>
          <w:noProof/>
          <w:sz w:val="24"/>
        </w:rPr>
        <w:t xml:space="preserve"> été l’année durant laquelle pas moins de 25 États membres ont procédé à une interconnexion, et qu’à partir de ce moment, les statistiques peuvent être considérées comme donnant un aperçu représentatif de la situation réelle.</w:t>
      </w:r>
    </w:p>
    <w:p w:rsidR="002216D2" w:rsidRDefault="000F2FA0">
      <w:pPr>
        <w:jc w:val="both"/>
        <w:rPr>
          <w:rFonts w:ascii="Times New Roman" w:hAnsi="Times New Roman" w:cs="Times New Roman"/>
          <w:noProof/>
          <w:sz w:val="24"/>
          <w:szCs w:val="24"/>
        </w:rPr>
      </w:pPr>
      <w:r>
        <w:rPr>
          <w:rFonts w:ascii="Times New Roman" w:hAnsi="Times New Roman"/>
          <w:noProof/>
          <w:sz w:val="24"/>
        </w:rPr>
        <w:t>Le présent rapport est basé su</w:t>
      </w:r>
      <w:r>
        <w:rPr>
          <w:rFonts w:ascii="Times New Roman" w:hAnsi="Times New Roman"/>
          <w:noProof/>
          <w:sz w:val="24"/>
        </w:rPr>
        <w:t>r les statistiques générées automatiquement par le système et envoyées à la Commission par les États membres. Un choix a été opéré parmi les 225 indicateurs statistiques définis pour l’ECRIS afin de ne publier que les informations statistiques les plus per</w:t>
      </w:r>
      <w:r>
        <w:rPr>
          <w:rFonts w:ascii="Times New Roman" w:hAnsi="Times New Roman"/>
          <w:noProof/>
          <w:sz w:val="24"/>
        </w:rPr>
        <w:t xml:space="preserve">tinentes et les plus utiles. </w:t>
      </w:r>
    </w:p>
    <w:p w:rsidR="002216D2" w:rsidRDefault="000F2FA0">
      <w:pPr>
        <w:jc w:val="both"/>
        <w:rPr>
          <w:rFonts w:ascii="Times New Roman" w:hAnsi="Times New Roman" w:cs="Times New Roman"/>
          <w:noProof/>
          <w:sz w:val="24"/>
          <w:szCs w:val="24"/>
        </w:rPr>
      </w:pPr>
      <w:r>
        <w:rPr>
          <w:rFonts w:ascii="Times New Roman" w:hAnsi="Times New Roman"/>
          <w:noProof/>
          <w:sz w:val="24"/>
        </w:rPr>
        <w:t>Les États membres ont également été invités à communiquer des statistiques sur le nombre de condamnations de ressortissants d’autres États membres prononcées sur leur territoire, afin de pouvoir donner un aperçu de l’applicati</w:t>
      </w:r>
      <w:r>
        <w:rPr>
          <w:rFonts w:ascii="Times New Roman" w:hAnsi="Times New Roman"/>
          <w:noProof/>
          <w:sz w:val="24"/>
        </w:rPr>
        <w:t xml:space="preserve">on de la procédure de notification.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 rapport inclut des données sur les condamnations transmises par 24 États membres. La Commission n’a pas reçu de données de la Bulgarie, de Chypre, du Danemark et de la Slovénie. </w:t>
      </w:r>
    </w:p>
    <w:p w:rsidR="002216D2" w:rsidRDefault="000F2FA0">
      <w:pPr>
        <w:jc w:val="both"/>
        <w:rPr>
          <w:rFonts w:ascii="Times New Roman" w:hAnsi="Times New Roman" w:cs="Times New Roman"/>
          <w:b/>
          <w:smallCaps/>
          <w:noProof/>
          <w:color w:val="000080"/>
          <w:kern w:val="28"/>
          <w:sz w:val="24"/>
          <w:szCs w:val="24"/>
        </w:rPr>
      </w:pPr>
      <w:r>
        <w:rPr>
          <w:rFonts w:ascii="Times New Roman" w:hAnsi="Times New Roman"/>
          <w:b/>
          <w:noProof/>
          <w:sz w:val="24"/>
        </w:rPr>
        <w:t>2. Principales observations</w:t>
      </w:r>
    </w:p>
    <w:p w:rsidR="002216D2" w:rsidRDefault="000F2FA0">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rPr>
        <w:t>Les 28 Ét</w:t>
      </w:r>
      <w:r>
        <w:rPr>
          <w:rFonts w:ascii="Times New Roman" w:hAnsi="Times New Roman"/>
          <w:b/>
          <w:noProof/>
          <w:sz w:val="24"/>
        </w:rPr>
        <w:t>ats membres sont tous actifs dans l’ECRIS, mais 24 % des interconnexions potentielles sont absentes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Après cinq ans de fonctionnement de l’ECRIS, les </w:t>
      </w:r>
      <w:r>
        <w:rPr>
          <w:rFonts w:ascii="Times New Roman" w:hAnsi="Times New Roman"/>
          <w:b/>
          <w:noProof/>
          <w:sz w:val="24"/>
        </w:rPr>
        <w:t>28 États membres</w:t>
      </w:r>
      <w:r>
        <w:rPr>
          <w:rFonts w:ascii="Times New Roman" w:hAnsi="Times New Roman"/>
          <w:noProof/>
          <w:sz w:val="24"/>
        </w:rPr>
        <w:t xml:space="preserve"> sont actuellement</w:t>
      </w:r>
      <w:r>
        <w:rPr>
          <w:rFonts w:ascii="Times New Roman" w:hAnsi="Times New Roman"/>
          <w:b/>
          <w:noProof/>
          <w:sz w:val="24"/>
        </w:rPr>
        <w:t xml:space="preserve"> tous connectés à l’ECRIS</w:t>
      </w:r>
      <w:r>
        <w:rPr>
          <w:rFonts w:ascii="Times New Roman" w:hAnsi="Times New Roman"/>
          <w:noProof/>
          <w:sz w:val="24"/>
        </w:rPr>
        <w:t>, la Slovénie et le Portugal ayant rejoint le sy</w:t>
      </w:r>
      <w:r>
        <w:rPr>
          <w:rFonts w:ascii="Times New Roman" w:hAnsi="Times New Roman"/>
          <w:noProof/>
          <w:sz w:val="24"/>
        </w:rPr>
        <w:t>stème en janvier 2017. Toutefois,</w:t>
      </w:r>
      <w:r>
        <w:rPr>
          <w:rFonts w:ascii="Times New Roman" w:hAnsi="Times New Roman"/>
          <w:b/>
          <w:noProof/>
          <w:sz w:val="24"/>
        </w:rPr>
        <w:t xml:space="preserve"> aucun État membre n’échange des informations via l’ECRIS avec l'ensemble des 27 autres États membres.</w:t>
      </w:r>
      <w:r>
        <w:rPr>
          <w:rFonts w:ascii="Times New Roman" w:hAnsi="Times New Roman"/>
          <w:noProof/>
          <w:sz w:val="24"/>
        </w:rPr>
        <w:t xml:space="preserve"> Fin 2016, </w:t>
      </w:r>
      <w:r>
        <w:rPr>
          <w:rFonts w:ascii="Times New Roman" w:hAnsi="Times New Roman"/>
          <w:b/>
          <w:noProof/>
          <w:sz w:val="24"/>
        </w:rPr>
        <w:t>seules 76 % du nombre total d’interconnexions possibles</w:t>
      </w:r>
      <w:r>
        <w:rPr>
          <w:rFonts w:ascii="Times New Roman" w:hAnsi="Times New Roman"/>
          <w:noProof/>
          <w:sz w:val="24"/>
        </w:rPr>
        <w:t xml:space="preserve"> avaient été établies. Le but ultime – c’est-à-dire que</w:t>
      </w:r>
      <w:r>
        <w:rPr>
          <w:rFonts w:ascii="Times New Roman" w:hAnsi="Times New Roman"/>
          <w:noProof/>
          <w:sz w:val="24"/>
        </w:rPr>
        <w:t xml:space="preserve"> chaque État membre soit connecté à l’ECRIS et échange des informations via ce système avec tous les autres États membres – reste donc à atteindre.</w:t>
      </w:r>
    </w:p>
    <w:p w:rsidR="002216D2" w:rsidRDefault="000F2FA0">
      <w:pPr>
        <w:numPr>
          <w:ilvl w:val="0"/>
          <w:numId w:val="27"/>
        </w:numPr>
        <w:ind w:left="714" w:hanging="357"/>
        <w:jc w:val="both"/>
        <w:rPr>
          <w:rFonts w:ascii="Times New Roman" w:hAnsi="Times New Roman"/>
          <w:b/>
          <w:noProof/>
          <w:sz w:val="24"/>
        </w:rPr>
      </w:pPr>
      <w:r>
        <w:rPr>
          <w:rFonts w:ascii="Times New Roman" w:hAnsi="Times New Roman"/>
          <w:b/>
          <w:noProof/>
          <w:sz w:val="24"/>
        </w:rPr>
        <w:t>Le nombre de messages échangés a atteint 2 millions en 2016</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Si, fin 2012, 300 000 messages avaient été échangés par tous les États membres interconnectés, ce nombre a atteint près de </w:t>
      </w:r>
      <w:r>
        <w:rPr>
          <w:rFonts w:ascii="Times New Roman" w:hAnsi="Times New Roman"/>
          <w:b/>
          <w:noProof/>
          <w:sz w:val="24"/>
        </w:rPr>
        <w:t>2 millions en 2016,</w:t>
      </w:r>
      <w:r>
        <w:rPr>
          <w:rFonts w:ascii="Times New Roman" w:hAnsi="Times New Roman"/>
          <w:noProof/>
          <w:sz w:val="24"/>
        </w:rPr>
        <w:t xml:space="preserve"> avec </w:t>
      </w:r>
      <w:r>
        <w:rPr>
          <w:rFonts w:ascii="Times New Roman" w:hAnsi="Times New Roman"/>
          <w:b/>
          <w:noProof/>
          <w:sz w:val="24"/>
        </w:rPr>
        <w:t>en moyenne 165 000 messages par mois</w:t>
      </w:r>
      <w:r>
        <w:rPr>
          <w:rFonts w:ascii="Times New Roman" w:hAnsi="Times New Roman"/>
          <w:noProof/>
          <w:sz w:val="24"/>
        </w:rPr>
        <w:t>. Actuellement,</w:t>
      </w:r>
      <w:r>
        <w:rPr>
          <w:rFonts w:ascii="Times New Roman" w:hAnsi="Times New Roman"/>
          <w:b/>
          <w:noProof/>
          <w:sz w:val="24"/>
        </w:rPr>
        <w:t xml:space="preserve"> les notifications annuelles sur les nouvelles condamnati</w:t>
      </w:r>
      <w:r>
        <w:rPr>
          <w:rFonts w:ascii="Times New Roman" w:hAnsi="Times New Roman"/>
          <w:b/>
          <w:noProof/>
          <w:sz w:val="24"/>
        </w:rPr>
        <w:t>ons, les demandes et les réponses aux demandes</w:t>
      </w:r>
      <w:r>
        <w:rPr>
          <w:rFonts w:ascii="Times New Roman" w:hAnsi="Times New Roman"/>
          <w:noProof/>
          <w:sz w:val="24"/>
        </w:rPr>
        <w:t xml:space="preserve"> s’élèvent approximativement à </w:t>
      </w:r>
      <w:r>
        <w:rPr>
          <w:rFonts w:ascii="Times New Roman" w:hAnsi="Times New Roman"/>
          <w:b/>
          <w:noProof/>
          <w:sz w:val="24"/>
        </w:rPr>
        <w:t>350 000</w:t>
      </w:r>
      <w:r>
        <w:rPr>
          <w:rFonts w:ascii="Times New Roman" w:hAnsi="Times New Roman"/>
          <w:noProof/>
          <w:sz w:val="24"/>
        </w:rPr>
        <w:t> par catégorie. Les États membres les plus actifs sur le plan du volume total de ces trois types de messages envoyés en 2016 étaient DE (24,9 %), puis UK (13,7 %), IT (7,7 </w:t>
      </w:r>
      <w:r>
        <w:rPr>
          <w:rFonts w:ascii="Times New Roman" w:hAnsi="Times New Roman"/>
          <w:noProof/>
          <w:sz w:val="24"/>
        </w:rPr>
        <w:t>%), PL (6,6 %) et RO (5,5 %).</w:t>
      </w:r>
    </w:p>
    <w:p w:rsidR="002216D2" w:rsidRDefault="000F2FA0">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 xml:space="preserve">Une réponse sur trois mentionne les précédentes condamnations pénales </w:t>
      </w:r>
    </w:p>
    <w:p w:rsidR="002216D2" w:rsidRDefault="000F2FA0">
      <w:pPr>
        <w:jc w:val="both"/>
        <w:rPr>
          <w:rFonts w:ascii="Times New Roman" w:hAnsi="Times New Roman" w:cs="Times New Roman"/>
          <w:noProof/>
          <w:sz w:val="24"/>
          <w:szCs w:val="24"/>
        </w:rPr>
      </w:pPr>
      <w:r>
        <w:rPr>
          <w:rFonts w:ascii="Times New Roman" w:hAnsi="Times New Roman"/>
          <w:noProof/>
          <w:sz w:val="24"/>
        </w:rPr>
        <w:t>Depuis la première année de fonctionnement de l’ECRIS,</w:t>
      </w:r>
      <w:r>
        <w:rPr>
          <w:rFonts w:ascii="Times New Roman" w:hAnsi="Times New Roman"/>
          <w:b/>
          <w:noProof/>
          <w:sz w:val="24"/>
        </w:rPr>
        <w:t xml:space="preserve"> 31 % des demandes d’informations sur de précédentes condamnations d’une personne ont reçu une réponse où figuraient des informations sur de précédentes condamnations pénales.</w:t>
      </w:r>
      <w:r>
        <w:rPr>
          <w:rFonts w:ascii="Times New Roman" w:hAnsi="Times New Roman"/>
          <w:noProof/>
          <w:sz w:val="24"/>
        </w:rPr>
        <w:t xml:space="preserve"> Autrement dit, dans 31 % des demandes, la personne concernée avait déjà été cond</w:t>
      </w:r>
      <w:r>
        <w:rPr>
          <w:rFonts w:ascii="Times New Roman" w:hAnsi="Times New Roman"/>
          <w:noProof/>
          <w:sz w:val="24"/>
        </w:rPr>
        <w:t xml:space="preserve">amnée une ou plusieurs fois dans un autre pays de l’Union. Cela prouve la valeur significative de l’ECRIS en tant qu’outil d’obtention d’informations sur les casiers judiciaires. En </w:t>
      </w:r>
      <w:r>
        <w:rPr>
          <w:rFonts w:ascii="Times New Roman" w:hAnsi="Times New Roman"/>
          <w:b/>
          <w:noProof/>
          <w:sz w:val="24"/>
        </w:rPr>
        <w:t>2016</w:t>
      </w:r>
      <w:r>
        <w:rPr>
          <w:rFonts w:ascii="Times New Roman" w:hAnsi="Times New Roman"/>
          <w:noProof/>
          <w:sz w:val="24"/>
        </w:rPr>
        <w:t xml:space="preserve">, plus de </w:t>
      </w:r>
      <w:r>
        <w:rPr>
          <w:rFonts w:ascii="Times New Roman" w:hAnsi="Times New Roman"/>
          <w:b/>
          <w:noProof/>
          <w:sz w:val="24"/>
        </w:rPr>
        <w:t>105 000 réponses contenaient des informations sur de précéde</w:t>
      </w:r>
      <w:r>
        <w:rPr>
          <w:rFonts w:ascii="Times New Roman" w:hAnsi="Times New Roman"/>
          <w:b/>
          <w:noProof/>
          <w:sz w:val="24"/>
        </w:rPr>
        <w:t>ntes condamnations pénales.</w:t>
      </w:r>
    </w:p>
    <w:p w:rsidR="002216D2" w:rsidRDefault="000F2FA0">
      <w:pPr>
        <w:numPr>
          <w:ilvl w:val="0"/>
          <w:numId w:val="27"/>
        </w:numPr>
        <w:ind w:left="714" w:hanging="357"/>
        <w:jc w:val="both"/>
        <w:rPr>
          <w:rFonts w:ascii="Times New Roman" w:hAnsi="Times New Roman"/>
          <w:b/>
          <w:noProof/>
          <w:sz w:val="24"/>
        </w:rPr>
      </w:pPr>
      <w:r>
        <w:rPr>
          <w:rFonts w:ascii="Times New Roman" w:hAnsi="Times New Roman"/>
          <w:b/>
          <w:noProof/>
          <w:sz w:val="24"/>
        </w:rPr>
        <w:t>Stabilisation de la tendance des notifications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Depuis 2014, avec 25 États membres interconnectés, </w:t>
      </w:r>
      <w:r>
        <w:rPr>
          <w:rFonts w:ascii="Times New Roman" w:hAnsi="Times New Roman"/>
          <w:b/>
          <w:noProof/>
          <w:sz w:val="24"/>
        </w:rPr>
        <w:t>le nombre de notifications relatives à de nouvelles condamnations s’est progressivement stabilisé</w:t>
      </w:r>
      <w:r>
        <w:rPr>
          <w:rFonts w:ascii="Times New Roman" w:hAnsi="Times New Roman"/>
          <w:noProof/>
          <w:sz w:val="24"/>
        </w:rPr>
        <w:t xml:space="preserve">, pour atteindre </w:t>
      </w:r>
      <w:r>
        <w:rPr>
          <w:rFonts w:ascii="Times New Roman" w:hAnsi="Times New Roman"/>
          <w:b/>
          <w:noProof/>
          <w:sz w:val="24"/>
        </w:rPr>
        <w:t>330 000 notifica</w:t>
      </w:r>
      <w:r>
        <w:rPr>
          <w:rFonts w:ascii="Times New Roman" w:hAnsi="Times New Roman"/>
          <w:b/>
          <w:noProof/>
          <w:sz w:val="24"/>
        </w:rPr>
        <w:t>tions en 2016</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Cela fait suite à une période de forte croissance initiale, alors que de nouveaux États membres rejoignaient le réseau et créaient davantage d’interconnexions. Le nombre de notifications devrait encore augmenter, indépendamment du taux de co</w:t>
      </w:r>
      <w:r>
        <w:rPr>
          <w:rFonts w:ascii="Times New Roman" w:hAnsi="Times New Roman"/>
          <w:noProof/>
          <w:sz w:val="24"/>
        </w:rPr>
        <w:t>ndamnation, à mesure que le taux d’interconnexion s’approche de 100 %.</w:t>
      </w:r>
    </w:p>
    <w:p w:rsidR="002216D2" w:rsidRDefault="000F2FA0">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Augmentation rapide du nombre de demandes d’informations et de réponses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nombre de demandes d’informations</w:t>
      </w:r>
      <w:r>
        <w:rPr>
          <w:rFonts w:ascii="Times New Roman" w:hAnsi="Times New Roman"/>
          <w:noProof/>
          <w:sz w:val="24"/>
        </w:rPr>
        <w:t xml:space="preserve"> et </w:t>
      </w:r>
      <w:r>
        <w:rPr>
          <w:rFonts w:ascii="Times New Roman" w:hAnsi="Times New Roman"/>
          <w:b/>
          <w:noProof/>
          <w:sz w:val="24"/>
        </w:rPr>
        <w:t>de réponses à ces demandes a rapidement augmenté</w:t>
      </w:r>
      <w:r>
        <w:rPr>
          <w:rFonts w:ascii="Times New Roman" w:hAnsi="Times New Roman"/>
          <w:noProof/>
          <w:sz w:val="24"/>
        </w:rPr>
        <w:t xml:space="preserve"> au cours des cinq derniè</w:t>
      </w:r>
      <w:r>
        <w:rPr>
          <w:rFonts w:ascii="Times New Roman" w:hAnsi="Times New Roman"/>
          <w:noProof/>
          <w:sz w:val="24"/>
        </w:rPr>
        <w:t xml:space="preserve">res années, pour atteindre </w:t>
      </w:r>
      <w:r>
        <w:rPr>
          <w:rFonts w:ascii="Times New Roman" w:hAnsi="Times New Roman"/>
          <w:b/>
          <w:noProof/>
          <w:sz w:val="24"/>
        </w:rPr>
        <w:t>364 000 demandes</w:t>
      </w:r>
      <w:r>
        <w:rPr>
          <w:rFonts w:ascii="Times New Roman" w:hAnsi="Times New Roman"/>
          <w:noProof/>
          <w:sz w:val="24"/>
        </w:rPr>
        <w:t xml:space="preserve"> et </w:t>
      </w:r>
      <w:r>
        <w:rPr>
          <w:rFonts w:ascii="Times New Roman" w:hAnsi="Times New Roman"/>
          <w:b/>
          <w:noProof/>
          <w:sz w:val="24"/>
        </w:rPr>
        <w:t>350 000 réponses</w:t>
      </w:r>
      <w:r>
        <w:rPr>
          <w:rFonts w:ascii="Times New Roman" w:hAnsi="Times New Roman"/>
          <w:noProof/>
          <w:sz w:val="24"/>
        </w:rPr>
        <w:t xml:space="preserve"> en 2016. Cette évolution est un signe encourageant de la sensibilisation, dans les États membres, à la nécessité d’utiliser l’ECRIS pour demander des informations en vue de procédures pénales,</w:t>
      </w:r>
      <w:r>
        <w:rPr>
          <w:rFonts w:ascii="Times New Roman" w:hAnsi="Times New Roman"/>
          <w:noProof/>
          <w:sz w:val="24"/>
        </w:rPr>
        <w:t xml:space="preserve"> ainsi que pour d’autres fins telles que le recrutement, en particulier à des postes impliquant des contacts directs et réguliers avec des enfants, conformément à la directive 2011/93/UE</w:t>
      </w:r>
      <w:r>
        <w:rPr>
          <w:rFonts w:ascii="Times New Roman" w:hAnsi="Times New Roman"/>
          <w:noProof/>
          <w:sz w:val="24"/>
          <w:vertAlign w:val="superscript"/>
        </w:rPr>
        <w:footnoteReference w:id="7"/>
      </w:r>
      <w:r>
        <w:rPr>
          <w:rFonts w:ascii="Times New Roman" w:hAnsi="Times New Roman"/>
          <w:noProof/>
          <w:sz w:val="24"/>
        </w:rPr>
        <w:t xml:space="preserve">. </w:t>
      </w:r>
    </w:p>
    <w:p w:rsidR="002216D2" w:rsidRDefault="000F2FA0">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Différences significatives entre les activités ECRIS des États mem</w:t>
      </w:r>
      <w:r>
        <w:rPr>
          <w:rFonts w:ascii="Times New Roman" w:hAnsi="Times New Roman"/>
          <w:b/>
          <w:noProof/>
          <w:sz w:val="24"/>
        </w:rPr>
        <w:t xml:space="preserve">bres et leur charge de travail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Certains États membres envoient beaucoup plus de </w:t>
      </w:r>
      <w:r>
        <w:rPr>
          <w:rFonts w:ascii="Times New Roman" w:hAnsi="Times New Roman"/>
          <w:b/>
          <w:noProof/>
          <w:sz w:val="24"/>
        </w:rPr>
        <w:t>demandes d’informations qu’ils n’en reçoivent</w:t>
      </w:r>
      <w:r>
        <w:rPr>
          <w:rFonts w:ascii="Times New Roman" w:hAnsi="Times New Roman"/>
          <w:noProof/>
          <w:sz w:val="24"/>
        </w:rPr>
        <w:t xml:space="preserve">. Tel était le cas, en 2016, de DE, UK, AT et CZ. D’autres États membres sont confrontés à une </w:t>
      </w:r>
      <w:r>
        <w:rPr>
          <w:rFonts w:ascii="Times New Roman" w:hAnsi="Times New Roman"/>
          <w:b/>
          <w:noProof/>
          <w:sz w:val="24"/>
        </w:rPr>
        <w:t>importante charge de travail pour r</w:t>
      </w:r>
      <w:r>
        <w:rPr>
          <w:rFonts w:ascii="Times New Roman" w:hAnsi="Times New Roman"/>
          <w:b/>
          <w:noProof/>
          <w:sz w:val="24"/>
        </w:rPr>
        <w:t>épondre aux demandes</w:t>
      </w:r>
      <w:r>
        <w:rPr>
          <w:rFonts w:ascii="Times New Roman" w:hAnsi="Times New Roman"/>
          <w:noProof/>
          <w:sz w:val="24"/>
        </w:rPr>
        <w:t>, tandis qu’ils en envoient moins eux-mêmes: PL, RO, SK, LT, IT, BG, LV, HU, HR, IE, EL, EE. Pour d’autres États membres, la charge de travail est essentiellement due à l’envoi d’un grand nombre de notifications sur de nouvelles condamn</w:t>
      </w:r>
      <w:r>
        <w:rPr>
          <w:rFonts w:ascii="Times New Roman" w:hAnsi="Times New Roman"/>
          <w:noProof/>
          <w:sz w:val="24"/>
        </w:rPr>
        <w:t>ations aux États membres de la nationalité du coupable, alors qu’ils envoient moins de demandes eux-mêmes: IT, BE, ES, FR, CY.</w:t>
      </w:r>
    </w:p>
    <w:p w:rsidR="002216D2" w:rsidRDefault="000F2FA0">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 xml:space="preserve">Les condamnations et mises à jour ne sont pas toutes notifiées </w:t>
      </w:r>
    </w:p>
    <w:p w:rsidR="002216D2" w:rsidRDefault="000F2FA0">
      <w:pPr>
        <w:jc w:val="both"/>
        <w:rPr>
          <w:rFonts w:ascii="Times New Roman" w:hAnsi="Times New Roman" w:cs="Times New Roman"/>
          <w:noProof/>
          <w:sz w:val="24"/>
          <w:szCs w:val="24"/>
        </w:rPr>
      </w:pPr>
      <w:r>
        <w:rPr>
          <w:rFonts w:ascii="Times New Roman" w:hAnsi="Times New Roman"/>
          <w:noProof/>
          <w:sz w:val="24"/>
        </w:rPr>
        <w:t>Les États membres les plus actifs sur le plan du volume de notifi</w:t>
      </w:r>
      <w:r>
        <w:rPr>
          <w:rFonts w:ascii="Times New Roman" w:hAnsi="Times New Roman"/>
          <w:noProof/>
          <w:sz w:val="24"/>
        </w:rPr>
        <w:t>cations envoyées au sujet de nouvelles condamnations en 2016 étaient DE (29,7 % de l’ensemble des notifications de ce type envoyées), IT (19,0 %), BE (13,6 %), UK (9,9 %), ES (9,0 %) et FR (5,2 %).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En revanche, certains États membres </w:t>
      </w:r>
      <w:r>
        <w:rPr>
          <w:rFonts w:ascii="Times New Roman" w:hAnsi="Times New Roman"/>
          <w:b/>
          <w:noProof/>
          <w:sz w:val="24"/>
        </w:rPr>
        <w:t>n’envoient pas du tout</w:t>
      </w:r>
      <w:r>
        <w:rPr>
          <w:rFonts w:ascii="Times New Roman" w:hAnsi="Times New Roman"/>
          <w:b/>
          <w:noProof/>
          <w:sz w:val="24"/>
        </w:rPr>
        <w:t xml:space="preserve"> de notifications sur les nouvelles condamnations</w:t>
      </w:r>
      <w:r>
        <w:rPr>
          <w:rFonts w:ascii="Times New Roman" w:hAnsi="Times New Roman"/>
          <w:noProof/>
          <w:sz w:val="24"/>
        </w:rPr>
        <w:t xml:space="preserve"> (EL) </w:t>
      </w:r>
      <w:r>
        <w:rPr>
          <w:rFonts w:ascii="Times New Roman" w:hAnsi="Times New Roman"/>
          <w:b/>
          <w:noProof/>
          <w:sz w:val="24"/>
        </w:rPr>
        <w:t>ou n’en envoient qu’un faible nombre</w:t>
      </w:r>
      <w:r>
        <w:rPr>
          <w:rFonts w:ascii="Times New Roman" w:hAnsi="Times New Roman"/>
          <w:noProof/>
          <w:sz w:val="24"/>
        </w:rPr>
        <w:t xml:space="preserve"> par rapport à leur population de ressortissants d’autres pays membres</w:t>
      </w:r>
      <w:r>
        <w:rPr>
          <w:rStyle w:val="FootnoteReference"/>
          <w:rFonts w:ascii="Times New Roman" w:hAnsi="Times New Roman"/>
          <w:noProof/>
          <w:sz w:val="24"/>
        </w:rPr>
        <w:footnoteReference w:id="8"/>
      </w:r>
      <w:r>
        <w:rPr>
          <w:rFonts w:ascii="Times New Roman" w:hAnsi="Times New Roman"/>
          <w:noProof/>
          <w:sz w:val="24"/>
        </w:rPr>
        <w:t xml:space="preserve"> (BG, EE, HR, LT, LV, MT, RO en 2016; BG, EE, LV, HR, LT en 2015; BG, EE, HR, LT, LV, RO, SK en 2014). La non-notification fiable et systématique des condamnations pourrait avoir pour conséquence de permettre à des auteurs d’infractions pénales d’échapper </w:t>
      </w:r>
      <w:r>
        <w:rPr>
          <w:rFonts w:ascii="Times New Roman" w:hAnsi="Times New Roman"/>
          <w:noProof/>
          <w:sz w:val="24"/>
        </w:rPr>
        <w:t>à leur passé criminel ou de commettre de nouveau les mêmes infractions.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mises à jour d’informations envoyées sur des condamnations</w:t>
      </w:r>
      <w:r>
        <w:rPr>
          <w:rFonts w:ascii="Times New Roman" w:hAnsi="Times New Roman"/>
          <w:noProof/>
          <w:sz w:val="24"/>
        </w:rPr>
        <w:t xml:space="preserve"> ont représenté en moyenne </w:t>
      </w:r>
      <w:r>
        <w:rPr>
          <w:rFonts w:ascii="Times New Roman" w:hAnsi="Times New Roman"/>
          <w:b/>
          <w:noProof/>
          <w:sz w:val="24"/>
        </w:rPr>
        <w:t>27 % du total des notifications</w:t>
      </w:r>
      <w:r>
        <w:rPr>
          <w:rFonts w:ascii="Times New Roman" w:hAnsi="Times New Roman"/>
          <w:noProof/>
          <w:sz w:val="24"/>
        </w:rPr>
        <w:t xml:space="preserve"> en 2016. Certains États membres </w:t>
      </w:r>
      <w:r>
        <w:rPr>
          <w:rFonts w:ascii="Times New Roman" w:hAnsi="Times New Roman"/>
          <w:b/>
          <w:noProof/>
          <w:sz w:val="24"/>
        </w:rPr>
        <w:t>n’ont pas du tout envoyé de mis</w:t>
      </w:r>
      <w:r>
        <w:rPr>
          <w:rFonts w:ascii="Times New Roman" w:hAnsi="Times New Roman"/>
          <w:b/>
          <w:noProof/>
          <w:sz w:val="24"/>
        </w:rPr>
        <w:t xml:space="preserve">es à jour </w:t>
      </w:r>
      <w:r>
        <w:rPr>
          <w:rFonts w:ascii="Times New Roman" w:hAnsi="Times New Roman"/>
          <w:noProof/>
          <w:sz w:val="24"/>
        </w:rPr>
        <w:t xml:space="preserve"> sur des notifications précédemment envoyées (BG, DK, EE, EL, LV, RO en 2016; BG, DK, FI, EL en 2015; DK, EE, FI, EL, HR, RO en 2014) ou ont </w:t>
      </w:r>
      <w:r>
        <w:rPr>
          <w:rFonts w:ascii="Times New Roman" w:hAnsi="Times New Roman"/>
          <w:b/>
          <w:noProof/>
          <w:sz w:val="24"/>
        </w:rPr>
        <w:t>envoyé un faible volume</w:t>
      </w:r>
      <w:r>
        <w:rPr>
          <w:rFonts w:ascii="Times New Roman" w:hAnsi="Times New Roman"/>
          <w:noProof/>
          <w:sz w:val="24"/>
        </w:rPr>
        <w:t xml:space="preserve"> de messages de ce type (HR, LT, LU en 2016; EE, HR, LT, LU, LV, RO en 2015; BG, H</w:t>
      </w:r>
      <w:r>
        <w:rPr>
          <w:rFonts w:ascii="Times New Roman" w:hAnsi="Times New Roman"/>
          <w:noProof/>
          <w:sz w:val="24"/>
        </w:rPr>
        <w:t xml:space="preserve">U, IE, LT, LU, LV, SK en 2014). La non-mise à jour des informations sur les condamnations entraîne le traitement et la diffusion d‘informations périmées et non fiables par l’État membre de nationalité. </w:t>
      </w:r>
    </w:p>
    <w:p w:rsidR="002216D2" w:rsidRDefault="000F2FA0">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 xml:space="preserve">L’ECRIS n’est pas toujours utilisé pour demander des </w:t>
      </w:r>
      <w:r>
        <w:rPr>
          <w:rFonts w:ascii="Times New Roman" w:hAnsi="Times New Roman"/>
          <w:b/>
          <w:noProof/>
          <w:sz w:val="24"/>
        </w:rPr>
        <w:t>informations sur les précédentes condamnations</w:t>
      </w:r>
    </w:p>
    <w:p w:rsidR="002216D2" w:rsidRDefault="000F2FA0">
      <w:pPr>
        <w:jc w:val="both"/>
        <w:rPr>
          <w:rFonts w:ascii="Times New Roman" w:hAnsi="Times New Roman" w:cs="Times New Roman"/>
          <w:noProof/>
          <w:sz w:val="24"/>
          <w:szCs w:val="24"/>
        </w:rPr>
      </w:pPr>
      <w:r>
        <w:rPr>
          <w:rFonts w:ascii="Times New Roman" w:hAnsi="Times New Roman"/>
          <w:noProof/>
          <w:sz w:val="24"/>
        </w:rPr>
        <w:t>Les États membres ayant envoyé les plus gros volumes de demandes en 2016 étaient: DE (38,6 %), puis UK (26,7 %), CZ (10,1 %), AT (6,9 %), ES (3,7 %) et FR (3,5 %). Toutefois, certains États membres</w:t>
      </w:r>
      <w:r>
        <w:rPr>
          <w:rFonts w:ascii="Times New Roman" w:hAnsi="Times New Roman"/>
          <w:b/>
          <w:noProof/>
          <w:sz w:val="24"/>
        </w:rPr>
        <w:t xml:space="preserve"> n’ont pas e</w:t>
      </w:r>
      <w:r>
        <w:rPr>
          <w:rFonts w:ascii="Times New Roman" w:hAnsi="Times New Roman"/>
          <w:b/>
          <w:noProof/>
          <w:sz w:val="24"/>
        </w:rPr>
        <w:t>nvoyé</w:t>
      </w:r>
      <w:r>
        <w:rPr>
          <w:rFonts w:ascii="Times New Roman" w:hAnsi="Times New Roman"/>
          <w:noProof/>
          <w:sz w:val="24"/>
        </w:rPr>
        <w:t xml:space="preserve"> du tout de </w:t>
      </w:r>
      <w:r>
        <w:rPr>
          <w:rFonts w:ascii="Times New Roman" w:hAnsi="Times New Roman"/>
          <w:b/>
          <w:noProof/>
          <w:sz w:val="24"/>
        </w:rPr>
        <w:t>demandes d’informations</w:t>
      </w:r>
      <w:r>
        <w:rPr>
          <w:rFonts w:ascii="Times New Roman" w:hAnsi="Times New Roman"/>
          <w:noProof/>
          <w:sz w:val="24"/>
        </w:rPr>
        <w:t xml:space="preserve"> (EL) </w:t>
      </w:r>
      <w:r>
        <w:rPr>
          <w:rFonts w:ascii="Times New Roman" w:hAnsi="Times New Roman"/>
          <w:b/>
          <w:noProof/>
          <w:sz w:val="24"/>
        </w:rPr>
        <w:t>ou en ont envoyé un faible nombre</w:t>
      </w:r>
      <w:r>
        <w:rPr>
          <w:rFonts w:ascii="Times New Roman" w:hAnsi="Times New Roman"/>
          <w:noProof/>
          <w:sz w:val="24"/>
        </w:rPr>
        <w:t xml:space="preserve"> (BG, CY, HU, IT, MT, SK en 2016; BG, HU, IT, SK en 2015; BG, EE, HR, HU, IT, SK en 2014). Cela donne lieu à une situation dans laquelle les juridictions pénales pourraient rend</w:t>
      </w:r>
      <w:r>
        <w:rPr>
          <w:rFonts w:ascii="Times New Roman" w:hAnsi="Times New Roman"/>
          <w:noProof/>
          <w:sz w:val="24"/>
        </w:rPr>
        <w:t>re des jugements sans connaître les précédentes condamnations prononcées dans d’autres États membres, contrairement aux dispositions de la décision-cadre 2008/675/JAI</w:t>
      </w:r>
      <w:r>
        <w:rPr>
          <w:rStyle w:val="FootnoteReference"/>
          <w:rFonts w:ascii="Times New Roman" w:hAnsi="Times New Roman"/>
          <w:noProof/>
          <w:sz w:val="24"/>
        </w:rPr>
        <w:footnoteReference w:id="9"/>
      </w:r>
      <w:r>
        <w:rPr>
          <w:rFonts w:ascii="Times New Roman" w:hAnsi="Times New Roman"/>
          <w:noProof/>
          <w:sz w:val="24"/>
        </w:rPr>
        <w:t>. Des informations insuffisantes sur de précédentes condamnations empêcheront également d</w:t>
      </w:r>
      <w:r>
        <w:rPr>
          <w:rFonts w:ascii="Times New Roman" w:hAnsi="Times New Roman"/>
          <w:noProof/>
          <w:sz w:val="24"/>
        </w:rPr>
        <w:t>‘utiliser des informations fiables sur les condamnations à d’autres fins que des procédures pénales (par exemple pour des contrôles préalables à l’embauche) et nuiront ainsi à la prévention de la criminalité.</w:t>
      </w:r>
    </w:p>
    <w:p w:rsidR="002216D2" w:rsidRDefault="000F2FA0">
      <w:pPr>
        <w:pStyle w:val="ListParagraph"/>
        <w:numPr>
          <w:ilvl w:val="0"/>
          <w:numId w:val="27"/>
        </w:numPr>
        <w:jc w:val="both"/>
        <w:rPr>
          <w:rFonts w:ascii="Times New Roman" w:hAnsi="Times New Roman" w:cs="Times New Roman"/>
          <w:b/>
          <w:noProof/>
          <w:sz w:val="24"/>
          <w:szCs w:val="24"/>
        </w:rPr>
      </w:pPr>
      <w:r>
        <w:rPr>
          <w:rFonts w:ascii="Times New Roman" w:hAnsi="Times New Roman"/>
          <w:b/>
          <w:noProof/>
          <w:sz w:val="24"/>
        </w:rPr>
        <w:t xml:space="preserve">Près de 14 000 demandes d’informations (3,9 %) </w:t>
      </w:r>
      <w:r>
        <w:rPr>
          <w:rFonts w:ascii="Times New Roman" w:hAnsi="Times New Roman"/>
          <w:b/>
          <w:noProof/>
          <w:sz w:val="24"/>
        </w:rPr>
        <w:t>n’ont pas reçu de réponse en 2016</w:t>
      </w:r>
    </w:p>
    <w:p w:rsidR="002216D2" w:rsidRDefault="000F2FA0">
      <w:pPr>
        <w:jc w:val="both"/>
        <w:rPr>
          <w:rFonts w:ascii="Times New Roman" w:hAnsi="Times New Roman" w:cs="Times New Roman"/>
          <w:noProof/>
          <w:sz w:val="24"/>
          <w:szCs w:val="24"/>
        </w:rPr>
      </w:pPr>
      <w:r>
        <w:rPr>
          <w:rFonts w:ascii="Times New Roman" w:hAnsi="Times New Roman"/>
          <w:noProof/>
          <w:sz w:val="24"/>
        </w:rPr>
        <w:t>Dans la plupart des États membres, le nombre de réponses reçues était légèrement plus faible que le nombre de demandes d’informations envoyées , avec un écart moyen d’</w:t>
      </w:r>
      <w:r>
        <w:rPr>
          <w:rFonts w:ascii="Times New Roman" w:hAnsi="Times New Roman"/>
          <w:b/>
          <w:noProof/>
          <w:sz w:val="24"/>
        </w:rPr>
        <w:t>environ 3,9 % en 2016</w:t>
      </w:r>
      <w:r>
        <w:rPr>
          <w:rFonts w:ascii="Times New Roman" w:hAnsi="Times New Roman"/>
          <w:noProof/>
          <w:sz w:val="24"/>
        </w:rPr>
        <w:t>. Les États membres où les taux le</w:t>
      </w:r>
      <w:r>
        <w:rPr>
          <w:rFonts w:ascii="Times New Roman" w:hAnsi="Times New Roman"/>
          <w:noProof/>
          <w:sz w:val="24"/>
        </w:rPr>
        <w:t xml:space="preserve">s plus élevés de demandes sans réponse ont été constatés étaient: CY (66,1 %), EL (34,9 %), IT (20 %) et LV (17,8 %). </w:t>
      </w:r>
    </w:p>
    <w:p w:rsidR="002216D2" w:rsidRDefault="000F2FA0">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Près de 13 000 demandes (3,6 %) sans réponse dans les délais légaux en 2016</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En 2016, près de </w:t>
      </w:r>
      <w:r>
        <w:rPr>
          <w:rFonts w:ascii="Times New Roman" w:hAnsi="Times New Roman"/>
          <w:b/>
          <w:noProof/>
          <w:sz w:val="24"/>
        </w:rPr>
        <w:t>13 000 demandes n’ont pas reçu de réponse da</w:t>
      </w:r>
      <w:r>
        <w:rPr>
          <w:rFonts w:ascii="Times New Roman" w:hAnsi="Times New Roman"/>
          <w:b/>
          <w:noProof/>
          <w:sz w:val="24"/>
        </w:rPr>
        <w:t>ns les délais légaux prescrits</w:t>
      </w:r>
      <w:r>
        <w:rPr>
          <w:rFonts w:ascii="Times New Roman" w:hAnsi="Times New Roman"/>
          <w:noProof/>
          <w:sz w:val="24"/>
        </w:rPr>
        <w:t>, soit</w:t>
      </w:r>
      <w:r>
        <w:rPr>
          <w:rFonts w:ascii="Times New Roman" w:hAnsi="Times New Roman"/>
          <w:b/>
          <w:noProof/>
          <w:sz w:val="24"/>
        </w:rPr>
        <w:t xml:space="preserve"> 3,6 % du nombre total</w:t>
      </w:r>
      <w:r>
        <w:rPr>
          <w:rFonts w:ascii="Times New Roman" w:hAnsi="Times New Roman"/>
          <w:noProof/>
          <w:sz w:val="24"/>
        </w:rPr>
        <w:t xml:space="preserve"> de demandes. Les États membres qui ont le plus de mal à respecter les délais sont: EL (28,1 % des demandes reçues par EL n’ont pas reçu de réponse dans les délais prescrits), FI (21,5 %), EE (20,5 </w:t>
      </w:r>
      <w:r>
        <w:rPr>
          <w:rFonts w:ascii="Times New Roman" w:hAnsi="Times New Roman"/>
          <w:noProof/>
          <w:sz w:val="24"/>
        </w:rPr>
        <w:t>%), RO (9,3 %) et IT (5,28 %).</w:t>
      </w:r>
      <w:bookmarkStart w:id="3" w:name="_Hlk480363534"/>
    </w:p>
    <w:p w:rsidR="002216D2" w:rsidRDefault="000F2FA0">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L’ECRIS de plus en plus utilisé à des fins autres que des procédures pénales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Pendant la période de fonctionnement de l’ECRIS, en moyenne 81 % de l’ensemble des demandes ont été soumises pour les besoins de </w:t>
      </w:r>
      <w:r>
        <w:rPr>
          <w:rFonts w:ascii="Times New Roman" w:hAnsi="Times New Roman"/>
          <w:b/>
          <w:noProof/>
          <w:sz w:val="24"/>
        </w:rPr>
        <w:t>procédures pénales</w:t>
      </w:r>
      <w:r>
        <w:rPr>
          <w:rFonts w:ascii="Times New Roman" w:hAnsi="Times New Roman"/>
          <w:noProof/>
          <w:sz w:val="24"/>
        </w:rPr>
        <w:t xml:space="preserve"> </w:t>
      </w:r>
      <w:r>
        <w:rPr>
          <w:rFonts w:ascii="Times New Roman" w:hAnsi="Times New Roman"/>
          <w:noProof/>
          <w:sz w:val="24"/>
        </w:rPr>
        <w:t xml:space="preserve">et </w:t>
      </w:r>
      <w:r>
        <w:rPr>
          <w:rFonts w:ascii="Times New Roman" w:hAnsi="Times New Roman"/>
          <w:b/>
          <w:noProof/>
          <w:sz w:val="24"/>
        </w:rPr>
        <w:t>19 %</w:t>
      </w:r>
      <w:r>
        <w:rPr>
          <w:rFonts w:ascii="Times New Roman" w:hAnsi="Times New Roman"/>
          <w:noProof/>
          <w:sz w:val="24"/>
        </w:rPr>
        <w:t xml:space="preserve"> à des </w:t>
      </w:r>
      <w:r>
        <w:rPr>
          <w:rFonts w:ascii="Times New Roman" w:hAnsi="Times New Roman"/>
          <w:b/>
          <w:noProof/>
          <w:sz w:val="24"/>
        </w:rPr>
        <w:t>fins autres que des procédures pénales</w:t>
      </w:r>
      <w:r>
        <w:rPr>
          <w:rFonts w:ascii="Times New Roman" w:hAnsi="Times New Roman"/>
          <w:noProof/>
          <w:sz w:val="24"/>
        </w:rPr>
        <w:t xml:space="preserve">. Le volume de </w:t>
      </w:r>
      <w:r>
        <w:rPr>
          <w:rFonts w:ascii="Times New Roman" w:hAnsi="Times New Roman"/>
          <w:b/>
          <w:noProof/>
          <w:sz w:val="24"/>
        </w:rPr>
        <w:t>demandes à d’autres fins</w:t>
      </w:r>
      <w:r>
        <w:rPr>
          <w:rFonts w:ascii="Times New Roman" w:hAnsi="Times New Roman"/>
          <w:noProof/>
          <w:sz w:val="24"/>
        </w:rPr>
        <w:t xml:space="preserve"> a augmenté de </w:t>
      </w:r>
      <w:r>
        <w:rPr>
          <w:rFonts w:ascii="Times New Roman" w:hAnsi="Times New Roman"/>
          <w:b/>
          <w:noProof/>
          <w:sz w:val="24"/>
        </w:rPr>
        <w:t>22 % en 2016</w:t>
      </w:r>
      <w:r>
        <w:rPr>
          <w:rFonts w:ascii="Times New Roman" w:hAnsi="Times New Roman"/>
          <w:noProof/>
          <w:sz w:val="24"/>
        </w:rPr>
        <w:t xml:space="preserve">, pour atteindre </w:t>
      </w:r>
      <w:r>
        <w:rPr>
          <w:rFonts w:ascii="Times New Roman" w:hAnsi="Times New Roman"/>
          <w:b/>
          <w:noProof/>
          <w:sz w:val="24"/>
        </w:rPr>
        <w:t>79 000</w:t>
      </w:r>
      <w:r>
        <w:rPr>
          <w:rFonts w:ascii="Times New Roman" w:hAnsi="Times New Roman"/>
          <w:noProof/>
          <w:sz w:val="24"/>
        </w:rPr>
        <w:t xml:space="preserve"> demandes. Les demandes de particuliers souhaitant obtenir des </w:t>
      </w:r>
      <w:r>
        <w:rPr>
          <w:rFonts w:ascii="Times New Roman" w:hAnsi="Times New Roman"/>
          <w:b/>
          <w:noProof/>
          <w:sz w:val="24"/>
        </w:rPr>
        <w:t>informations sur leur propre casier judiciaire</w:t>
      </w:r>
      <w:r>
        <w:rPr>
          <w:rFonts w:ascii="Times New Roman" w:hAnsi="Times New Roman"/>
          <w:noProof/>
          <w:sz w:val="24"/>
        </w:rPr>
        <w:t xml:space="preserve"> repré</w:t>
      </w:r>
      <w:r>
        <w:rPr>
          <w:rFonts w:ascii="Times New Roman" w:hAnsi="Times New Roman"/>
          <w:noProof/>
          <w:sz w:val="24"/>
        </w:rPr>
        <w:t>sentent le plus gros volume de demandes à des fins autres que des procédures pénales – 68 % de l’ensemble des demandes à d’autres fins et 15 % de l’ensemble des demandes soumises.</w:t>
      </w:r>
    </w:p>
    <w:p w:rsidR="002216D2" w:rsidRDefault="000F2FA0">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rPr>
        <w:t>L’ECRIS actuel est rarement utilisé pour les TCN</w:t>
      </w:r>
    </w:p>
    <w:p w:rsidR="002216D2" w:rsidRDefault="000F2FA0">
      <w:pPr>
        <w:spacing w:after="0"/>
        <w:jc w:val="both"/>
        <w:rPr>
          <w:rFonts w:ascii="Times New Roman" w:hAnsi="Times New Roman" w:cs="Times New Roman"/>
          <w:noProof/>
          <w:sz w:val="24"/>
          <w:szCs w:val="24"/>
        </w:rPr>
      </w:pPr>
      <w:r>
        <w:rPr>
          <w:rFonts w:ascii="Times New Roman" w:hAnsi="Times New Roman"/>
          <w:noProof/>
          <w:sz w:val="24"/>
        </w:rPr>
        <w:t xml:space="preserve">En moyenne, </w:t>
      </w:r>
      <w:r>
        <w:rPr>
          <w:rFonts w:ascii="Times New Roman" w:hAnsi="Times New Roman"/>
          <w:b/>
          <w:noProof/>
          <w:sz w:val="24"/>
        </w:rPr>
        <w:t>90 %</w:t>
      </w:r>
      <w:r>
        <w:rPr>
          <w:rFonts w:ascii="Times New Roman" w:hAnsi="Times New Roman"/>
          <w:noProof/>
          <w:sz w:val="24"/>
        </w:rPr>
        <w:t xml:space="preserve"> de l’ensem</w:t>
      </w:r>
      <w:r>
        <w:rPr>
          <w:rFonts w:ascii="Times New Roman" w:hAnsi="Times New Roman"/>
          <w:noProof/>
          <w:sz w:val="24"/>
        </w:rPr>
        <w:t xml:space="preserve">ble des demandes portent sur des </w:t>
      </w:r>
      <w:r>
        <w:rPr>
          <w:rFonts w:ascii="Times New Roman" w:hAnsi="Times New Roman"/>
          <w:b/>
          <w:noProof/>
          <w:sz w:val="24"/>
        </w:rPr>
        <w:t>ressortissants de l’UE</w:t>
      </w:r>
      <w:r>
        <w:rPr>
          <w:rFonts w:ascii="Times New Roman" w:hAnsi="Times New Roman"/>
          <w:noProof/>
          <w:sz w:val="24"/>
        </w:rPr>
        <w:t xml:space="preserve"> et environ </w:t>
      </w:r>
      <w:r>
        <w:rPr>
          <w:rFonts w:ascii="Times New Roman" w:hAnsi="Times New Roman"/>
          <w:b/>
          <w:noProof/>
          <w:sz w:val="24"/>
        </w:rPr>
        <w:t>10 % concernent des ressortissants de pays tiers et des personnes apatrides</w:t>
      </w:r>
      <w:r>
        <w:rPr>
          <w:rFonts w:ascii="Times New Roman" w:hAnsi="Times New Roman"/>
          <w:noProof/>
          <w:sz w:val="24"/>
        </w:rPr>
        <w:t xml:space="preserve">. Le nombre de demandes d’informations sur des </w:t>
      </w:r>
      <w:r>
        <w:rPr>
          <w:rFonts w:ascii="Times New Roman" w:hAnsi="Times New Roman"/>
          <w:b/>
          <w:noProof/>
          <w:sz w:val="24"/>
        </w:rPr>
        <w:t>TCN</w:t>
      </w:r>
      <w:r>
        <w:rPr>
          <w:rFonts w:ascii="Times New Roman" w:hAnsi="Times New Roman"/>
          <w:noProof/>
          <w:sz w:val="24"/>
        </w:rPr>
        <w:t xml:space="preserve"> s’est élevé à </w:t>
      </w:r>
      <w:r>
        <w:rPr>
          <w:rFonts w:ascii="Times New Roman" w:hAnsi="Times New Roman"/>
          <w:b/>
          <w:noProof/>
          <w:sz w:val="24"/>
        </w:rPr>
        <w:t>plus</w:t>
      </w:r>
      <w:r>
        <w:rPr>
          <w:rFonts w:ascii="Times New Roman" w:hAnsi="Times New Roman"/>
          <w:noProof/>
          <w:sz w:val="24"/>
        </w:rPr>
        <w:t xml:space="preserve"> de </w:t>
      </w:r>
      <w:r>
        <w:rPr>
          <w:rFonts w:ascii="Times New Roman" w:hAnsi="Times New Roman"/>
          <w:b/>
          <w:noProof/>
          <w:sz w:val="24"/>
        </w:rPr>
        <w:t>33 000</w:t>
      </w:r>
      <w:r>
        <w:rPr>
          <w:rFonts w:ascii="Times New Roman" w:hAnsi="Times New Roman"/>
          <w:noProof/>
          <w:sz w:val="24"/>
        </w:rPr>
        <w:t> en 2016. Compléter le système ECRI</w:t>
      </w:r>
      <w:r>
        <w:rPr>
          <w:rFonts w:ascii="Times New Roman" w:hAnsi="Times New Roman"/>
          <w:noProof/>
          <w:sz w:val="24"/>
        </w:rPr>
        <w:t xml:space="preserve">S par un système centralisé spécifique pour les TCN, comme le propose la Commission dans le cadre du paquet où figure le présent rapport, devrait entraîner une hausse substantielle du nombre de demandes relatives à des TCN. </w:t>
      </w:r>
    </w:p>
    <w:p w:rsidR="002216D2" w:rsidRDefault="002216D2">
      <w:pPr>
        <w:jc w:val="both"/>
        <w:rPr>
          <w:rFonts w:ascii="Times New Roman" w:hAnsi="Times New Roman" w:cs="Times New Roman"/>
          <w:b/>
          <w:noProof/>
          <w:sz w:val="24"/>
          <w:szCs w:val="24"/>
        </w:rPr>
      </w:pPr>
      <w:bookmarkStart w:id="4" w:name="_Toc479267019"/>
      <w:bookmarkEnd w:id="3"/>
    </w:p>
    <w:p w:rsidR="002216D2" w:rsidRDefault="000F2FA0">
      <w:pPr>
        <w:jc w:val="both"/>
        <w:rPr>
          <w:rFonts w:ascii="Times New Roman" w:hAnsi="Times New Roman" w:cs="Times New Roman"/>
          <w:b/>
          <w:noProof/>
          <w:sz w:val="24"/>
          <w:szCs w:val="24"/>
        </w:rPr>
      </w:pPr>
      <w:r>
        <w:rPr>
          <w:rFonts w:ascii="Times New Roman" w:hAnsi="Times New Roman"/>
          <w:b/>
          <w:noProof/>
          <w:sz w:val="24"/>
        </w:rPr>
        <w:t>3. Les échanges ECRIS en chiff</w:t>
      </w:r>
      <w:r>
        <w:rPr>
          <w:rFonts w:ascii="Times New Roman" w:hAnsi="Times New Roman"/>
          <w:b/>
          <w:noProof/>
          <w:sz w:val="24"/>
        </w:rPr>
        <w:t>res</w:t>
      </w:r>
      <w:bookmarkStart w:id="5" w:name="_Ref366147146"/>
      <w:bookmarkStart w:id="6" w:name="_Toc479267020"/>
      <w:bookmarkEnd w:id="4"/>
    </w:p>
    <w:p w:rsidR="002216D2" w:rsidRDefault="000F2FA0">
      <w:pPr>
        <w:jc w:val="both"/>
        <w:rPr>
          <w:rFonts w:ascii="Times New Roman" w:hAnsi="Times New Roman" w:cs="Times New Roman"/>
          <w:b/>
          <w:noProof/>
          <w:sz w:val="24"/>
          <w:szCs w:val="24"/>
        </w:rPr>
      </w:pPr>
      <w:r>
        <w:rPr>
          <w:rFonts w:ascii="Times New Roman" w:hAnsi="Times New Roman"/>
          <w:b/>
          <w:smallCaps/>
          <w:noProof/>
          <w:sz w:val="24"/>
        </w:rPr>
        <w:t xml:space="preserve">3.1. </w:t>
      </w:r>
      <w:r>
        <w:rPr>
          <w:rFonts w:ascii="Times New Roman" w:hAnsi="Times New Roman"/>
          <w:b/>
          <w:noProof/>
          <w:sz w:val="24"/>
        </w:rPr>
        <w:t>États membres connectés</w:t>
      </w:r>
      <w:bookmarkEnd w:id="5"/>
      <w:bookmarkEnd w:id="6"/>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Un État membre est considéré comme connecté à l’ECRIS s’il échange des informations sur les casiers judiciaires avec au moins un partenaire connecté. </w:t>
      </w:r>
      <w:bookmarkStart w:id="7" w:name="_Hlk481158166"/>
      <w:r>
        <w:rPr>
          <w:rFonts w:ascii="Times New Roman" w:hAnsi="Times New Roman"/>
          <w:noProof/>
          <w:sz w:val="24"/>
        </w:rPr>
        <w:t xml:space="preserve">À ce jour, </w:t>
      </w:r>
      <w:r>
        <w:rPr>
          <w:rFonts w:ascii="Times New Roman" w:hAnsi="Times New Roman"/>
          <w:b/>
          <w:noProof/>
          <w:sz w:val="24"/>
        </w:rPr>
        <w:t>les 28 États membres de l’UE sont tous connectés à l’ECRIS</w:t>
      </w:r>
      <w:r>
        <w:rPr>
          <w:rFonts w:ascii="Times New Roman" w:hAnsi="Times New Roman"/>
          <w:noProof/>
          <w:sz w:val="24"/>
        </w:rPr>
        <w:t xml:space="preserve"> et échangent des informations sur les casiers judiciaires avec au moins un autre État membre, les derniers États membres (SI et PT) ayant rejoint l’ECRIS en janvier 2017.</w:t>
      </w:r>
      <w:bookmarkEnd w:id="7"/>
      <w:r>
        <w:rPr>
          <w:rFonts w:ascii="Times New Roman" w:hAnsi="Times New Roman"/>
          <w:noProof/>
          <w:sz w:val="24"/>
        </w:rPr>
        <w:t xml:space="preserve"> Pour l’historique des connexions au réseau ECRIS, voir l’annexe, section 1.1.</w:t>
      </w:r>
    </w:p>
    <w:p w:rsidR="002216D2" w:rsidRDefault="000F2FA0">
      <w:pPr>
        <w:jc w:val="both"/>
        <w:rPr>
          <w:rFonts w:ascii="Times New Roman" w:hAnsi="Times New Roman" w:cs="Times New Roman"/>
          <w:b/>
          <w:noProof/>
          <w:sz w:val="24"/>
          <w:szCs w:val="24"/>
        </w:rPr>
      </w:pPr>
      <w:r>
        <w:rPr>
          <w:rFonts w:ascii="Times New Roman" w:hAnsi="Times New Roman"/>
          <w:noProof/>
          <w:sz w:val="24"/>
        </w:rPr>
        <w:t xml:space="preserve">L’ECRIS est un système décentralisé dans lequel tous les États membres doivent être mutuellement interconnectés. Le nombre total possible d’interconnexions dans une telle configuration est 756 (27*28). </w:t>
      </w:r>
      <w:bookmarkStart w:id="8" w:name="_Hlk481160969"/>
      <w:r>
        <w:rPr>
          <w:rFonts w:ascii="Times New Roman" w:hAnsi="Times New Roman"/>
          <w:noProof/>
          <w:sz w:val="24"/>
        </w:rPr>
        <w:t>Si tous les États membres sont désormais connectés à l</w:t>
      </w:r>
      <w:r>
        <w:rPr>
          <w:rFonts w:ascii="Times New Roman" w:hAnsi="Times New Roman"/>
          <w:noProof/>
          <w:sz w:val="24"/>
        </w:rPr>
        <w:t xml:space="preserve">’ECRIS, </w:t>
      </w:r>
      <w:r>
        <w:rPr>
          <w:rFonts w:ascii="Times New Roman" w:hAnsi="Times New Roman"/>
          <w:b/>
          <w:noProof/>
          <w:sz w:val="24"/>
        </w:rPr>
        <w:t xml:space="preserve">aucun d’entre eux n’échange des informations via l’ECRIS avec la totalité des 27 autres États membres. </w:t>
      </w:r>
    </w:p>
    <w:bookmarkEnd w:id="8"/>
    <w:p w:rsidR="002216D2" w:rsidRDefault="000F2FA0">
      <w:pPr>
        <w:jc w:val="both"/>
        <w:rPr>
          <w:rFonts w:ascii="Times New Roman" w:hAnsi="Times New Roman" w:cs="Times New Roman"/>
          <w:noProof/>
          <w:sz w:val="24"/>
          <w:szCs w:val="24"/>
        </w:rPr>
      </w:pPr>
      <w:r>
        <w:rPr>
          <w:rFonts w:ascii="Times New Roman" w:hAnsi="Times New Roman"/>
          <w:noProof/>
          <w:sz w:val="24"/>
        </w:rPr>
        <w:t>Le tableau ci-dessous présente, pour chaque État membre, le nombre d’interconnexions en avril 2017.</w:t>
      </w:r>
    </w:p>
    <w:p w:rsidR="002216D2" w:rsidRDefault="000F2FA0">
      <w:pPr>
        <w:jc w:val="center"/>
        <w:rPr>
          <w:rFonts w:ascii="Times New Roman" w:hAnsi="Times New Roman" w:cs="Times New Roman"/>
          <w:noProof/>
          <w:sz w:val="24"/>
          <w:szCs w:val="24"/>
        </w:rPr>
      </w:pPr>
      <w:r>
        <w:rPr>
          <w:noProof/>
          <w:lang w:val="en-GB" w:eastAsia="en-GB" w:bidi="ar-SA"/>
        </w:rPr>
        <w:drawing>
          <wp:inline distT="0" distB="0" distL="0" distR="0">
            <wp:extent cx="5760085" cy="3279929"/>
            <wp:effectExtent l="0" t="0" r="1206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16D2" w:rsidRDefault="000F2FA0">
      <w:pPr>
        <w:jc w:val="both"/>
        <w:rPr>
          <w:rFonts w:ascii="Times New Roman" w:hAnsi="Times New Roman" w:cs="Times New Roman"/>
          <w:noProof/>
          <w:sz w:val="24"/>
          <w:szCs w:val="24"/>
        </w:rPr>
      </w:pPr>
      <w:r>
        <w:rPr>
          <w:rFonts w:ascii="Times New Roman" w:hAnsi="Times New Roman"/>
          <w:noProof/>
          <w:sz w:val="24"/>
        </w:rPr>
        <w:t>Le système ECRIS a démarré avec 173 interc</w:t>
      </w:r>
      <w:r>
        <w:rPr>
          <w:rFonts w:ascii="Times New Roman" w:hAnsi="Times New Roman"/>
          <w:noProof/>
          <w:sz w:val="24"/>
        </w:rPr>
        <w:t xml:space="preserve">onnexions en 2012, sur 756 possibles (avec 28 États membres connectés). </w:t>
      </w:r>
      <w:bookmarkStart w:id="9" w:name="_Hlk481158260"/>
      <w:r>
        <w:rPr>
          <w:rFonts w:ascii="Times New Roman" w:hAnsi="Times New Roman"/>
          <w:noProof/>
          <w:sz w:val="24"/>
        </w:rPr>
        <w:t xml:space="preserve">À la fin de l’année 2016, cinquième année de fonctionnement du système, 575 interconnexions avaient été établies, soit </w:t>
      </w:r>
      <w:r>
        <w:rPr>
          <w:rFonts w:ascii="Times New Roman" w:hAnsi="Times New Roman"/>
          <w:b/>
          <w:noProof/>
          <w:sz w:val="24"/>
        </w:rPr>
        <w:t>76 % du nombre total d’interconnexions possibles</w:t>
      </w:r>
      <w:r>
        <w:rPr>
          <w:rFonts w:ascii="Times New Roman" w:hAnsi="Times New Roman"/>
          <w:noProof/>
          <w:sz w:val="24"/>
        </w:rPr>
        <w:t xml:space="preserve"> et 88 % des inte</w:t>
      </w:r>
      <w:r>
        <w:rPr>
          <w:rFonts w:ascii="Times New Roman" w:hAnsi="Times New Roman"/>
          <w:noProof/>
          <w:sz w:val="24"/>
        </w:rPr>
        <w:t>rconnexions opérationnelles (SI et PT n’étant alors pas encore connectés à l’ECRIS). Pour l’évolution du nombre d’interconnexions au fil des années, voir l’annexe, section 1.1.</w:t>
      </w:r>
    </w:p>
    <w:p w:rsidR="002216D2" w:rsidRDefault="000F2FA0">
      <w:pPr>
        <w:jc w:val="both"/>
        <w:rPr>
          <w:rFonts w:ascii="Times New Roman" w:hAnsi="Times New Roman" w:cs="Times New Roman"/>
          <w:noProof/>
          <w:sz w:val="24"/>
          <w:szCs w:val="24"/>
        </w:rPr>
      </w:pPr>
      <w:bookmarkStart w:id="10" w:name="_Hlk481160416"/>
      <w:r>
        <w:rPr>
          <w:rFonts w:ascii="Times New Roman" w:hAnsi="Times New Roman"/>
          <w:noProof/>
          <w:sz w:val="24"/>
        </w:rPr>
        <w:t xml:space="preserve">En 2017, quatre États membres (AT, ES, UK et IE) ont atteint le nombre maximal </w:t>
      </w:r>
      <w:r>
        <w:rPr>
          <w:rFonts w:ascii="Times New Roman" w:hAnsi="Times New Roman"/>
          <w:noProof/>
          <w:sz w:val="24"/>
        </w:rPr>
        <w:t>d’interconnexions opérationnelles (26).</w:t>
      </w:r>
    </w:p>
    <w:bookmarkEnd w:id="10"/>
    <w:p w:rsidR="002216D2" w:rsidRDefault="000F2FA0">
      <w:pPr>
        <w:jc w:val="both"/>
        <w:rPr>
          <w:rFonts w:ascii="Times New Roman" w:hAnsi="Times New Roman" w:cs="Times New Roman"/>
          <w:noProof/>
          <w:sz w:val="24"/>
          <w:szCs w:val="24"/>
        </w:rPr>
      </w:pPr>
      <w:r>
        <w:rPr>
          <w:rFonts w:ascii="Times New Roman" w:hAnsi="Times New Roman"/>
          <w:noProof/>
          <w:sz w:val="24"/>
        </w:rPr>
        <w:t>Le but ultime – c’est-à-dire que chaque État membre soit connecté à l’ECRIS et échange des informations via ce système avec tous les autres États membres – reste donc à atteindre.</w:t>
      </w:r>
    </w:p>
    <w:p w:rsidR="002216D2" w:rsidRDefault="000F2FA0">
      <w:pPr>
        <w:jc w:val="both"/>
        <w:rPr>
          <w:rFonts w:ascii="Times New Roman" w:hAnsi="Times New Roman" w:cs="Times New Roman"/>
          <w:b/>
          <w:noProof/>
          <w:sz w:val="24"/>
          <w:szCs w:val="24"/>
        </w:rPr>
      </w:pPr>
      <w:bookmarkStart w:id="11" w:name="_Toc479267021"/>
      <w:bookmarkEnd w:id="9"/>
      <w:r>
        <w:rPr>
          <w:rFonts w:ascii="Times New Roman" w:hAnsi="Times New Roman"/>
          <w:b/>
          <w:smallCaps/>
          <w:noProof/>
          <w:sz w:val="24"/>
        </w:rPr>
        <w:t xml:space="preserve">3.2. </w:t>
      </w:r>
      <w:r>
        <w:rPr>
          <w:rFonts w:ascii="Times New Roman" w:hAnsi="Times New Roman"/>
          <w:b/>
          <w:noProof/>
          <w:sz w:val="24"/>
        </w:rPr>
        <w:t>Nombre total de messages</w:t>
      </w:r>
      <w:bookmarkEnd w:id="11"/>
      <w:r>
        <w:rPr>
          <w:rFonts w:ascii="Times New Roman" w:hAnsi="Times New Roman"/>
          <w:b/>
          <w:noProof/>
          <w:sz w:val="24"/>
        </w:rPr>
        <w:t xml:space="preserve"> échang</w:t>
      </w:r>
      <w:r>
        <w:rPr>
          <w:rFonts w:ascii="Times New Roman" w:hAnsi="Times New Roman"/>
          <w:b/>
          <w:noProof/>
          <w:sz w:val="24"/>
        </w:rPr>
        <w:t>és</w:t>
      </w:r>
    </w:p>
    <w:p w:rsidR="002216D2" w:rsidRDefault="000F2FA0">
      <w:pPr>
        <w:jc w:val="both"/>
        <w:rPr>
          <w:rFonts w:ascii="Times New Roman" w:hAnsi="Times New Roman" w:cs="Times New Roman"/>
          <w:noProof/>
          <w:sz w:val="24"/>
          <w:szCs w:val="24"/>
        </w:rPr>
      </w:pPr>
      <w:r>
        <w:rPr>
          <w:rFonts w:ascii="Times New Roman" w:hAnsi="Times New Roman"/>
          <w:noProof/>
          <w:sz w:val="24"/>
        </w:rPr>
        <w:t>Le graphique ci-dessous illustre l’augmentation rapide du volume annuel de messages échangés entre les États membres connectés depuis le lancement de l’ECRIS en avril 2012 jusqu’au 31 décembre 2016. Lors de l’analyse des données relatives à l’année 2012</w:t>
      </w:r>
      <w:r>
        <w:rPr>
          <w:rFonts w:ascii="Times New Roman" w:hAnsi="Times New Roman"/>
          <w:noProof/>
          <w:sz w:val="24"/>
        </w:rPr>
        <w:t>, il convient de tenir compte du fait que l’ECRIS n’a eu cette année-là que 8 mois d’activité.</w:t>
      </w:r>
    </w:p>
    <w:p w:rsidR="002216D2" w:rsidRDefault="000F2FA0">
      <w:pPr>
        <w:jc w:val="center"/>
        <w:rPr>
          <w:rFonts w:ascii="Times New Roman" w:hAnsi="Times New Roman" w:cs="Times New Roman"/>
          <w:noProof/>
          <w:sz w:val="24"/>
          <w:szCs w:val="24"/>
          <w:highlight w:val="yellow"/>
        </w:rPr>
      </w:pPr>
      <w:r>
        <w:rPr>
          <w:noProof/>
          <w:lang w:val="en-GB" w:eastAsia="en-GB" w:bidi="ar-SA"/>
        </w:rPr>
        <w:drawing>
          <wp:inline distT="0" distB="0" distL="0" distR="0">
            <wp:extent cx="4659630" cy="2814955"/>
            <wp:effectExtent l="0" t="0" r="762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9630" cy="2814955"/>
                    </a:xfrm>
                    <a:prstGeom prst="rect">
                      <a:avLst/>
                    </a:prstGeom>
                    <a:noFill/>
                    <a:ln>
                      <a:noFill/>
                    </a:ln>
                  </pic:spPr>
                </pic:pic>
              </a:graphicData>
            </a:graphic>
          </wp:inline>
        </w:drawing>
      </w:r>
    </w:p>
    <w:p w:rsidR="002216D2" w:rsidRDefault="000F2FA0">
      <w:pPr>
        <w:jc w:val="both"/>
        <w:rPr>
          <w:rFonts w:ascii="Times New Roman" w:hAnsi="Times New Roman" w:cs="Times New Roman"/>
          <w:noProof/>
          <w:sz w:val="24"/>
          <w:szCs w:val="24"/>
        </w:rPr>
      </w:pPr>
      <w:bookmarkStart w:id="12" w:name="_Hlk481162649"/>
      <w:bookmarkStart w:id="13" w:name="_Hlk481160518"/>
      <w:r>
        <w:rPr>
          <w:rFonts w:ascii="Times New Roman" w:hAnsi="Times New Roman"/>
          <w:noProof/>
          <w:sz w:val="24"/>
        </w:rPr>
        <w:t xml:space="preserve">Si, fin 2012, 300 000 messages avaient été échangés par tous les États membres interconnectés, ce nombre a atteint près de </w:t>
      </w:r>
      <w:r>
        <w:rPr>
          <w:rFonts w:ascii="Times New Roman" w:hAnsi="Times New Roman"/>
          <w:b/>
          <w:noProof/>
          <w:sz w:val="24"/>
        </w:rPr>
        <w:t>2 millions en 2016,</w:t>
      </w:r>
      <w:r>
        <w:rPr>
          <w:rFonts w:ascii="Times New Roman" w:hAnsi="Times New Roman"/>
          <w:noProof/>
          <w:sz w:val="24"/>
        </w:rPr>
        <w:t xml:space="preserve"> avec </w:t>
      </w:r>
      <w:r>
        <w:rPr>
          <w:rFonts w:ascii="Times New Roman" w:hAnsi="Times New Roman"/>
          <w:b/>
          <w:noProof/>
          <w:sz w:val="24"/>
        </w:rPr>
        <w:t xml:space="preserve">en moyenne </w:t>
      </w:r>
      <w:r>
        <w:rPr>
          <w:rFonts w:ascii="Times New Roman" w:hAnsi="Times New Roman"/>
          <w:b/>
          <w:noProof/>
          <w:sz w:val="24"/>
        </w:rPr>
        <w:t>165 000 messages par mois</w:t>
      </w:r>
      <w:r>
        <w:rPr>
          <w:rFonts w:ascii="Times New Roman" w:hAnsi="Times New Roman"/>
          <w:noProof/>
          <w:sz w:val="24"/>
        </w:rPr>
        <w:t>.</w:t>
      </w:r>
      <w:bookmarkEnd w:id="12"/>
      <w:r>
        <w:rPr>
          <w:rFonts w:ascii="Times New Roman" w:hAnsi="Times New Roman"/>
          <w:noProof/>
          <w:sz w:val="24"/>
        </w:rPr>
        <w:t xml:space="preserve"> Ces volumes incluent tous les types de messages: notifications, mises à jour, demandes, réponses, rejets, autres réponses, demandes d’informations supplémentaires, etc. </w:t>
      </w:r>
    </w:p>
    <w:p w:rsidR="002216D2" w:rsidRDefault="000F2FA0">
      <w:pPr>
        <w:jc w:val="both"/>
        <w:rPr>
          <w:rFonts w:ascii="Times New Roman" w:hAnsi="Times New Roman" w:cs="Times New Roman"/>
          <w:noProof/>
          <w:sz w:val="24"/>
          <w:szCs w:val="24"/>
        </w:rPr>
      </w:pPr>
      <w:r>
        <w:rPr>
          <w:rFonts w:ascii="Times New Roman" w:hAnsi="Times New Roman"/>
          <w:noProof/>
          <w:sz w:val="24"/>
        </w:rPr>
        <w:t>Le graphique ci-dessous présente les tendances des notifica</w:t>
      </w:r>
      <w:r>
        <w:rPr>
          <w:rFonts w:ascii="Times New Roman" w:hAnsi="Times New Roman"/>
          <w:noProof/>
          <w:sz w:val="24"/>
        </w:rPr>
        <w:t>tions, des demandes et des réponses aux demandes sur les cinq années de fonctionnement de l’ECRIS. Seules les notifications relatives à de nouvelles condamnations ont été ici prises en compte, et non les mises à jour. Les réponses couvrent les réponses aux</w:t>
      </w:r>
      <w:r>
        <w:rPr>
          <w:rFonts w:ascii="Times New Roman" w:hAnsi="Times New Roman"/>
          <w:noProof/>
          <w:sz w:val="24"/>
        </w:rPr>
        <w:t xml:space="preserve"> demandes, les rejets de demandes et les autres réponses</w:t>
      </w:r>
      <w:r>
        <w:rPr>
          <w:rStyle w:val="FootnoteReference"/>
          <w:rFonts w:ascii="Times New Roman" w:hAnsi="Times New Roman"/>
          <w:noProof/>
          <w:sz w:val="24"/>
        </w:rPr>
        <w:footnoteReference w:id="10"/>
      </w:r>
      <w:r>
        <w:rPr>
          <w:rFonts w:ascii="Times New Roman" w:hAnsi="Times New Roman"/>
          <w:noProof/>
          <w:sz w:val="24"/>
        </w:rPr>
        <w:t xml:space="preserve">. </w:t>
      </w:r>
    </w:p>
    <w:p w:rsidR="002216D2" w:rsidRDefault="000F2FA0">
      <w:pPr>
        <w:jc w:val="center"/>
        <w:rPr>
          <w:rFonts w:ascii="Times New Roman" w:hAnsi="Times New Roman" w:cs="Times New Roman"/>
          <w:noProof/>
          <w:sz w:val="24"/>
          <w:szCs w:val="24"/>
          <w:highlight w:val="yellow"/>
        </w:rPr>
      </w:pPr>
      <w:r>
        <w:rPr>
          <w:noProof/>
          <w:lang w:val="en-GB" w:eastAsia="en-GB" w:bidi="ar-SA"/>
        </w:rPr>
        <w:drawing>
          <wp:inline distT="0" distB="0" distL="0" distR="0">
            <wp:extent cx="5760085" cy="288257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2882577"/>
                    </a:xfrm>
                    <a:prstGeom prst="rect">
                      <a:avLst/>
                    </a:prstGeom>
                    <a:noFill/>
                    <a:ln>
                      <a:noFill/>
                    </a:ln>
                  </pic:spPr>
                </pic:pic>
              </a:graphicData>
            </a:graphic>
          </wp:inline>
        </w:drawing>
      </w:r>
    </w:p>
    <w:p w:rsidR="002216D2" w:rsidRDefault="000F2FA0">
      <w:pPr>
        <w:jc w:val="both"/>
        <w:rPr>
          <w:rFonts w:ascii="Times New Roman" w:hAnsi="Times New Roman" w:cs="Times New Roman"/>
          <w:noProof/>
          <w:sz w:val="24"/>
          <w:szCs w:val="24"/>
        </w:rPr>
      </w:pPr>
      <w:bookmarkStart w:id="14" w:name="_Hlk481162482"/>
      <w:r>
        <w:rPr>
          <w:rFonts w:ascii="Times New Roman" w:hAnsi="Times New Roman"/>
          <w:noProof/>
          <w:sz w:val="24"/>
        </w:rPr>
        <w:t xml:space="preserve">Actuellement, les </w:t>
      </w:r>
      <w:r>
        <w:rPr>
          <w:rFonts w:ascii="Times New Roman" w:hAnsi="Times New Roman"/>
          <w:b/>
          <w:noProof/>
          <w:sz w:val="24"/>
        </w:rPr>
        <w:t>notifications, demandes et réponses aux demandes</w:t>
      </w:r>
      <w:r>
        <w:rPr>
          <w:rFonts w:ascii="Times New Roman" w:hAnsi="Times New Roman"/>
          <w:noProof/>
          <w:sz w:val="24"/>
        </w:rPr>
        <w:t xml:space="preserve"> sont au nombre d’environ </w:t>
      </w:r>
      <w:r>
        <w:rPr>
          <w:rFonts w:ascii="Times New Roman" w:hAnsi="Times New Roman"/>
          <w:b/>
          <w:noProof/>
          <w:sz w:val="24"/>
        </w:rPr>
        <w:t>350 000</w:t>
      </w:r>
      <w:r>
        <w:rPr>
          <w:rFonts w:ascii="Times New Roman" w:hAnsi="Times New Roman"/>
          <w:noProof/>
          <w:sz w:val="24"/>
        </w:rPr>
        <w:t xml:space="preserve"> par année dans </w:t>
      </w:r>
      <w:r>
        <w:rPr>
          <w:rFonts w:ascii="Times New Roman" w:hAnsi="Times New Roman"/>
          <w:b/>
          <w:noProof/>
          <w:sz w:val="24"/>
        </w:rPr>
        <w:t>chaque catégorie</w:t>
      </w:r>
      <w:r>
        <w:rPr>
          <w:rFonts w:ascii="Times New Roman" w:hAnsi="Times New Roman"/>
          <w:noProof/>
          <w:sz w:val="24"/>
        </w:rPr>
        <w:t>.</w:t>
      </w:r>
      <w:r>
        <w:rPr>
          <w:rFonts w:ascii="Times New Roman" w:hAnsi="Times New Roman"/>
          <w:b/>
          <w:noProof/>
          <w:sz w:val="24"/>
        </w:rPr>
        <w:t xml:space="preserve">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Depuis 2014, avec 25 États membres interconnectés, </w:t>
      </w:r>
      <w:r>
        <w:rPr>
          <w:rFonts w:ascii="Times New Roman" w:hAnsi="Times New Roman"/>
          <w:b/>
          <w:noProof/>
          <w:sz w:val="24"/>
        </w:rPr>
        <w:t>le nombre</w:t>
      </w:r>
      <w:r>
        <w:rPr>
          <w:rFonts w:ascii="Times New Roman" w:hAnsi="Times New Roman"/>
          <w:b/>
          <w:noProof/>
          <w:sz w:val="24"/>
        </w:rPr>
        <w:t xml:space="preserve"> de notifications relatives à de nouvelles condamnations s’est progressivement stabilisé</w:t>
      </w:r>
      <w:r>
        <w:rPr>
          <w:rFonts w:ascii="Times New Roman" w:hAnsi="Times New Roman"/>
          <w:noProof/>
          <w:sz w:val="24"/>
        </w:rPr>
        <w:t>, après une forte croissance initiale due à l’arrivée de nouveaux États membres dans le réseau et à la création de nouvelles interconnexions. Ce nombre devrait encore a</w:t>
      </w:r>
      <w:r>
        <w:rPr>
          <w:rFonts w:ascii="Times New Roman" w:hAnsi="Times New Roman"/>
          <w:noProof/>
          <w:sz w:val="24"/>
        </w:rPr>
        <w:t xml:space="preserve">ugmenter, indépendamment du taux de condamnation, à mesure que le taux d’interconnexion s’approche de 100 %.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On observe en revanche une </w:t>
      </w:r>
      <w:r>
        <w:rPr>
          <w:rFonts w:ascii="Times New Roman" w:hAnsi="Times New Roman"/>
          <w:b/>
          <w:noProof/>
          <w:sz w:val="24"/>
        </w:rPr>
        <w:t>augmentation rapide</w:t>
      </w:r>
      <w:r>
        <w:rPr>
          <w:rFonts w:ascii="Times New Roman" w:hAnsi="Times New Roman"/>
          <w:noProof/>
          <w:sz w:val="24"/>
        </w:rPr>
        <w:t xml:space="preserve"> du </w:t>
      </w:r>
      <w:r>
        <w:rPr>
          <w:rFonts w:ascii="Times New Roman" w:hAnsi="Times New Roman"/>
          <w:b/>
          <w:noProof/>
          <w:sz w:val="24"/>
        </w:rPr>
        <w:t>nombre de demandes d’informations</w:t>
      </w:r>
      <w:r>
        <w:rPr>
          <w:rFonts w:ascii="Times New Roman" w:hAnsi="Times New Roman"/>
          <w:noProof/>
          <w:sz w:val="24"/>
        </w:rPr>
        <w:t xml:space="preserve"> et, parallèlement, du nombre de réponses aux demandes. Cette évolution est un signe encourageant de la sensibilisation, dans les États membres, à la nécessité d’utiliser l’ECRIS pour demander des informations au cours de procédures pénales, afin de pouvoi</w:t>
      </w:r>
      <w:r>
        <w:rPr>
          <w:rFonts w:ascii="Times New Roman" w:hAnsi="Times New Roman"/>
          <w:noProof/>
          <w:sz w:val="24"/>
        </w:rPr>
        <w:t>r tenir compte de condamnations antérieures, conformément à la décision-cadre 2008/675/JAI. En outre, le nombre croissant de demandes d’informations à des fins autres que des procédures pénales (par exemple un emploi, en particulier pour les postes impliqu</w:t>
      </w:r>
      <w:r>
        <w:rPr>
          <w:rFonts w:ascii="Times New Roman" w:hAnsi="Times New Roman"/>
          <w:noProof/>
          <w:sz w:val="24"/>
        </w:rPr>
        <w:t>ant des contacts  réguliers avec des enfants en vertu de la directive 2011/93/UE) contribue à cette tendance positive.</w:t>
      </w:r>
    </w:p>
    <w:p w:rsidR="002216D2" w:rsidRDefault="000F2FA0">
      <w:pPr>
        <w:jc w:val="both"/>
        <w:rPr>
          <w:rFonts w:ascii="Times New Roman" w:hAnsi="Times New Roman" w:cs="Times New Roman"/>
          <w:b/>
          <w:noProof/>
          <w:sz w:val="24"/>
          <w:szCs w:val="24"/>
        </w:rPr>
      </w:pPr>
      <w:bookmarkStart w:id="15" w:name="_Toc479267022"/>
      <w:bookmarkEnd w:id="13"/>
      <w:bookmarkEnd w:id="14"/>
      <w:r>
        <w:rPr>
          <w:rFonts w:ascii="Times New Roman" w:hAnsi="Times New Roman"/>
          <w:b/>
          <w:noProof/>
          <w:sz w:val="24"/>
        </w:rPr>
        <w:t>3.3. Nombre de notifications, de demandes et de</w:t>
      </w:r>
      <w:bookmarkEnd w:id="15"/>
      <w:r>
        <w:rPr>
          <w:rFonts w:ascii="Times New Roman" w:hAnsi="Times New Roman"/>
          <w:b/>
          <w:noProof/>
          <w:sz w:val="24"/>
        </w:rPr>
        <w:t xml:space="preserve"> réponses par État membre</w:t>
      </w:r>
    </w:p>
    <w:p w:rsidR="002216D2" w:rsidRDefault="000F2FA0">
      <w:pPr>
        <w:jc w:val="both"/>
        <w:rPr>
          <w:rFonts w:ascii="Times New Roman" w:hAnsi="Times New Roman" w:cs="Times New Roman"/>
          <w:noProof/>
          <w:sz w:val="24"/>
          <w:szCs w:val="24"/>
        </w:rPr>
      </w:pPr>
      <w:r>
        <w:rPr>
          <w:rFonts w:ascii="Times New Roman" w:hAnsi="Times New Roman"/>
          <w:noProof/>
          <w:sz w:val="24"/>
        </w:rPr>
        <w:t>Le graphique ci-dessous présente le nombre de notifications envo</w:t>
      </w:r>
      <w:r>
        <w:rPr>
          <w:rFonts w:ascii="Times New Roman" w:hAnsi="Times New Roman"/>
          <w:noProof/>
          <w:sz w:val="24"/>
        </w:rPr>
        <w:t>yées au sujet de nouvelles condamnations, de demandes d’informations envoyées et de réponses envoyées pour l’ensemble des États membres interconnectés en 2016. Pour les années 2014 et 2015, voir l’annexe, section 1.2.</w:t>
      </w:r>
    </w:p>
    <w:p w:rsidR="002216D2" w:rsidRDefault="002216D2">
      <w:pPr>
        <w:rPr>
          <w:rFonts w:ascii="Times New Roman" w:hAnsi="Times New Roman" w:cs="Times New Roman"/>
          <w:noProof/>
          <w:sz w:val="24"/>
          <w:szCs w:val="24"/>
        </w:rPr>
      </w:pPr>
    </w:p>
    <w:p w:rsidR="002216D2" w:rsidRDefault="000F2FA0">
      <w:pPr>
        <w:rPr>
          <w:rFonts w:ascii="Times New Roman" w:hAnsi="Times New Roman" w:cs="Times New Roman"/>
          <w:noProof/>
          <w:sz w:val="24"/>
          <w:szCs w:val="24"/>
        </w:rPr>
      </w:pPr>
      <w:r>
        <w:rPr>
          <w:noProof/>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1023786</wp:posOffset>
                </wp:positionH>
                <wp:positionV relativeFrom="paragraph">
                  <wp:posOffset>45775</wp:posOffset>
                </wp:positionV>
                <wp:extent cx="4475645" cy="214547"/>
                <wp:effectExtent l="0" t="0" r="1270" b="0"/>
                <wp:wrapNone/>
                <wp:docPr id="15" name="Text Box 15"/>
                <wp:cNvGraphicFramePr/>
                <a:graphic xmlns:a="http://schemas.openxmlformats.org/drawingml/2006/main">
                  <a:graphicData uri="http://schemas.microsoft.com/office/word/2010/wordprocessingShape">
                    <wps:wsp>
                      <wps:cNvSpPr txBox="1"/>
                      <wps:spPr>
                        <a:xfrm>
                          <a:off x="0" y="0"/>
                          <a:ext cx="4475645" cy="214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6D2" w:rsidRDefault="000F2FA0">
                            <w:pPr>
                              <w:spacing w:after="0"/>
                              <w:rPr>
                                <w:rFonts w:ascii="Times New Roman" w:hAnsi="Times New Roman" w:cs="Times New Roman"/>
                                <w:b/>
                                <w:sz w:val="18"/>
                                <w:szCs w:val="18"/>
                                <w:lang w:val="fr-BE" w:eastAsia="en-GB" w:bidi="ar-SA"/>
                              </w:rPr>
                            </w:pPr>
                            <w:r>
                              <w:rPr>
                                <w:rFonts w:asciiTheme="minorHAnsi" w:eastAsiaTheme="minorEastAsia" w:hAnsi="Calibri" w:cstheme="minorBidi"/>
                                <w:b/>
                                <w:bCs/>
                                <w:color w:val="000000" w:themeColor="text1"/>
                                <w:sz w:val="18"/>
                                <w:szCs w:val="18"/>
                                <w:lang w:val="fr-BE" w:eastAsia="en-GB" w:bidi="ar-SA"/>
                              </w:rPr>
                              <w:t>Notifications, demandes et r</w:t>
                            </w:r>
                            <w:r>
                              <w:rPr>
                                <w:rFonts w:asciiTheme="minorHAnsi" w:eastAsiaTheme="minorEastAsia" w:hAnsi="Calibri" w:cstheme="minorBidi"/>
                                <w:b/>
                                <w:bCs/>
                                <w:color w:val="000000" w:themeColor="text1"/>
                                <w:sz w:val="18"/>
                                <w:szCs w:val="18"/>
                                <w:lang w:val="fr-BE" w:eastAsia="en-GB" w:bidi="ar-SA"/>
                              </w:rPr>
                              <w:t>é</w:t>
                            </w:r>
                            <w:r>
                              <w:rPr>
                                <w:rFonts w:asciiTheme="minorHAnsi" w:eastAsiaTheme="minorEastAsia" w:hAnsi="Calibri" w:cstheme="minorBidi"/>
                                <w:b/>
                                <w:bCs/>
                                <w:color w:val="000000" w:themeColor="text1"/>
                                <w:sz w:val="18"/>
                                <w:szCs w:val="18"/>
                                <w:lang w:val="fr-BE" w:eastAsia="en-GB" w:bidi="ar-SA"/>
                              </w:rPr>
                              <w:t>ponse</w:t>
                            </w:r>
                            <w:r>
                              <w:rPr>
                                <w:rFonts w:asciiTheme="minorHAnsi" w:eastAsiaTheme="minorEastAsia" w:hAnsi="Calibri" w:cstheme="minorBidi"/>
                                <w:b/>
                                <w:bCs/>
                                <w:color w:val="000000" w:themeColor="text1"/>
                                <w:sz w:val="18"/>
                                <w:szCs w:val="18"/>
                                <w:lang w:val="fr-BE" w:eastAsia="en-GB" w:bidi="ar-SA"/>
                              </w:rPr>
                              <w:t>s envoy</w:t>
                            </w:r>
                            <w:r>
                              <w:rPr>
                                <w:rFonts w:asciiTheme="minorHAnsi" w:eastAsiaTheme="minorEastAsia" w:hAnsi="Calibri" w:cstheme="minorBidi"/>
                                <w:b/>
                                <w:bCs/>
                                <w:color w:val="000000" w:themeColor="text1"/>
                                <w:sz w:val="18"/>
                                <w:szCs w:val="18"/>
                                <w:lang w:val="fr-BE" w:eastAsia="en-GB" w:bidi="ar-SA"/>
                              </w:rPr>
                              <w:t>é</w:t>
                            </w:r>
                            <w:r>
                              <w:rPr>
                                <w:rFonts w:asciiTheme="minorHAnsi" w:eastAsiaTheme="minorEastAsia" w:hAnsi="Calibri" w:cstheme="minorBidi"/>
                                <w:b/>
                                <w:bCs/>
                                <w:color w:val="000000" w:themeColor="text1"/>
                                <w:sz w:val="18"/>
                                <w:szCs w:val="18"/>
                                <w:lang w:val="fr-BE" w:eastAsia="en-GB" w:bidi="ar-SA"/>
                              </w:rPr>
                              <w:t xml:space="preserve">es par les </w:t>
                            </w:r>
                            <w:r>
                              <w:rPr>
                                <w:rFonts w:asciiTheme="minorHAnsi" w:eastAsiaTheme="minorEastAsia" w:hAnsi="Calibri" w:cstheme="minorBidi"/>
                                <w:b/>
                                <w:bCs/>
                                <w:color w:val="000000" w:themeColor="text1"/>
                                <w:sz w:val="18"/>
                                <w:szCs w:val="18"/>
                                <w:lang w:val="fr-BE" w:eastAsia="en-GB" w:bidi="ar-SA"/>
                              </w:rPr>
                              <w:t>É</w:t>
                            </w:r>
                            <w:r>
                              <w:rPr>
                                <w:rFonts w:asciiTheme="minorHAnsi" w:eastAsiaTheme="minorEastAsia" w:hAnsi="Calibri" w:cstheme="minorBidi"/>
                                <w:b/>
                                <w:bCs/>
                                <w:color w:val="000000" w:themeColor="text1"/>
                                <w:sz w:val="18"/>
                                <w:szCs w:val="18"/>
                                <w:lang w:val="fr-BE" w:eastAsia="en-GB" w:bidi="ar-SA"/>
                              </w:rPr>
                              <w:t xml:space="preserve">tats membres en </w:t>
                            </w:r>
                            <w:r>
                              <w:rPr>
                                <w:rFonts w:asciiTheme="minorHAnsi" w:eastAsiaTheme="minorEastAsia" w:hAnsiTheme="minorHAnsi" w:cstheme="minorBidi"/>
                                <w:b/>
                                <w:bCs/>
                                <w:color w:val="000000" w:themeColor="text1"/>
                                <w:sz w:val="18"/>
                                <w:szCs w:val="18"/>
                                <w:lang w:val="fr-BE" w:eastAsia="en-GB" w:bidi="ar-SA"/>
                              </w:rPr>
                              <w:t>2016</w:t>
                            </w:r>
                          </w:p>
                          <w:p w:rsidR="002216D2" w:rsidRDefault="002216D2">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80.6pt;margin-top:3.6pt;width:352.4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" fillcolor="white [3201]" stroked="f" strokeweight=".5pt">
                <v:textbox>
                  <w:txbxContent>
                    <w:p>
                      <w:pPr>
                        <w:spacing w:after="0"/>
                        <w:rPr>
                          <w:rFonts w:ascii="Times New Roman" w:hAnsi="Times New Roman" w:cs="Times New Roman"/>
                          <w:b/>
                          <w:sz w:val="18"/>
                          <w:szCs w:val="18"/>
                          <w:lang w:val="fr-BE" w:eastAsia="en-GB" w:bidi="ar-SA"/>
                        </w:rPr>
                      </w:pPr>
                      <w:r>
                        <w:rPr>
                          <w:rFonts w:asciiTheme="minorHAnsi" w:eastAsiaTheme="minorEastAsia" w:hAnsi="Calibri" w:cstheme="minorBidi"/>
                          <w:b/>
                          <w:bCs/>
                          <w:color w:val="000000" w:themeColor="text1"/>
                          <w:sz w:val="18"/>
                          <w:szCs w:val="18"/>
                          <w:lang w:val="fr-BE" w:eastAsia="en-GB" w:bidi="ar-SA"/>
                        </w:rPr>
                        <w:t xml:space="preserve">Notifications, demandes et réponses envoyées par les États membres en </w:t>
                      </w:r>
                      <w:r>
                        <w:rPr>
                          <w:rFonts w:asciiTheme="minorHAnsi" w:eastAsiaTheme="minorEastAsia" w:hAnsiTheme="minorHAnsi" w:cstheme="minorBidi"/>
                          <w:b/>
                          <w:bCs/>
                          <w:color w:val="000000" w:themeColor="text1"/>
                          <w:sz w:val="18"/>
                          <w:szCs w:val="18"/>
                          <w:lang w:val="fr-BE" w:eastAsia="en-GB" w:bidi="ar-SA"/>
                        </w:rPr>
                        <w:t>2016</w:t>
                      </w:r>
                    </w:p>
                    <w:p>
                      <w:pPr>
                        <w:rPr>
                          <w:lang w:val="fr-BE"/>
                        </w:rPr>
                      </w:pPr>
                    </w:p>
                  </w:txbxContent>
                </v:textbox>
              </v:shape>
            </w:pict>
          </mc:Fallback>
        </mc:AlternateContent>
      </w:r>
      <w:r>
        <w:rPr>
          <w:noProof/>
          <w:lang w:val="en-GB" w:eastAsia="en-GB" w:bidi="ar-SA"/>
        </w:rPr>
        <w:drawing>
          <wp:inline distT="0" distB="0" distL="0" distR="0">
            <wp:extent cx="5760085" cy="369145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085" cy="3691451"/>
                    </a:xfrm>
                    <a:prstGeom prst="rect">
                      <a:avLst/>
                    </a:prstGeom>
                  </pic:spPr>
                </pic:pic>
              </a:graphicData>
            </a:graphic>
          </wp:inline>
        </w:drawing>
      </w:r>
    </w:p>
    <w:p w:rsidR="002216D2" w:rsidRDefault="000F2FA0">
      <w:pPr>
        <w:jc w:val="both"/>
        <w:rPr>
          <w:rFonts w:ascii="Times New Roman" w:hAnsi="Times New Roman" w:cs="Times New Roman"/>
          <w:noProof/>
          <w:sz w:val="24"/>
          <w:szCs w:val="24"/>
        </w:rPr>
      </w:pPr>
      <w:bookmarkStart w:id="16" w:name="_Hlk481161857"/>
      <w:bookmarkStart w:id="17" w:name="_Hlk481162724"/>
      <w:r>
        <w:rPr>
          <w:rFonts w:ascii="Times New Roman" w:hAnsi="Times New Roman"/>
          <w:noProof/>
          <w:sz w:val="24"/>
        </w:rPr>
        <w:t>Les États membres les plus actifs sur le plan du volume total de ces trois types de messages</w:t>
      </w:r>
      <w:r>
        <w:rPr>
          <w:rStyle w:val="FootnoteReference"/>
          <w:rFonts w:ascii="Times New Roman" w:hAnsi="Times New Roman"/>
          <w:noProof/>
          <w:sz w:val="24"/>
        </w:rPr>
        <w:footnoteReference w:id="11"/>
      </w:r>
      <w:r>
        <w:rPr>
          <w:rFonts w:ascii="Times New Roman" w:hAnsi="Times New Roman"/>
          <w:noProof/>
          <w:sz w:val="24"/>
        </w:rPr>
        <w:t xml:space="preserve"> étaient:</w:t>
      </w:r>
    </w:p>
    <w:p w:rsidR="002216D2" w:rsidRDefault="000F2FA0">
      <w:pPr>
        <w:jc w:val="both"/>
        <w:rPr>
          <w:rFonts w:ascii="Times New Roman" w:hAnsi="Times New Roman" w:cs="Times New Roman"/>
          <w:noProof/>
          <w:sz w:val="24"/>
          <w:szCs w:val="24"/>
        </w:rPr>
      </w:pPr>
      <w:r>
        <w:rPr>
          <w:rFonts w:ascii="Times New Roman" w:hAnsi="Times New Roman"/>
          <w:noProof/>
          <w:sz w:val="24"/>
        </w:rPr>
        <w:t>- En 2016: DE (24,9 %), puis UK (13,7 %), IT (7,7 %), PL (6,6 %) et RO (5,5 %).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 En 2015: DE (25,6 %), puis </w:t>
      </w:r>
      <w:r>
        <w:rPr>
          <w:rFonts w:ascii="Times New Roman" w:hAnsi="Times New Roman"/>
          <w:noProof/>
          <w:sz w:val="24"/>
        </w:rPr>
        <w:t>UK (14,7 %), IT (9,1 %), PL (7,0 %) et RO (5,6 %).</w:t>
      </w:r>
    </w:p>
    <w:bookmarkEnd w:id="16"/>
    <w:p w:rsidR="002216D2" w:rsidRDefault="000F2FA0">
      <w:pPr>
        <w:jc w:val="both"/>
        <w:rPr>
          <w:rFonts w:ascii="Times New Roman" w:hAnsi="Times New Roman" w:cs="Times New Roman"/>
          <w:noProof/>
          <w:sz w:val="24"/>
          <w:szCs w:val="24"/>
        </w:rPr>
      </w:pPr>
      <w:r>
        <w:rPr>
          <w:rFonts w:ascii="Times New Roman" w:hAnsi="Times New Roman"/>
          <w:noProof/>
          <w:sz w:val="24"/>
        </w:rPr>
        <w:t>- En 2014: DE (28,7 %), puis IT (10,9 %), UK (9,7 %), FR (8,3 %) et PL (6,8 %).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 graphique met en évidence </w:t>
      </w:r>
      <w:r>
        <w:rPr>
          <w:rFonts w:ascii="Times New Roman" w:hAnsi="Times New Roman"/>
          <w:b/>
          <w:noProof/>
          <w:sz w:val="24"/>
        </w:rPr>
        <w:t xml:space="preserve">des différences significatives entre les activités ECRIS des États membres et leur charge de </w:t>
      </w:r>
      <w:r>
        <w:rPr>
          <w:rFonts w:ascii="Times New Roman" w:hAnsi="Times New Roman"/>
          <w:b/>
          <w:noProof/>
          <w:sz w:val="24"/>
        </w:rPr>
        <w:t>travail.</w:t>
      </w:r>
    </w:p>
    <w:bookmarkEnd w:id="17"/>
    <w:p w:rsidR="002216D2" w:rsidRDefault="000F2FA0">
      <w:pPr>
        <w:jc w:val="both"/>
        <w:rPr>
          <w:rFonts w:ascii="Times New Roman" w:hAnsi="Times New Roman" w:cs="Times New Roman"/>
          <w:noProof/>
          <w:sz w:val="24"/>
          <w:szCs w:val="24"/>
        </w:rPr>
      </w:pPr>
      <w:r>
        <w:rPr>
          <w:rFonts w:ascii="Times New Roman" w:hAnsi="Times New Roman"/>
          <w:noProof/>
          <w:sz w:val="24"/>
        </w:rPr>
        <w:t>Certains États membres demandent beaucoup plus souvent des informations qu’ils ne sont invités à en fournir: DE, UK, AT et, en 2016, CZ. D’autres doivent surtout assumer une charge de travail importante sur le plan des réponses aux demandes, alors</w:t>
      </w:r>
      <w:r>
        <w:rPr>
          <w:rFonts w:ascii="Times New Roman" w:hAnsi="Times New Roman"/>
          <w:noProof/>
          <w:sz w:val="24"/>
        </w:rPr>
        <w:t xml:space="preserve"> qu’ils envoient eux-mêmes moins de demandes: PL, RO, SK, LT, IT, BG, LV, HU, HR, IE, EL, EE. Pour d’autres États membres, la charge de travail est essentiellement due à l’envoi d’un grand nombre de notifications sur de nouvelles condamnations aux États me</w:t>
      </w:r>
      <w:r>
        <w:rPr>
          <w:rFonts w:ascii="Times New Roman" w:hAnsi="Times New Roman"/>
          <w:noProof/>
          <w:sz w:val="24"/>
        </w:rPr>
        <w:t>mbres de la nationalité du coupable, alors qu’ils envoient moins de demandes eux-mêmes: IT, BE, ES, FR, CY.</w:t>
      </w:r>
    </w:p>
    <w:p w:rsidR="002216D2" w:rsidRDefault="000F2FA0">
      <w:pPr>
        <w:jc w:val="both"/>
        <w:rPr>
          <w:rFonts w:ascii="Times New Roman" w:hAnsi="Times New Roman" w:cs="Times New Roman"/>
          <w:b/>
          <w:noProof/>
          <w:sz w:val="24"/>
          <w:szCs w:val="24"/>
        </w:rPr>
      </w:pPr>
      <w:r>
        <w:rPr>
          <w:rFonts w:ascii="Times New Roman" w:hAnsi="Times New Roman"/>
          <w:b/>
          <w:noProof/>
          <w:sz w:val="24"/>
        </w:rPr>
        <w:t>3.4. Notifications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 graphique ci-dessous présente le volume de notifications envoyées par l’ensemble des États membres interconnectés en 2016, </w:t>
      </w:r>
      <w:r>
        <w:rPr>
          <w:rFonts w:ascii="Times New Roman" w:hAnsi="Times New Roman"/>
          <w:noProof/>
          <w:sz w:val="24"/>
        </w:rPr>
        <w:t>ventilé en fonction des notifications relatives à de nouvelles condamnations et des notifications mettant à jour des notifications déjà envoyées. Pour les années 2014 et 2015, voir l’annexe, section 1.3.</w:t>
      </w:r>
    </w:p>
    <w:bookmarkStart w:id="18" w:name="_Hlk481001185"/>
    <w:p w:rsidR="002216D2" w:rsidRDefault="000F2FA0">
      <w:pPr>
        <w:rPr>
          <w:rStyle w:val="CommentReference"/>
          <w:rFonts w:ascii="Times New Roman" w:hAnsi="Times New Roman" w:cs="Times New Roman"/>
          <w:noProof/>
          <w:sz w:val="24"/>
          <w:szCs w:val="24"/>
        </w:rPr>
      </w:pPr>
      <w:r>
        <w:rPr>
          <w:noProof/>
          <w:lang w:val="en-GB" w:eastAsia="en-GB" w:bidi="ar-SA"/>
        </w:rPr>
        <mc:AlternateContent>
          <mc:Choice Requires="wps">
            <w:drawing>
              <wp:anchor distT="0" distB="0" distL="114300" distR="114300" simplePos="0" relativeHeight="251660288" behindDoc="0" locked="0" layoutInCell="1" allowOverlap="1">
                <wp:simplePos x="0" y="0"/>
                <wp:positionH relativeFrom="column">
                  <wp:posOffset>1596279</wp:posOffset>
                </wp:positionH>
                <wp:positionV relativeFrom="paragraph">
                  <wp:posOffset>45776</wp:posOffset>
                </wp:positionV>
                <wp:extent cx="3069203" cy="254414"/>
                <wp:effectExtent l="0" t="0" r="0" b="0"/>
                <wp:wrapNone/>
                <wp:docPr id="5" name="Text Box 5"/>
                <wp:cNvGraphicFramePr/>
                <a:graphic xmlns:a="http://schemas.openxmlformats.org/drawingml/2006/main">
                  <a:graphicData uri="http://schemas.microsoft.com/office/word/2010/wordprocessingShape">
                    <wps:wsp>
                      <wps:cNvSpPr txBox="1"/>
                      <wps:spPr>
                        <a:xfrm flipH="1">
                          <a:off x="0" y="0"/>
                          <a:ext cx="3069203" cy="2544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6D2" w:rsidRDefault="000F2FA0">
                            <w:pPr>
                              <w:spacing w:after="0"/>
                              <w:rPr>
                                <w:rFonts w:ascii="Times New Roman" w:hAnsi="Times New Roman" w:cs="Times New Roman"/>
                                <w:sz w:val="18"/>
                                <w:szCs w:val="18"/>
                                <w:lang w:eastAsia="en-GB" w:bidi="ar-SA"/>
                              </w:rPr>
                            </w:pPr>
                            <w:r>
                              <w:rPr>
                                <w:rFonts w:asciiTheme="minorHAnsi" w:eastAsiaTheme="minorEastAsia" w:hAnsi="Calibri" w:cstheme="minorBidi"/>
                                <w:b/>
                                <w:bCs/>
                                <w:color w:val="000000" w:themeColor="text1"/>
                                <w:sz w:val="18"/>
                                <w:szCs w:val="18"/>
                                <w:lang w:eastAsia="en-GB" w:bidi="ar-SA"/>
                              </w:rPr>
                              <w:t>Notifications envoy</w:t>
                            </w:r>
                            <w:r>
                              <w:rPr>
                                <w:rFonts w:asciiTheme="minorHAnsi" w:eastAsiaTheme="minorEastAsia" w:hAnsi="Calibri" w:cstheme="minorBidi"/>
                                <w:b/>
                                <w:bCs/>
                                <w:color w:val="000000" w:themeColor="text1"/>
                                <w:sz w:val="18"/>
                                <w:szCs w:val="18"/>
                                <w:lang w:eastAsia="en-GB" w:bidi="ar-SA"/>
                              </w:rPr>
                              <w:t>é</w:t>
                            </w:r>
                            <w:r>
                              <w:rPr>
                                <w:rFonts w:asciiTheme="minorHAnsi" w:eastAsiaTheme="minorEastAsia" w:hAnsi="Calibri" w:cstheme="minorBidi"/>
                                <w:b/>
                                <w:bCs/>
                                <w:color w:val="000000" w:themeColor="text1"/>
                                <w:sz w:val="18"/>
                                <w:szCs w:val="18"/>
                                <w:lang w:eastAsia="en-GB" w:bidi="ar-SA"/>
                              </w:rPr>
                              <w:t xml:space="preserve">es par les </w:t>
                            </w:r>
                            <w:r>
                              <w:rPr>
                                <w:rFonts w:asciiTheme="minorHAnsi" w:eastAsiaTheme="minorEastAsia" w:hAnsi="Calibri" w:cstheme="minorBidi"/>
                                <w:b/>
                                <w:bCs/>
                                <w:color w:val="000000" w:themeColor="text1"/>
                                <w:sz w:val="18"/>
                                <w:szCs w:val="18"/>
                                <w:lang w:eastAsia="en-GB" w:bidi="ar-SA"/>
                              </w:rPr>
                              <w:t>É</w:t>
                            </w:r>
                            <w:r>
                              <w:rPr>
                                <w:rFonts w:asciiTheme="minorHAnsi" w:eastAsiaTheme="minorEastAsia" w:hAnsi="Calibri" w:cstheme="minorBidi"/>
                                <w:b/>
                                <w:bCs/>
                                <w:color w:val="000000" w:themeColor="text1"/>
                                <w:sz w:val="18"/>
                                <w:szCs w:val="18"/>
                                <w:lang w:eastAsia="en-GB" w:bidi="ar-SA"/>
                              </w:rPr>
                              <w:t>tats membres en 2</w:t>
                            </w:r>
                            <w:r>
                              <w:rPr>
                                <w:rFonts w:asciiTheme="minorHAnsi" w:eastAsiaTheme="minorEastAsia" w:hAnsi="Calibri" w:cstheme="minorBidi"/>
                                <w:b/>
                                <w:bCs/>
                                <w:color w:val="000000" w:themeColor="text1"/>
                                <w:sz w:val="18"/>
                                <w:szCs w:val="18"/>
                                <w:lang w:eastAsia="en-GB" w:bidi="ar-SA"/>
                              </w:rPr>
                              <w:t>016</w:t>
                            </w:r>
                          </w:p>
                          <w:p w:rsidR="002216D2" w:rsidRDefault="002216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25.7pt;margin-top:3.6pt;width:241.65pt;height:20.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" fillcolor="white [3201]" stroked="f" strokeweight=".5pt">
                <v:textbox>
                  <w:txbxContent>
                    <w:p>
                      <w:pPr>
                        <w:spacing w:after="0"/>
                        <w:rPr>
                          <w:rFonts w:ascii="Times New Roman" w:hAnsi="Times New Roman" w:cs="Times New Roman"/>
                          <w:sz w:val="18"/>
                          <w:szCs w:val="18"/>
                          <w:lang w:eastAsia="en-GB" w:bidi="ar-SA"/>
                        </w:rPr>
                      </w:pPr>
                      <w:r>
                        <w:rPr>
                          <w:rFonts w:asciiTheme="minorHAnsi" w:eastAsiaTheme="minorEastAsia" w:hAnsi="Calibri" w:cstheme="minorBidi"/>
                          <w:b/>
                          <w:bCs/>
                          <w:color w:val="000000" w:themeColor="text1"/>
                          <w:sz w:val="18"/>
                          <w:szCs w:val="18"/>
                          <w:lang w:eastAsia="en-GB" w:bidi="ar-SA"/>
                        </w:rPr>
                        <w:t>Notifications envoyées par les États membres en 2016</w:t>
                      </w:r>
                    </w:p>
                    <w:p/>
                  </w:txbxContent>
                </v:textbox>
              </v:shape>
            </w:pict>
          </mc:Fallback>
        </mc:AlternateContent>
      </w:r>
      <w:r>
        <w:rPr>
          <w:noProof/>
          <w:lang w:val="en-GB" w:eastAsia="en-GB" w:bidi="ar-SA"/>
        </w:rPr>
        <w:drawing>
          <wp:inline distT="0" distB="0" distL="0" distR="0">
            <wp:extent cx="5760085" cy="355719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557195"/>
                    </a:xfrm>
                    <a:prstGeom prst="rect">
                      <a:avLst/>
                    </a:prstGeom>
                    <a:noFill/>
                    <a:ln>
                      <a:noFill/>
                    </a:ln>
                  </pic:spPr>
                </pic:pic>
              </a:graphicData>
            </a:graphic>
          </wp:inline>
        </w:drawing>
      </w:r>
    </w:p>
    <w:p w:rsidR="002216D2" w:rsidRDefault="000F2FA0">
      <w:pPr>
        <w:jc w:val="both"/>
        <w:rPr>
          <w:rFonts w:ascii="Times New Roman" w:hAnsi="Times New Roman" w:cs="Times New Roman"/>
          <w:noProof/>
          <w:sz w:val="24"/>
          <w:szCs w:val="24"/>
        </w:rPr>
      </w:pPr>
      <w:r>
        <w:rPr>
          <w:rStyle w:val="CommentReference"/>
          <w:rFonts w:ascii="Times New Roman" w:hAnsi="Times New Roman"/>
          <w:noProof/>
          <w:sz w:val="24"/>
        </w:rPr>
        <w:t>L</w:t>
      </w:r>
      <w:r>
        <w:rPr>
          <w:rFonts w:ascii="Times New Roman" w:hAnsi="Times New Roman"/>
          <w:noProof/>
          <w:sz w:val="24"/>
        </w:rPr>
        <w:t xml:space="preserve">e </w:t>
      </w:r>
      <w:r>
        <w:rPr>
          <w:rFonts w:ascii="Times New Roman" w:hAnsi="Times New Roman"/>
          <w:b/>
          <w:noProof/>
          <w:sz w:val="24"/>
        </w:rPr>
        <w:t>volume de notifications envoyées varie considérablement d’un État membre à l’autre</w:t>
      </w:r>
      <w:r>
        <w:rPr>
          <w:rFonts w:ascii="Times New Roman" w:hAnsi="Times New Roman"/>
          <w:noProof/>
          <w:sz w:val="24"/>
        </w:rPr>
        <w:t>, allant de près de 100 000 (DE) à zéro notifications relatives à de nouvelles condamnations (EL) par an. L’analyse de ces variations doit essentiellement tenir com</w:t>
      </w:r>
      <w:r>
        <w:rPr>
          <w:rFonts w:ascii="Times New Roman" w:hAnsi="Times New Roman"/>
          <w:noProof/>
          <w:sz w:val="24"/>
        </w:rPr>
        <w:t xml:space="preserve">pte de deux facteurs: la taille du pays et le nombre de condamnations de ressortissants d’autres États membres (ci-après la population de ressortissants d’autres États membres). </w:t>
      </w:r>
      <w:bookmarkStart w:id="19" w:name="_Hlk481014549"/>
      <w:r>
        <w:rPr>
          <w:rFonts w:ascii="Times New Roman" w:hAnsi="Times New Roman"/>
          <w:noProof/>
          <w:sz w:val="24"/>
        </w:rPr>
        <w:t>Pour une analyse détaillée des statistiques des différents États membres, voir</w:t>
      </w:r>
      <w:r>
        <w:rPr>
          <w:rFonts w:ascii="Times New Roman" w:hAnsi="Times New Roman"/>
          <w:noProof/>
          <w:sz w:val="24"/>
        </w:rPr>
        <w:t xml:space="preserve"> l’annexe, section 2.</w:t>
      </w:r>
      <w:bookmarkEnd w:id="19"/>
    </w:p>
    <w:p w:rsidR="002216D2" w:rsidRDefault="000F2FA0">
      <w:pPr>
        <w:jc w:val="both"/>
        <w:rPr>
          <w:rFonts w:ascii="Times New Roman" w:hAnsi="Times New Roman" w:cs="Times New Roman"/>
          <w:noProof/>
          <w:sz w:val="24"/>
          <w:szCs w:val="24"/>
        </w:rPr>
      </w:pPr>
      <w:bookmarkStart w:id="20" w:name="_Hlk480998606"/>
      <w:bookmarkStart w:id="21" w:name="_Hlk481162205"/>
      <w:r>
        <w:rPr>
          <w:rFonts w:ascii="Times New Roman" w:hAnsi="Times New Roman"/>
          <w:noProof/>
          <w:sz w:val="24"/>
        </w:rPr>
        <w:t xml:space="preserve">Les États membres </w:t>
      </w:r>
      <w:r>
        <w:rPr>
          <w:rFonts w:ascii="Times New Roman" w:hAnsi="Times New Roman"/>
          <w:b/>
          <w:noProof/>
          <w:sz w:val="24"/>
        </w:rPr>
        <w:t>les plus actifs</w:t>
      </w:r>
      <w:r>
        <w:rPr>
          <w:rFonts w:ascii="Times New Roman" w:hAnsi="Times New Roman"/>
          <w:noProof/>
          <w:sz w:val="24"/>
        </w:rPr>
        <w:t xml:space="preserve"> sur le plan de l’envoi de </w:t>
      </w:r>
      <w:r>
        <w:rPr>
          <w:rFonts w:ascii="Times New Roman" w:hAnsi="Times New Roman"/>
          <w:b/>
          <w:noProof/>
          <w:sz w:val="24"/>
        </w:rPr>
        <w:t>notifications</w:t>
      </w:r>
      <w:r>
        <w:rPr>
          <w:rFonts w:ascii="Times New Roman" w:hAnsi="Times New Roman"/>
          <w:noProof/>
          <w:sz w:val="24"/>
        </w:rPr>
        <w:t xml:space="preserve"> relatives à de nouvelles condamnations étaient:</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 En 2016: </w:t>
      </w:r>
      <w:r>
        <w:rPr>
          <w:rFonts w:ascii="Times New Roman" w:hAnsi="Times New Roman"/>
          <w:b/>
          <w:noProof/>
          <w:sz w:val="24"/>
        </w:rPr>
        <w:t xml:space="preserve">DE </w:t>
      </w:r>
      <w:r>
        <w:rPr>
          <w:rFonts w:ascii="Times New Roman" w:hAnsi="Times New Roman"/>
          <w:noProof/>
          <w:sz w:val="24"/>
        </w:rPr>
        <w:t>(29,7%), puis</w:t>
      </w:r>
      <w:r>
        <w:rPr>
          <w:rFonts w:ascii="Times New Roman" w:hAnsi="Times New Roman"/>
          <w:b/>
          <w:noProof/>
          <w:sz w:val="24"/>
        </w:rPr>
        <w:t xml:space="preserve"> IT </w:t>
      </w:r>
      <w:r>
        <w:rPr>
          <w:rFonts w:ascii="Times New Roman" w:hAnsi="Times New Roman"/>
          <w:noProof/>
          <w:sz w:val="24"/>
        </w:rPr>
        <w:t>(19,0 %),</w:t>
      </w:r>
      <w:r>
        <w:rPr>
          <w:rFonts w:ascii="Times New Roman" w:hAnsi="Times New Roman"/>
          <w:b/>
          <w:noProof/>
          <w:sz w:val="24"/>
        </w:rPr>
        <w:t xml:space="preserve"> BE </w:t>
      </w:r>
      <w:r>
        <w:rPr>
          <w:rFonts w:ascii="Times New Roman" w:hAnsi="Times New Roman"/>
          <w:noProof/>
          <w:sz w:val="24"/>
        </w:rPr>
        <w:t>(13,6 %),</w:t>
      </w:r>
      <w:r>
        <w:rPr>
          <w:rFonts w:ascii="Times New Roman" w:hAnsi="Times New Roman"/>
          <w:b/>
          <w:noProof/>
          <w:sz w:val="24"/>
        </w:rPr>
        <w:t xml:space="preserve"> UK </w:t>
      </w:r>
      <w:r>
        <w:rPr>
          <w:rFonts w:ascii="Times New Roman" w:hAnsi="Times New Roman"/>
          <w:noProof/>
          <w:sz w:val="24"/>
        </w:rPr>
        <w:t>(9,9 %),</w:t>
      </w:r>
      <w:r>
        <w:rPr>
          <w:rFonts w:ascii="Times New Roman" w:hAnsi="Times New Roman"/>
          <w:b/>
          <w:noProof/>
          <w:sz w:val="24"/>
        </w:rPr>
        <w:t xml:space="preserve"> ES </w:t>
      </w:r>
      <w:r>
        <w:rPr>
          <w:rFonts w:ascii="Times New Roman" w:hAnsi="Times New Roman"/>
          <w:noProof/>
          <w:sz w:val="24"/>
        </w:rPr>
        <w:t>(9,0 %) et</w:t>
      </w:r>
      <w:r>
        <w:rPr>
          <w:rFonts w:ascii="Times New Roman" w:hAnsi="Times New Roman"/>
          <w:b/>
          <w:noProof/>
          <w:sz w:val="24"/>
        </w:rPr>
        <w:t xml:space="preserve"> FR </w:t>
      </w:r>
      <w:r>
        <w:rPr>
          <w:rFonts w:ascii="Times New Roman" w:hAnsi="Times New Roman"/>
          <w:noProof/>
          <w:sz w:val="24"/>
        </w:rPr>
        <w:t>(5,2 %)</w:t>
      </w:r>
    </w:p>
    <w:p w:rsidR="002216D2" w:rsidRDefault="000F2FA0">
      <w:pPr>
        <w:jc w:val="both"/>
        <w:rPr>
          <w:rFonts w:ascii="Times New Roman" w:hAnsi="Times New Roman" w:cs="Times New Roman"/>
          <w:b/>
          <w:noProof/>
          <w:sz w:val="24"/>
          <w:szCs w:val="24"/>
        </w:rPr>
      </w:pPr>
      <w:r>
        <w:rPr>
          <w:rFonts w:ascii="Times New Roman" w:hAnsi="Times New Roman"/>
          <w:noProof/>
          <w:sz w:val="24"/>
        </w:rPr>
        <w:t xml:space="preserve">- En 2015: </w:t>
      </w:r>
      <w:r>
        <w:rPr>
          <w:rFonts w:ascii="Times New Roman" w:hAnsi="Times New Roman"/>
          <w:b/>
          <w:noProof/>
          <w:sz w:val="24"/>
        </w:rPr>
        <w:t xml:space="preserve">DE </w:t>
      </w:r>
      <w:r>
        <w:rPr>
          <w:rFonts w:ascii="Times New Roman" w:hAnsi="Times New Roman"/>
          <w:noProof/>
          <w:sz w:val="24"/>
        </w:rPr>
        <w:t>(28,7 %</w:t>
      </w:r>
      <w:r>
        <w:rPr>
          <w:rFonts w:ascii="Times New Roman" w:hAnsi="Times New Roman"/>
          <w:noProof/>
          <w:sz w:val="24"/>
        </w:rPr>
        <w:t xml:space="preserve">), puis </w:t>
      </w:r>
      <w:r>
        <w:rPr>
          <w:rFonts w:ascii="Times New Roman" w:hAnsi="Times New Roman"/>
          <w:b/>
          <w:noProof/>
          <w:sz w:val="24"/>
        </w:rPr>
        <w:t xml:space="preserve">IT </w:t>
      </w:r>
      <w:r>
        <w:rPr>
          <w:rFonts w:ascii="Times New Roman" w:hAnsi="Times New Roman"/>
          <w:noProof/>
          <w:sz w:val="24"/>
        </w:rPr>
        <w:t>(19,8 %),</w:t>
      </w:r>
      <w:r>
        <w:rPr>
          <w:rFonts w:ascii="Times New Roman" w:hAnsi="Times New Roman"/>
          <w:b/>
          <w:noProof/>
          <w:sz w:val="24"/>
        </w:rPr>
        <w:t xml:space="preserve"> BE </w:t>
      </w:r>
      <w:r>
        <w:rPr>
          <w:rFonts w:ascii="Times New Roman" w:hAnsi="Times New Roman"/>
          <w:noProof/>
          <w:sz w:val="24"/>
        </w:rPr>
        <w:t xml:space="preserve">(12,5 %), </w:t>
      </w:r>
      <w:r>
        <w:rPr>
          <w:rFonts w:ascii="Times New Roman" w:hAnsi="Times New Roman"/>
          <w:b/>
          <w:noProof/>
          <w:sz w:val="24"/>
        </w:rPr>
        <w:t xml:space="preserve">UK </w:t>
      </w:r>
      <w:r>
        <w:rPr>
          <w:rFonts w:ascii="Times New Roman" w:hAnsi="Times New Roman"/>
          <w:noProof/>
          <w:sz w:val="24"/>
        </w:rPr>
        <w:t>(11,4 %),</w:t>
      </w:r>
      <w:r>
        <w:rPr>
          <w:rFonts w:ascii="Times New Roman" w:hAnsi="Times New Roman"/>
          <w:b/>
          <w:noProof/>
          <w:sz w:val="24"/>
        </w:rPr>
        <w:t xml:space="preserve"> FR </w:t>
      </w:r>
      <w:r>
        <w:rPr>
          <w:rFonts w:ascii="Times New Roman" w:hAnsi="Times New Roman"/>
          <w:noProof/>
          <w:sz w:val="24"/>
        </w:rPr>
        <w:t>(6,3 %) et</w:t>
      </w:r>
      <w:r>
        <w:rPr>
          <w:rFonts w:ascii="Times New Roman" w:hAnsi="Times New Roman"/>
          <w:b/>
          <w:noProof/>
          <w:sz w:val="24"/>
        </w:rPr>
        <w:t xml:space="preserve"> ES </w:t>
      </w:r>
      <w:r>
        <w:rPr>
          <w:rFonts w:ascii="Times New Roman" w:hAnsi="Times New Roman"/>
          <w:noProof/>
          <w:sz w:val="24"/>
        </w:rPr>
        <w:t>(5,9 %)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 En 2014: </w:t>
      </w:r>
      <w:r>
        <w:rPr>
          <w:rFonts w:ascii="Times New Roman" w:hAnsi="Times New Roman"/>
          <w:b/>
          <w:noProof/>
          <w:sz w:val="24"/>
        </w:rPr>
        <w:t xml:space="preserve">DE </w:t>
      </w:r>
      <w:r>
        <w:rPr>
          <w:rFonts w:ascii="Times New Roman" w:hAnsi="Times New Roman"/>
          <w:noProof/>
          <w:sz w:val="24"/>
        </w:rPr>
        <w:t xml:space="preserve">(30,0 %), puis </w:t>
      </w:r>
      <w:r>
        <w:rPr>
          <w:rFonts w:ascii="Times New Roman" w:hAnsi="Times New Roman"/>
          <w:b/>
          <w:noProof/>
          <w:sz w:val="24"/>
        </w:rPr>
        <w:t xml:space="preserve">IT </w:t>
      </w:r>
      <w:r>
        <w:rPr>
          <w:rFonts w:ascii="Times New Roman" w:hAnsi="Times New Roman"/>
          <w:noProof/>
          <w:sz w:val="24"/>
        </w:rPr>
        <w:t>(20,8 %),</w:t>
      </w:r>
      <w:r>
        <w:rPr>
          <w:rFonts w:ascii="Times New Roman" w:hAnsi="Times New Roman"/>
          <w:b/>
          <w:noProof/>
          <w:sz w:val="24"/>
        </w:rPr>
        <w:t xml:space="preserve"> FR </w:t>
      </w:r>
      <w:r>
        <w:rPr>
          <w:rFonts w:ascii="Times New Roman" w:hAnsi="Times New Roman"/>
          <w:noProof/>
          <w:sz w:val="24"/>
        </w:rPr>
        <w:t>(11,2 %),</w:t>
      </w:r>
      <w:r>
        <w:rPr>
          <w:rFonts w:ascii="Times New Roman" w:hAnsi="Times New Roman"/>
          <w:b/>
          <w:noProof/>
          <w:sz w:val="24"/>
        </w:rPr>
        <w:t xml:space="preserve"> BE </w:t>
      </w:r>
      <w:r>
        <w:rPr>
          <w:rFonts w:ascii="Times New Roman" w:hAnsi="Times New Roman"/>
          <w:noProof/>
          <w:sz w:val="24"/>
        </w:rPr>
        <w:t>(8,4 %),</w:t>
      </w:r>
      <w:r>
        <w:rPr>
          <w:rFonts w:ascii="Times New Roman" w:hAnsi="Times New Roman"/>
          <w:b/>
          <w:noProof/>
          <w:sz w:val="24"/>
        </w:rPr>
        <w:t xml:space="preserve"> UK </w:t>
      </w:r>
      <w:r>
        <w:rPr>
          <w:rFonts w:ascii="Times New Roman" w:hAnsi="Times New Roman"/>
          <w:noProof/>
          <w:sz w:val="24"/>
        </w:rPr>
        <w:t>(7,9 %) et</w:t>
      </w:r>
      <w:r>
        <w:rPr>
          <w:rFonts w:ascii="Times New Roman" w:hAnsi="Times New Roman"/>
          <w:b/>
          <w:noProof/>
          <w:sz w:val="24"/>
        </w:rPr>
        <w:t xml:space="preserve"> ES </w:t>
      </w:r>
      <w:r>
        <w:rPr>
          <w:rFonts w:ascii="Times New Roman" w:hAnsi="Times New Roman"/>
          <w:noProof/>
          <w:sz w:val="24"/>
        </w:rPr>
        <w:t>(5,8 %).</w:t>
      </w:r>
    </w:p>
    <w:bookmarkEnd w:id="20"/>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Si l’on tient compte de toutes les notifications envoyées, y compris les mises à jour, le classement ci-dessus est fortement similaire, excepté pour </w:t>
      </w:r>
      <w:r>
        <w:rPr>
          <w:rFonts w:ascii="Times New Roman" w:hAnsi="Times New Roman"/>
          <w:b/>
          <w:noProof/>
          <w:sz w:val="24"/>
        </w:rPr>
        <w:t>ES</w:t>
      </w:r>
      <w:r>
        <w:rPr>
          <w:rFonts w:ascii="Times New Roman" w:hAnsi="Times New Roman"/>
          <w:noProof/>
          <w:sz w:val="24"/>
        </w:rPr>
        <w:t>, qui occupe la troisième position en 2016 et la quatrième position en 2014 et 2015.</w:t>
      </w:r>
    </w:p>
    <w:p w:rsidR="002216D2" w:rsidRDefault="000F2FA0">
      <w:pPr>
        <w:jc w:val="both"/>
        <w:rPr>
          <w:rFonts w:ascii="Times New Roman" w:hAnsi="Times New Roman" w:cs="Times New Roman"/>
          <w:noProof/>
          <w:sz w:val="24"/>
          <w:szCs w:val="24"/>
        </w:rPr>
      </w:pPr>
      <w:r>
        <w:rPr>
          <w:rFonts w:ascii="Times New Roman" w:hAnsi="Times New Roman"/>
          <w:b/>
          <w:noProof/>
          <w:sz w:val="24"/>
        </w:rPr>
        <w:t>Les notifications en</w:t>
      </w:r>
      <w:r>
        <w:rPr>
          <w:rFonts w:ascii="Times New Roman" w:hAnsi="Times New Roman"/>
          <w:b/>
          <w:noProof/>
          <w:sz w:val="24"/>
        </w:rPr>
        <w:t>voyées au sujet de nouvelles condamnations et celles envoyées au sujet de mises à jour</w:t>
      </w:r>
      <w:r>
        <w:rPr>
          <w:rFonts w:ascii="Times New Roman" w:hAnsi="Times New Roman"/>
          <w:noProof/>
          <w:sz w:val="24"/>
        </w:rPr>
        <w:t xml:space="preserve"> ont représenté respectivement </w:t>
      </w:r>
      <w:r>
        <w:rPr>
          <w:rFonts w:ascii="Times New Roman" w:hAnsi="Times New Roman"/>
          <w:b/>
          <w:noProof/>
          <w:sz w:val="24"/>
        </w:rPr>
        <w:t>73,2 % et 26,8 %</w:t>
      </w:r>
      <w:r>
        <w:rPr>
          <w:rFonts w:ascii="Times New Roman" w:hAnsi="Times New Roman"/>
          <w:noProof/>
          <w:sz w:val="24"/>
        </w:rPr>
        <w:t xml:space="preserve"> en moyenne en 2016. Pour les années 2014 et 2015, voir l’annexe, section 1.3.</w:t>
      </w:r>
      <w:r>
        <w:rPr>
          <w:rFonts w:ascii="Times New Roman" w:hAnsi="Times New Roman"/>
          <w:b/>
          <w:noProof/>
          <w:sz w:val="24"/>
        </w:rPr>
        <w:t xml:space="preserve"> Cette proportion varie considérablement d’un</w:t>
      </w:r>
      <w:r>
        <w:rPr>
          <w:rFonts w:ascii="Times New Roman" w:hAnsi="Times New Roman"/>
          <w:b/>
          <w:noProof/>
          <w:sz w:val="24"/>
        </w:rPr>
        <w:t xml:space="preserve"> État membre à l’autre</w:t>
      </w:r>
      <w:r>
        <w:rPr>
          <w:rFonts w:ascii="Times New Roman" w:hAnsi="Times New Roman"/>
          <w:noProof/>
          <w:sz w:val="24"/>
        </w:rPr>
        <w:t>: dans certains États (p.ex. AT ou PL), le nombre de mises à jour est deux fois plus élevé que les notifications, dans d’autres (p.ex. ES, NL), les volumes sont pratiquement égaux pour les deux catégories, et dans d’autres encore (p.e</w:t>
      </w:r>
      <w:r>
        <w:rPr>
          <w:rFonts w:ascii="Times New Roman" w:hAnsi="Times New Roman"/>
          <w:noProof/>
          <w:sz w:val="24"/>
        </w:rPr>
        <w:t>x. BE, UK), les mises à jour ne représentent qu’une infime part des notifications. Pour DE, qui envoie le plus grand nombre de notifications toutes catégories confondues, les mises à jour représentent environ 22 % de l’ensemble des notifications envoyées.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L’analyse détaillée des données statistiques a ici mis en évidence deux problèmes. </w:t>
      </w:r>
    </w:p>
    <w:p w:rsidR="002216D2" w:rsidRDefault="000F2FA0">
      <w:pPr>
        <w:jc w:val="both"/>
        <w:rPr>
          <w:rFonts w:ascii="Times New Roman" w:hAnsi="Times New Roman" w:cs="Times New Roman"/>
          <w:noProof/>
          <w:sz w:val="24"/>
          <w:szCs w:val="24"/>
        </w:rPr>
      </w:pPr>
      <w:r>
        <w:rPr>
          <w:rFonts w:ascii="Times New Roman" w:hAnsi="Times New Roman"/>
          <w:noProof/>
          <w:sz w:val="24"/>
        </w:rPr>
        <w:t>Premièrement, certains États membres</w:t>
      </w:r>
      <w:r>
        <w:rPr>
          <w:rFonts w:ascii="Times New Roman" w:hAnsi="Times New Roman"/>
          <w:b/>
          <w:noProof/>
          <w:sz w:val="24"/>
        </w:rPr>
        <w:t xml:space="preserve"> n’envoient pas du tout de notifications sur les nouvelles condamnations</w:t>
      </w:r>
      <w:r>
        <w:rPr>
          <w:rFonts w:ascii="Times New Roman" w:hAnsi="Times New Roman"/>
          <w:noProof/>
          <w:sz w:val="24"/>
        </w:rPr>
        <w:t xml:space="preserve"> (EL) ou </w:t>
      </w:r>
      <w:r>
        <w:rPr>
          <w:rFonts w:ascii="Times New Roman" w:hAnsi="Times New Roman"/>
          <w:b/>
          <w:noProof/>
          <w:sz w:val="24"/>
        </w:rPr>
        <w:t>n’en envoient qu’un très faible nombre</w:t>
      </w:r>
      <w:r>
        <w:rPr>
          <w:rFonts w:ascii="Times New Roman" w:hAnsi="Times New Roman"/>
          <w:noProof/>
          <w:sz w:val="24"/>
        </w:rPr>
        <w:t xml:space="preserve"> par rapport à le</w:t>
      </w:r>
      <w:r>
        <w:rPr>
          <w:rFonts w:ascii="Times New Roman" w:hAnsi="Times New Roman"/>
          <w:noProof/>
          <w:sz w:val="24"/>
        </w:rPr>
        <w:t>ur population de ressortissants d’autres pays membres (BG, EE, HR, LT, LV, MT, RO en 2016; BG, EE, LV, HR, LT en 2015; BG, EE, HR, LT, LV, RO, SK en 2014). Par conséquent, ces condamnations non notifiées n’ont pas été enregistrées dans le ou les États memb</w:t>
      </w:r>
      <w:r>
        <w:rPr>
          <w:rFonts w:ascii="Times New Roman" w:hAnsi="Times New Roman"/>
          <w:noProof/>
          <w:sz w:val="24"/>
        </w:rPr>
        <w:t>res de nationalité et les auteurs d’infractions pourraient ainsi échapper aux conséquences de leur passé criminel.</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Deuxièmement, certains États membres </w:t>
      </w:r>
      <w:r>
        <w:rPr>
          <w:rFonts w:ascii="Times New Roman" w:hAnsi="Times New Roman"/>
          <w:b/>
          <w:noProof/>
          <w:sz w:val="24"/>
        </w:rPr>
        <w:t>n’envoient pas du tout de mises à jour</w:t>
      </w:r>
      <w:r>
        <w:rPr>
          <w:rFonts w:ascii="Times New Roman" w:hAnsi="Times New Roman"/>
          <w:noProof/>
          <w:sz w:val="24"/>
        </w:rPr>
        <w:t xml:space="preserve"> sur des notifications qu'ils ont précédemment envoyées (BG, DK, E</w:t>
      </w:r>
      <w:r>
        <w:rPr>
          <w:rFonts w:ascii="Times New Roman" w:hAnsi="Times New Roman"/>
          <w:noProof/>
          <w:sz w:val="24"/>
        </w:rPr>
        <w:t xml:space="preserve">E, EL, LV, RO en 2016; BG, DK, FI, EL en 2015; DK, EE, FI, EL, HR, RO en 2014) ou </w:t>
      </w:r>
      <w:r>
        <w:rPr>
          <w:rFonts w:ascii="Times New Roman" w:hAnsi="Times New Roman"/>
          <w:b/>
          <w:noProof/>
          <w:sz w:val="24"/>
        </w:rPr>
        <w:t>en envoient un faible volume</w:t>
      </w:r>
      <w:r>
        <w:rPr>
          <w:rFonts w:ascii="Times New Roman" w:hAnsi="Times New Roman"/>
          <w:noProof/>
          <w:sz w:val="24"/>
        </w:rPr>
        <w:t xml:space="preserve"> (HR, LT, LU en 2016; EE, HR, LT, LU, LV, RO en 2015; BG, HU, IE, LT, LU, LV, SK en 2014). L’absence d’envoi de mises à jour par les États membres</w:t>
      </w:r>
      <w:r>
        <w:rPr>
          <w:rFonts w:ascii="Times New Roman" w:hAnsi="Times New Roman"/>
          <w:noProof/>
          <w:sz w:val="24"/>
        </w:rPr>
        <w:t xml:space="preserve"> de condamnation entraîne le traitement et la diffusion d’informations non actualisées et non fiables par l’État membre de nationalité.</w:t>
      </w:r>
    </w:p>
    <w:bookmarkEnd w:id="18"/>
    <w:bookmarkEnd w:id="21"/>
    <w:p w:rsidR="002216D2" w:rsidRDefault="000F2FA0">
      <w:pPr>
        <w:jc w:val="both"/>
        <w:rPr>
          <w:rFonts w:ascii="Times New Roman" w:hAnsi="Times New Roman" w:cs="Times New Roman"/>
          <w:b/>
          <w:noProof/>
          <w:sz w:val="24"/>
          <w:szCs w:val="24"/>
        </w:rPr>
      </w:pPr>
      <w:r>
        <w:rPr>
          <w:rFonts w:ascii="Times New Roman" w:hAnsi="Times New Roman"/>
          <w:b/>
          <w:noProof/>
          <w:sz w:val="24"/>
        </w:rPr>
        <w:t>3.5. Demandes d’informations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 graphique ci-dessous compare le volume de demandes d’informations envoyées par tous les </w:t>
      </w:r>
      <w:r>
        <w:rPr>
          <w:rFonts w:ascii="Times New Roman" w:hAnsi="Times New Roman"/>
          <w:noProof/>
          <w:sz w:val="24"/>
        </w:rPr>
        <w:t>États membres interconnectés en 2016 avec le volume de réponses reçues à ces demandes. Pour les années 2014 et 2015, voir l’annexe, section 1.4.</w:t>
      </w:r>
    </w:p>
    <w:p w:rsidR="002216D2" w:rsidRDefault="002216D2">
      <w:pPr>
        <w:jc w:val="both"/>
        <w:rPr>
          <w:rFonts w:ascii="Times New Roman" w:hAnsi="Times New Roman" w:cs="Times New Roman"/>
          <w:noProof/>
          <w:sz w:val="24"/>
          <w:szCs w:val="24"/>
        </w:rPr>
      </w:pPr>
    </w:p>
    <w:p w:rsidR="002216D2" w:rsidRDefault="002216D2">
      <w:pPr>
        <w:jc w:val="both"/>
        <w:rPr>
          <w:rFonts w:ascii="Times New Roman" w:hAnsi="Times New Roman" w:cs="Times New Roman"/>
          <w:noProof/>
          <w:sz w:val="24"/>
          <w:szCs w:val="24"/>
        </w:rPr>
      </w:pPr>
    </w:p>
    <w:p w:rsidR="002216D2" w:rsidRDefault="000F2FA0">
      <w:pPr>
        <w:jc w:val="both"/>
        <w:rPr>
          <w:rFonts w:ascii="Times New Roman" w:hAnsi="Times New Roman" w:cs="Times New Roman"/>
          <w:noProof/>
          <w:sz w:val="24"/>
          <w:szCs w:val="24"/>
        </w:rPr>
      </w:pPr>
      <w:r>
        <w:rPr>
          <w:noProof/>
          <w:lang w:val="en-GB" w:eastAsia="en-GB" w:bidi="ar-SA"/>
        </w:rPr>
        <w:drawing>
          <wp:inline distT="0" distB="0" distL="0" distR="0">
            <wp:extent cx="5760085" cy="31256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085" cy="3125609"/>
                    </a:xfrm>
                    <a:prstGeom prst="rect">
                      <a:avLst/>
                    </a:prstGeom>
                  </pic:spPr>
                </pic:pic>
              </a:graphicData>
            </a:graphic>
          </wp:inline>
        </w:drawing>
      </w:r>
    </w:p>
    <w:p w:rsidR="002216D2" w:rsidRDefault="000F2FA0">
      <w:pPr>
        <w:jc w:val="both"/>
        <w:rPr>
          <w:rFonts w:ascii="Times New Roman" w:hAnsi="Times New Roman" w:cs="Times New Roman"/>
          <w:noProof/>
          <w:sz w:val="24"/>
          <w:szCs w:val="24"/>
        </w:rPr>
      </w:pPr>
      <w:bookmarkStart w:id="22" w:name="_Hlk481003611"/>
      <w:r>
        <w:rPr>
          <w:rFonts w:ascii="Times New Roman" w:hAnsi="Times New Roman"/>
          <w:b/>
          <w:noProof/>
          <w:sz w:val="24"/>
        </w:rPr>
        <w:t>Le volume de demandes d’informations envoyées varie considérablement d’un État membre à l’autre</w:t>
      </w:r>
      <w:r>
        <w:rPr>
          <w:rFonts w:ascii="Times New Roman" w:hAnsi="Times New Roman"/>
          <w:noProof/>
          <w:sz w:val="24"/>
        </w:rPr>
        <w:t>, de 140 000</w:t>
      </w:r>
      <w:r>
        <w:rPr>
          <w:rFonts w:ascii="Times New Roman" w:hAnsi="Times New Roman"/>
          <w:noProof/>
          <w:sz w:val="24"/>
        </w:rPr>
        <w:t xml:space="preserve"> demandes (DE) à zéro demande (EL) par année. Le principal facteur à prendre en compte dans l’analyse de ces variations est le nombre de ressortissants d’autres États membres résidant dans un État membre donné.</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Les États membres </w:t>
      </w:r>
      <w:r>
        <w:rPr>
          <w:rFonts w:ascii="Times New Roman" w:hAnsi="Times New Roman"/>
          <w:b/>
          <w:noProof/>
          <w:sz w:val="24"/>
        </w:rPr>
        <w:t>les plus actifs</w:t>
      </w:r>
      <w:r>
        <w:rPr>
          <w:rFonts w:ascii="Times New Roman" w:hAnsi="Times New Roman"/>
          <w:noProof/>
          <w:sz w:val="24"/>
        </w:rPr>
        <w:t xml:space="preserve"> sur le plan</w:t>
      </w:r>
      <w:r>
        <w:rPr>
          <w:rFonts w:ascii="Times New Roman" w:hAnsi="Times New Roman"/>
          <w:noProof/>
          <w:sz w:val="24"/>
        </w:rPr>
        <w:t xml:space="preserve"> de l’</w:t>
      </w:r>
      <w:r>
        <w:rPr>
          <w:rFonts w:ascii="Times New Roman" w:hAnsi="Times New Roman"/>
          <w:b/>
          <w:noProof/>
          <w:sz w:val="24"/>
        </w:rPr>
        <w:t>envoi de demandes</w:t>
      </w:r>
      <w:r>
        <w:rPr>
          <w:rFonts w:ascii="Times New Roman" w:hAnsi="Times New Roman"/>
          <w:noProof/>
          <w:sz w:val="24"/>
        </w:rPr>
        <w:t xml:space="preserve"> étaient:</w:t>
      </w:r>
    </w:p>
    <w:p w:rsidR="002216D2" w:rsidRDefault="000F2FA0">
      <w:pPr>
        <w:jc w:val="both"/>
        <w:rPr>
          <w:rFonts w:ascii="Times New Roman" w:hAnsi="Times New Roman" w:cs="Times New Roman"/>
          <w:noProof/>
          <w:sz w:val="24"/>
          <w:szCs w:val="24"/>
        </w:rPr>
      </w:pPr>
      <w:bookmarkStart w:id="23" w:name="_Hlk481001976"/>
      <w:r>
        <w:rPr>
          <w:rFonts w:ascii="Times New Roman" w:hAnsi="Times New Roman"/>
          <w:noProof/>
          <w:sz w:val="24"/>
        </w:rPr>
        <w:t xml:space="preserve">- En 2016: </w:t>
      </w:r>
      <w:r>
        <w:rPr>
          <w:rFonts w:ascii="Times New Roman" w:hAnsi="Times New Roman"/>
          <w:b/>
          <w:noProof/>
          <w:sz w:val="24"/>
        </w:rPr>
        <w:t>DE</w:t>
      </w:r>
      <w:r>
        <w:rPr>
          <w:rFonts w:ascii="Times New Roman" w:hAnsi="Times New Roman"/>
          <w:noProof/>
          <w:sz w:val="24"/>
        </w:rPr>
        <w:t xml:space="preserve"> (38,6 %), puis </w:t>
      </w:r>
      <w:r>
        <w:rPr>
          <w:rFonts w:ascii="Times New Roman" w:hAnsi="Times New Roman"/>
          <w:b/>
          <w:noProof/>
          <w:sz w:val="24"/>
        </w:rPr>
        <w:t>UK</w:t>
      </w:r>
      <w:r>
        <w:rPr>
          <w:rFonts w:ascii="Times New Roman" w:hAnsi="Times New Roman"/>
          <w:noProof/>
          <w:sz w:val="24"/>
        </w:rPr>
        <w:t xml:space="preserve"> (26,7 %), </w:t>
      </w:r>
      <w:r>
        <w:rPr>
          <w:rFonts w:ascii="Times New Roman" w:hAnsi="Times New Roman"/>
          <w:b/>
          <w:noProof/>
          <w:sz w:val="24"/>
        </w:rPr>
        <w:t>CZ</w:t>
      </w:r>
      <w:r>
        <w:rPr>
          <w:rFonts w:ascii="Times New Roman" w:hAnsi="Times New Roman"/>
          <w:noProof/>
          <w:sz w:val="24"/>
        </w:rPr>
        <w:t xml:space="preserve"> (10,1 %), </w:t>
      </w:r>
      <w:r>
        <w:rPr>
          <w:rFonts w:ascii="Times New Roman" w:hAnsi="Times New Roman"/>
          <w:b/>
          <w:noProof/>
          <w:sz w:val="24"/>
        </w:rPr>
        <w:t>AT</w:t>
      </w:r>
      <w:r>
        <w:rPr>
          <w:rFonts w:ascii="Times New Roman" w:hAnsi="Times New Roman"/>
          <w:noProof/>
          <w:sz w:val="24"/>
        </w:rPr>
        <w:t xml:space="preserve"> (6,9 %), </w:t>
      </w:r>
      <w:r>
        <w:rPr>
          <w:rFonts w:ascii="Times New Roman" w:hAnsi="Times New Roman"/>
          <w:b/>
          <w:noProof/>
          <w:sz w:val="24"/>
        </w:rPr>
        <w:t>ES</w:t>
      </w:r>
      <w:r>
        <w:rPr>
          <w:rFonts w:ascii="Times New Roman" w:hAnsi="Times New Roman"/>
          <w:noProof/>
          <w:sz w:val="24"/>
        </w:rPr>
        <w:t xml:space="preserve"> (3,7 %) et </w:t>
      </w:r>
      <w:r>
        <w:rPr>
          <w:rFonts w:ascii="Times New Roman" w:hAnsi="Times New Roman"/>
          <w:b/>
          <w:noProof/>
          <w:sz w:val="24"/>
        </w:rPr>
        <w:t>FR</w:t>
      </w:r>
      <w:r>
        <w:rPr>
          <w:rFonts w:ascii="Times New Roman" w:hAnsi="Times New Roman"/>
          <w:noProof/>
          <w:sz w:val="24"/>
        </w:rPr>
        <w:t xml:space="preserve"> (3,5 %).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 En 2015: </w:t>
      </w:r>
      <w:r>
        <w:rPr>
          <w:rFonts w:ascii="Times New Roman" w:hAnsi="Times New Roman"/>
          <w:b/>
          <w:noProof/>
          <w:sz w:val="24"/>
        </w:rPr>
        <w:t xml:space="preserve">DE </w:t>
      </w:r>
      <w:r>
        <w:rPr>
          <w:rFonts w:ascii="Times New Roman" w:hAnsi="Times New Roman"/>
          <w:noProof/>
          <w:sz w:val="24"/>
        </w:rPr>
        <w:t>(40,0 %), puis</w:t>
      </w:r>
      <w:r>
        <w:rPr>
          <w:rFonts w:ascii="Times New Roman" w:hAnsi="Times New Roman"/>
          <w:b/>
          <w:noProof/>
          <w:sz w:val="24"/>
        </w:rPr>
        <w:t xml:space="preserve"> UK </w:t>
      </w:r>
      <w:r>
        <w:rPr>
          <w:rFonts w:ascii="Times New Roman" w:hAnsi="Times New Roman"/>
          <w:noProof/>
          <w:sz w:val="24"/>
        </w:rPr>
        <w:t>(29,4 %),</w:t>
      </w:r>
      <w:r>
        <w:rPr>
          <w:rFonts w:ascii="Times New Roman" w:hAnsi="Times New Roman"/>
          <w:b/>
          <w:noProof/>
          <w:sz w:val="24"/>
        </w:rPr>
        <w:t xml:space="preserve"> AT </w:t>
      </w:r>
      <w:r>
        <w:rPr>
          <w:rFonts w:ascii="Times New Roman" w:hAnsi="Times New Roman"/>
          <w:noProof/>
          <w:sz w:val="24"/>
        </w:rPr>
        <w:t>(8,2 %),</w:t>
      </w:r>
      <w:r>
        <w:rPr>
          <w:rFonts w:ascii="Times New Roman" w:hAnsi="Times New Roman"/>
          <w:b/>
          <w:noProof/>
          <w:sz w:val="24"/>
        </w:rPr>
        <w:t xml:space="preserve"> FR </w:t>
      </w:r>
      <w:r>
        <w:rPr>
          <w:rFonts w:ascii="Times New Roman" w:hAnsi="Times New Roman"/>
          <w:noProof/>
          <w:sz w:val="24"/>
        </w:rPr>
        <w:t xml:space="preserve">(4,5 %), </w:t>
      </w:r>
      <w:r>
        <w:rPr>
          <w:rFonts w:ascii="Times New Roman" w:hAnsi="Times New Roman"/>
          <w:b/>
          <w:noProof/>
          <w:sz w:val="24"/>
        </w:rPr>
        <w:t xml:space="preserve">ES </w:t>
      </w:r>
      <w:r>
        <w:rPr>
          <w:rFonts w:ascii="Times New Roman" w:hAnsi="Times New Roman"/>
          <w:noProof/>
          <w:sz w:val="24"/>
        </w:rPr>
        <w:t>(4,0 %) et</w:t>
      </w:r>
      <w:r>
        <w:rPr>
          <w:rFonts w:ascii="Times New Roman" w:hAnsi="Times New Roman"/>
          <w:b/>
          <w:noProof/>
          <w:sz w:val="24"/>
        </w:rPr>
        <w:t xml:space="preserve"> CZ </w:t>
      </w:r>
      <w:r>
        <w:rPr>
          <w:rFonts w:ascii="Times New Roman" w:hAnsi="Times New Roman"/>
          <w:noProof/>
          <w:sz w:val="24"/>
        </w:rPr>
        <w:t>(3,3 %)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 En 2014: </w:t>
      </w:r>
      <w:r>
        <w:rPr>
          <w:rFonts w:ascii="Times New Roman" w:hAnsi="Times New Roman"/>
          <w:b/>
          <w:noProof/>
          <w:sz w:val="24"/>
        </w:rPr>
        <w:t xml:space="preserve">DE </w:t>
      </w:r>
      <w:r>
        <w:rPr>
          <w:rFonts w:ascii="Times New Roman" w:hAnsi="Times New Roman"/>
          <w:noProof/>
          <w:sz w:val="24"/>
        </w:rPr>
        <w:t>(45,3 %), puis</w:t>
      </w:r>
      <w:r>
        <w:rPr>
          <w:rFonts w:ascii="Times New Roman" w:hAnsi="Times New Roman"/>
          <w:b/>
          <w:noProof/>
          <w:sz w:val="24"/>
        </w:rPr>
        <w:t xml:space="preserve"> UK </w:t>
      </w:r>
      <w:r>
        <w:rPr>
          <w:rFonts w:ascii="Times New Roman" w:hAnsi="Times New Roman"/>
          <w:noProof/>
          <w:sz w:val="24"/>
        </w:rPr>
        <w:t xml:space="preserve">(18,7 %), </w:t>
      </w:r>
      <w:r>
        <w:rPr>
          <w:rFonts w:ascii="Times New Roman" w:hAnsi="Times New Roman"/>
          <w:b/>
          <w:noProof/>
          <w:sz w:val="24"/>
        </w:rPr>
        <w:t xml:space="preserve">AT </w:t>
      </w:r>
      <w:r>
        <w:rPr>
          <w:rFonts w:ascii="Times New Roman" w:hAnsi="Times New Roman"/>
          <w:noProof/>
          <w:sz w:val="24"/>
        </w:rPr>
        <w:t>(13,7 %),</w:t>
      </w:r>
      <w:r>
        <w:rPr>
          <w:rFonts w:ascii="Times New Roman" w:hAnsi="Times New Roman"/>
          <w:b/>
          <w:noProof/>
          <w:sz w:val="24"/>
        </w:rPr>
        <w:t xml:space="preserve"> FR </w:t>
      </w:r>
      <w:r>
        <w:rPr>
          <w:rFonts w:ascii="Times New Roman" w:hAnsi="Times New Roman"/>
          <w:noProof/>
          <w:sz w:val="24"/>
        </w:rPr>
        <w:t>(7,6 %),</w:t>
      </w:r>
      <w:r>
        <w:rPr>
          <w:rFonts w:ascii="Times New Roman" w:hAnsi="Times New Roman"/>
          <w:b/>
          <w:noProof/>
          <w:sz w:val="24"/>
        </w:rPr>
        <w:t xml:space="preserve"> CZ </w:t>
      </w:r>
      <w:r>
        <w:rPr>
          <w:rFonts w:ascii="Times New Roman" w:hAnsi="Times New Roman"/>
          <w:noProof/>
          <w:sz w:val="24"/>
        </w:rPr>
        <w:t>(4,1 %) et</w:t>
      </w:r>
      <w:r>
        <w:rPr>
          <w:rFonts w:ascii="Times New Roman" w:hAnsi="Times New Roman"/>
          <w:b/>
          <w:noProof/>
          <w:sz w:val="24"/>
        </w:rPr>
        <w:t xml:space="preserve"> NL </w:t>
      </w:r>
      <w:r>
        <w:rPr>
          <w:rFonts w:ascii="Times New Roman" w:hAnsi="Times New Roman"/>
          <w:noProof/>
          <w:sz w:val="24"/>
        </w:rPr>
        <w:t>(2,8 %)</w:t>
      </w:r>
    </w:p>
    <w:bookmarkEnd w:id="23"/>
    <w:p w:rsidR="002216D2" w:rsidRDefault="000F2FA0">
      <w:pPr>
        <w:jc w:val="both"/>
        <w:rPr>
          <w:rFonts w:ascii="Times New Roman" w:hAnsi="Times New Roman" w:cs="Times New Roman"/>
          <w:noProof/>
          <w:sz w:val="24"/>
          <w:szCs w:val="24"/>
        </w:rPr>
      </w:pPr>
      <w:r>
        <w:rPr>
          <w:rFonts w:ascii="Times New Roman" w:hAnsi="Times New Roman"/>
          <w:noProof/>
          <w:sz w:val="24"/>
        </w:rPr>
        <w:t>Certains États membres</w:t>
      </w:r>
      <w:r>
        <w:rPr>
          <w:rFonts w:ascii="Times New Roman" w:hAnsi="Times New Roman"/>
          <w:b/>
          <w:noProof/>
          <w:sz w:val="24"/>
        </w:rPr>
        <w:t xml:space="preserve"> n’envoient pas du tout de demandes</w:t>
      </w:r>
      <w:r>
        <w:rPr>
          <w:rFonts w:ascii="Times New Roman" w:hAnsi="Times New Roman"/>
          <w:noProof/>
          <w:sz w:val="24"/>
        </w:rPr>
        <w:t xml:space="preserve"> (EL) ou </w:t>
      </w:r>
      <w:r>
        <w:rPr>
          <w:rFonts w:ascii="Times New Roman" w:hAnsi="Times New Roman"/>
          <w:b/>
          <w:noProof/>
          <w:sz w:val="24"/>
        </w:rPr>
        <w:t>n’en envoient qu’un faible nombre</w:t>
      </w:r>
      <w:r>
        <w:rPr>
          <w:rFonts w:ascii="Times New Roman" w:hAnsi="Times New Roman"/>
          <w:noProof/>
          <w:sz w:val="24"/>
        </w:rPr>
        <w:t xml:space="preserve"> par rapport à leur population de ressortissants d’autres États membres de l’UE (BG, CY, HU, IT, </w:t>
      </w:r>
      <w:r>
        <w:rPr>
          <w:rFonts w:ascii="Times New Roman" w:hAnsi="Times New Roman"/>
          <w:noProof/>
          <w:sz w:val="24"/>
        </w:rPr>
        <w:t>MT, EE, HR, LV, RO, SK en 2016; BG, HU, IT, EE, HR, LV, RO, CY, SK en 2015; BG, EE, HR, HU, IT, LV, CY, SK en 2014). Cela donne lieu à une situation dans laquelle les juridictions pénales pourraient rendre des jugements sans connaître les condamnations pro</w:t>
      </w:r>
      <w:r>
        <w:rPr>
          <w:rFonts w:ascii="Times New Roman" w:hAnsi="Times New Roman"/>
          <w:noProof/>
          <w:sz w:val="24"/>
        </w:rPr>
        <w:t xml:space="preserve">noncées dans d’autres États membres, ce qui est contraire aux dispositions de la décision-cadre 2008/675/JAI relative à la prise en compte des précédentes condamnations à l’occasion d’une nouvelle procédure pénale. Cela nuira également à l’effet préventif </w:t>
      </w:r>
      <w:r>
        <w:rPr>
          <w:rFonts w:ascii="Times New Roman" w:hAnsi="Times New Roman"/>
          <w:noProof/>
          <w:sz w:val="24"/>
        </w:rPr>
        <w:t>obtenu en demandant un extrait du casier judiciaire à d’autres fins que des procédures pénales, par exemple en matière de recrutement.</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Les données ci-dessus permettent également d’observer que </w:t>
      </w:r>
      <w:r>
        <w:rPr>
          <w:rFonts w:ascii="Times New Roman" w:hAnsi="Times New Roman"/>
          <w:b/>
          <w:noProof/>
          <w:sz w:val="24"/>
        </w:rPr>
        <w:t xml:space="preserve"> les demandes d’informations ne reçoivent pas toutes une répons</w:t>
      </w:r>
      <w:r>
        <w:rPr>
          <w:rFonts w:ascii="Times New Roman" w:hAnsi="Times New Roman"/>
          <w:b/>
          <w:noProof/>
          <w:sz w:val="24"/>
        </w:rPr>
        <w:t>e.</w:t>
      </w:r>
      <w:r>
        <w:rPr>
          <w:rFonts w:ascii="Times New Roman" w:hAnsi="Times New Roman"/>
          <w:noProof/>
          <w:sz w:val="24"/>
        </w:rPr>
        <w:t xml:space="preserve"> Dans la plupart des cas, le nombre de réponses reçues est légèrement plus faible que le nombre de demandes envoyées, avec un écart moyen d’</w:t>
      </w:r>
      <w:r>
        <w:rPr>
          <w:rFonts w:ascii="Times New Roman" w:hAnsi="Times New Roman"/>
          <w:b/>
          <w:noProof/>
          <w:sz w:val="24"/>
        </w:rPr>
        <w:t>environ 3,9 % en 2016</w:t>
      </w:r>
      <w:r>
        <w:rPr>
          <w:rFonts w:ascii="Times New Roman" w:hAnsi="Times New Roman"/>
          <w:noProof/>
          <w:sz w:val="24"/>
        </w:rPr>
        <w:t xml:space="preserve">. Pour les États membres les plus actifs en matière d’envoi de demandes, 7 % des demandes de </w:t>
      </w:r>
      <w:r>
        <w:rPr>
          <w:rFonts w:ascii="Times New Roman" w:hAnsi="Times New Roman"/>
          <w:noProof/>
          <w:sz w:val="24"/>
        </w:rPr>
        <w:t>DE (9 577), 4 % des demandes d’AT (869) et 2 % des demandes de UK (1 709) en 2016 sont restées sans réponse.</w:t>
      </w:r>
    </w:p>
    <w:bookmarkEnd w:id="22"/>
    <w:p w:rsidR="002216D2" w:rsidRDefault="000F2FA0">
      <w:pPr>
        <w:jc w:val="both"/>
        <w:rPr>
          <w:rFonts w:ascii="Times New Roman" w:hAnsi="Times New Roman" w:cs="Times New Roman"/>
          <w:b/>
          <w:noProof/>
          <w:sz w:val="24"/>
          <w:szCs w:val="24"/>
        </w:rPr>
      </w:pPr>
      <w:r>
        <w:rPr>
          <w:rFonts w:ascii="Times New Roman" w:hAnsi="Times New Roman"/>
          <w:b/>
          <w:noProof/>
          <w:sz w:val="24"/>
        </w:rPr>
        <w:t>3.6. Réponses aux demandes</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 graphique ci-dessous illustre le nombre de réponses envoyées par l’ensemble des États membres interconnectés en 2016 </w:t>
      </w:r>
      <w:r>
        <w:rPr>
          <w:rFonts w:ascii="Times New Roman" w:hAnsi="Times New Roman"/>
          <w:noProof/>
          <w:sz w:val="24"/>
        </w:rPr>
        <w:t>par rapport au nombre de demandes d’informations correspondantes qu’ils ont reçues. Pour les années 2014 et 2015, voir l’annexe, section 1.5.</w:t>
      </w:r>
    </w:p>
    <w:p w:rsidR="002216D2" w:rsidRDefault="000F2FA0">
      <w:pPr>
        <w:rPr>
          <w:rFonts w:ascii="Times New Roman" w:hAnsi="Times New Roman" w:cs="Times New Roman"/>
          <w:noProof/>
          <w:sz w:val="24"/>
          <w:szCs w:val="24"/>
        </w:rPr>
      </w:pPr>
      <w:r>
        <w:rPr>
          <w:noProof/>
          <w:lang w:val="en-GB" w:eastAsia="en-GB" w:bidi="ar-SA"/>
        </w:rPr>
        <w:drawing>
          <wp:inline distT="0" distB="0" distL="0" distR="0">
            <wp:extent cx="5760085" cy="32958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085" cy="3295851"/>
                    </a:xfrm>
                    <a:prstGeom prst="rect">
                      <a:avLst/>
                    </a:prstGeom>
                  </pic:spPr>
                </pic:pic>
              </a:graphicData>
            </a:graphic>
          </wp:inline>
        </w:drawing>
      </w:r>
    </w:p>
    <w:p w:rsidR="002216D2" w:rsidRDefault="000F2FA0">
      <w:pPr>
        <w:jc w:val="both"/>
        <w:rPr>
          <w:rFonts w:ascii="Times New Roman" w:hAnsi="Times New Roman" w:cs="Times New Roman"/>
          <w:noProof/>
          <w:sz w:val="24"/>
          <w:szCs w:val="24"/>
        </w:rPr>
      </w:pPr>
      <w:bookmarkStart w:id="24" w:name="_Hlk481164813"/>
      <w:r>
        <w:rPr>
          <w:rFonts w:ascii="Times New Roman" w:hAnsi="Times New Roman"/>
          <w:noProof/>
          <w:sz w:val="24"/>
        </w:rPr>
        <w:t xml:space="preserve">Le </w:t>
      </w:r>
      <w:r>
        <w:rPr>
          <w:rFonts w:ascii="Times New Roman" w:hAnsi="Times New Roman"/>
          <w:b/>
          <w:noProof/>
          <w:sz w:val="24"/>
        </w:rPr>
        <w:t>nombre de demandes reçues et de réponses envoyées qui y correspondent varie considérablement d’un État membre</w:t>
      </w:r>
      <w:r>
        <w:rPr>
          <w:rFonts w:ascii="Times New Roman" w:hAnsi="Times New Roman"/>
          <w:b/>
          <w:noProof/>
          <w:sz w:val="24"/>
        </w:rPr>
        <w:t xml:space="preserve"> à l’autre</w:t>
      </w:r>
      <w:r>
        <w:rPr>
          <w:rFonts w:ascii="Times New Roman" w:hAnsi="Times New Roman"/>
          <w:noProof/>
          <w:sz w:val="24"/>
        </w:rPr>
        <w:t>, de 62 000 (PL) à 63 demandes (MT) par année. L’analyse de ces variations doit essentiellement tenir compte de deux facteurs: la population totale par État membre et le nombre de ressortissants de chaque État résidant dans d’autres États membres</w:t>
      </w:r>
      <w:r>
        <w:rPr>
          <w:rFonts w:ascii="Times New Roman" w:hAnsi="Times New Roman"/>
          <w:noProof/>
          <w:sz w:val="24"/>
        </w:rPr>
        <w:t>. Pour une analyse détaillée des statistiques des différents États membres, voir l’annexe, section 2.</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Les États membres ayant reçu le plus grand nombre de demandes d’informations et, par conséquent, </w:t>
      </w:r>
      <w:r>
        <w:rPr>
          <w:rFonts w:ascii="Times New Roman" w:hAnsi="Times New Roman"/>
          <w:b/>
          <w:noProof/>
          <w:sz w:val="24"/>
        </w:rPr>
        <w:t>ayant répondu au plus grand nombre de demandes</w:t>
      </w:r>
      <w:r>
        <w:rPr>
          <w:rFonts w:ascii="Times New Roman" w:hAnsi="Times New Roman"/>
          <w:noProof/>
          <w:sz w:val="24"/>
        </w:rPr>
        <w:t xml:space="preserve"> en chiffre</w:t>
      </w:r>
      <w:r>
        <w:rPr>
          <w:rFonts w:ascii="Times New Roman" w:hAnsi="Times New Roman"/>
          <w:noProof/>
          <w:sz w:val="24"/>
        </w:rPr>
        <w:t>s absolus (pas nécessairement le plus grand nombre par rapport à ce qu’ils ont reçu) étaient:</w:t>
      </w:r>
    </w:p>
    <w:p w:rsidR="002216D2" w:rsidRDefault="000F2FA0">
      <w:pPr>
        <w:jc w:val="both"/>
        <w:rPr>
          <w:rFonts w:ascii="Times New Roman" w:hAnsi="Times New Roman" w:cs="Times New Roman"/>
          <w:b/>
          <w:noProof/>
          <w:sz w:val="24"/>
          <w:szCs w:val="24"/>
        </w:rPr>
      </w:pPr>
      <w:r>
        <w:rPr>
          <w:rFonts w:ascii="Times New Roman" w:hAnsi="Times New Roman"/>
          <w:noProof/>
          <w:sz w:val="24"/>
        </w:rPr>
        <w:t xml:space="preserve">- En 2016: </w:t>
      </w:r>
      <w:r>
        <w:rPr>
          <w:rFonts w:ascii="Times New Roman" w:hAnsi="Times New Roman"/>
          <w:b/>
          <w:noProof/>
          <w:sz w:val="24"/>
        </w:rPr>
        <w:t xml:space="preserve">PL </w:t>
      </w:r>
      <w:r>
        <w:rPr>
          <w:rFonts w:ascii="Times New Roman" w:hAnsi="Times New Roman"/>
          <w:noProof/>
          <w:sz w:val="24"/>
        </w:rPr>
        <w:t>(17,4 % de l’ensemble des demandes), puis</w:t>
      </w:r>
      <w:r>
        <w:rPr>
          <w:rFonts w:ascii="Times New Roman" w:hAnsi="Times New Roman"/>
          <w:b/>
          <w:noProof/>
          <w:sz w:val="24"/>
        </w:rPr>
        <w:t xml:space="preserve"> RO </w:t>
      </w:r>
      <w:r>
        <w:rPr>
          <w:rFonts w:ascii="Times New Roman" w:hAnsi="Times New Roman"/>
          <w:noProof/>
          <w:sz w:val="24"/>
        </w:rPr>
        <w:t>(16,2 %),</w:t>
      </w:r>
      <w:r>
        <w:rPr>
          <w:rFonts w:ascii="Times New Roman" w:hAnsi="Times New Roman"/>
          <w:b/>
          <w:noProof/>
          <w:sz w:val="24"/>
        </w:rPr>
        <w:t xml:space="preserve"> SK </w:t>
      </w:r>
      <w:r>
        <w:rPr>
          <w:rFonts w:ascii="Times New Roman" w:hAnsi="Times New Roman"/>
          <w:noProof/>
          <w:sz w:val="24"/>
        </w:rPr>
        <w:t>(9,1 %),</w:t>
      </w:r>
      <w:r>
        <w:rPr>
          <w:rFonts w:ascii="Times New Roman" w:hAnsi="Times New Roman"/>
          <w:b/>
          <w:noProof/>
          <w:sz w:val="24"/>
        </w:rPr>
        <w:t xml:space="preserve"> DE </w:t>
      </w:r>
      <w:r>
        <w:rPr>
          <w:rFonts w:ascii="Times New Roman" w:hAnsi="Times New Roman"/>
          <w:noProof/>
          <w:sz w:val="24"/>
        </w:rPr>
        <w:t>(6,2 %),</w:t>
      </w:r>
      <w:r>
        <w:rPr>
          <w:rFonts w:ascii="Times New Roman" w:hAnsi="Times New Roman"/>
          <w:b/>
          <w:noProof/>
          <w:sz w:val="24"/>
        </w:rPr>
        <w:t xml:space="preserve"> IT </w:t>
      </w:r>
      <w:r>
        <w:rPr>
          <w:rFonts w:ascii="Times New Roman" w:hAnsi="Times New Roman"/>
          <w:noProof/>
          <w:sz w:val="24"/>
        </w:rPr>
        <w:t>(5,1 %) et</w:t>
      </w:r>
      <w:r>
        <w:rPr>
          <w:rFonts w:ascii="Times New Roman" w:hAnsi="Times New Roman"/>
          <w:b/>
          <w:noProof/>
          <w:sz w:val="24"/>
        </w:rPr>
        <w:t xml:space="preserve"> FR </w:t>
      </w:r>
      <w:r>
        <w:rPr>
          <w:rFonts w:ascii="Times New Roman" w:hAnsi="Times New Roman"/>
          <w:noProof/>
          <w:sz w:val="24"/>
        </w:rPr>
        <w:t>(4,6 %)</w:t>
      </w:r>
    </w:p>
    <w:p w:rsidR="002216D2" w:rsidRDefault="000F2FA0">
      <w:pPr>
        <w:jc w:val="both"/>
        <w:rPr>
          <w:rFonts w:ascii="Times New Roman" w:hAnsi="Times New Roman" w:cs="Times New Roman"/>
          <w:b/>
          <w:noProof/>
          <w:sz w:val="24"/>
          <w:szCs w:val="24"/>
        </w:rPr>
      </w:pPr>
      <w:r>
        <w:rPr>
          <w:rFonts w:ascii="Times New Roman" w:hAnsi="Times New Roman"/>
          <w:noProof/>
          <w:sz w:val="24"/>
        </w:rPr>
        <w:t xml:space="preserve">- En 2015: </w:t>
      </w:r>
      <w:r>
        <w:rPr>
          <w:rFonts w:ascii="Times New Roman" w:hAnsi="Times New Roman"/>
          <w:b/>
          <w:noProof/>
          <w:sz w:val="24"/>
        </w:rPr>
        <w:t xml:space="preserve">PL </w:t>
      </w:r>
      <w:r>
        <w:rPr>
          <w:rFonts w:ascii="Times New Roman" w:hAnsi="Times New Roman"/>
          <w:noProof/>
          <w:sz w:val="24"/>
        </w:rPr>
        <w:t>(18,9 %), puis</w:t>
      </w:r>
      <w:r>
        <w:rPr>
          <w:rFonts w:ascii="Times New Roman" w:hAnsi="Times New Roman"/>
          <w:b/>
          <w:noProof/>
          <w:sz w:val="24"/>
        </w:rPr>
        <w:t xml:space="preserve"> RO </w:t>
      </w:r>
      <w:r>
        <w:rPr>
          <w:rFonts w:ascii="Times New Roman" w:hAnsi="Times New Roman"/>
          <w:noProof/>
          <w:sz w:val="24"/>
        </w:rPr>
        <w:t>(17,9 %),</w:t>
      </w:r>
      <w:r>
        <w:rPr>
          <w:rFonts w:ascii="Times New Roman" w:hAnsi="Times New Roman"/>
          <w:b/>
          <w:noProof/>
          <w:sz w:val="24"/>
        </w:rPr>
        <w:t xml:space="preserve"> DE </w:t>
      </w:r>
      <w:r>
        <w:rPr>
          <w:rFonts w:ascii="Times New Roman" w:hAnsi="Times New Roman"/>
          <w:noProof/>
          <w:sz w:val="24"/>
        </w:rPr>
        <w:t>(7,5 %),</w:t>
      </w:r>
      <w:r>
        <w:rPr>
          <w:rFonts w:ascii="Times New Roman" w:hAnsi="Times New Roman"/>
          <w:b/>
          <w:noProof/>
          <w:sz w:val="24"/>
        </w:rPr>
        <w:t xml:space="preserve"> IT</w:t>
      </w:r>
      <w:r>
        <w:rPr>
          <w:rFonts w:ascii="Times New Roman" w:hAnsi="Times New Roman"/>
          <w:noProof/>
          <w:sz w:val="24"/>
        </w:rPr>
        <w:t xml:space="preserve"> (6,5 %), </w:t>
      </w:r>
      <w:r>
        <w:rPr>
          <w:rFonts w:ascii="Times New Roman" w:hAnsi="Times New Roman"/>
          <w:b/>
          <w:noProof/>
          <w:sz w:val="24"/>
        </w:rPr>
        <w:t xml:space="preserve">LT </w:t>
      </w:r>
      <w:r>
        <w:rPr>
          <w:rFonts w:ascii="Times New Roman" w:hAnsi="Times New Roman"/>
          <w:noProof/>
          <w:sz w:val="24"/>
        </w:rPr>
        <w:t>(5,2 %) et</w:t>
      </w:r>
      <w:r>
        <w:rPr>
          <w:rFonts w:ascii="Times New Roman" w:hAnsi="Times New Roman"/>
          <w:b/>
          <w:noProof/>
          <w:sz w:val="24"/>
        </w:rPr>
        <w:t xml:space="preserve"> FR </w:t>
      </w:r>
      <w:r>
        <w:rPr>
          <w:rFonts w:ascii="Times New Roman" w:hAnsi="Times New Roman"/>
          <w:noProof/>
          <w:sz w:val="24"/>
        </w:rPr>
        <w:t>(4,9 %)</w:t>
      </w:r>
    </w:p>
    <w:p w:rsidR="002216D2" w:rsidRDefault="000F2FA0">
      <w:pPr>
        <w:jc w:val="both"/>
        <w:rPr>
          <w:rFonts w:ascii="Times New Roman" w:hAnsi="Times New Roman" w:cs="Times New Roman"/>
          <w:b/>
          <w:noProof/>
          <w:sz w:val="24"/>
          <w:szCs w:val="24"/>
        </w:rPr>
      </w:pPr>
      <w:r>
        <w:rPr>
          <w:rFonts w:ascii="Times New Roman" w:hAnsi="Times New Roman"/>
          <w:noProof/>
          <w:sz w:val="24"/>
        </w:rPr>
        <w:t xml:space="preserve">- En 2014: </w:t>
      </w:r>
      <w:r>
        <w:rPr>
          <w:rFonts w:ascii="Times New Roman" w:hAnsi="Times New Roman"/>
          <w:b/>
          <w:noProof/>
          <w:sz w:val="24"/>
        </w:rPr>
        <w:t xml:space="preserve">PL </w:t>
      </w:r>
      <w:r>
        <w:rPr>
          <w:rFonts w:ascii="Times New Roman" w:hAnsi="Times New Roman"/>
          <w:noProof/>
          <w:sz w:val="24"/>
        </w:rPr>
        <w:t>(20,0 %), puis</w:t>
      </w:r>
      <w:r>
        <w:rPr>
          <w:rFonts w:ascii="Times New Roman" w:hAnsi="Times New Roman"/>
          <w:b/>
          <w:noProof/>
          <w:sz w:val="24"/>
        </w:rPr>
        <w:t xml:space="preserve"> RO </w:t>
      </w:r>
      <w:r>
        <w:rPr>
          <w:rFonts w:ascii="Times New Roman" w:hAnsi="Times New Roman"/>
          <w:noProof/>
          <w:sz w:val="24"/>
        </w:rPr>
        <w:t>(13,0 %),</w:t>
      </w:r>
      <w:r>
        <w:rPr>
          <w:rFonts w:ascii="Times New Roman" w:hAnsi="Times New Roman"/>
          <w:b/>
          <w:noProof/>
          <w:sz w:val="24"/>
        </w:rPr>
        <w:t xml:space="preserve"> DE </w:t>
      </w:r>
      <w:r>
        <w:rPr>
          <w:rFonts w:ascii="Times New Roman" w:hAnsi="Times New Roman"/>
          <w:noProof/>
          <w:sz w:val="24"/>
        </w:rPr>
        <w:t>(9,9 %),</w:t>
      </w:r>
      <w:r>
        <w:rPr>
          <w:rFonts w:ascii="Times New Roman" w:hAnsi="Times New Roman"/>
          <w:b/>
          <w:noProof/>
          <w:sz w:val="24"/>
        </w:rPr>
        <w:t xml:space="preserve"> IT </w:t>
      </w:r>
      <w:r>
        <w:rPr>
          <w:rFonts w:ascii="Times New Roman" w:hAnsi="Times New Roman"/>
          <w:noProof/>
          <w:sz w:val="24"/>
        </w:rPr>
        <w:t>(8,5 %),</w:t>
      </w:r>
      <w:r>
        <w:rPr>
          <w:rFonts w:ascii="Times New Roman" w:hAnsi="Times New Roman"/>
          <w:b/>
          <w:noProof/>
          <w:sz w:val="24"/>
        </w:rPr>
        <w:t xml:space="preserve"> FR </w:t>
      </w:r>
      <w:r>
        <w:rPr>
          <w:rFonts w:ascii="Times New Roman" w:hAnsi="Times New Roman"/>
          <w:noProof/>
          <w:sz w:val="24"/>
        </w:rPr>
        <w:t>(5,2 %) et</w:t>
      </w:r>
      <w:r>
        <w:rPr>
          <w:rFonts w:ascii="Times New Roman" w:hAnsi="Times New Roman"/>
          <w:b/>
          <w:noProof/>
          <w:sz w:val="24"/>
        </w:rPr>
        <w:t xml:space="preserve"> LT </w:t>
      </w:r>
      <w:r>
        <w:rPr>
          <w:rFonts w:ascii="Times New Roman" w:hAnsi="Times New Roman"/>
          <w:noProof/>
          <w:sz w:val="24"/>
        </w:rPr>
        <w:t>(5,0 %)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Si tous les États membres répondent à des demandes de manière générale, </w:t>
      </w:r>
      <w:r>
        <w:rPr>
          <w:rFonts w:ascii="Times New Roman" w:hAnsi="Times New Roman"/>
          <w:b/>
          <w:noProof/>
          <w:sz w:val="24"/>
        </w:rPr>
        <w:t>les demandes d’informations ne reçoivent pa</w:t>
      </w:r>
      <w:r>
        <w:rPr>
          <w:rFonts w:ascii="Times New Roman" w:hAnsi="Times New Roman"/>
          <w:b/>
          <w:noProof/>
          <w:sz w:val="24"/>
        </w:rPr>
        <w:t>s toutes une réponse.</w:t>
      </w:r>
      <w:r>
        <w:rPr>
          <w:rFonts w:ascii="Times New Roman" w:hAnsi="Times New Roman"/>
          <w:noProof/>
          <w:sz w:val="24"/>
        </w:rPr>
        <w:t xml:space="preserve"> Dans la plupart des cas, le nombre de réponses envoyées est légèrement plus faible que le nombre de demandes d’informations reçues, avec un écart moyen d’</w:t>
      </w:r>
      <w:r>
        <w:rPr>
          <w:rFonts w:ascii="Times New Roman" w:hAnsi="Times New Roman"/>
          <w:b/>
          <w:noProof/>
          <w:sz w:val="24"/>
        </w:rPr>
        <w:t>environ 3,9 % en 2016</w:t>
      </w:r>
      <w:r>
        <w:rPr>
          <w:rFonts w:ascii="Times New Roman" w:hAnsi="Times New Roman"/>
          <w:noProof/>
          <w:sz w:val="24"/>
        </w:rPr>
        <w:t xml:space="preserve">. </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Parmi les États membres ayant reçu le plus grand nombre </w:t>
      </w:r>
      <w:r>
        <w:rPr>
          <w:rFonts w:ascii="Times New Roman" w:hAnsi="Times New Roman"/>
          <w:noProof/>
          <w:sz w:val="24"/>
        </w:rPr>
        <w:t xml:space="preserve">de demandes en 2016, IT n’a pas répondu à 20,4 % des demandes qu’elle a reçues (5 579), FR à 3,9 % (657), DE à 2,5 % (552), PL à 1,9 % (1 174), RO à 1,7 % (970) et SK à 0,1 % (47). </w:t>
      </w:r>
      <w:bookmarkStart w:id="25" w:name="_Hlk481154445"/>
    </w:p>
    <w:p w:rsidR="002216D2" w:rsidRDefault="000F2FA0">
      <w:pPr>
        <w:jc w:val="both"/>
        <w:rPr>
          <w:rFonts w:ascii="Times New Roman" w:hAnsi="Times New Roman" w:cs="Times New Roman"/>
          <w:noProof/>
          <w:sz w:val="24"/>
          <w:szCs w:val="24"/>
        </w:rPr>
      </w:pPr>
      <w:bookmarkStart w:id="26" w:name="_Hlk481154348"/>
      <w:r>
        <w:rPr>
          <w:rFonts w:ascii="Times New Roman" w:hAnsi="Times New Roman"/>
          <w:noProof/>
          <w:sz w:val="24"/>
        </w:rPr>
        <w:t>En 2016, les États membres ayant affiché le pourcentage le plus élevé de d</w:t>
      </w:r>
      <w:r>
        <w:rPr>
          <w:rFonts w:ascii="Times New Roman" w:hAnsi="Times New Roman"/>
          <w:noProof/>
          <w:sz w:val="24"/>
        </w:rPr>
        <w:t xml:space="preserve">emandes sans réponse étaient: CY (66,1 % des demandes reçues), EL (34,9 %), IT (20,4%) et LV (17,8 %). </w:t>
      </w:r>
    </w:p>
    <w:bookmarkEnd w:id="24"/>
    <w:bookmarkEnd w:id="25"/>
    <w:bookmarkEnd w:id="26"/>
    <w:p w:rsidR="002216D2" w:rsidRDefault="000F2FA0">
      <w:pPr>
        <w:jc w:val="both"/>
        <w:rPr>
          <w:rFonts w:ascii="Times New Roman" w:hAnsi="Times New Roman" w:cs="Times New Roman"/>
          <w:b/>
          <w:noProof/>
          <w:sz w:val="24"/>
          <w:szCs w:val="24"/>
        </w:rPr>
      </w:pPr>
      <w:r>
        <w:rPr>
          <w:rFonts w:ascii="Times New Roman" w:hAnsi="Times New Roman"/>
          <w:b/>
          <w:noProof/>
          <w:sz w:val="24"/>
        </w:rPr>
        <w:t>3.7. Réponses envoyées après expiration des délais légaux</w:t>
      </w:r>
    </w:p>
    <w:p w:rsidR="002216D2" w:rsidRDefault="000F2FA0">
      <w:pPr>
        <w:jc w:val="both"/>
        <w:rPr>
          <w:rFonts w:ascii="Times New Roman" w:hAnsi="Times New Roman" w:cs="Times New Roman"/>
          <w:noProof/>
          <w:sz w:val="24"/>
          <w:szCs w:val="24"/>
        </w:rPr>
      </w:pPr>
      <w:r>
        <w:rPr>
          <w:rFonts w:ascii="Times New Roman" w:hAnsi="Times New Roman"/>
          <w:noProof/>
          <w:sz w:val="24"/>
        </w:rPr>
        <w:t>Un autre problème est le fait que certaines demandes ne reçoivent pas de réponse dans les déla</w:t>
      </w:r>
      <w:r>
        <w:rPr>
          <w:rFonts w:ascii="Times New Roman" w:hAnsi="Times New Roman"/>
          <w:noProof/>
          <w:sz w:val="24"/>
        </w:rPr>
        <w:t xml:space="preserve">is légaux prescrits. Le tableau ci-dessous donne un aperçu, pour tous les États membres, du nombre de réponses n’ayant pas respecté les délais légaux en 2016. </w:t>
      </w:r>
    </w:p>
    <w:tbl>
      <w:tblPr>
        <w:tblW w:w="9460" w:type="dxa"/>
        <w:tblInd w:w="93" w:type="dxa"/>
        <w:tblLook w:val="04A0" w:firstRow="1" w:lastRow="0" w:firstColumn="1" w:lastColumn="0" w:noHBand="0" w:noVBand="1"/>
      </w:tblPr>
      <w:tblGrid>
        <w:gridCol w:w="987"/>
        <w:gridCol w:w="1360"/>
        <w:gridCol w:w="2020"/>
        <w:gridCol w:w="1800"/>
        <w:gridCol w:w="1660"/>
        <w:gridCol w:w="1700"/>
      </w:tblGrid>
      <w:tr w:rsidR="002216D2">
        <w:trPr>
          <w:trHeight w:val="900"/>
        </w:trPr>
        <w:tc>
          <w:tcPr>
            <w:tcW w:w="9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EM</w:t>
            </w:r>
          </w:p>
        </w:tc>
        <w:tc>
          <w:tcPr>
            <w:tcW w:w="1360" w:type="dxa"/>
            <w:tcBorders>
              <w:top w:val="single" w:sz="4" w:space="0" w:color="auto"/>
              <w:left w:val="nil"/>
              <w:bottom w:val="single" w:sz="4" w:space="0" w:color="auto"/>
              <w:right w:val="single" w:sz="4" w:space="0" w:color="auto"/>
            </w:tcBorders>
            <w:shd w:val="clear" w:color="000000" w:fill="B8CCE4"/>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Demandes reçues</w:t>
            </w:r>
          </w:p>
        </w:tc>
        <w:tc>
          <w:tcPr>
            <w:tcW w:w="2020" w:type="dxa"/>
            <w:tcBorders>
              <w:top w:val="single" w:sz="4" w:space="0" w:color="auto"/>
              <w:left w:val="nil"/>
              <w:bottom w:val="single" w:sz="4" w:space="0" w:color="auto"/>
              <w:right w:val="single" w:sz="4" w:space="0" w:color="auto"/>
            </w:tcBorders>
            <w:shd w:val="clear" w:color="000000" w:fill="B8CCE4"/>
            <w:vAlign w:val="center"/>
            <w:hideMark/>
          </w:tcPr>
          <w:p w:rsidR="002216D2" w:rsidRDefault="000F2FA0">
            <w:pPr>
              <w:spacing w:after="0"/>
              <w:jc w:val="center"/>
              <w:rPr>
                <w:rFonts w:ascii="Times New Roman" w:hAnsi="Times New Roman" w:cs="Times New Roman"/>
                <w:noProof/>
                <w:sz w:val="22"/>
                <w:szCs w:val="22"/>
                <w:lang w:eastAsia="en-GB" w:bidi="ar-SA"/>
              </w:rPr>
            </w:pPr>
            <w:r>
              <w:rPr>
                <w:rFonts w:ascii="Times New Roman" w:hAnsi="Times New Roman" w:cs="Times New Roman"/>
                <w:noProof/>
                <w:sz w:val="22"/>
                <w:szCs w:val="22"/>
                <w:lang w:eastAsia="en-GB" w:bidi="ar-SA"/>
              </w:rPr>
              <w:t>Demandes avec délai de réponse expiré</w:t>
            </w:r>
          </w:p>
        </w:tc>
        <w:tc>
          <w:tcPr>
            <w:tcW w:w="1800" w:type="dxa"/>
            <w:tcBorders>
              <w:top w:val="single" w:sz="4" w:space="0" w:color="auto"/>
              <w:left w:val="nil"/>
              <w:bottom w:val="single" w:sz="4" w:space="0" w:color="auto"/>
              <w:right w:val="single" w:sz="4" w:space="0" w:color="auto"/>
            </w:tcBorders>
            <w:shd w:val="clear" w:color="000000" w:fill="B8CCE4"/>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 de demandes reçues</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 xml:space="preserve">Réponses envoyées </w:t>
            </w:r>
            <w:r>
              <w:rPr>
                <w:rFonts w:ascii="Times New Roman" w:hAnsi="Times New Roman" w:cs="Times New Roman"/>
                <w:noProof/>
                <w:sz w:val="22"/>
                <w:szCs w:val="22"/>
                <w:lang w:val="en-GB" w:eastAsia="en-GB" w:bidi="ar-SA"/>
              </w:rPr>
              <w:t>hors-délai</w:t>
            </w:r>
          </w:p>
        </w:tc>
        <w:tc>
          <w:tcPr>
            <w:tcW w:w="1700" w:type="dxa"/>
            <w:tcBorders>
              <w:top w:val="single" w:sz="4" w:space="0" w:color="auto"/>
              <w:left w:val="nil"/>
              <w:bottom w:val="single" w:sz="4" w:space="0" w:color="auto"/>
              <w:right w:val="single" w:sz="4" w:space="0" w:color="auto"/>
            </w:tcBorders>
            <w:shd w:val="clear" w:color="000000" w:fill="B8CCE4"/>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 de demandes reçues</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AT</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10 050</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0,01%</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BE</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7 202</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44</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0,61%</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62</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0,86%</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BG</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13 175</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41</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0,31%</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36</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0,27%</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CY</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685</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16</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2,34%</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134</w:t>
            </w:r>
          </w:p>
        </w:tc>
        <w:tc>
          <w:tcPr>
            <w:tcW w:w="17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19,56%</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CZ</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12 897</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DE</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22 401</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500</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2,23%</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106</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0,47%</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DK</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2 600</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82</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3,15%</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0,04%</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EE</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3 206</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656</w:t>
            </w:r>
          </w:p>
        </w:tc>
        <w:tc>
          <w:tcPr>
            <w:tcW w:w="18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20,46%</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ES</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9 867</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46</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0,47%</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FI</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1 520</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326</w:t>
            </w:r>
          </w:p>
        </w:tc>
        <w:tc>
          <w:tcPr>
            <w:tcW w:w="18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21,45%</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0,07%</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FR</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16 874</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506</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3,00%</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8</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0,05%</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UK</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13 229</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196</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1,48%</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174</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1,32%</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EL</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6 913</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1 944</w:t>
            </w:r>
          </w:p>
        </w:tc>
        <w:tc>
          <w:tcPr>
            <w:tcW w:w="18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28,12%</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24</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0,35%</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HR</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7 607</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43</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0,57%</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HU</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11 136</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138</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1,24%</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IE</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10 095</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7</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0,07%</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2 153</w:t>
            </w:r>
          </w:p>
        </w:tc>
        <w:tc>
          <w:tcPr>
            <w:tcW w:w="17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21,33%</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IT</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22 430</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 xml:space="preserve">1 </w:t>
            </w:r>
            <w:r>
              <w:rPr>
                <w:rFonts w:ascii="Times New Roman" w:hAnsi="Times New Roman" w:cs="Times New Roman"/>
                <w:noProof/>
                <w:sz w:val="22"/>
                <w:szCs w:val="22"/>
                <w:lang w:val="en-GB" w:eastAsia="en-GB" w:bidi="ar-SA"/>
              </w:rPr>
              <w:t>184</w:t>
            </w:r>
          </w:p>
        </w:tc>
        <w:tc>
          <w:tcPr>
            <w:tcW w:w="18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5,28%</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LT</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15 358</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13</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0,08%</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4 198</w:t>
            </w:r>
          </w:p>
        </w:tc>
        <w:tc>
          <w:tcPr>
            <w:tcW w:w="17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27,33%</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LU</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1 912</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19</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0,99%</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LV</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7 861</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87</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1,11%</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MT</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63</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2</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3,17%</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NL</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12 684</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13</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0,10%</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PL</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62 103</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1 944</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3,13%</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3 056</w:t>
            </w:r>
          </w:p>
        </w:tc>
        <w:tc>
          <w:tcPr>
            <w:tcW w:w="17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4,92%</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RO</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57 806</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5 363</w:t>
            </w:r>
          </w:p>
        </w:tc>
        <w:tc>
          <w:tcPr>
            <w:tcW w:w="18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9,28%</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3 535</w:t>
            </w:r>
          </w:p>
        </w:tc>
        <w:tc>
          <w:tcPr>
            <w:tcW w:w="17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6,12%</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SE</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3 203</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0,03%</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118</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3,68%</w:t>
            </w:r>
          </w:p>
        </w:tc>
      </w:tr>
      <w:tr w:rsidR="002216D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216D2" w:rsidRDefault="000F2FA0">
            <w:pPr>
              <w:spacing w:after="0"/>
              <w:jc w:val="center"/>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SK</w:t>
            </w:r>
          </w:p>
        </w:tc>
        <w:tc>
          <w:tcPr>
            <w:tcW w:w="13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31 864</w:t>
            </w:r>
          </w:p>
        </w:tc>
        <w:tc>
          <w:tcPr>
            <w:tcW w:w="202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1</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0,00%</w:t>
            </w:r>
          </w:p>
        </w:tc>
        <w:tc>
          <w:tcPr>
            <w:tcW w:w="166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8</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noProof/>
                <w:sz w:val="22"/>
                <w:szCs w:val="22"/>
                <w:lang w:val="en-GB" w:eastAsia="en-GB" w:bidi="ar-SA"/>
              </w:rPr>
            </w:pPr>
            <w:r>
              <w:rPr>
                <w:rFonts w:ascii="Times New Roman" w:hAnsi="Times New Roman" w:cs="Times New Roman"/>
                <w:noProof/>
                <w:sz w:val="22"/>
                <w:szCs w:val="22"/>
                <w:lang w:val="en-GB" w:eastAsia="en-GB" w:bidi="ar-SA"/>
              </w:rPr>
              <w:t>0,03%</w:t>
            </w:r>
          </w:p>
        </w:tc>
      </w:tr>
      <w:tr w:rsidR="002216D2">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216D2" w:rsidRDefault="000F2FA0">
            <w:pPr>
              <w:spacing w:after="0"/>
              <w:jc w:val="center"/>
              <w:rPr>
                <w:rFonts w:ascii="Times New Roman" w:hAnsi="Times New Roman" w:cs="Times New Roman"/>
                <w:b/>
                <w:bCs/>
                <w:noProof/>
                <w:sz w:val="22"/>
                <w:szCs w:val="22"/>
                <w:lang w:val="en-GB" w:eastAsia="en-GB" w:bidi="ar-SA"/>
              </w:rPr>
            </w:pPr>
            <w:r>
              <w:rPr>
                <w:rFonts w:ascii="Times New Roman" w:hAnsi="Times New Roman" w:cs="Times New Roman"/>
                <w:b/>
                <w:bCs/>
                <w:noProof/>
                <w:sz w:val="22"/>
                <w:szCs w:val="22"/>
                <w:lang w:val="en-GB" w:eastAsia="en-GB" w:bidi="ar-SA"/>
              </w:rPr>
              <w:t>TOTAL</w:t>
            </w:r>
          </w:p>
        </w:tc>
        <w:tc>
          <w:tcPr>
            <w:tcW w:w="1360" w:type="dxa"/>
            <w:tcBorders>
              <w:top w:val="nil"/>
              <w:left w:val="nil"/>
              <w:bottom w:val="single" w:sz="4" w:space="0" w:color="auto"/>
              <w:right w:val="single" w:sz="4" w:space="0" w:color="auto"/>
            </w:tcBorders>
            <w:shd w:val="clear" w:color="auto" w:fill="auto"/>
            <w:noWrap/>
            <w:vAlign w:val="bottom"/>
            <w:hideMark/>
          </w:tcPr>
          <w:p w:rsidR="002216D2" w:rsidRDefault="000F2FA0">
            <w:pPr>
              <w:spacing w:after="0"/>
              <w:jc w:val="right"/>
              <w:rPr>
                <w:rFonts w:ascii="Times New Roman" w:hAnsi="Times New Roman" w:cs="Times New Roman"/>
                <w:b/>
                <w:bCs/>
                <w:noProof/>
                <w:sz w:val="22"/>
                <w:szCs w:val="22"/>
                <w:lang w:val="en-GB" w:eastAsia="en-GB" w:bidi="ar-SA"/>
              </w:rPr>
            </w:pPr>
            <w:r>
              <w:rPr>
                <w:rFonts w:ascii="Times New Roman" w:hAnsi="Times New Roman" w:cs="Times New Roman"/>
                <w:b/>
                <w:bCs/>
                <w:noProof/>
                <w:sz w:val="22"/>
                <w:szCs w:val="22"/>
                <w:lang w:val="en-GB" w:eastAsia="en-GB" w:bidi="ar-SA"/>
              </w:rPr>
              <w:t>364 741</w:t>
            </w:r>
          </w:p>
        </w:tc>
        <w:tc>
          <w:tcPr>
            <w:tcW w:w="2020" w:type="dxa"/>
            <w:tcBorders>
              <w:top w:val="nil"/>
              <w:left w:val="nil"/>
              <w:bottom w:val="single" w:sz="4" w:space="0" w:color="auto"/>
              <w:right w:val="single" w:sz="4" w:space="0" w:color="auto"/>
            </w:tcBorders>
            <w:shd w:val="clear" w:color="auto" w:fill="auto"/>
            <w:noWrap/>
            <w:vAlign w:val="bottom"/>
            <w:hideMark/>
          </w:tcPr>
          <w:p w:rsidR="002216D2" w:rsidRDefault="000F2FA0">
            <w:pPr>
              <w:spacing w:after="0"/>
              <w:jc w:val="right"/>
              <w:rPr>
                <w:rFonts w:ascii="Times New Roman" w:hAnsi="Times New Roman" w:cs="Times New Roman"/>
                <w:b/>
                <w:bCs/>
                <w:noProof/>
                <w:sz w:val="22"/>
                <w:szCs w:val="22"/>
                <w:lang w:val="en-GB" w:eastAsia="en-GB" w:bidi="ar-SA"/>
              </w:rPr>
            </w:pPr>
            <w:r>
              <w:rPr>
                <w:rFonts w:ascii="Times New Roman" w:hAnsi="Times New Roman" w:cs="Times New Roman"/>
                <w:b/>
                <w:bCs/>
                <w:noProof/>
                <w:sz w:val="22"/>
                <w:szCs w:val="22"/>
                <w:lang w:val="en-GB" w:eastAsia="en-GB" w:bidi="ar-SA"/>
              </w:rPr>
              <w:t>12 977</w:t>
            </w:r>
          </w:p>
        </w:tc>
        <w:tc>
          <w:tcPr>
            <w:tcW w:w="18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b/>
                <w:bCs/>
                <w:noProof/>
                <w:sz w:val="22"/>
                <w:szCs w:val="22"/>
                <w:lang w:val="en-GB" w:eastAsia="en-GB" w:bidi="ar-SA"/>
              </w:rPr>
            </w:pPr>
            <w:r>
              <w:rPr>
                <w:rFonts w:ascii="Times New Roman" w:hAnsi="Times New Roman" w:cs="Times New Roman"/>
                <w:b/>
                <w:bCs/>
                <w:noProof/>
                <w:sz w:val="22"/>
                <w:szCs w:val="22"/>
                <w:lang w:val="en-GB" w:eastAsia="en-GB" w:bidi="ar-SA"/>
              </w:rPr>
              <w:t>3,56%</w:t>
            </w:r>
          </w:p>
        </w:tc>
        <w:tc>
          <w:tcPr>
            <w:tcW w:w="1660" w:type="dxa"/>
            <w:tcBorders>
              <w:top w:val="nil"/>
              <w:left w:val="nil"/>
              <w:bottom w:val="single" w:sz="4" w:space="0" w:color="auto"/>
              <w:right w:val="single" w:sz="4" w:space="0" w:color="auto"/>
            </w:tcBorders>
            <w:shd w:val="clear" w:color="auto" w:fill="auto"/>
            <w:noWrap/>
            <w:vAlign w:val="bottom"/>
            <w:hideMark/>
          </w:tcPr>
          <w:p w:rsidR="002216D2" w:rsidRDefault="000F2FA0">
            <w:pPr>
              <w:spacing w:after="0"/>
              <w:jc w:val="right"/>
              <w:rPr>
                <w:rFonts w:ascii="Times New Roman" w:hAnsi="Times New Roman" w:cs="Times New Roman"/>
                <w:b/>
                <w:bCs/>
                <w:noProof/>
                <w:sz w:val="22"/>
                <w:szCs w:val="22"/>
                <w:lang w:val="en-GB" w:eastAsia="en-GB" w:bidi="ar-SA"/>
              </w:rPr>
            </w:pPr>
            <w:r>
              <w:rPr>
                <w:rFonts w:ascii="Times New Roman" w:hAnsi="Times New Roman" w:cs="Times New Roman"/>
                <w:b/>
                <w:bCs/>
                <w:noProof/>
                <w:sz w:val="22"/>
                <w:szCs w:val="22"/>
                <w:lang w:val="en-GB" w:eastAsia="en-GB" w:bidi="ar-SA"/>
              </w:rPr>
              <w:t>13 810</w:t>
            </w:r>
          </w:p>
        </w:tc>
        <w:tc>
          <w:tcPr>
            <w:tcW w:w="1700" w:type="dxa"/>
            <w:tcBorders>
              <w:top w:val="nil"/>
              <w:left w:val="nil"/>
              <w:bottom w:val="single" w:sz="4" w:space="0" w:color="auto"/>
              <w:right w:val="single" w:sz="4" w:space="0" w:color="auto"/>
            </w:tcBorders>
            <w:shd w:val="clear" w:color="auto" w:fill="auto"/>
            <w:noWrap/>
            <w:vAlign w:val="center"/>
            <w:hideMark/>
          </w:tcPr>
          <w:p w:rsidR="002216D2" w:rsidRDefault="000F2FA0">
            <w:pPr>
              <w:spacing w:after="0"/>
              <w:jc w:val="right"/>
              <w:rPr>
                <w:rFonts w:ascii="Times New Roman" w:hAnsi="Times New Roman" w:cs="Times New Roman"/>
                <w:b/>
                <w:bCs/>
                <w:noProof/>
                <w:sz w:val="22"/>
                <w:szCs w:val="22"/>
                <w:lang w:val="en-GB" w:eastAsia="en-GB" w:bidi="ar-SA"/>
              </w:rPr>
            </w:pPr>
            <w:r>
              <w:rPr>
                <w:rFonts w:ascii="Times New Roman" w:hAnsi="Times New Roman" w:cs="Times New Roman"/>
                <w:b/>
                <w:bCs/>
                <w:noProof/>
                <w:sz w:val="22"/>
                <w:szCs w:val="22"/>
                <w:lang w:val="en-GB" w:eastAsia="en-GB" w:bidi="ar-SA"/>
              </w:rPr>
              <w:t>3,79%</w:t>
            </w:r>
          </w:p>
        </w:tc>
      </w:tr>
    </w:tbl>
    <w:p w:rsidR="002216D2" w:rsidRDefault="002216D2">
      <w:pPr>
        <w:contextualSpacing/>
        <w:jc w:val="both"/>
        <w:rPr>
          <w:rFonts w:ascii="Times New Roman" w:hAnsi="Times New Roman" w:cs="Times New Roman"/>
          <w:noProof/>
          <w:sz w:val="24"/>
          <w:szCs w:val="24"/>
        </w:rPr>
      </w:pP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En 2016, environ </w:t>
      </w:r>
      <w:r>
        <w:rPr>
          <w:rFonts w:ascii="Times New Roman" w:hAnsi="Times New Roman"/>
          <w:b/>
          <w:noProof/>
          <w:sz w:val="24"/>
        </w:rPr>
        <w:t>13 000 demandes n’ont pas reçu de réponse dans les délais légaux prescrits</w:t>
      </w:r>
      <w:r>
        <w:rPr>
          <w:rFonts w:ascii="Times New Roman" w:hAnsi="Times New Roman"/>
          <w:noProof/>
          <w:sz w:val="24"/>
        </w:rPr>
        <w:t>, soit</w:t>
      </w:r>
      <w:r>
        <w:rPr>
          <w:rFonts w:ascii="Times New Roman" w:hAnsi="Times New Roman"/>
          <w:b/>
          <w:noProof/>
          <w:sz w:val="24"/>
        </w:rPr>
        <w:t xml:space="preserve"> 3,6 % du nombre total</w:t>
      </w:r>
      <w:r>
        <w:rPr>
          <w:rFonts w:ascii="Times New Roman" w:hAnsi="Times New Roman"/>
          <w:noProof/>
          <w:sz w:val="24"/>
        </w:rPr>
        <w:t xml:space="preserve"> de demandes. Les États membres qui ont eu le plus de mal à respecter les délais étaient: EL (28,1 % des demandes pour lesquelles le délai de réponse a été dépassé), FI (21,5 %), EE (20,5 %), RO (9,3 %) et IT (5,28 %). En ce qui concerne les réponses envoy</w:t>
      </w:r>
      <w:r>
        <w:rPr>
          <w:rFonts w:ascii="Times New Roman" w:hAnsi="Times New Roman"/>
          <w:noProof/>
          <w:sz w:val="24"/>
        </w:rPr>
        <w:t xml:space="preserve">ées après l’expiration du délai légal, 27,33 % des réponses de LT ont été envoyées après l’expiration du délai (4 198), 21,33 % pour IE (2 153), 19,56 % pour CY (134), 6,12 % pour RO (3 535) et 4,92 % pour PL (3 056).  </w:t>
      </w:r>
    </w:p>
    <w:p w:rsidR="002216D2" w:rsidRDefault="000F2FA0">
      <w:pPr>
        <w:rPr>
          <w:rFonts w:ascii="Times New Roman" w:hAnsi="Times New Roman" w:cs="Times New Roman"/>
          <w:b/>
          <w:noProof/>
          <w:sz w:val="24"/>
          <w:szCs w:val="24"/>
        </w:rPr>
      </w:pPr>
      <w:bookmarkStart w:id="27" w:name="_Toc479267023"/>
      <w:r>
        <w:rPr>
          <w:rFonts w:ascii="Times New Roman" w:hAnsi="Times New Roman"/>
          <w:b/>
          <w:noProof/>
          <w:sz w:val="24"/>
        </w:rPr>
        <w:t>3.8. Demandes à des fins de procédur</w:t>
      </w:r>
      <w:r>
        <w:rPr>
          <w:rFonts w:ascii="Times New Roman" w:hAnsi="Times New Roman"/>
          <w:b/>
          <w:noProof/>
          <w:sz w:val="24"/>
        </w:rPr>
        <w:t>es pénales et à d’autres fins</w:t>
      </w:r>
      <w:bookmarkEnd w:id="27"/>
    </w:p>
    <w:p w:rsidR="002216D2" w:rsidRDefault="000F2FA0">
      <w:pPr>
        <w:spacing w:after="0"/>
        <w:jc w:val="both"/>
        <w:rPr>
          <w:rFonts w:ascii="Times New Roman" w:hAnsi="Times New Roman" w:cs="Times New Roman"/>
          <w:noProof/>
          <w:sz w:val="24"/>
          <w:szCs w:val="24"/>
        </w:rPr>
      </w:pPr>
      <w:bookmarkStart w:id="28" w:name="_Hlk481158644"/>
      <w:r>
        <w:rPr>
          <w:rFonts w:ascii="Times New Roman" w:hAnsi="Times New Roman"/>
          <w:noProof/>
          <w:sz w:val="24"/>
        </w:rPr>
        <w:t>Les graphiques ci-dessous représentent la proportion entre les demandes envoyées aux fins d’une procédure pénale et celles envoyées à d’autres fins – de 2012 à 2016.</w:t>
      </w:r>
    </w:p>
    <w:p w:rsidR="002216D2" w:rsidRDefault="002216D2">
      <w:pPr>
        <w:spacing w:after="0"/>
        <w:jc w:val="both"/>
        <w:rPr>
          <w:rFonts w:ascii="Times New Roman" w:hAnsi="Times New Roman" w:cs="Times New Roman"/>
          <w:noProof/>
          <w:sz w:val="24"/>
          <w:szCs w:val="24"/>
        </w:rPr>
      </w:pPr>
    </w:p>
    <w:p w:rsidR="002216D2" w:rsidRDefault="000F2FA0">
      <w:pPr>
        <w:spacing w:after="0"/>
        <w:jc w:val="center"/>
        <w:rPr>
          <w:rFonts w:ascii="Times New Roman" w:hAnsi="Times New Roman" w:cs="Times New Roman"/>
          <w:noProof/>
          <w:sz w:val="24"/>
          <w:szCs w:val="24"/>
        </w:rPr>
      </w:pPr>
      <w:r>
        <w:rPr>
          <w:noProof/>
          <w:lang w:val="en-GB" w:eastAsia="en-GB" w:bidi="ar-SA"/>
        </w:rPr>
        <w:drawing>
          <wp:inline distT="0" distB="0" distL="0" distR="0">
            <wp:extent cx="4610100" cy="2409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610100" cy="2409825"/>
                    </a:xfrm>
                    <a:prstGeom prst="rect">
                      <a:avLst/>
                    </a:prstGeom>
                  </pic:spPr>
                </pic:pic>
              </a:graphicData>
            </a:graphic>
          </wp:inline>
        </w:drawing>
      </w:r>
    </w:p>
    <w:p w:rsidR="002216D2" w:rsidRDefault="002216D2">
      <w:pPr>
        <w:spacing w:after="0"/>
        <w:jc w:val="center"/>
        <w:rPr>
          <w:rFonts w:ascii="Times New Roman" w:hAnsi="Times New Roman" w:cs="Times New Roman"/>
          <w:noProof/>
          <w:sz w:val="24"/>
          <w:szCs w:val="24"/>
        </w:rPr>
      </w:pPr>
    </w:p>
    <w:bookmarkEnd w:id="28"/>
    <w:p w:rsidR="002216D2" w:rsidRDefault="000F2FA0">
      <w:pPr>
        <w:jc w:val="center"/>
        <w:rPr>
          <w:rFonts w:ascii="Times New Roman" w:hAnsi="Times New Roman" w:cs="Times New Roman"/>
          <w:noProof/>
          <w:sz w:val="24"/>
          <w:szCs w:val="24"/>
        </w:rPr>
      </w:pPr>
      <w:r>
        <w:rPr>
          <w:noProof/>
          <w:lang w:val="en-GB" w:eastAsia="en-GB" w:bidi="ar-SA"/>
        </w:rPr>
        <w:drawing>
          <wp:inline distT="0" distB="0" distL="0" distR="0">
            <wp:extent cx="5760085" cy="40466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085" cy="4046634"/>
                    </a:xfrm>
                    <a:prstGeom prst="rect">
                      <a:avLst/>
                    </a:prstGeom>
                  </pic:spPr>
                </pic:pic>
              </a:graphicData>
            </a:graphic>
          </wp:inline>
        </w:drawing>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Pendant la période de fonctionnement de l’ECRIS, en moyenne </w:t>
      </w:r>
      <w:r>
        <w:rPr>
          <w:rFonts w:ascii="Times New Roman" w:hAnsi="Times New Roman"/>
          <w:b/>
          <w:noProof/>
          <w:sz w:val="24"/>
        </w:rPr>
        <w:t>81 %</w:t>
      </w:r>
      <w:r>
        <w:rPr>
          <w:rFonts w:ascii="Times New Roman" w:hAnsi="Times New Roman"/>
          <w:noProof/>
          <w:sz w:val="24"/>
        </w:rPr>
        <w:t xml:space="preserve"> de l’ensemble des demandes ont été soumises pour les besoins de </w:t>
      </w:r>
      <w:r>
        <w:rPr>
          <w:rFonts w:ascii="Times New Roman" w:hAnsi="Times New Roman"/>
          <w:b/>
          <w:noProof/>
          <w:sz w:val="24"/>
        </w:rPr>
        <w:t>procédures pénales</w:t>
      </w:r>
      <w:r>
        <w:rPr>
          <w:rFonts w:ascii="Times New Roman" w:hAnsi="Times New Roman"/>
          <w:noProof/>
          <w:sz w:val="24"/>
        </w:rPr>
        <w:t xml:space="preserve"> et 19 % </w:t>
      </w:r>
      <w:r>
        <w:rPr>
          <w:rFonts w:ascii="Times New Roman" w:hAnsi="Times New Roman"/>
          <w:b/>
          <w:noProof/>
          <w:sz w:val="24"/>
        </w:rPr>
        <w:t>à d’autres fins</w:t>
      </w:r>
      <w:r>
        <w:rPr>
          <w:rFonts w:ascii="Times New Roman" w:hAnsi="Times New Roman"/>
          <w:noProof/>
          <w:sz w:val="24"/>
        </w:rPr>
        <w:t xml:space="preserve">. Le nombre de </w:t>
      </w:r>
      <w:r>
        <w:rPr>
          <w:rFonts w:ascii="Times New Roman" w:hAnsi="Times New Roman"/>
          <w:b/>
          <w:noProof/>
          <w:sz w:val="24"/>
        </w:rPr>
        <w:t>demandes envoyées à d’autres fins</w:t>
      </w:r>
      <w:r>
        <w:rPr>
          <w:rFonts w:ascii="Times New Roman" w:hAnsi="Times New Roman"/>
          <w:noProof/>
          <w:sz w:val="24"/>
        </w:rPr>
        <w:t xml:space="preserve"> a atteint </w:t>
      </w:r>
      <w:r>
        <w:rPr>
          <w:rFonts w:ascii="Times New Roman" w:hAnsi="Times New Roman"/>
          <w:b/>
          <w:noProof/>
          <w:sz w:val="24"/>
        </w:rPr>
        <w:t>79 000</w:t>
      </w:r>
      <w:r>
        <w:rPr>
          <w:rFonts w:ascii="Times New Roman" w:hAnsi="Times New Roman"/>
          <w:noProof/>
          <w:sz w:val="24"/>
        </w:rPr>
        <w:t xml:space="preserve"> en 2016.</w:t>
      </w:r>
    </w:p>
    <w:p w:rsidR="002216D2" w:rsidRDefault="000F2FA0">
      <w:pPr>
        <w:jc w:val="both"/>
        <w:rPr>
          <w:rFonts w:ascii="Times New Roman" w:hAnsi="Times New Roman" w:cs="Times New Roman"/>
          <w:noProof/>
          <w:sz w:val="24"/>
          <w:szCs w:val="24"/>
        </w:rPr>
      </w:pPr>
      <w:r>
        <w:rPr>
          <w:rFonts w:ascii="Times New Roman" w:hAnsi="Times New Roman"/>
          <w:noProof/>
          <w:sz w:val="24"/>
        </w:rPr>
        <w:t>Sur la pér</w:t>
      </w:r>
      <w:r>
        <w:rPr>
          <w:rFonts w:ascii="Times New Roman" w:hAnsi="Times New Roman"/>
          <w:noProof/>
          <w:sz w:val="24"/>
        </w:rPr>
        <w:t xml:space="preserve">iode 2012-2014, le pourcentage de demandes à d’autres fins est resté stable. L’augmentation à </w:t>
      </w:r>
      <w:r>
        <w:rPr>
          <w:rFonts w:ascii="Times New Roman" w:hAnsi="Times New Roman"/>
          <w:b/>
          <w:noProof/>
          <w:sz w:val="24"/>
        </w:rPr>
        <w:t>22 % observée en 2016</w:t>
      </w:r>
      <w:r>
        <w:rPr>
          <w:rFonts w:ascii="Times New Roman" w:hAnsi="Times New Roman"/>
          <w:noProof/>
          <w:sz w:val="24"/>
        </w:rPr>
        <w:t xml:space="preserve"> s’explique principalement par le nombre croissant de demandes aux fins d’un </w:t>
      </w:r>
      <w:r>
        <w:rPr>
          <w:rFonts w:ascii="Times New Roman" w:hAnsi="Times New Roman"/>
          <w:b/>
          <w:noProof/>
          <w:sz w:val="24"/>
        </w:rPr>
        <w:t>recrutement</w:t>
      </w:r>
      <w:r>
        <w:rPr>
          <w:rFonts w:ascii="Times New Roman" w:hAnsi="Times New Roman"/>
          <w:noProof/>
          <w:sz w:val="24"/>
        </w:rPr>
        <w:t xml:space="preserve"> pour des </w:t>
      </w:r>
      <w:r>
        <w:rPr>
          <w:rFonts w:ascii="Times New Roman" w:hAnsi="Times New Roman"/>
          <w:b/>
          <w:noProof/>
          <w:sz w:val="24"/>
        </w:rPr>
        <w:t>activités professionnelles ou des activités</w:t>
      </w:r>
      <w:r>
        <w:rPr>
          <w:rFonts w:ascii="Times New Roman" w:hAnsi="Times New Roman"/>
          <w:b/>
          <w:noProof/>
          <w:sz w:val="24"/>
        </w:rPr>
        <w:t xml:space="preserve"> bénévoles organisées impliquant des contacts directs et réguliers avec des enfants</w:t>
      </w:r>
      <w:r>
        <w:rPr>
          <w:rFonts w:ascii="Times New Roman" w:hAnsi="Times New Roman"/>
          <w:noProof/>
          <w:sz w:val="24"/>
        </w:rPr>
        <w:t xml:space="preserve">, en application de la </w:t>
      </w:r>
      <w:r>
        <w:rPr>
          <w:rFonts w:ascii="Times New Roman" w:hAnsi="Times New Roman"/>
          <w:b/>
          <w:noProof/>
          <w:sz w:val="24"/>
        </w:rPr>
        <w:t>directive 2011/93/UE</w:t>
      </w:r>
      <w:r>
        <w:rPr>
          <w:rFonts w:ascii="Times New Roman" w:hAnsi="Times New Roman"/>
          <w:noProof/>
          <w:sz w:val="24"/>
        </w:rPr>
        <w:t xml:space="preserve">. Le nombre de ces demandes s’est élevé à près de </w:t>
      </w:r>
      <w:r>
        <w:rPr>
          <w:rFonts w:ascii="Times New Roman" w:hAnsi="Times New Roman"/>
          <w:b/>
          <w:noProof/>
          <w:sz w:val="24"/>
        </w:rPr>
        <w:t>8 000 en 2016</w:t>
      </w:r>
      <w:r>
        <w:rPr>
          <w:rFonts w:ascii="Times New Roman" w:hAnsi="Times New Roman"/>
          <w:noProof/>
          <w:sz w:val="24"/>
        </w:rPr>
        <w:t>, soit 10 % de l’ensemble des demandes à d’autres fins. En comparai</w:t>
      </w:r>
      <w:r>
        <w:rPr>
          <w:rFonts w:ascii="Times New Roman" w:hAnsi="Times New Roman"/>
          <w:noProof/>
          <w:sz w:val="24"/>
        </w:rPr>
        <w:t>son, le volume de ces demandes était négligeable (7 demandes) en 2012.</w:t>
      </w: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En 2016, la plupart des demandes à des fins autres que des procédures pénales ont été introduites par des </w:t>
      </w:r>
      <w:r>
        <w:rPr>
          <w:rFonts w:ascii="Times New Roman" w:hAnsi="Times New Roman"/>
          <w:b/>
          <w:noProof/>
          <w:sz w:val="24"/>
        </w:rPr>
        <w:t>particuliers</w:t>
      </w:r>
      <w:r>
        <w:rPr>
          <w:rFonts w:ascii="Times New Roman" w:hAnsi="Times New Roman"/>
          <w:noProof/>
          <w:sz w:val="24"/>
        </w:rPr>
        <w:t xml:space="preserve"> souhaitant </w:t>
      </w:r>
      <w:r>
        <w:rPr>
          <w:rFonts w:ascii="Times New Roman" w:hAnsi="Times New Roman"/>
          <w:b/>
          <w:noProof/>
          <w:sz w:val="24"/>
        </w:rPr>
        <w:t>obtenir des informations sur leur propre casier judicia</w:t>
      </w:r>
      <w:r>
        <w:rPr>
          <w:rFonts w:ascii="Times New Roman" w:hAnsi="Times New Roman"/>
          <w:b/>
          <w:noProof/>
          <w:sz w:val="24"/>
        </w:rPr>
        <w:t>ire</w:t>
      </w:r>
      <w:r>
        <w:rPr>
          <w:rFonts w:ascii="Times New Roman" w:hAnsi="Times New Roman"/>
          <w:noProof/>
          <w:sz w:val="24"/>
        </w:rPr>
        <w:t> – 68 % de l’ensemble des demandes à d’autres fins et 15 % de l’ensemble des demandes effectuées. Viennent ensuite les demandes émanant d’autorités administratives compétentes pour des procédures non pénales (14 % des demandes à d’autres fins et 3,1 % d</w:t>
      </w:r>
      <w:r>
        <w:rPr>
          <w:rFonts w:ascii="Times New Roman" w:hAnsi="Times New Roman"/>
          <w:noProof/>
          <w:sz w:val="24"/>
        </w:rPr>
        <w:t>e l’ensemble des demandes envoyées), les demandes relatives à un recrutement aux termes de la directive 2011/93/UE (respectivement 9,9 % et 2,2 %) et les demandes visant à obtenir un permis de port d’armes (respectivement 3,5 % et 0,8 %).</w:t>
      </w:r>
    </w:p>
    <w:p w:rsidR="002216D2" w:rsidRDefault="000F2FA0">
      <w:pPr>
        <w:jc w:val="both"/>
        <w:rPr>
          <w:rFonts w:ascii="Times New Roman" w:hAnsi="Times New Roman" w:cs="Times New Roman"/>
          <w:noProof/>
          <w:sz w:val="24"/>
          <w:szCs w:val="24"/>
        </w:rPr>
      </w:pPr>
      <w:r>
        <w:rPr>
          <w:rFonts w:ascii="Times New Roman" w:hAnsi="Times New Roman"/>
          <w:noProof/>
          <w:sz w:val="24"/>
        </w:rPr>
        <w:t>Les demandes envo</w:t>
      </w:r>
      <w:r>
        <w:rPr>
          <w:rFonts w:ascii="Times New Roman" w:hAnsi="Times New Roman"/>
          <w:noProof/>
          <w:sz w:val="24"/>
        </w:rPr>
        <w:t>yées dans le but essentiel d'obtenir une autre nationalité ne représentaient qu’environ 1,4 % de l’ensemble des demandes à d’autres fins et 0,3 % de l’ensemble des demandes.</w:t>
      </w:r>
    </w:p>
    <w:p w:rsidR="000F2FA0" w:rsidRDefault="000F2FA0">
      <w:pPr>
        <w:jc w:val="both"/>
        <w:rPr>
          <w:rFonts w:ascii="Times New Roman" w:hAnsi="Times New Roman"/>
          <w:noProof/>
          <w:sz w:val="24"/>
        </w:rPr>
      </w:pPr>
      <w:r>
        <w:rPr>
          <w:rFonts w:ascii="Times New Roman" w:hAnsi="Times New Roman"/>
          <w:noProof/>
          <w:sz w:val="24"/>
        </w:rPr>
        <w:t>Pour plus de détails sur les volumes de demandes envoyées à différentes fins sur l</w:t>
      </w:r>
      <w:r>
        <w:rPr>
          <w:rFonts w:ascii="Times New Roman" w:hAnsi="Times New Roman"/>
          <w:noProof/>
          <w:sz w:val="24"/>
        </w:rPr>
        <w:t>a période 2014-2016, voir l’annexe, section 1.6.</w:t>
      </w:r>
    </w:p>
    <w:p w:rsidR="000F2FA0" w:rsidRDefault="000F2FA0" w:rsidP="000F2FA0">
      <w:pPr>
        <w:rPr>
          <w:noProof/>
        </w:rPr>
      </w:pPr>
      <w:r>
        <w:rPr>
          <w:noProof/>
        </w:rPr>
        <w:br w:type="page"/>
      </w:r>
    </w:p>
    <w:p w:rsidR="002216D2" w:rsidRDefault="000F2FA0">
      <w:pPr>
        <w:rPr>
          <w:rFonts w:ascii="Times New Roman" w:hAnsi="Times New Roman" w:cs="Times New Roman"/>
          <w:b/>
          <w:noProof/>
          <w:sz w:val="24"/>
          <w:szCs w:val="24"/>
        </w:rPr>
      </w:pPr>
      <w:bookmarkStart w:id="29" w:name="_Toc479267024"/>
      <w:bookmarkStart w:id="30" w:name="_GoBack"/>
      <w:bookmarkEnd w:id="30"/>
      <w:r>
        <w:rPr>
          <w:rFonts w:ascii="Times New Roman" w:hAnsi="Times New Roman"/>
          <w:b/>
          <w:noProof/>
          <w:sz w:val="24"/>
        </w:rPr>
        <w:t xml:space="preserve">3.9. Demandes relatives à des ressortissants de l’UE et à des </w:t>
      </w:r>
      <w:bookmarkEnd w:id="29"/>
      <w:r>
        <w:rPr>
          <w:rFonts w:ascii="Times New Roman" w:hAnsi="Times New Roman"/>
          <w:b/>
          <w:noProof/>
          <w:sz w:val="24"/>
        </w:rPr>
        <w:t>TCN</w:t>
      </w:r>
    </w:p>
    <w:p w:rsidR="002216D2" w:rsidRDefault="000F2FA0">
      <w:pPr>
        <w:spacing w:after="0"/>
        <w:jc w:val="both"/>
        <w:rPr>
          <w:rFonts w:ascii="Times New Roman" w:hAnsi="Times New Roman" w:cs="Times New Roman"/>
          <w:noProof/>
          <w:sz w:val="24"/>
          <w:szCs w:val="24"/>
        </w:rPr>
      </w:pPr>
      <w:r>
        <w:rPr>
          <w:rFonts w:ascii="Times New Roman" w:hAnsi="Times New Roman"/>
          <w:noProof/>
          <w:sz w:val="24"/>
        </w:rPr>
        <w:t>Les graphiques ci-dessous représentent la proportion de demandes relatives à des ressortissants de l’UE par rapport à celle de demandes porta</w:t>
      </w:r>
      <w:r>
        <w:rPr>
          <w:rFonts w:ascii="Times New Roman" w:hAnsi="Times New Roman"/>
          <w:noProof/>
          <w:sz w:val="24"/>
        </w:rPr>
        <w:t>nt sur des TCN – par année</w:t>
      </w:r>
      <w:r>
        <w:rPr>
          <w:rStyle w:val="FootnoteReference"/>
          <w:rFonts w:ascii="Times New Roman" w:hAnsi="Times New Roman"/>
          <w:noProof/>
          <w:sz w:val="24"/>
        </w:rPr>
        <w:footnoteReference w:id="12"/>
      </w:r>
      <w:r>
        <w:rPr>
          <w:rFonts w:ascii="Times New Roman" w:hAnsi="Times New Roman"/>
          <w:noProof/>
          <w:sz w:val="24"/>
        </w:rPr>
        <w:t xml:space="preserve"> et en moyenne sur toute la période de fonctionnement de l’ECRIS.</w:t>
      </w:r>
    </w:p>
    <w:p w:rsidR="002216D2" w:rsidRDefault="002216D2">
      <w:pPr>
        <w:spacing w:after="0"/>
        <w:jc w:val="both"/>
        <w:rPr>
          <w:rFonts w:ascii="Times New Roman" w:hAnsi="Times New Roman" w:cs="Times New Roman"/>
          <w:noProof/>
          <w:sz w:val="24"/>
          <w:szCs w:val="24"/>
        </w:rPr>
      </w:pPr>
    </w:p>
    <w:p w:rsidR="002216D2" w:rsidRDefault="000F2FA0">
      <w:pPr>
        <w:jc w:val="center"/>
        <w:rPr>
          <w:rFonts w:ascii="Times New Roman" w:hAnsi="Times New Roman" w:cs="Times New Roman"/>
          <w:noProof/>
          <w:sz w:val="24"/>
          <w:szCs w:val="24"/>
        </w:rPr>
      </w:pPr>
      <w:r>
        <w:rPr>
          <w:noProof/>
          <w:lang w:val="en-GB" w:eastAsia="en-GB" w:bidi="ar-SA"/>
        </w:rPr>
        <w:drawing>
          <wp:inline distT="0" distB="0" distL="0" distR="0">
            <wp:extent cx="4581525" cy="2857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81525" cy="2857500"/>
                    </a:xfrm>
                    <a:prstGeom prst="rect">
                      <a:avLst/>
                    </a:prstGeom>
                  </pic:spPr>
                </pic:pic>
              </a:graphicData>
            </a:graphic>
          </wp:inline>
        </w:drawing>
      </w:r>
      <w:r>
        <w:rPr>
          <w:rStyle w:val="CommentReference"/>
          <w:rFonts w:ascii="Times New Roman" w:hAnsi="Times New Roman"/>
          <w:noProof/>
          <w:sz w:val="24"/>
        </w:rPr>
        <w:t xml:space="preserve"> </w:t>
      </w:r>
    </w:p>
    <w:p w:rsidR="002216D2" w:rsidRDefault="000F2FA0">
      <w:pPr>
        <w:contextualSpacing/>
        <w:jc w:val="center"/>
        <w:rPr>
          <w:rFonts w:ascii="Times New Roman" w:hAnsi="Times New Roman" w:cs="Times New Roman"/>
          <w:noProof/>
          <w:sz w:val="24"/>
          <w:szCs w:val="24"/>
        </w:rPr>
      </w:pPr>
      <w:r>
        <w:rPr>
          <w:noProof/>
          <w:lang w:val="en-GB" w:eastAsia="en-GB" w:bidi="ar-SA"/>
        </w:rPr>
        <w:drawing>
          <wp:inline distT="0" distB="0" distL="0" distR="0">
            <wp:extent cx="5695950" cy="3638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95950" cy="3638550"/>
                    </a:xfrm>
                    <a:prstGeom prst="rect">
                      <a:avLst/>
                    </a:prstGeom>
                  </pic:spPr>
                </pic:pic>
              </a:graphicData>
            </a:graphic>
          </wp:inline>
        </w:drawing>
      </w:r>
    </w:p>
    <w:p w:rsidR="002216D2" w:rsidRDefault="002216D2">
      <w:pPr>
        <w:contextualSpacing/>
        <w:jc w:val="both"/>
        <w:rPr>
          <w:rFonts w:ascii="Times New Roman" w:hAnsi="Times New Roman" w:cs="Times New Roman"/>
          <w:noProof/>
          <w:sz w:val="24"/>
          <w:szCs w:val="24"/>
        </w:rPr>
      </w:pPr>
    </w:p>
    <w:p w:rsidR="002216D2" w:rsidRDefault="000F2FA0">
      <w:pPr>
        <w:jc w:val="both"/>
        <w:rPr>
          <w:rFonts w:ascii="Times New Roman" w:hAnsi="Times New Roman" w:cs="Times New Roman"/>
          <w:noProof/>
          <w:sz w:val="24"/>
          <w:szCs w:val="24"/>
        </w:rPr>
      </w:pPr>
      <w:r>
        <w:rPr>
          <w:rFonts w:ascii="Times New Roman" w:hAnsi="Times New Roman"/>
          <w:noProof/>
          <w:sz w:val="24"/>
        </w:rPr>
        <w:t xml:space="preserve">En moyenne, </w:t>
      </w:r>
      <w:r>
        <w:rPr>
          <w:rFonts w:ascii="Times New Roman" w:hAnsi="Times New Roman"/>
          <w:b/>
          <w:noProof/>
          <w:sz w:val="24"/>
        </w:rPr>
        <w:t>90 %</w:t>
      </w:r>
      <w:r>
        <w:rPr>
          <w:rFonts w:ascii="Times New Roman" w:hAnsi="Times New Roman"/>
          <w:noProof/>
          <w:sz w:val="24"/>
        </w:rPr>
        <w:t xml:space="preserve"> de l’ensemble des demandes portent sur des </w:t>
      </w:r>
      <w:r>
        <w:rPr>
          <w:rFonts w:ascii="Times New Roman" w:hAnsi="Times New Roman"/>
          <w:b/>
          <w:noProof/>
          <w:sz w:val="24"/>
        </w:rPr>
        <w:t>ressortissants de l’UE</w:t>
      </w:r>
      <w:r>
        <w:rPr>
          <w:rFonts w:ascii="Times New Roman" w:hAnsi="Times New Roman"/>
          <w:noProof/>
          <w:sz w:val="24"/>
        </w:rPr>
        <w:t xml:space="preserve"> et environ </w:t>
      </w:r>
      <w:r>
        <w:rPr>
          <w:rFonts w:ascii="Times New Roman" w:hAnsi="Times New Roman"/>
          <w:b/>
          <w:noProof/>
          <w:sz w:val="24"/>
        </w:rPr>
        <w:t>10 % concernent des TCN</w:t>
      </w:r>
      <w:r>
        <w:rPr>
          <w:rFonts w:ascii="Times New Roman" w:hAnsi="Times New Roman"/>
          <w:noProof/>
          <w:sz w:val="24"/>
        </w:rPr>
        <w:t>. La proportion de demandes relatives à</w:t>
      </w:r>
      <w:r>
        <w:rPr>
          <w:rFonts w:ascii="Times New Roman" w:hAnsi="Times New Roman"/>
          <w:noProof/>
          <w:sz w:val="24"/>
        </w:rPr>
        <w:t xml:space="preserve"> des personnes apatrides est marginale (0,03 %).</w:t>
      </w:r>
    </w:p>
    <w:p w:rsidR="002216D2" w:rsidRDefault="000F2FA0">
      <w:pPr>
        <w:jc w:val="both"/>
        <w:rPr>
          <w:rFonts w:ascii="Times New Roman" w:hAnsi="Times New Roman" w:cs="Times New Roman"/>
          <w:noProof/>
          <w:sz w:val="24"/>
          <w:szCs w:val="24"/>
        </w:rPr>
      </w:pPr>
      <w:r>
        <w:rPr>
          <w:rFonts w:ascii="Times New Roman" w:hAnsi="Times New Roman"/>
          <w:noProof/>
          <w:sz w:val="24"/>
        </w:rPr>
        <w:t>Au cours de la première année de fonctionnement de l’ECRIS, le pourcentage de demandes relatives à des TCN était très faible (5 %). En 2013, ce pourcentage a doublé, et reste stable depuis lors. Le nombre de</w:t>
      </w:r>
      <w:r>
        <w:rPr>
          <w:rFonts w:ascii="Times New Roman" w:hAnsi="Times New Roman"/>
          <w:noProof/>
          <w:sz w:val="24"/>
        </w:rPr>
        <w:t xml:space="preserve"> </w:t>
      </w:r>
      <w:r>
        <w:rPr>
          <w:rFonts w:ascii="Times New Roman" w:hAnsi="Times New Roman"/>
          <w:b/>
          <w:noProof/>
          <w:sz w:val="24"/>
        </w:rPr>
        <w:t>demandes d’informations sur des</w:t>
      </w:r>
      <w:r>
        <w:rPr>
          <w:rFonts w:ascii="Times New Roman" w:hAnsi="Times New Roman"/>
          <w:noProof/>
          <w:sz w:val="24"/>
        </w:rPr>
        <w:t xml:space="preserve"> </w:t>
      </w:r>
      <w:r>
        <w:rPr>
          <w:rFonts w:ascii="Times New Roman" w:hAnsi="Times New Roman"/>
          <w:b/>
          <w:noProof/>
          <w:sz w:val="24"/>
        </w:rPr>
        <w:t>TCN</w:t>
      </w:r>
      <w:r>
        <w:rPr>
          <w:rFonts w:ascii="Times New Roman" w:hAnsi="Times New Roman"/>
          <w:noProof/>
          <w:sz w:val="24"/>
        </w:rPr>
        <w:t xml:space="preserve"> s’est élevé à </w:t>
      </w:r>
      <w:r>
        <w:rPr>
          <w:rFonts w:ascii="Times New Roman" w:hAnsi="Times New Roman"/>
          <w:b/>
          <w:noProof/>
          <w:sz w:val="24"/>
        </w:rPr>
        <w:t>plus</w:t>
      </w:r>
      <w:r>
        <w:rPr>
          <w:rFonts w:ascii="Times New Roman" w:hAnsi="Times New Roman"/>
          <w:noProof/>
          <w:sz w:val="24"/>
        </w:rPr>
        <w:t xml:space="preserve"> de </w:t>
      </w:r>
      <w:r>
        <w:rPr>
          <w:rFonts w:ascii="Times New Roman" w:hAnsi="Times New Roman"/>
          <w:b/>
          <w:noProof/>
          <w:sz w:val="24"/>
        </w:rPr>
        <w:t>33 000</w:t>
      </w:r>
      <w:r>
        <w:rPr>
          <w:rFonts w:ascii="Times New Roman" w:hAnsi="Times New Roman"/>
          <w:noProof/>
          <w:sz w:val="24"/>
        </w:rPr>
        <w:t xml:space="preserve"> en 2016. </w:t>
      </w:r>
    </w:p>
    <w:p w:rsidR="002216D2" w:rsidRDefault="000F2FA0">
      <w:pPr>
        <w:jc w:val="both"/>
        <w:rPr>
          <w:rFonts w:ascii="Times New Roman" w:hAnsi="Times New Roman" w:cs="Times New Roman"/>
          <w:noProof/>
          <w:sz w:val="24"/>
          <w:szCs w:val="24"/>
        </w:rPr>
      </w:pPr>
      <w:r>
        <w:rPr>
          <w:rFonts w:ascii="Times New Roman" w:hAnsi="Times New Roman"/>
          <w:noProof/>
          <w:sz w:val="24"/>
        </w:rPr>
        <w:t>La législation complémentaire proposée par la Commission en même temps que le présent rapport améliorera le système ECRIS en ce qui concerne les TCN, en introduisant un système cen</w:t>
      </w:r>
      <w:r>
        <w:rPr>
          <w:rFonts w:ascii="Times New Roman" w:hAnsi="Times New Roman"/>
          <w:noProof/>
          <w:sz w:val="24"/>
        </w:rPr>
        <w:t xml:space="preserve">tralisé spécifique permettant une identification efficace du ou des États membres détenant des informations sur le casier judiciaire d’un TCN. Cette mesure devrait entraîner une augmentation considérable du nombre de demandes relatives à des TCN. </w:t>
      </w:r>
    </w:p>
    <w:p w:rsidR="002216D2" w:rsidRDefault="000F2FA0">
      <w:pPr>
        <w:rPr>
          <w:rFonts w:ascii="Times New Roman" w:hAnsi="Times New Roman" w:cs="Times New Roman"/>
          <w:b/>
          <w:noProof/>
          <w:sz w:val="24"/>
          <w:szCs w:val="24"/>
        </w:rPr>
      </w:pPr>
      <w:bookmarkStart w:id="31" w:name="_Toc479267025"/>
      <w:r>
        <w:rPr>
          <w:rFonts w:ascii="Times New Roman" w:hAnsi="Times New Roman"/>
          <w:b/>
          <w:noProof/>
          <w:sz w:val="24"/>
        </w:rPr>
        <w:t>3.10.</w:t>
      </w:r>
      <w:bookmarkEnd w:id="31"/>
      <w:r>
        <w:rPr>
          <w:rFonts w:ascii="Times New Roman" w:hAnsi="Times New Roman"/>
          <w:b/>
          <w:noProof/>
          <w:sz w:val="24"/>
        </w:rPr>
        <w:t xml:space="preserve"> Ré</w:t>
      </w:r>
      <w:r>
        <w:rPr>
          <w:rFonts w:ascii="Times New Roman" w:hAnsi="Times New Roman"/>
          <w:b/>
          <w:noProof/>
          <w:sz w:val="24"/>
        </w:rPr>
        <w:t>ponses comportant des informations sur des condamnations</w:t>
      </w:r>
    </w:p>
    <w:p w:rsidR="002216D2" w:rsidRDefault="000F2FA0">
      <w:pPr>
        <w:jc w:val="both"/>
        <w:rPr>
          <w:rFonts w:ascii="Times New Roman" w:hAnsi="Times New Roman" w:cs="Times New Roman"/>
          <w:noProof/>
          <w:sz w:val="24"/>
          <w:szCs w:val="24"/>
        </w:rPr>
      </w:pPr>
      <w:r>
        <w:rPr>
          <w:rFonts w:ascii="Times New Roman" w:hAnsi="Times New Roman"/>
          <w:noProof/>
          <w:sz w:val="24"/>
        </w:rPr>
        <w:t>Les graphiques ci-dessous présentent des informations sur la proportion de réponses à des demandes mentionnant une ou plusieurs condamnations, de réponses n’en mentionnant aucune et d’autres réponses</w:t>
      </w:r>
      <w:r>
        <w:rPr>
          <w:rFonts w:ascii="Times New Roman" w:hAnsi="Times New Roman"/>
          <w:noProof/>
          <w:sz w:val="24"/>
        </w:rPr>
        <w:t>, sur une base annuelle</w:t>
      </w:r>
      <w:r>
        <w:rPr>
          <w:rStyle w:val="FootnoteReference"/>
          <w:rFonts w:ascii="Times New Roman" w:hAnsi="Times New Roman"/>
          <w:noProof/>
          <w:sz w:val="24"/>
        </w:rPr>
        <w:footnoteReference w:id="13"/>
      </w:r>
      <w:r>
        <w:rPr>
          <w:rFonts w:ascii="Times New Roman" w:hAnsi="Times New Roman"/>
          <w:noProof/>
          <w:sz w:val="24"/>
        </w:rPr>
        <w:t xml:space="preserve"> et en moyenne sur toute la période de fonctionnement de l’ECRIS.</w:t>
      </w:r>
    </w:p>
    <w:p w:rsidR="002216D2" w:rsidRDefault="000F2FA0">
      <w:pPr>
        <w:jc w:val="center"/>
        <w:rPr>
          <w:rFonts w:ascii="Times New Roman" w:hAnsi="Times New Roman" w:cs="Times New Roman"/>
          <w:noProof/>
          <w:sz w:val="24"/>
          <w:szCs w:val="24"/>
        </w:rPr>
      </w:pPr>
      <w:r>
        <w:rPr>
          <w:noProof/>
          <w:lang w:val="en-GB" w:eastAsia="en-GB" w:bidi="ar-SA"/>
        </w:rPr>
        <w:drawing>
          <wp:inline distT="0" distB="0" distL="0" distR="0">
            <wp:extent cx="4686300" cy="2828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686300" cy="2828925"/>
                    </a:xfrm>
                    <a:prstGeom prst="rect">
                      <a:avLst/>
                    </a:prstGeom>
                  </pic:spPr>
                </pic:pic>
              </a:graphicData>
            </a:graphic>
          </wp:inline>
        </w:drawing>
      </w:r>
      <w:r>
        <w:rPr>
          <w:rStyle w:val="CommentReference"/>
          <w:rFonts w:ascii="Times New Roman" w:hAnsi="Times New Roman"/>
          <w:noProof/>
          <w:sz w:val="24"/>
        </w:rPr>
        <w:t xml:space="preserve"> </w:t>
      </w:r>
    </w:p>
    <w:p w:rsidR="002216D2" w:rsidRDefault="000F2FA0">
      <w:pPr>
        <w:jc w:val="center"/>
        <w:rPr>
          <w:rFonts w:ascii="Times New Roman" w:hAnsi="Times New Roman" w:cs="Times New Roman"/>
          <w:noProof/>
          <w:sz w:val="24"/>
          <w:szCs w:val="24"/>
        </w:rPr>
      </w:pPr>
      <w:r>
        <w:rPr>
          <w:noProof/>
          <w:lang w:val="en-GB" w:eastAsia="en-GB" w:bidi="ar-SA"/>
        </w:rPr>
        <w:drawing>
          <wp:inline distT="0" distB="0" distL="0" distR="0">
            <wp:extent cx="5760085" cy="381377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3813771"/>
                    </a:xfrm>
                    <a:prstGeom prst="rect">
                      <a:avLst/>
                    </a:prstGeom>
                    <a:noFill/>
                    <a:ln>
                      <a:noFill/>
                    </a:ln>
                  </pic:spPr>
                </pic:pic>
              </a:graphicData>
            </a:graphic>
          </wp:inline>
        </w:drawing>
      </w:r>
    </w:p>
    <w:p w:rsidR="002216D2" w:rsidRDefault="000F2FA0">
      <w:pPr>
        <w:contextualSpacing/>
        <w:jc w:val="both"/>
        <w:rPr>
          <w:rFonts w:ascii="Times New Roman" w:hAnsi="Times New Roman" w:cs="Times New Roman"/>
          <w:noProof/>
          <w:sz w:val="24"/>
          <w:szCs w:val="24"/>
        </w:rPr>
      </w:pPr>
      <w:r>
        <w:rPr>
          <w:rFonts w:ascii="Times New Roman" w:hAnsi="Times New Roman"/>
          <w:noProof/>
          <w:sz w:val="24"/>
        </w:rPr>
        <w:t xml:space="preserve">Depuis la première année de fonctionnement de l’ECRIS, </w:t>
      </w:r>
      <w:r>
        <w:rPr>
          <w:rFonts w:ascii="Times New Roman" w:hAnsi="Times New Roman"/>
          <w:b/>
          <w:noProof/>
          <w:sz w:val="24"/>
        </w:rPr>
        <w:t xml:space="preserve">31 % des réponses ont inclus des informations sur de précédentes condamnations. </w:t>
      </w:r>
      <w:r>
        <w:rPr>
          <w:rFonts w:ascii="Times New Roman" w:hAnsi="Times New Roman"/>
          <w:noProof/>
          <w:sz w:val="24"/>
        </w:rPr>
        <w:t>Autrement dit, dans 31 % d</w:t>
      </w:r>
      <w:r>
        <w:rPr>
          <w:rFonts w:ascii="Times New Roman" w:hAnsi="Times New Roman"/>
          <w:noProof/>
          <w:sz w:val="24"/>
        </w:rPr>
        <w:t xml:space="preserve">es cas, la personne concernée avait déjà été condamnée une ou plusieurs fois, ce qui prouve la valeur de l’ECRIS en tant qu’outil permettant d‘obtenir des informations sur les casiers judiciaires. En </w:t>
      </w:r>
      <w:r>
        <w:rPr>
          <w:rFonts w:ascii="Times New Roman" w:hAnsi="Times New Roman"/>
          <w:b/>
          <w:noProof/>
          <w:sz w:val="24"/>
        </w:rPr>
        <w:t>2016</w:t>
      </w:r>
      <w:r>
        <w:rPr>
          <w:rFonts w:ascii="Times New Roman" w:hAnsi="Times New Roman"/>
          <w:noProof/>
          <w:sz w:val="24"/>
        </w:rPr>
        <w:t xml:space="preserve">, ce taux représentait </w:t>
      </w:r>
      <w:r>
        <w:rPr>
          <w:rFonts w:ascii="Times New Roman" w:hAnsi="Times New Roman"/>
          <w:b/>
          <w:noProof/>
          <w:sz w:val="24"/>
        </w:rPr>
        <w:t>plus de 105 000 réponses incl</w:t>
      </w:r>
      <w:r>
        <w:rPr>
          <w:rFonts w:ascii="Times New Roman" w:hAnsi="Times New Roman"/>
          <w:b/>
          <w:noProof/>
          <w:sz w:val="24"/>
        </w:rPr>
        <w:t>uant des informations sur des condamnations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Les réponses ne mentionnant aucune information sur des condamnations ont constitué en moyenne 63 % et les autres réponses 6 % sur les cinq dernières années.</w:t>
      </w:r>
    </w:p>
    <w:p w:rsidR="002216D2" w:rsidRDefault="002216D2">
      <w:pPr>
        <w:rPr>
          <w:rStyle w:val="Hyperlink"/>
          <w:rFonts w:ascii="Times New Roman" w:hAnsi="Times New Roman" w:cs="Times New Roman"/>
          <w:i/>
          <w:noProof/>
          <w:sz w:val="24"/>
          <w:szCs w:val="24"/>
        </w:rPr>
      </w:pPr>
      <w:bookmarkStart w:id="32" w:name="_Toc479267027"/>
      <w:bookmarkStart w:id="33" w:name="_Toc479267028"/>
      <w:bookmarkStart w:id="34" w:name="_Toc479267029"/>
      <w:bookmarkStart w:id="35" w:name="_Toc479267030"/>
      <w:bookmarkStart w:id="36" w:name="_Toc479267031"/>
      <w:bookmarkStart w:id="37" w:name="_Toc479267032"/>
      <w:bookmarkStart w:id="38" w:name="_Toc479267033"/>
      <w:bookmarkStart w:id="39" w:name="_Toc479267034"/>
      <w:bookmarkStart w:id="40" w:name="_Toc479267035"/>
      <w:bookmarkStart w:id="41" w:name="_Toc479267036"/>
      <w:bookmarkStart w:id="42" w:name="_Toc479267037"/>
      <w:bookmarkStart w:id="43" w:name="_Toc479267038"/>
      <w:bookmarkStart w:id="44" w:name="_Toc479267039"/>
      <w:bookmarkStart w:id="45" w:name="_Toc479267040"/>
      <w:bookmarkStart w:id="46" w:name="_Toc479267041"/>
      <w:bookmarkStart w:id="47" w:name="_Toc479267042"/>
      <w:bookmarkStart w:id="48" w:name="_Toc479267043"/>
      <w:bookmarkStart w:id="49" w:name="_Toc479267044"/>
      <w:bookmarkStart w:id="50" w:name="_Toc479267045"/>
      <w:bookmarkStart w:id="51" w:name="_Toc479267046"/>
      <w:bookmarkStart w:id="52" w:name="_Toc479267047"/>
      <w:bookmarkStart w:id="53" w:name="_Toc479267048"/>
      <w:bookmarkStart w:id="54" w:name="_Toc479267049"/>
      <w:bookmarkStart w:id="55" w:name="_Toc479267050"/>
      <w:bookmarkStart w:id="56" w:name="_Toc479267051"/>
      <w:bookmarkStart w:id="57" w:name="_Toc479267052"/>
      <w:bookmarkStart w:id="58" w:name="_Toc479267053"/>
      <w:bookmarkStart w:id="59" w:name="_Toc479267054"/>
      <w:bookmarkStart w:id="60" w:name="_Toc479267055"/>
      <w:bookmarkStart w:id="61" w:name="_Toc479267056"/>
      <w:bookmarkStart w:id="62" w:name="_Toc479267057"/>
      <w:bookmarkStart w:id="63" w:name="_Toc479267058"/>
      <w:bookmarkStart w:id="64" w:name="_Toc479267059"/>
      <w:bookmarkStart w:id="65" w:name="_Toc479267060"/>
      <w:bookmarkStart w:id="66" w:name="_Toc479267061"/>
      <w:bookmarkStart w:id="67" w:name="_Toc479267062"/>
      <w:bookmarkStart w:id="68" w:name="_Toc479267063"/>
      <w:bookmarkStart w:id="69" w:name="_Toc479267064"/>
      <w:bookmarkStart w:id="70" w:name="_Toc479267065"/>
      <w:bookmarkStart w:id="71" w:name="_Toc479267066"/>
      <w:bookmarkStart w:id="72" w:name="_Toc479267067"/>
      <w:bookmarkStart w:id="73" w:name="_Toc479267068"/>
      <w:bookmarkStart w:id="74" w:name="_Toc479267069"/>
      <w:bookmarkStart w:id="75" w:name="_Toc479267070"/>
      <w:bookmarkStart w:id="76" w:name="_Toc479267071"/>
      <w:bookmarkStart w:id="77" w:name="_Toc479267072"/>
      <w:bookmarkStart w:id="78" w:name="_Toc479267073"/>
      <w:bookmarkStart w:id="79" w:name="_Toc479267074"/>
      <w:bookmarkStart w:id="80" w:name="_Toc479267075"/>
      <w:bookmarkStart w:id="81" w:name="_Toc479267076"/>
      <w:bookmarkStart w:id="82" w:name="_Toc479267077"/>
      <w:bookmarkStart w:id="83" w:name="_Toc479267078"/>
      <w:bookmarkStart w:id="84" w:name="_Toc479267079"/>
      <w:bookmarkStart w:id="85" w:name="_Toc479267080"/>
      <w:bookmarkStart w:id="86" w:name="_Toc479267081"/>
      <w:bookmarkStart w:id="87" w:name="_Toc479267082"/>
      <w:bookmarkStart w:id="88" w:name="_Toc479267083"/>
      <w:bookmarkStart w:id="89" w:name="_Toc479267084"/>
      <w:bookmarkStart w:id="90" w:name="_Toc479267085"/>
      <w:bookmarkStart w:id="91" w:name="_Toc479267086"/>
      <w:bookmarkStart w:id="92" w:name="_Toc479267087"/>
      <w:bookmarkStart w:id="93" w:name="_Toc479267088"/>
      <w:bookmarkStart w:id="94" w:name="_Toc479267089"/>
      <w:bookmarkStart w:id="95" w:name="_Toc479267090"/>
      <w:bookmarkStart w:id="96" w:name="_Toc479267091"/>
      <w:bookmarkStart w:id="97" w:name="_Toc479267092"/>
      <w:bookmarkStart w:id="98" w:name="_Toc479267093"/>
      <w:bookmarkStart w:id="99" w:name="_Toc479267094"/>
      <w:bookmarkStart w:id="100" w:name="_Toc479267095"/>
      <w:bookmarkStart w:id="101" w:name="_Toc479267096"/>
      <w:bookmarkStart w:id="102" w:name="_Toc479267097"/>
      <w:bookmarkStart w:id="103" w:name="_Toc479267098"/>
      <w:bookmarkStart w:id="104" w:name="_Toc479267099"/>
      <w:bookmarkStart w:id="105" w:name="_Toc479267100"/>
      <w:bookmarkStart w:id="106" w:name="_Toc479267101"/>
      <w:bookmarkStart w:id="107" w:name="_Toc479267102"/>
      <w:bookmarkStart w:id="108" w:name="_Toc479267103"/>
      <w:bookmarkStart w:id="109" w:name="_Toc479267104"/>
      <w:bookmarkStart w:id="110" w:name="_Toc479267105"/>
      <w:bookmarkStart w:id="111" w:name="_Toc479267106"/>
      <w:bookmarkStart w:id="112" w:name="_Toc479267107"/>
      <w:bookmarkStart w:id="113" w:name="_Toc479267108"/>
      <w:bookmarkStart w:id="114" w:name="_Toc479267109"/>
      <w:bookmarkStart w:id="115" w:name="_Toc479267110"/>
      <w:bookmarkStart w:id="116" w:name="_Toc479267111"/>
      <w:bookmarkStart w:id="117" w:name="_Toc479267112"/>
      <w:bookmarkStart w:id="118" w:name="_Toc479267113"/>
      <w:bookmarkStart w:id="119" w:name="_Toc479267114"/>
      <w:bookmarkStart w:id="120" w:name="_Toc479267115"/>
      <w:bookmarkStart w:id="121" w:name="_Toc479267116"/>
      <w:bookmarkStart w:id="122" w:name="_Toc479267117"/>
      <w:bookmarkStart w:id="123" w:name="_Toc479267118"/>
      <w:bookmarkStart w:id="124" w:name="_Toc479267119"/>
      <w:bookmarkStart w:id="125" w:name="_Toc479267120"/>
      <w:bookmarkStart w:id="126" w:name="_Toc479267121"/>
      <w:bookmarkStart w:id="127" w:name="_Toc479267122"/>
      <w:bookmarkStart w:id="128" w:name="_Toc479267123"/>
      <w:bookmarkStart w:id="129" w:name="_Toc479267124"/>
      <w:bookmarkStart w:id="130" w:name="_Toc479267125"/>
      <w:bookmarkStart w:id="131" w:name="_Toc479267126"/>
      <w:bookmarkStart w:id="132" w:name="_Toc479267127"/>
      <w:bookmarkStart w:id="133" w:name="_Toc479267128"/>
      <w:bookmarkStart w:id="134" w:name="_Toc479267129"/>
      <w:bookmarkStart w:id="135" w:name="_Toc479267130"/>
      <w:bookmarkStart w:id="136" w:name="_Toc479267131"/>
      <w:bookmarkStart w:id="137" w:name="_Toc479267132"/>
      <w:bookmarkStart w:id="138" w:name="_Toc479267133"/>
      <w:bookmarkStart w:id="139" w:name="_Toc479267134"/>
      <w:bookmarkStart w:id="140" w:name="_Toc479267135"/>
      <w:bookmarkStart w:id="141" w:name="_Toc479267136"/>
      <w:bookmarkStart w:id="142" w:name="_Toc479267137"/>
      <w:bookmarkStart w:id="143" w:name="_Toc479267138"/>
      <w:bookmarkStart w:id="144" w:name="_Toc479267139"/>
      <w:bookmarkStart w:id="145" w:name="_Toc479267140"/>
      <w:bookmarkStart w:id="146" w:name="_Toc479267141"/>
      <w:bookmarkStart w:id="147" w:name="_Toc479267142"/>
      <w:bookmarkStart w:id="148" w:name="_Toc479267143"/>
      <w:bookmarkStart w:id="149" w:name="_Toc479267144"/>
      <w:bookmarkStart w:id="150" w:name="_Toc479267145"/>
      <w:bookmarkStart w:id="151" w:name="_Toc479267146"/>
      <w:bookmarkStart w:id="152" w:name="_Toc479267147"/>
      <w:bookmarkStart w:id="153" w:name="_Toc479267148"/>
      <w:bookmarkStart w:id="154" w:name="_Toc479267149"/>
      <w:bookmarkStart w:id="155" w:name="_Toc479267150"/>
      <w:bookmarkStart w:id="156" w:name="_Toc479267151"/>
      <w:bookmarkStart w:id="157" w:name="_Toc479267152"/>
      <w:bookmarkStart w:id="158" w:name="_Toc479267153"/>
      <w:bookmarkStart w:id="159" w:name="_Toc479267154"/>
      <w:bookmarkStart w:id="160" w:name="_Toc479267155"/>
      <w:bookmarkStart w:id="161" w:name="_Toc479267156"/>
      <w:bookmarkStart w:id="162" w:name="_Toc479267157"/>
      <w:bookmarkStart w:id="163" w:name="_Toc479267158"/>
      <w:bookmarkStart w:id="164" w:name="_Toc479267159"/>
      <w:bookmarkStart w:id="165" w:name="_Toc479267160"/>
      <w:bookmarkStart w:id="166" w:name="_Toc479267161"/>
      <w:bookmarkStart w:id="167" w:name="_Toc479267162"/>
      <w:bookmarkStart w:id="168" w:name="_Toc479267163"/>
      <w:bookmarkStart w:id="169" w:name="_Toc479267164"/>
      <w:bookmarkStart w:id="170" w:name="_Toc479267165"/>
      <w:bookmarkStart w:id="171" w:name="_Toc47926716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sectPr w:rsidR="002216D2">
      <w:headerReference w:type="even" r:id="rId32"/>
      <w:headerReference w:type="default" r:id="rId33"/>
      <w:footerReference w:type="even" r:id="rId34"/>
      <w:footerReference w:type="default" r:id="rId35"/>
      <w:headerReference w:type="first" r:id="rId36"/>
      <w:footerReference w:type="first" r:id="rId37"/>
      <w:pgSz w:w="11907" w:h="16840" w:code="9"/>
      <w:pgMar w:top="1418" w:right="1418" w:bottom="1418" w:left="1418" w:header="851" w:footer="255" w:gutter="0"/>
      <w:cols w:space="720"/>
      <w:titlePg/>
      <w:docGrid w:linePitch="245"/>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E24B8" w15:done="0"/>
  <w15:commentEx w15:paraId="6E86590D" w15:done="0"/>
  <w15:commentEx w15:paraId="439AA53A" w15:done="0"/>
  <w15:commentEx w15:paraId="2D71B520" w15:done="0"/>
  <w15:commentEx w15:paraId="419EC50D" w15:done="0"/>
  <w15:commentEx w15:paraId="2E89FC3D" w15:done="0"/>
  <w15:commentEx w15:paraId="03DFCC02" w15:done="0"/>
  <w15:commentEx w15:paraId="03D9DADC" w15:done="0"/>
  <w15:commentEx w15:paraId="26B4E71E" w15:done="0"/>
  <w15:commentEx w15:paraId="694DD74E" w15:done="0"/>
  <w15:commentEx w15:paraId="5880BD8A" w15:done="0"/>
  <w15:commentEx w15:paraId="62A36268" w15:done="0"/>
  <w15:commentEx w15:paraId="7802DCA6" w15:done="0"/>
  <w15:commentEx w15:paraId="42F0B0F2" w15:done="0"/>
  <w15:commentEx w15:paraId="571BF361" w15:done="0"/>
  <w15:commentEx w15:paraId="38371697" w15:done="0"/>
  <w15:commentEx w15:paraId="5EB460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D2" w:rsidRDefault="000F2FA0">
      <w:r>
        <w:separator/>
      </w:r>
    </w:p>
  </w:endnote>
  <w:endnote w:type="continuationSeparator" w:id="0">
    <w:p w:rsidR="002216D2" w:rsidRDefault="000F2FA0">
      <w:r>
        <w:continuationSeparator/>
      </w:r>
    </w:p>
  </w:endnote>
  <w:endnote w:type="continuationNotice" w:id="1">
    <w:p w:rsidR="002216D2" w:rsidRDefault="002216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0F2FA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14629"/>
      <w:docPartObj>
        <w:docPartGallery w:val="Page Numbers (Bottom of Page)"/>
        <w:docPartUnique/>
      </w:docPartObj>
    </w:sdtPr>
    <w:sdtEndPr>
      <w:rPr>
        <w:noProof/>
      </w:rPr>
    </w:sdtEndPr>
    <w:sdtContent>
      <w:p w:rsidR="002216D2" w:rsidRDefault="000F2FA0">
        <w:pPr>
          <w:pStyle w:val="Footer"/>
        </w:pPr>
        <w:r>
          <w:fldChar w:fldCharType="begin"/>
        </w:r>
        <w:r>
          <w:instrText xml:space="preserve"> PAGE   \* MERGEFORMAT </w:instrText>
        </w:r>
        <w:r>
          <w:fldChar w:fldCharType="separate"/>
        </w:r>
        <w:r>
          <w:rPr>
            <w:noProof/>
          </w:rPr>
          <w:t>19</w:t>
        </w:r>
        <w:r>
          <w:rPr>
            <w:noProof/>
          </w:rPr>
          <w:fldChar w:fldCharType="end"/>
        </w:r>
      </w:p>
    </w:sdtContent>
  </w:sdt>
  <w:p w:rsidR="002216D2" w:rsidRDefault="002216D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531446"/>
      <w:docPartObj>
        <w:docPartGallery w:val="Page Numbers (Bottom of Page)"/>
        <w:docPartUnique/>
      </w:docPartObj>
    </w:sdtPr>
    <w:sdtEndPr>
      <w:rPr>
        <w:noProof/>
      </w:rPr>
    </w:sdtEndPr>
    <w:sdtContent>
      <w:p w:rsidR="002216D2" w:rsidRDefault="000F2FA0">
        <w:pPr>
          <w:pStyle w:val="Footer"/>
        </w:pPr>
        <w:r>
          <w:fldChar w:fldCharType="begin"/>
        </w:r>
        <w:r>
          <w:instrText xml:space="preserve"> PAGE   \* MERGEFORMAT </w:instrText>
        </w:r>
        <w:r>
          <w:fldChar w:fldCharType="separate"/>
        </w:r>
        <w:r>
          <w:rPr>
            <w:noProof/>
          </w:rPr>
          <w:t>2</w:t>
        </w:r>
        <w:r>
          <w:rPr>
            <w:noProof/>
          </w:rPr>
          <w:fldChar w:fldCharType="end"/>
        </w:r>
      </w:p>
    </w:sdtContent>
  </w:sdt>
  <w:p w:rsidR="002216D2" w:rsidRDefault="00221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D2" w:rsidRDefault="000F2FA0">
      <w:r>
        <w:separator/>
      </w:r>
    </w:p>
  </w:footnote>
  <w:footnote w:type="continuationSeparator" w:id="0">
    <w:p w:rsidR="002216D2" w:rsidRDefault="000F2FA0">
      <w:r>
        <w:continuationSeparator/>
      </w:r>
    </w:p>
  </w:footnote>
  <w:footnote w:type="continuationNotice" w:id="1">
    <w:p w:rsidR="002216D2" w:rsidRDefault="002216D2">
      <w:pPr>
        <w:spacing w:after="0"/>
      </w:pPr>
    </w:p>
  </w:footnote>
  <w:footnote w:id="2">
    <w:p w:rsidR="002216D2" w:rsidRDefault="000F2FA0">
      <w:pPr>
        <w:pStyle w:val="FootnoteText"/>
        <w:spacing w:after="0"/>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JO L 93 du 7.4.2009, p. 23.</w:t>
      </w:r>
    </w:p>
  </w:footnote>
  <w:footnote w:id="3">
    <w:p w:rsidR="002216D2" w:rsidRDefault="000F2FA0">
      <w:pPr>
        <w:pStyle w:val="FootnoteText"/>
        <w:spacing w:after="0"/>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JO L 93 du 7.4.2009, p. 33.</w:t>
      </w:r>
    </w:p>
    <w:p w:rsidR="002216D2" w:rsidRDefault="002216D2">
      <w:pPr>
        <w:pStyle w:val="FootnoteText"/>
      </w:pPr>
    </w:p>
  </w:footnote>
  <w:footnote w:id="4">
    <w:p w:rsidR="002216D2" w:rsidRDefault="000F2FA0">
      <w:pPr>
        <w:pStyle w:val="FootnoteText"/>
        <w:spacing w:after="0"/>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L’article 6, paragraphe 2, de la décision 2009/316/JAI du Conseil prévoit l’adoption, par le Conseil, de mesures d’exécution pour l’ECRIS, notamment la m</w:t>
      </w:r>
      <w:r>
        <w:rPr>
          <w:rFonts w:ascii="Times New Roman" w:hAnsi="Times New Roman"/>
          <w:sz w:val="20"/>
        </w:rPr>
        <w:t>ise en place de systèmes et de procédures de connexion permettant de contrôler le fonctionnement de l’ECRIS et l’établissement de statistiques anonymes concernant les échanges d’informations extraites du casier judiciaire au moyen de l’ECRIS.</w:t>
      </w:r>
    </w:p>
  </w:footnote>
  <w:footnote w:id="5">
    <w:p w:rsidR="002216D2" w:rsidRDefault="000F2FA0">
      <w:pPr>
        <w:pStyle w:val="FootnoteText"/>
        <w:spacing w:after="0"/>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Rapport de</w:t>
      </w:r>
      <w:r>
        <w:rPr>
          <w:rFonts w:ascii="Times New Roman" w:hAnsi="Times New Roman"/>
          <w:sz w:val="20"/>
        </w:rPr>
        <w:t xml:space="preserve"> la Commission au Parlement européen et au Conseil sur l’application de la décision-cadre 2009/315/JAI du Conseil du 26 février 2009 concernant l’organisation et le contenu des échanges d’informations extraites du casier judiciaire entre les États membres,</w:t>
      </w:r>
      <w:r>
        <w:rPr>
          <w:rFonts w:ascii="Times New Roman" w:hAnsi="Times New Roman"/>
          <w:sz w:val="20"/>
        </w:rPr>
        <w:t xml:space="preserve"> COM (2016) 6 final.</w:t>
      </w:r>
    </w:p>
  </w:footnote>
  <w:footnote w:id="6">
    <w:p w:rsidR="002216D2" w:rsidRDefault="000F2FA0">
      <w:pPr>
        <w:pStyle w:val="FootnoteText"/>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COM(2017) 344 final.</w:t>
      </w:r>
    </w:p>
  </w:footnote>
  <w:footnote w:id="7">
    <w:p w:rsidR="002216D2" w:rsidRDefault="000F2FA0">
      <w:pPr>
        <w:pStyle w:val="FootnoteText"/>
        <w:spacing w:after="0"/>
        <w:ind w:left="709" w:hanging="709"/>
        <w:jc w:val="both"/>
        <w:rPr>
          <w:rFonts w:ascii="Times New Roman" w:hAnsi="Times New Roman" w:cs="Times New Roman"/>
          <w:sz w:val="20"/>
        </w:rPr>
      </w:pPr>
      <w:r>
        <w:rPr>
          <w:rStyle w:val="FootnoteReference"/>
        </w:rPr>
        <w:footnoteRef/>
      </w:r>
      <w:r>
        <w:t xml:space="preserve"> </w:t>
      </w:r>
      <w:r>
        <w:tab/>
      </w:r>
      <w:r>
        <w:rPr>
          <w:rFonts w:ascii="Times New Roman" w:hAnsi="Times New Roman"/>
          <w:sz w:val="20"/>
        </w:rPr>
        <w:t xml:space="preserve">Directive 2011/93/UE du Parlement européen et du Conseil du 13 décembre 2011 relative à la lutte contre les abus sexuels et l’exploitation sexuelle des enfants, ainsi que la pédopornographie et remplaçant la </w:t>
      </w:r>
      <w:r>
        <w:rPr>
          <w:rFonts w:ascii="Times New Roman" w:hAnsi="Times New Roman"/>
          <w:sz w:val="20"/>
        </w:rPr>
        <w:t>décision-cadre 2004/68/JAI du Conseil (JO L 335 du 17.12.2011, p. 1).</w:t>
      </w:r>
    </w:p>
  </w:footnote>
  <w:footnote w:id="8">
    <w:p w:rsidR="002216D2" w:rsidRDefault="000F2FA0">
      <w:pPr>
        <w:pStyle w:val="FootnoteText"/>
        <w:spacing w:after="0"/>
        <w:rPr>
          <w:rFonts w:ascii="Times New Roman" w:hAnsi="Times New Roman" w:cs="Times New Roman"/>
          <w:sz w:val="20"/>
        </w:rPr>
      </w:pPr>
      <w:r>
        <w:rPr>
          <w:rStyle w:val="FootnoteReference"/>
          <w:rFonts w:ascii="Times New Roman" w:hAnsi="Times New Roman"/>
          <w:sz w:val="20"/>
        </w:rPr>
        <w:footnoteRef/>
      </w:r>
      <w:r>
        <w:tab/>
      </w:r>
      <w:r>
        <w:rPr>
          <w:rFonts w:ascii="Times New Roman" w:hAnsi="Times New Roman"/>
          <w:sz w:val="20"/>
        </w:rPr>
        <w:t xml:space="preserve">Voir les statistiques d’Eurostat: </w:t>
      </w:r>
      <w:hyperlink r:id="rId1">
        <w:r>
          <w:rPr>
            <w:rStyle w:val="Hyperlink"/>
            <w:rFonts w:ascii="Times New Roman" w:hAnsi="Times New Roman"/>
            <w:sz w:val="20"/>
          </w:rPr>
          <w:t>http://ec.europa.eu/eurostat/statistics-explained/index.php/F</w:t>
        </w:r>
        <w:r>
          <w:rPr>
            <w:rStyle w:val="Hyperlink"/>
            <w:rFonts w:ascii="Times New Roman" w:hAnsi="Times New Roman"/>
            <w:sz w:val="20"/>
          </w:rPr>
          <w:t>ile:Non-</w:t>
        </w:r>
      </w:hyperlink>
      <w:r>
        <w:tab/>
      </w:r>
      <w:r>
        <w:rPr>
          <w:rFonts w:ascii="Times New Roman" w:hAnsi="Times New Roman"/>
          <w:sz w:val="20"/>
        </w:rPr>
        <w:t>national_population_by_group_of_citizenship,_1_January_2016_(%C2%B9).png</w:t>
      </w:r>
    </w:p>
  </w:footnote>
  <w:footnote w:id="9">
    <w:p w:rsidR="002216D2" w:rsidRDefault="000F2FA0">
      <w:pPr>
        <w:pStyle w:val="FootnoteText"/>
        <w:ind w:left="709" w:hanging="709"/>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Décision-cadre 2008/675/JAI du Conseil relative à la prise en compte des décisions de condamnation entre les États membres de l’Union européenne à l’occasion d’une nouvell</w:t>
      </w:r>
      <w:r>
        <w:rPr>
          <w:rFonts w:ascii="Times New Roman" w:hAnsi="Times New Roman"/>
          <w:sz w:val="20"/>
        </w:rPr>
        <w:t>e procédure pénale, JO L 220 du 15.8.2008, p. 32.</w:t>
      </w:r>
    </w:p>
  </w:footnote>
  <w:footnote w:id="10">
    <w:p w:rsidR="002216D2" w:rsidRDefault="000F2FA0">
      <w:pPr>
        <w:pStyle w:val="FootnoteText"/>
        <w:ind w:left="709" w:hanging="709"/>
        <w:rPr>
          <w:rFonts w:ascii="Times New Roman" w:hAnsi="Times New Roman" w:cs="Times New Roman"/>
          <w:sz w:val="20"/>
        </w:rPr>
      </w:pPr>
      <w:r>
        <w:rPr>
          <w:rStyle w:val="FootnoteReference"/>
          <w:rFonts w:ascii="Times New Roman" w:hAnsi="Times New Roman"/>
          <w:sz w:val="20"/>
        </w:rPr>
        <w:footnoteRef/>
      </w:r>
      <w:r>
        <w:t xml:space="preserve"> </w:t>
      </w:r>
      <w:r>
        <w:tab/>
      </w:r>
      <w:r>
        <w:rPr>
          <w:rFonts w:ascii="Times New Roman" w:hAnsi="Times New Roman"/>
          <w:sz w:val="20"/>
        </w:rPr>
        <w:t>Les autres réponses sont, par exemple, celles dans lesquelles plusieurs personnes ont été trouvées, une personne n’était pas ressortissante de l’État membre requis, etc.</w:t>
      </w:r>
    </w:p>
  </w:footnote>
  <w:footnote w:id="11">
    <w:p w:rsidR="002216D2" w:rsidRDefault="000F2FA0">
      <w:pPr>
        <w:pStyle w:val="FootnoteText"/>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Pour un tableau comparatif pré</w:t>
      </w:r>
      <w:r>
        <w:rPr>
          <w:rFonts w:ascii="Times New Roman" w:hAnsi="Times New Roman"/>
          <w:sz w:val="20"/>
        </w:rPr>
        <w:t>sentant les États membres les plus actifs sur le plan du volume de notifications, de demandes et de réponses envoyées (ventilé par catégorie), voir l’annexe, section 1.2.</w:t>
      </w:r>
    </w:p>
  </w:footnote>
  <w:footnote w:id="12">
    <w:p w:rsidR="002216D2" w:rsidRDefault="000F2FA0">
      <w:pPr>
        <w:pStyle w:val="FootnoteText"/>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Voir également un tableau à l’annexe, section 1.7.</w:t>
      </w:r>
    </w:p>
  </w:footnote>
  <w:footnote w:id="13">
    <w:p w:rsidR="002216D2" w:rsidRDefault="000F2FA0">
      <w:pPr>
        <w:pStyle w:val="FootnoteText"/>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Voir la note de bas de </w:t>
      </w:r>
      <w:r>
        <w:rPr>
          <w:rFonts w:ascii="Times New Roman" w:hAnsi="Times New Roman"/>
          <w:sz w:val="20"/>
        </w:rPr>
        <w:t>page 9. Voir également le tableau à l’annexe, section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2" w:rsidRDefault="00221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B5"/>
    <w:multiLevelType w:val="hybridMultilevel"/>
    <w:tmpl w:val="587E3CAE"/>
    <w:lvl w:ilvl="0" w:tplc="147079E8">
      <w:start w:val="1"/>
      <w:numFmt w:val="bullet"/>
      <w:pStyle w:val="Listbullet2cm"/>
      <w:lvlText w:val=""/>
      <w:lvlJc w:val="left"/>
      <w:pPr>
        <w:tabs>
          <w:tab w:val="num" w:pos="1494"/>
        </w:tabs>
        <w:ind w:left="1474" w:hanging="340"/>
      </w:pPr>
      <w:rPr>
        <w:rFonts w:ascii="Symbol" w:hAnsi="Symbol" w:hint="default"/>
        <w:sz w:val="20"/>
      </w:rPr>
    </w:lvl>
    <w:lvl w:ilvl="1" w:tplc="2752F458">
      <w:start w:val="1"/>
      <w:numFmt w:val="bullet"/>
      <w:pStyle w:val="Listbullet2cm"/>
      <w:lvlText w:val=""/>
      <w:lvlJc w:val="left"/>
      <w:pPr>
        <w:tabs>
          <w:tab w:val="num" w:pos="1440"/>
        </w:tabs>
        <w:ind w:left="1420" w:hanging="340"/>
      </w:pPr>
      <w:rPr>
        <w:rFonts w:ascii="Symbol" w:hAnsi="Symbol" w:hint="default"/>
      </w:rPr>
    </w:lvl>
    <w:lvl w:ilvl="2" w:tplc="53A40F5C" w:tentative="1">
      <w:start w:val="1"/>
      <w:numFmt w:val="bullet"/>
      <w:lvlText w:val=""/>
      <w:lvlJc w:val="left"/>
      <w:pPr>
        <w:tabs>
          <w:tab w:val="num" w:pos="2160"/>
        </w:tabs>
        <w:ind w:left="2160" w:hanging="360"/>
      </w:pPr>
      <w:rPr>
        <w:rFonts w:ascii="Wingdings" w:hAnsi="Wingdings" w:hint="default"/>
      </w:rPr>
    </w:lvl>
    <w:lvl w:ilvl="3" w:tplc="7A2C8FDE" w:tentative="1">
      <w:start w:val="1"/>
      <w:numFmt w:val="bullet"/>
      <w:lvlText w:val=""/>
      <w:lvlJc w:val="left"/>
      <w:pPr>
        <w:tabs>
          <w:tab w:val="num" w:pos="2880"/>
        </w:tabs>
        <w:ind w:left="2880" w:hanging="360"/>
      </w:pPr>
      <w:rPr>
        <w:rFonts w:ascii="Symbol" w:hAnsi="Symbol" w:hint="default"/>
      </w:rPr>
    </w:lvl>
    <w:lvl w:ilvl="4" w:tplc="B874C7CC" w:tentative="1">
      <w:start w:val="1"/>
      <w:numFmt w:val="bullet"/>
      <w:lvlText w:val="o"/>
      <w:lvlJc w:val="left"/>
      <w:pPr>
        <w:tabs>
          <w:tab w:val="num" w:pos="3600"/>
        </w:tabs>
        <w:ind w:left="3600" w:hanging="360"/>
      </w:pPr>
      <w:rPr>
        <w:rFonts w:ascii="Courier New" w:hAnsi="Courier New" w:hint="default"/>
      </w:rPr>
    </w:lvl>
    <w:lvl w:ilvl="5" w:tplc="63D690E6" w:tentative="1">
      <w:start w:val="1"/>
      <w:numFmt w:val="bullet"/>
      <w:lvlText w:val=""/>
      <w:lvlJc w:val="left"/>
      <w:pPr>
        <w:tabs>
          <w:tab w:val="num" w:pos="4320"/>
        </w:tabs>
        <w:ind w:left="4320" w:hanging="360"/>
      </w:pPr>
      <w:rPr>
        <w:rFonts w:ascii="Wingdings" w:hAnsi="Wingdings" w:hint="default"/>
      </w:rPr>
    </w:lvl>
    <w:lvl w:ilvl="6" w:tplc="2D3E0C88" w:tentative="1">
      <w:start w:val="1"/>
      <w:numFmt w:val="bullet"/>
      <w:lvlText w:val=""/>
      <w:lvlJc w:val="left"/>
      <w:pPr>
        <w:tabs>
          <w:tab w:val="num" w:pos="5040"/>
        </w:tabs>
        <w:ind w:left="5040" w:hanging="360"/>
      </w:pPr>
      <w:rPr>
        <w:rFonts w:ascii="Symbol" w:hAnsi="Symbol" w:hint="default"/>
      </w:rPr>
    </w:lvl>
    <w:lvl w:ilvl="7" w:tplc="0AEC5C3E" w:tentative="1">
      <w:start w:val="1"/>
      <w:numFmt w:val="bullet"/>
      <w:lvlText w:val="o"/>
      <w:lvlJc w:val="left"/>
      <w:pPr>
        <w:tabs>
          <w:tab w:val="num" w:pos="5760"/>
        </w:tabs>
        <w:ind w:left="5760" w:hanging="360"/>
      </w:pPr>
      <w:rPr>
        <w:rFonts w:ascii="Courier New" w:hAnsi="Courier New" w:hint="default"/>
      </w:rPr>
    </w:lvl>
    <w:lvl w:ilvl="8" w:tplc="180A8BE6" w:tentative="1">
      <w:start w:val="1"/>
      <w:numFmt w:val="bullet"/>
      <w:lvlText w:val=""/>
      <w:lvlJc w:val="left"/>
      <w:pPr>
        <w:tabs>
          <w:tab w:val="num" w:pos="6480"/>
        </w:tabs>
        <w:ind w:left="6480" w:hanging="360"/>
      </w:pPr>
      <w:rPr>
        <w:rFonts w:ascii="Wingdings" w:hAnsi="Wingdings" w:hint="default"/>
      </w:rPr>
    </w:lvl>
  </w:abstractNum>
  <w:abstractNum w:abstractNumId="1">
    <w:nsid w:val="01A431A5"/>
    <w:multiLevelType w:val="singleLevel"/>
    <w:tmpl w:val="FCDAD016"/>
    <w:lvl w:ilvl="0">
      <w:start w:val="1"/>
      <w:numFmt w:val="bullet"/>
      <w:pStyle w:val="ListBullet1"/>
      <w:lvlText w:val=""/>
      <w:lvlJc w:val="left"/>
      <w:pPr>
        <w:tabs>
          <w:tab w:val="num" w:pos="360"/>
        </w:tabs>
        <w:ind w:left="360" w:hanging="360"/>
      </w:pPr>
      <w:rPr>
        <w:rFonts w:ascii="Wingdings" w:hAnsi="Wingdings" w:hint="default"/>
      </w:rPr>
    </w:lvl>
  </w:abstractNum>
  <w:abstractNum w:abstractNumId="2">
    <w:nsid w:val="061C00CF"/>
    <w:multiLevelType w:val="hybridMultilevel"/>
    <w:tmpl w:val="ABCAF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20208"/>
    <w:multiLevelType w:val="singleLevel"/>
    <w:tmpl w:val="B5AC3962"/>
    <w:lvl w:ilvl="0">
      <w:start w:val="1"/>
      <w:numFmt w:val="bullet"/>
      <w:pStyle w:val="Bullet"/>
      <w:lvlText w:val=""/>
      <w:lvlJc w:val="left"/>
      <w:pPr>
        <w:tabs>
          <w:tab w:val="num" w:pos="360"/>
        </w:tabs>
        <w:ind w:left="360" w:hanging="360"/>
      </w:pPr>
      <w:rPr>
        <w:rFonts w:ascii="Symbol" w:hAnsi="Symbol" w:hint="default"/>
      </w:rPr>
    </w:lvl>
  </w:abstractNum>
  <w:abstractNum w:abstractNumId="4">
    <w:nsid w:val="0EA86DCF"/>
    <w:multiLevelType w:val="hybridMultilevel"/>
    <w:tmpl w:val="023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D3773A"/>
    <w:multiLevelType w:val="singleLevel"/>
    <w:tmpl w:val="18CA76E8"/>
    <w:lvl w:ilvl="0">
      <w:start w:val="1"/>
      <w:numFmt w:val="bullet"/>
      <w:pStyle w:val="TaBult1"/>
      <w:lvlText w:val=""/>
      <w:lvlJc w:val="left"/>
      <w:pPr>
        <w:tabs>
          <w:tab w:val="num" w:pos="360"/>
        </w:tabs>
        <w:ind w:left="360" w:hanging="360"/>
      </w:pPr>
      <w:rPr>
        <w:rFonts w:ascii="Wingdings" w:hAnsi="Wingdings" w:hint="default"/>
      </w:rPr>
    </w:lvl>
  </w:abstractNum>
  <w:abstractNum w:abstractNumId="6">
    <w:nsid w:val="20231E57"/>
    <w:multiLevelType w:val="singleLevel"/>
    <w:tmpl w:val="B5E20F18"/>
    <w:lvl w:ilvl="0">
      <w:start w:val="1"/>
      <w:numFmt w:val="bullet"/>
      <w:pStyle w:val="Bullet1"/>
      <w:lvlText w:val=""/>
      <w:lvlJc w:val="left"/>
      <w:pPr>
        <w:tabs>
          <w:tab w:val="num" w:pos="360"/>
        </w:tabs>
        <w:ind w:left="360" w:hanging="360"/>
      </w:pPr>
      <w:rPr>
        <w:rFonts w:ascii="Symbol" w:hAnsi="Symbol" w:hint="default"/>
      </w:rPr>
    </w:lvl>
  </w:abstractNum>
  <w:abstractNum w:abstractNumId="7">
    <w:nsid w:val="22E44180"/>
    <w:multiLevelType w:val="multilevel"/>
    <w:tmpl w:val="6C90453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CF01AE"/>
    <w:multiLevelType w:val="multilevel"/>
    <w:tmpl w:val="1E66B5CC"/>
    <w:lvl w:ilvl="0">
      <w:start w:val="1"/>
      <w:numFmt w:val="bullet"/>
      <w:pStyle w:val="List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B75631B"/>
    <w:multiLevelType w:val="singleLevel"/>
    <w:tmpl w:val="D1F2C4D8"/>
    <w:lvl w:ilvl="0">
      <w:start w:val="1"/>
      <w:numFmt w:val="bullet"/>
      <w:pStyle w:val="ListNumber"/>
      <w:lvlText w:val=""/>
      <w:lvlJc w:val="left"/>
      <w:pPr>
        <w:tabs>
          <w:tab w:val="num" w:pos="765"/>
        </w:tabs>
        <w:ind w:left="765" w:hanging="283"/>
      </w:pPr>
      <w:rPr>
        <w:rFonts w:ascii="Symbol" w:hAnsi="Symbol"/>
      </w:rPr>
    </w:lvl>
  </w:abstractNum>
  <w:abstractNum w:abstractNumId="10">
    <w:nsid w:val="2CD40552"/>
    <w:multiLevelType w:val="hybridMultilevel"/>
    <w:tmpl w:val="726C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144D28"/>
    <w:multiLevelType w:val="singleLevel"/>
    <w:tmpl w:val="6DC45E2C"/>
    <w:lvl w:ilvl="0">
      <w:start w:val="1"/>
      <w:numFmt w:val="bullet"/>
      <w:pStyle w:val="Bullet10"/>
      <w:lvlText w:val=""/>
      <w:lvlJc w:val="left"/>
      <w:pPr>
        <w:tabs>
          <w:tab w:val="num" w:pos="360"/>
        </w:tabs>
        <w:ind w:left="360" w:hanging="360"/>
      </w:pPr>
      <w:rPr>
        <w:rFonts w:ascii="Symbol" w:hAnsi="Symbol" w:hint="default"/>
      </w:rPr>
    </w:lvl>
  </w:abstractNum>
  <w:abstractNum w:abstractNumId="12">
    <w:nsid w:val="3C914D61"/>
    <w:multiLevelType w:val="singleLevel"/>
    <w:tmpl w:val="C2F6FA2A"/>
    <w:lvl w:ilvl="0">
      <w:start w:val="1"/>
      <w:numFmt w:val="decimal"/>
      <w:pStyle w:val="Listnumber2cm"/>
      <w:lvlText w:val="%1"/>
      <w:lvlJc w:val="left"/>
      <w:pPr>
        <w:tabs>
          <w:tab w:val="num" w:pos="1701"/>
        </w:tabs>
        <w:ind w:left="1701" w:hanging="567"/>
      </w:pPr>
      <w:rPr>
        <w:rFonts w:hint="default"/>
      </w:rPr>
    </w:lvl>
  </w:abstractNum>
  <w:abstractNum w:abstractNumId="13">
    <w:nsid w:val="3E503334"/>
    <w:multiLevelType w:val="hybridMultilevel"/>
    <w:tmpl w:val="53A41F2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AA7DEB"/>
    <w:multiLevelType w:val="singleLevel"/>
    <w:tmpl w:val="5798E670"/>
    <w:lvl w:ilvl="0">
      <w:start w:val="1"/>
      <w:numFmt w:val="bullet"/>
      <w:pStyle w:val="Puce2"/>
      <w:lvlText w:val=""/>
      <w:lvlJc w:val="left"/>
      <w:pPr>
        <w:tabs>
          <w:tab w:val="num" w:pos="927"/>
        </w:tabs>
        <w:ind w:left="907" w:hanging="340"/>
      </w:pPr>
      <w:rPr>
        <w:rFonts w:ascii="Wingdings" w:hAnsi="Wingdings" w:hint="default"/>
      </w:rPr>
    </w:lvl>
  </w:abstractNum>
  <w:abstractNum w:abstractNumId="15">
    <w:nsid w:val="465D172F"/>
    <w:multiLevelType w:val="multilevel"/>
    <w:tmpl w:val="9CBAF6BE"/>
    <w:lvl w:ilvl="0">
      <w:start w:val="1"/>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C3B30B9"/>
    <w:multiLevelType w:val="hybridMultilevel"/>
    <w:tmpl w:val="AD448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12FAC"/>
    <w:multiLevelType w:val="hybridMultilevel"/>
    <w:tmpl w:val="DA3CDF7E"/>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195C26"/>
    <w:multiLevelType w:val="singleLevel"/>
    <w:tmpl w:val="2A2099E6"/>
    <w:lvl w:ilvl="0">
      <w:start w:val="1"/>
      <w:numFmt w:val="bullet"/>
      <w:pStyle w:val="Lista"/>
      <w:lvlText w:val=""/>
      <w:lvlJc w:val="left"/>
      <w:pPr>
        <w:tabs>
          <w:tab w:val="num" w:pos="360"/>
        </w:tabs>
        <w:ind w:left="360" w:hanging="360"/>
      </w:pPr>
      <w:rPr>
        <w:rFonts w:ascii="Symbol" w:hAnsi="Symbol" w:hint="default"/>
      </w:rPr>
    </w:lvl>
  </w:abstractNum>
  <w:abstractNum w:abstractNumId="19">
    <w:nsid w:val="5BB02CEE"/>
    <w:multiLevelType w:val="hybridMultilevel"/>
    <w:tmpl w:val="A47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EA11F0"/>
    <w:multiLevelType w:val="hybridMultilevel"/>
    <w:tmpl w:val="16D07B52"/>
    <w:lvl w:ilvl="0" w:tplc="E898B9B8">
      <w:start w:val="1"/>
      <w:numFmt w:val="bullet"/>
      <w:pStyle w:val="Listbullet1cm"/>
      <w:lvlText w:val=""/>
      <w:lvlJc w:val="left"/>
      <w:pPr>
        <w:tabs>
          <w:tab w:val="num" w:pos="1647"/>
        </w:tabs>
        <w:ind w:left="1627" w:hanging="340"/>
      </w:pPr>
      <w:rPr>
        <w:rFonts w:ascii="Symbol" w:hAnsi="Symbol" w:hint="default"/>
        <w:sz w:val="20"/>
      </w:rPr>
    </w:lvl>
    <w:lvl w:ilvl="1" w:tplc="387C74FA" w:tentative="1">
      <w:start w:val="1"/>
      <w:numFmt w:val="bullet"/>
      <w:lvlText w:val="o"/>
      <w:lvlJc w:val="left"/>
      <w:pPr>
        <w:tabs>
          <w:tab w:val="num" w:pos="1440"/>
        </w:tabs>
        <w:ind w:left="1440" w:hanging="360"/>
      </w:pPr>
      <w:rPr>
        <w:rFonts w:ascii="Courier New" w:hAnsi="Courier New" w:hint="default"/>
      </w:rPr>
    </w:lvl>
    <w:lvl w:ilvl="2" w:tplc="3B7E9B3E" w:tentative="1">
      <w:start w:val="1"/>
      <w:numFmt w:val="bullet"/>
      <w:lvlText w:val=""/>
      <w:lvlJc w:val="left"/>
      <w:pPr>
        <w:tabs>
          <w:tab w:val="num" w:pos="2160"/>
        </w:tabs>
        <w:ind w:left="2160" w:hanging="360"/>
      </w:pPr>
      <w:rPr>
        <w:rFonts w:ascii="Wingdings" w:hAnsi="Wingdings" w:hint="default"/>
      </w:rPr>
    </w:lvl>
    <w:lvl w:ilvl="3" w:tplc="24345B38" w:tentative="1">
      <w:start w:val="1"/>
      <w:numFmt w:val="bullet"/>
      <w:lvlText w:val=""/>
      <w:lvlJc w:val="left"/>
      <w:pPr>
        <w:tabs>
          <w:tab w:val="num" w:pos="2880"/>
        </w:tabs>
        <w:ind w:left="2880" w:hanging="360"/>
      </w:pPr>
      <w:rPr>
        <w:rFonts w:ascii="Symbol" w:hAnsi="Symbol" w:hint="default"/>
      </w:rPr>
    </w:lvl>
    <w:lvl w:ilvl="4" w:tplc="C8B8E8CC" w:tentative="1">
      <w:start w:val="1"/>
      <w:numFmt w:val="bullet"/>
      <w:lvlText w:val="o"/>
      <w:lvlJc w:val="left"/>
      <w:pPr>
        <w:tabs>
          <w:tab w:val="num" w:pos="3600"/>
        </w:tabs>
        <w:ind w:left="3600" w:hanging="360"/>
      </w:pPr>
      <w:rPr>
        <w:rFonts w:ascii="Courier New" w:hAnsi="Courier New" w:hint="default"/>
      </w:rPr>
    </w:lvl>
    <w:lvl w:ilvl="5" w:tplc="83DABCBE" w:tentative="1">
      <w:start w:val="1"/>
      <w:numFmt w:val="bullet"/>
      <w:lvlText w:val=""/>
      <w:lvlJc w:val="left"/>
      <w:pPr>
        <w:tabs>
          <w:tab w:val="num" w:pos="4320"/>
        </w:tabs>
        <w:ind w:left="4320" w:hanging="360"/>
      </w:pPr>
      <w:rPr>
        <w:rFonts w:ascii="Wingdings" w:hAnsi="Wingdings" w:hint="default"/>
      </w:rPr>
    </w:lvl>
    <w:lvl w:ilvl="6" w:tplc="65D04D92" w:tentative="1">
      <w:start w:val="1"/>
      <w:numFmt w:val="bullet"/>
      <w:lvlText w:val=""/>
      <w:lvlJc w:val="left"/>
      <w:pPr>
        <w:tabs>
          <w:tab w:val="num" w:pos="5040"/>
        </w:tabs>
        <w:ind w:left="5040" w:hanging="360"/>
      </w:pPr>
      <w:rPr>
        <w:rFonts w:ascii="Symbol" w:hAnsi="Symbol" w:hint="default"/>
      </w:rPr>
    </w:lvl>
    <w:lvl w:ilvl="7" w:tplc="476C85D6" w:tentative="1">
      <w:start w:val="1"/>
      <w:numFmt w:val="bullet"/>
      <w:lvlText w:val="o"/>
      <w:lvlJc w:val="left"/>
      <w:pPr>
        <w:tabs>
          <w:tab w:val="num" w:pos="5760"/>
        </w:tabs>
        <w:ind w:left="5760" w:hanging="360"/>
      </w:pPr>
      <w:rPr>
        <w:rFonts w:ascii="Courier New" w:hAnsi="Courier New" w:hint="default"/>
      </w:rPr>
    </w:lvl>
    <w:lvl w:ilvl="8" w:tplc="DF8A4592" w:tentative="1">
      <w:start w:val="1"/>
      <w:numFmt w:val="bullet"/>
      <w:lvlText w:val=""/>
      <w:lvlJc w:val="left"/>
      <w:pPr>
        <w:tabs>
          <w:tab w:val="num" w:pos="6480"/>
        </w:tabs>
        <w:ind w:left="6480" w:hanging="360"/>
      </w:pPr>
      <w:rPr>
        <w:rFonts w:ascii="Wingdings" w:hAnsi="Wingdings" w:hint="default"/>
      </w:rPr>
    </w:lvl>
  </w:abstractNum>
  <w:abstractNum w:abstractNumId="21">
    <w:nsid w:val="662B5C67"/>
    <w:multiLevelType w:val="singleLevel"/>
    <w:tmpl w:val="8F10F890"/>
    <w:lvl w:ilvl="0">
      <w:start w:val="1"/>
      <w:numFmt w:val="bullet"/>
      <w:pStyle w:val="BodyTextIndent"/>
      <w:lvlText w:val="–"/>
      <w:lvlJc w:val="left"/>
      <w:pPr>
        <w:tabs>
          <w:tab w:val="num" w:pos="283"/>
        </w:tabs>
        <w:ind w:left="283" w:hanging="283"/>
      </w:pPr>
      <w:rPr>
        <w:rFonts w:ascii="Times New Roman" w:hAnsi="Times New Roman"/>
      </w:rPr>
    </w:lvl>
  </w:abstractNum>
  <w:abstractNum w:abstractNumId="22">
    <w:nsid w:val="66C02E3F"/>
    <w:multiLevelType w:val="hybridMultilevel"/>
    <w:tmpl w:val="91B0992A"/>
    <w:lvl w:ilvl="0" w:tplc="BE84792A">
      <w:start w:val="1"/>
      <w:numFmt w:val="decimal"/>
      <w:lvlText w:val="%1."/>
      <w:lvlJc w:val="left"/>
      <w:pPr>
        <w:tabs>
          <w:tab w:val="num" w:pos="720"/>
        </w:tabs>
        <w:ind w:left="720" w:hanging="360"/>
      </w:pPr>
    </w:lvl>
    <w:lvl w:ilvl="1" w:tplc="AB4ADF3A">
      <w:start w:val="1"/>
      <w:numFmt w:val="bullet"/>
      <w:pStyle w:val="TableBullet"/>
      <w:lvlText w:val=""/>
      <w:lvlJc w:val="left"/>
      <w:pPr>
        <w:tabs>
          <w:tab w:val="num" w:pos="1440"/>
        </w:tabs>
        <w:ind w:left="1420" w:hanging="340"/>
      </w:pPr>
      <w:rPr>
        <w:rFonts w:ascii="Symbol" w:hAnsi="Symbol" w:hint="default"/>
      </w:rPr>
    </w:lvl>
    <w:lvl w:ilvl="2" w:tplc="728012D0">
      <w:start w:val="1"/>
      <w:numFmt w:val="lowerRoman"/>
      <w:lvlText w:val="%3."/>
      <w:lvlJc w:val="right"/>
      <w:pPr>
        <w:tabs>
          <w:tab w:val="num" w:pos="2160"/>
        </w:tabs>
        <w:ind w:left="2160" w:hanging="180"/>
      </w:pPr>
    </w:lvl>
    <w:lvl w:ilvl="3" w:tplc="188E441A" w:tentative="1">
      <w:start w:val="1"/>
      <w:numFmt w:val="decimal"/>
      <w:lvlText w:val="%4."/>
      <w:lvlJc w:val="left"/>
      <w:pPr>
        <w:tabs>
          <w:tab w:val="num" w:pos="2880"/>
        </w:tabs>
        <w:ind w:left="2880" w:hanging="360"/>
      </w:pPr>
    </w:lvl>
    <w:lvl w:ilvl="4" w:tplc="FD262742" w:tentative="1">
      <w:start w:val="1"/>
      <w:numFmt w:val="lowerLetter"/>
      <w:lvlText w:val="%5."/>
      <w:lvlJc w:val="left"/>
      <w:pPr>
        <w:tabs>
          <w:tab w:val="num" w:pos="3600"/>
        </w:tabs>
        <w:ind w:left="3600" w:hanging="360"/>
      </w:pPr>
    </w:lvl>
    <w:lvl w:ilvl="5" w:tplc="77C2C0B4" w:tentative="1">
      <w:start w:val="1"/>
      <w:numFmt w:val="lowerRoman"/>
      <w:lvlText w:val="%6."/>
      <w:lvlJc w:val="right"/>
      <w:pPr>
        <w:tabs>
          <w:tab w:val="num" w:pos="4320"/>
        </w:tabs>
        <w:ind w:left="4320" w:hanging="180"/>
      </w:pPr>
    </w:lvl>
    <w:lvl w:ilvl="6" w:tplc="38D81E78" w:tentative="1">
      <w:start w:val="1"/>
      <w:numFmt w:val="decimal"/>
      <w:lvlText w:val="%7."/>
      <w:lvlJc w:val="left"/>
      <w:pPr>
        <w:tabs>
          <w:tab w:val="num" w:pos="5040"/>
        </w:tabs>
        <w:ind w:left="5040" w:hanging="360"/>
      </w:pPr>
    </w:lvl>
    <w:lvl w:ilvl="7" w:tplc="20EC8814" w:tentative="1">
      <w:start w:val="1"/>
      <w:numFmt w:val="lowerLetter"/>
      <w:lvlText w:val="%8."/>
      <w:lvlJc w:val="left"/>
      <w:pPr>
        <w:tabs>
          <w:tab w:val="num" w:pos="5760"/>
        </w:tabs>
        <w:ind w:left="5760" w:hanging="360"/>
      </w:pPr>
    </w:lvl>
    <w:lvl w:ilvl="8" w:tplc="EF3C8C46" w:tentative="1">
      <w:start w:val="1"/>
      <w:numFmt w:val="lowerRoman"/>
      <w:lvlText w:val="%9."/>
      <w:lvlJc w:val="right"/>
      <w:pPr>
        <w:tabs>
          <w:tab w:val="num" w:pos="6480"/>
        </w:tabs>
        <w:ind w:left="6480" w:hanging="180"/>
      </w:pPr>
    </w:lvl>
  </w:abstractNum>
  <w:abstractNum w:abstractNumId="23">
    <w:nsid w:val="67381CEE"/>
    <w:multiLevelType w:val="hybridMultilevel"/>
    <w:tmpl w:val="BAF01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58419E"/>
    <w:multiLevelType w:val="multilevel"/>
    <w:tmpl w:val="DDD0F768"/>
    <w:lvl w:ilvl="0">
      <w:start w:val="1"/>
      <w:numFmt w:val="bullet"/>
      <w:pStyle w:val="SteriaBullet"/>
      <w:lvlText w:val=""/>
      <w:lvlJc w:val="left"/>
      <w:pPr>
        <w:tabs>
          <w:tab w:val="num" w:pos="4235"/>
        </w:tabs>
        <w:ind w:left="4235" w:hanging="360"/>
      </w:pPr>
      <w:rPr>
        <w:rFonts w:ascii="Wingdings" w:hAnsi="Wingdings" w:hint="default"/>
        <w:color w:val="FF5900"/>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AE4708B"/>
    <w:multiLevelType w:val="hybridMultilevel"/>
    <w:tmpl w:val="965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6764EE"/>
    <w:multiLevelType w:val="multilevel"/>
    <w:tmpl w:val="590CAE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130"/>
        </w:tabs>
        <w:ind w:left="3130" w:hanging="720"/>
      </w:pPr>
    </w:lvl>
    <w:lvl w:ilvl="3">
      <w:start w:val="1"/>
      <w:numFmt w:val="decimal"/>
      <w:pStyle w:val="Heading4"/>
      <w:lvlText w:val="%1.%2.%3.%4"/>
      <w:lvlJc w:val="left"/>
      <w:pPr>
        <w:tabs>
          <w:tab w:val="num" w:pos="3842"/>
        </w:tabs>
        <w:ind w:left="3842" w:hanging="864"/>
      </w:pPr>
    </w:lvl>
    <w:lvl w:ilvl="4">
      <w:start w:val="1"/>
      <w:numFmt w:val="decimal"/>
      <w:pStyle w:val="Heading5"/>
      <w:lvlText w:val="%1.%2.%3.%4.%5"/>
      <w:lvlJc w:val="left"/>
      <w:pPr>
        <w:tabs>
          <w:tab w:val="num" w:pos="4269"/>
        </w:tabs>
        <w:ind w:left="4269"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nsid w:val="74A06403"/>
    <w:multiLevelType w:val="hybridMultilevel"/>
    <w:tmpl w:val="9F4A8AF2"/>
    <w:lvl w:ilvl="0" w:tplc="DC7AC5D2">
      <w:start w:val="1"/>
      <w:numFmt w:val="decimal"/>
      <w:pStyle w:val="Listnumber1cm"/>
      <w:lvlText w:val="%1"/>
      <w:lvlJc w:val="left"/>
      <w:pPr>
        <w:tabs>
          <w:tab w:val="num" w:pos="927"/>
        </w:tabs>
        <w:ind w:left="851" w:hanging="284"/>
      </w:pPr>
      <w:rPr>
        <w:rFonts w:hint="default"/>
      </w:rPr>
    </w:lvl>
    <w:lvl w:ilvl="1" w:tplc="AFFCEF48" w:tentative="1">
      <w:start w:val="1"/>
      <w:numFmt w:val="lowerLetter"/>
      <w:lvlText w:val="%2."/>
      <w:lvlJc w:val="left"/>
      <w:pPr>
        <w:tabs>
          <w:tab w:val="num" w:pos="1440"/>
        </w:tabs>
        <w:ind w:left="1440" w:hanging="360"/>
      </w:pPr>
    </w:lvl>
    <w:lvl w:ilvl="2" w:tplc="279CE068" w:tentative="1">
      <w:start w:val="1"/>
      <w:numFmt w:val="lowerRoman"/>
      <w:lvlText w:val="%3."/>
      <w:lvlJc w:val="right"/>
      <w:pPr>
        <w:tabs>
          <w:tab w:val="num" w:pos="2160"/>
        </w:tabs>
        <w:ind w:left="2160" w:hanging="180"/>
      </w:pPr>
    </w:lvl>
    <w:lvl w:ilvl="3" w:tplc="BA000492" w:tentative="1">
      <w:start w:val="1"/>
      <w:numFmt w:val="decimal"/>
      <w:lvlText w:val="%4."/>
      <w:lvlJc w:val="left"/>
      <w:pPr>
        <w:tabs>
          <w:tab w:val="num" w:pos="2880"/>
        </w:tabs>
        <w:ind w:left="2880" w:hanging="360"/>
      </w:pPr>
    </w:lvl>
    <w:lvl w:ilvl="4" w:tplc="A1E8A902" w:tentative="1">
      <w:start w:val="1"/>
      <w:numFmt w:val="lowerLetter"/>
      <w:lvlText w:val="%5."/>
      <w:lvlJc w:val="left"/>
      <w:pPr>
        <w:tabs>
          <w:tab w:val="num" w:pos="3600"/>
        </w:tabs>
        <w:ind w:left="3600" w:hanging="360"/>
      </w:pPr>
    </w:lvl>
    <w:lvl w:ilvl="5" w:tplc="4D2E328A" w:tentative="1">
      <w:start w:val="1"/>
      <w:numFmt w:val="lowerRoman"/>
      <w:lvlText w:val="%6."/>
      <w:lvlJc w:val="right"/>
      <w:pPr>
        <w:tabs>
          <w:tab w:val="num" w:pos="4320"/>
        </w:tabs>
        <w:ind w:left="4320" w:hanging="180"/>
      </w:pPr>
    </w:lvl>
    <w:lvl w:ilvl="6" w:tplc="27E29162" w:tentative="1">
      <w:start w:val="1"/>
      <w:numFmt w:val="decimal"/>
      <w:lvlText w:val="%7."/>
      <w:lvlJc w:val="left"/>
      <w:pPr>
        <w:tabs>
          <w:tab w:val="num" w:pos="5040"/>
        </w:tabs>
        <w:ind w:left="5040" w:hanging="360"/>
      </w:pPr>
    </w:lvl>
    <w:lvl w:ilvl="7" w:tplc="D1B82ED0" w:tentative="1">
      <w:start w:val="1"/>
      <w:numFmt w:val="lowerLetter"/>
      <w:lvlText w:val="%8."/>
      <w:lvlJc w:val="left"/>
      <w:pPr>
        <w:tabs>
          <w:tab w:val="num" w:pos="5760"/>
        </w:tabs>
        <w:ind w:left="5760" w:hanging="360"/>
      </w:pPr>
    </w:lvl>
    <w:lvl w:ilvl="8" w:tplc="2C0A0A6A" w:tentative="1">
      <w:start w:val="1"/>
      <w:numFmt w:val="lowerRoman"/>
      <w:lvlText w:val="%9."/>
      <w:lvlJc w:val="right"/>
      <w:pPr>
        <w:tabs>
          <w:tab w:val="num" w:pos="6480"/>
        </w:tabs>
        <w:ind w:left="6480" w:hanging="180"/>
      </w:pPr>
    </w:lvl>
  </w:abstractNum>
  <w:abstractNum w:abstractNumId="28">
    <w:nsid w:val="7EE31169"/>
    <w:multiLevelType w:val="hybridMultilevel"/>
    <w:tmpl w:val="29BED7C2"/>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2"/>
  </w:num>
  <w:num w:numId="3">
    <w:abstractNumId w:val="0"/>
  </w:num>
  <w:num w:numId="4">
    <w:abstractNumId w:val="12"/>
  </w:num>
  <w:num w:numId="5">
    <w:abstractNumId w:val="20"/>
  </w:num>
  <w:num w:numId="6">
    <w:abstractNumId w:val="27"/>
  </w:num>
  <w:num w:numId="7">
    <w:abstractNumId w:val="15"/>
  </w:num>
  <w:num w:numId="8">
    <w:abstractNumId w:val="3"/>
  </w:num>
  <w:num w:numId="9">
    <w:abstractNumId w:val="6"/>
  </w:num>
  <w:num w:numId="10">
    <w:abstractNumId w:val="11"/>
  </w:num>
  <w:num w:numId="11">
    <w:abstractNumId w:val="18"/>
  </w:num>
  <w:num w:numId="12">
    <w:abstractNumId w:val="8"/>
  </w:num>
  <w:num w:numId="13">
    <w:abstractNumId w:val="1"/>
  </w:num>
  <w:num w:numId="14">
    <w:abstractNumId w:val="9"/>
  </w:num>
  <w:num w:numId="15">
    <w:abstractNumId w:val="14"/>
  </w:num>
  <w:num w:numId="16">
    <w:abstractNumId w:val="24"/>
  </w:num>
  <w:num w:numId="17">
    <w:abstractNumId w:val="5"/>
  </w:num>
  <w:num w:numId="18">
    <w:abstractNumId w:val="21"/>
  </w:num>
  <w:num w:numId="19">
    <w:abstractNumId w:val="10"/>
  </w:num>
  <w:num w:numId="20">
    <w:abstractNumId w:val="25"/>
  </w:num>
  <w:num w:numId="21">
    <w:abstractNumId w:val="7"/>
  </w:num>
  <w:num w:numId="22">
    <w:abstractNumId w:val="16"/>
  </w:num>
  <w:num w:numId="23">
    <w:abstractNumId w:val="26"/>
  </w:num>
  <w:num w:numId="24">
    <w:abstractNumId w:val="26"/>
  </w:num>
  <w:num w:numId="25">
    <w:abstractNumId w:val="26"/>
  </w:num>
  <w:num w:numId="26">
    <w:abstractNumId w:val="26"/>
  </w:num>
  <w:num w:numId="27">
    <w:abstractNumId w:val="13"/>
  </w:num>
  <w:num w:numId="28">
    <w:abstractNumId w:val="17"/>
  </w:num>
  <w:num w:numId="29">
    <w:abstractNumId w:val="28"/>
  </w:num>
  <w:num w:numId="30">
    <w:abstractNumId w:val="26"/>
  </w:num>
  <w:num w:numId="31">
    <w:abstractNumId w:val="19"/>
  </w:num>
  <w:num w:numId="32">
    <w:abstractNumId w:val="4"/>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
  </w:num>
  <w:num w:numId="42">
    <w:abstractNumId w:val="23"/>
  </w:num>
  <w:numIdMacAtCleanup w:val="2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zula Karkowska">
    <w15:presenceInfo w15:providerId="Windows Live" w15:userId="166d648e068a8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C66512C4A4F456B8A8E8D00935D4B1D"/>
    <w:docVar w:name="LW_CROSSREFERENCE" w:val="{SWD(2017) 242 final}"/>
    <w:docVar w:name="LW_DocType" w:val="NORMAL"/>
    <w:docVar w:name="LW_EMISSION" w:val="29.6.2017"/>
    <w:docVar w:name="LW_EMISSION_ISODATE" w:val="2017-06-2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41"/>
    <w:docVar w:name="LW_REF.INTERNE" w:val="&lt;UNUSED&gt;"/>
    <w:docVar w:name="LW_SOUS.TITRE.OBJ.CP" w:val="&lt;UNUSED&gt;"/>
    <w:docVar w:name="LW_SUPERTITRE" w:val="&lt;UNUSED&gt;"/>
    <w:docVar w:name="LW_TITRE.OBJ.CP" w:val="sur les échanges, au moyen du système européen d\u8217?information sur les casiers judiciaires (ECRIS), d\u8217?informations extraites des casiers judiciaires entre les États membres"/>
    <w:docVar w:name="LW_TYPE.DOC.CP" w:val="RAPPORT DE LA COMMISSION AU PARLEMENT EUROPÉEN ET AU CONSEIL"/>
  </w:docVars>
  <w:rsids>
    <w:rsidRoot w:val="002216D2"/>
    <w:rsid w:val="000F2FA0"/>
    <w:rsid w:val="002216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FMU"/>
    <w:basedOn w:val="Normal"/>
    <w:pPr>
      <w:tabs>
        <w:tab w:val="center" w:pos="4320"/>
        <w:tab w:val="right" w:pos="8640"/>
      </w:tabs>
      <w:spacing w:after="0"/>
      <w:jc w:val="center"/>
    </w:pPr>
    <w:rPr>
      <w:color w:val="000080"/>
    </w:rPr>
  </w:style>
  <w:style w:type="paragraph" w:customStyle="1" w:styleId="Bullet1">
    <w:name w:val="Bullet 1"/>
    <w:basedOn w:val="Normal"/>
    <w:pPr>
      <w:numPr>
        <w:numId w:val="9"/>
      </w:numPr>
      <w:tabs>
        <w:tab w:val="clear" w:pos="360"/>
        <w:tab w:val="num" w:pos="900"/>
      </w:tabs>
      <w:spacing w:after="0"/>
      <w:ind w:left="900"/>
      <w:jc w:val="both"/>
    </w:pPr>
    <w:rPr>
      <w:sz w:val="22"/>
    </w:rPr>
  </w:style>
  <w:style w:type="paragraph" w:customStyle="1" w:styleId="Listnumber1cm">
    <w:name w:val="List number 1cm"/>
    <w:basedOn w:val="Normal"/>
    <w:pPr>
      <w:numPr>
        <w:numId w:val="6"/>
      </w:numPr>
      <w:tabs>
        <w:tab w:val="clear" w:pos="927"/>
        <w:tab w:val="left" w:pos="851"/>
      </w:tabs>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aliases w:val="Footer CFMU"/>
    <w:basedOn w:val="Normal"/>
    <w:link w:val="FooterChar"/>
    <w:uiPriority w:val="99"/>
    <w:pPr>
      <w:tabs>
        <w:tab w:val="center" w:pos="4320"/>
        <w:tab w:val="right" w:pos="8640"/>
      </w:tabs>
      <w:spacing w:before="60" w:after="60"/>
      <w:jc w:val="center"/>
    </w:pPr>
    <w:rPr>
      <w:b/>
      <w:bCs/>
      <w:color w:val="000080"/>
      <w:sz w:val="16"/>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rPr>
  </w:style>
  <w:style w:type="paragraph" w:customStyle="1" w:styleId="Puce2">
    <w:name w:val="Puce2"/>
    <w:basedOn w:val="Normal"/>
    <w:pPr>
      <w:numPr>
        <w:numId w:val="15"/>
      </w:numPr>
      <w:spacing w:after="0"/>
      <w:jc w:val="both"/>
    </w:pPr>
    <w:rPr>
      <w:snapToGrid w:val="0"/>
      <w:color w:val="000000"/>
      <w:sz w:val="22"/>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rPr>
  </w:style>
  <w:style w:type="paragraph" w:customStyle="1" w:styleId="TaBult1">
    <w:name w:val="TaBult 1"/>
    <w:basedOn w:val="Normal"/>
    <w:pPr>
      <w:numPr>
        <w:numId w:val="17"/>
      </w:numPr>
      <w:spacing w:before="60" w:after="60"/>
      <w:ind w:left="426" w:hanging="284"/>
      <w:jc w:val="both"/>
    </w:pPr>
    <w:rPr>
      <w:rFonts w:ascii="Times New Roman" w:hAnsi="Times New Roman"/>
      <w:sz w:val="22"/>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rPr>
  </w:style>
  <w:style w:type="paragraph" w:customStyle="1" w:styleId="BodySingle">
    <w:name w:val="*Body Single"/>
    <w:basedOn w:val="Normal"/>
    <w:pPr>
      <w:spacing w:after="0" w:line="220" w:lineRule="atLeast"/>
      <w:ind w:left="2304"/>
    </w:pPr>
    <w:rPr>
      <w:sz w:val="22"/>
      <w:szCs w:val="24"/>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table" w:styleId="TableGrid">
    <w:name w:val="Table Grid"/>
    <w:basedOn w:val="TableNormal"/>
    <w:uiPriority w:val="5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fr-FR" w:eastAsia="fr-FR" w:bidi="fr-FR"/>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fr-FR" w:eastAsia="fr-FR" w:bidi="fr-FR"/>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rPr>
  </w:style>
  <w:style w:type="character" w:customStyle="1" w:styleId="CommentTextChar">
    <w:name w:val="Comment Text Char"/>
    <w:basedOn w:val="DefaultParagraphFont"/>
    <w:link w:val="CommentText"/>
    <w:semiHidden/>
    <w:rPr>
      <w:rFonts w:ascii="Arial" w:hAnsi="Arial"/>
      <w:lang w:eastAsia="fr-FR"/>
    </w:rPr>
  </w:style>
  <w:style w:type="paragraph" w:styleId="Revision">
    <w:name w:val="Revision"/>
    <w:hidden/>
    <w:uiPriority w:val="99"/>
    <w:semiHidden/>
    <w:rPr>
      <w:sz w:val="18"/>
    </w:rPr>
  </w:style>
  <w:style w:type="character" w:customStyle="1" w:styleId="FootnoteTextChar">
    <w:name w:val="Footnote Text Char"/>
    <w:basedOn w:val="DefaultParagraphFont"/>
    <w:link w:val="FootnoteText"/>
    <w:semiHidden/>
    <w:rPr>
      <w:rFonts w:ascii="Arial" w:hAnsi="Arial"/>
      <w:sz w:val="16"/>
      <w:lang w:eastAsia="fr-FR"/>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color w:val="000080"/>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color w:val="000080"/>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aliases w:val="Footer CFMU Char"/>
    <w:basedOn w:val="DefaultParagraphFont"/>
    <w:link w:val="Footer"/>
    <w:uiPriority w:val="99"/>
    <w:rPr>
      <w:b/>
      <w:bCs/>
      <w:color w:val="00008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FMU"/>
    <w:basedOn w:val="Normal"/>
    <w:pPr>
      <w:tabs>
        <w:tab w:val="center" w:pos="4320"/>
        <w:tab w:val="right" w:pos="8640"/>
      </w:tabs>
      <w:spacing w:after="0"/>
      <w:jc w:val="center"/>
    </w:pPr>
    <w:rPr>
      <w:color w:val="000080"/>
    </w:rPr>
  </w:style>
  <w:style w:type="paragraph" w:customStyle="1" w:styleId="Bullet1">
    <w:name w:val="Bullet 1"/>
    <w:basedOn w:val="Normal"/>
    <w:pPr>
      <w:numPr>
        <w:numId w:val="9"/>
      </w:numPr>
      <w:tabs>
        <w:tab w:val="clear" w:pos="360"/>
        <w:tab w:val="num" w:pos="900"/>
      </w:tabs>
      <w:spacing w:after="0"/>
      <w:ind w:left="900"/>
      <w:jc w:val="both"/>
    </w:pPr>
    <w:rPr>
      <w:sz w:val="22"/>
    </w:rPr>
  </w:style>
  <w:style w:type="paragraph" w:customStyle="1" w:styleId="Listnumber1cm">
    <w:name w:val="List number 1cm"/>
    <w:basedOn w:val="Normal"/>
    <w:pPr>
      <w:numPr>
        <w:numId w:val="6"/>
      </w:numPr>
      <w:tabs>
        <w:tab w:val="clear" w:pos="927"/>
        <w:tab w:val="left" w:pos="851"/>
      </w:tabs>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aliases w:val="Footer CFMU"/>
    <w:basedOn w:val="Normal"/>
    <w:link w:val="FooterChar"/>
    <w:uiPriority w:val="99"/>
    <w:pPr>
      <w:tabs>
        <w:tab w:val="center" w:pos="4320"/>
        <w:tab w:val="right" w:pos="8640"/>
      </w:tabs>
      <w:spacing w:before="60" w:after="60"/>
      <w:jc w:val="center"/>
    </w:pPr>
    <w:rPr>
      <w:b/>
      <w:bCs/>
      <w:color w:val="000080"/>
      <w:sz w:val="16"/>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rPr>
  </w:style>
  <w:style w:type="paragraph" w:customStyle="1" w:styleId="Puce2">
    <w:name w:val="Puce2"/>
    <w:basedOn w:val="Normal"/>
    <w:pPr>
      <w:numPr>
        <w:numId w:val="15"/>
      </w:numPr>
      <w:spacing w:after="0"/>
      <w:jc w:val="both"/>
    </w:pPr>
    <w:rPr>
      <w:snapToGrid w:val="0"/>
      <w:color w:val="000000"/>
      <w:sz w:val="22"/>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rPr>
  </w:style>
  <w:style w:type="paragraph" w:customStyle="1" w:styleId="TaBult1">
    <w:name w:val="TaBult 1"/>
    <w:basedOn w:val="Normal"/>
    <w:pPr>
      <w:numPr>
        <w:numId w:val="17"/>
      </w:numPr>
      <w:spacing w:before="60" w:after="60"/>
      <w:ind w:left="426" w:hanging="284"/>
      <w:jc w:val="both"/>
    </w:pPr>
    <w:rPr>
      <w:rFonts w:ascii="Times New Roman" w:hAnsi="Times New Roman"/>
      <w:sz w:val="22"/>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rPr>
  </w:style>
  <w:style w:type="paragraph" w:customStyle="1" w:styleId="BodySingle">
    <w:name w:val="*Body Single"/>
    <w:basedOn w:val="Normal"/>
    <w:pPr>
      <w:spacing w:after="0" w:line="220" w:lineRule="atLeast"/>
      <w:ind w:left="2304"/>
    </w:pPr>
    <w:rPr>
      <w:sz w:val="22"/>
      <w:szCs w:val="24"/>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table" w:styleId="TableGrid">
    <w:name w:val="Table Grid"/>
    <w:basedOn w:val="TableNormal"/>
    <w:uiPriority w:val="5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fr-FR" w:eastAsia="fr-FR" w:bidi="fr-FR"/>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fr-FR" w:eastAsia="fr-FR" w:bidi="fr-FR"/>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rPr>
  </w:style>
  <w:style w:type="character" w:customStyle="1" w:styleId="CommentTextChar">
    <w:name w:val="Comment Text Char"/>
    <w:basedOn w:val="DefaultParagraphFont"/>
    <w:link w:val="CommentText"/>
    <w:semiHidden/>
    <w:rPr>
      <w:rFonts w:ascii="Arial" w:hAnsi="Arial"/>
      <w:lang w:eastAsia="fr-FR"/>
    </w:rPr>
  </w:style>
  <w:style w:type="paragraph" w:styleId="Revision">
    <w:name w:val="Revision"/>
    <w:hidden/>
    <w:uiPriority w:val="99"/>
    <w:semiHidden/>
    <w:rPr>
      <w:sz w:val="18"/>
    </w:rPr>
  </w:style>
  <w:style w:type="character" w:customStyle="1" w:styleId="FootnoteTextChar">
    <w:name w:val="Footnote Text Char"/>
    <w:basedOn w:val="DefaultParagraphFont"/>
    <w:link w:val="FootnoteText"/>
    <w:semiHidden/>
    <w:rPr>
      <w:rFonts w:ascii="Arial" w:hAnsi="Arial"/>
      <w:sz w:val="16"/>
      <w:lang w:eastAsia="fr-FR"/>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color w:val="000080"/>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color w:val="000080"/>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aliases w:val="Footer CFMU Char"/>
    <w:basedOn w:val="DefaultParagraphFont"/>
    <w:link w:val="Footer"/>
    <w:uiPriority w:val="99"/>
    <w:rPr>
      <w:b/>
      <w:bCs/>
      <w:color w:val="0000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50751">
      <w:bodyDiv w:val="1"/>
      <w:marLeft w:val="0"/>
      <w:marRight w:val="0"/>
      <w:marTop w:val="0"/>
      <w:marBottom w:val="0"/>
      <w:divBdr>
        <w:top w:val="none" w:sz="0" w:space="0" w:color="auto"/>
        <w:left w:val="none" w:sz="0" w:space="0" w:color="auto"/>
        <w:bottom w:val="none" w:sz="0" w:space="0" w:color="auto"/>
        <w:right w:val="none" w:sz="0" w:space="0" w:color="auto"/>
      </w:divBdr>
    </w:div>
    <w:div w:id="299576491">
      <w:bodyDiv w:val="1"/>
      <w:marLeft w:val="0"/>
      <w:marRight w:val="0"/>
      <w:marTop w:val="0"/>
      <w:marBottom w:val="0"/>
      <w:divBdr>
        <w:top w:val="none" w:sz="0" w:space="0" w:color="auto"/>
        <w:left w:val="none" w:sz="0" w:space="0" w:color="auto"/>
        <w:bottom w:val="none" w:sz="0" w:space="0" w:color="auto"/>
        <w:right w:val="none" w:sz="0" w:space="0" w:color="auto"/>
      </w:divBdr>
    </w:div>
    <w:div w:id="436944370">
      <w:bodyDiv w:val="1"/>
      <w:marLeft w:val="0"/>
      <w:marRight w:val="0"/>
      <w:marTop w:val="0"/>
      <w:marBottom w:val="0"/>
      <w:divBdr>
        <w:top w:val="none" w:sz="0" w:space="0" w:color="auto"/>
        <w:left w:val="none" w:sz="0" w:space="0" w:color="auto"/>
        <w:bottom w:val="none" w:sz="0" w:space="0" w:color="auto"/>
        <w:right w:val="none" w:sz="0" w:space="0" w:color="auto"/>
      </w:divBdr>
    </w:div>
    <w:div w:id="628512916">
      <w:bodyDiv w:val="1"/>
      <w:marLeft w:val="0"/>
      <w:marRight w:val="0"/>
      <w:marTop w:val="0"/>
      <w:marBottom w:val="0"/>
      <w:divBdr>
        <w:top w:val="none" w:sz="0" w:space="0" w:color="auto"/>
        <w:left w:val="none" w:sz="0" w:space="0" w:color="auto"/>
        <w:bottom w:val="none" w:sz="0" w:space="0" w:color="auto"/>
        <w:right w:val="none" w:sz="0" w:space="0" w:color="auto"/>
      </w:divBdr>
    </w:div>
    <w:div w:id="662397485">
      <w:bodyDiv w:val="1"/>
      <w:marLeft w:val="0"/>
      <w:marRight w:val="0"/>
      <w:marTop w:val="0"/>
      <w:marBottom w:val="0"/>
      <w:divBdr>
        <w:top w:val="none" w:sz="0" w:space="0" w:color="auto"/>
        <w:left w:val="none" w:sz="0" w:space="0" w:color="auto"/>
        <w:bottom w:val="none" w:sz="0" w:space="0" w:color="auto"/>
        <w:right w:val="none" w:sz="0" w:space="0" w:color="auto"/>
      </w:divBdr>
    </w:div>
    <w:div w:id="814957810">
      <w:bodyDiv w:val="1"/>
      <w:marLeft w:val="0"/>
      <w:marRight w:val="0"/>
      <w:marTop w:val="0"/>
      <w:marBottom w:val="0"/>
      <w:divBdr>
        <w:top w:val="none" w:sz="0" w:space="0" w:color="auto"/>
        <w:left w:val="none" w:sz="0" w:space="0" w:color="auto"/>
        <w:bottom w:val="none" w:sz="0" w:space="0" w:color="auto"/>
        <w:right w:val="none" w:sz="0" w:space="0" w:color="auto"/>
      </w:divBdr>
    </w:div>
    <w:div w:id="852457057">
      <w:bodyDiv w:val="1"/>
      <w:marLeft w:val="0"/>
      <w:marRight w:val="0"/>
      <w:marTop w:val="0"/>
      <w:marBottom w:val="0"/>
      <w:divBdr>
        <w:top w:val="none" w:sz="0" w:space="0" w:color="auto"/>
        <w:left w:val="none" w:sz="0" w:space="0" w:color="auto"/>
        <w:bottom w:val="none" w:sz="0" w:space="0" w:color="auto"/>
        <w:right w:val="none" w:sz="0" w:space="0" w:color="auto"/>
      </w:divBdr>
    </w:div>
    <w:div w:id="937715902">
      <w:bodyDiv w:val="1"/>
      <w:marLeft w:val="0"/>
      <w:marRight w:val="0"/>
      <w:marTop w:val="0"/>
      <w:marBottom w:val="0"/>
      <w:divBdr>
        <w:top w:val="none" w:sz="0" w:space="0" w:color="auto"/>
        <w:left w:val="none" w:sz="0" w:space="0" w:color="auto"/>
        <w:bottom w:val="none" w:sz="0" w:space="0" w:color="auto"/>
        <w:right w:val="none" w:sz="0" w:space="0" w:color="auto"/>
      </w:divBdr>
    </w:div>
    <w:div w:id="976498224">
      <w:bodyDiv w:val="1"/>
      <w:marLeft w:val="0"/>
      <w:marRight w:val="0"/>
      <w:marTop w:val="0"/>
      <w:marBottom w:val="0"/>
      <w:divBdr>
        <w:top w:val="none" w:sz="0" w:space="0" w:color="auto"/>
        <w:left w:val="none" w:sz="0" w:space="0" w:color="auto"/>
        <w:bottom w:val="none" w:sz="0" w:space="0" w:color="auto"/>
        <w:right w:val="none" w:sz="0" w:space="0" w:color="auto"/>
      </w:divBdr>
    </w:div>
    <w:div w:id="1140539749">
      <w:bodyDiv w:val="1"/>
      <w:marLeft w:val="0"/>
      <w:marRight w:val="0"/>
      <w:marTop w:val="0"/>
      <w:marBottom w:val="0"/>
      <w:divBdr>
        <w:top w:val="none" w:sz="0" w:space="0" w:color="auto"/>
        <w:left w:val="none" w:sz="0" w:space="0" w:color="auto"/>
        <w:bottom w:val="none" w:sz="0" w:space="0" w:color="auto"/>
        <w:right w:val="none" w:sz="0" w:space="0" w:color="auto"/>
      </w:divBdr>
    </w:div>
    <w:div w:id="1193766090">
      <w:bodyDiv w:val="1"/>
      <w:marLeft w:val="0"/>
      <w:marRight w:val="0"/>
      <w:marTop w:val="0"/>
      <w:marBottom w:val="0"/>
      <w:divBdr>
        <w:top w:val="none" w:sz="0" w:space="0" w:color="auto"/>
        <w:left w:val="none" w:sz="0" w:space="0" w:color="auto"/>
        <w:bottom w:val="none" w:sz="0" w:space="0" w:color="auto"/>
        <w:right w:val="none" w:sz="0" w:space="0" w:color="auto"/>
      </w:divBdr>
    </w:div>
    <w:div w:id="1221405828">
      <w:bodyDiv w:val="1"/>
      <w:marLeft w:val="0"/>
      <w:marRight w:val="0"/>
      <w:marTop w:val="0"/>
      <w:marBottom w:val="0"/>
      <w:divBdr>
        <w:top w:val="none" w:sz="0" w:space="0" w:color="auto"/>
        <w:left w:val="none" w:sz="0" w:space="0" w:color="auto"/>
        <w:bottom w:val="none" w:sz="0" w:space="0" w:color="auto"/>
        <w:right w:val="none" w:sz="0" w:space="0" w:color="auto"/>
      </w:divBdr>
    </w:div>
    <w:div w:id="1259944273">
      <w:bodyDiv w:val="1"/>
      <w:marLeft w:val="0"/>
      <w:marRight w:val="0"/>
      <w:marTop w:val="0"/>
      <w:marBottom w:val="0"/>
      <w:divBdr>
        <w:top w:val="none" w:sz="0" w:space="0" w:color="auto"/>
        <w:left w:val="none" w:sz="0" w:space="0" w:color="auto"/>
        <w:bottom w:val="none" w:sz="0" w:space="0" w:color="auto"/>
        <w:right w:val="none" w:sz="0" w:space="0" w:color="auto"/>
      </w:divBdr>
    </w:div>
    <w:div w:id="1512455331">
      <w:bodyDiv w:val="1"/>
      <w:marLeft w:val="0"/>
      <w:marRight w:val="0"/>
      <w:marTop w:val="0"/>
      <w:marBottom w:val="0"/>
      <w:divBdr>
        <w:top w:val="none" w:sz="0" w:space="0" w:color="auto"/>
        <w:left w:val="none" w:sz="0" w:space="0" w:color="auto"/>
        <w:bottom w:val="none" w:sz="0" w:space="0" w:color="auto"/>
        <w:right w:val="none" w:sz="0" w:space="0" w:color="auto"/>
      </w:divBdr>
    </w:div>
    <w:div w:id="1895656447">
      <w:bodyDiv w:val="1"/>
      <w:marLeft w:val="0"/>
      <w:marRight w:val="0"/>
      <w:marTop w:val="0"/>
      <w:marBottom w:val="0"/>
      <w:divBdr>
        <w:top w:val="none" w:sz="0" w:space="0" w:color="auto"/>
        <w:left w:val="none" w:sz="0" w:space="0" w:color="auto"/>
        <w:bottom w:val="none" w:sz="0" w:space="0" w:color="auto"/>
        <w:right w:val="none" w:sz="0" w:space="0" w:color="auto"/>
      </w:divBdr>
    </w:div>
    <w:div w:id="2029091440">
      <w:bodyDiv w:val="1"/>
      <w:marLeft w:val="0"/>
      <w:marRight w:val="0"/>
      <w:marTop w:val="0"/>
      <w:marBottom w:val="0"/>
      <w:divBdr>
        <w:top w:val="none" w:sz="0" w:space="0" w:color="auto"/>
        <w:left w:val="none" w:sz="0" w:space="0" w:color="auto"/>
        <w:bottom w:val="none" w:sz="0" w:space="0" w:color="auto"/>
        <w:right w:val="none" w:sz="0" w:space="0" w:color="auto"/>
      </w:divBdr>
    </w:div>
    <w:div w:id="2041978138">
      <w:bodyDiv w:val="1"/>
      <w:marLeft w:val="0"/>
      <w:marRight w:val="0"/>
      <w:marTop w:val="0"/>
      <w:marBottom w:val="0"/>
      <w:divBdr>
        <w:top w:val="none" w:sz="0" w:space="0" w:color="auto"/>
        <w:left w:val="none" w:sz="0" w:space="0" w:color="auto"/>
        <w:bottom w:val="none" w:sz="0" w:space="0" w:color="auto"/>
        <w:right w:val="none" w:sz="0" w:space="0" w:color="auto"/>
      </w:divBdr>
    </w:div>
    <w:div w:id="21058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10.png"/><Relationship Id="rId36" Type="http://schemas.openxmlformats.org/officeDocument/2006/relationships/header" Target="header6.xm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5.xml"/><Relationship Id="rId48"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statistics-explained/index.php/File:No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iermmi\AppData\Local\Temp\1\JUST-2017-80022-01-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3850800877892684E-2"/>
          <c:y val="0.15294429828241018"/>
          <c:w val="0.93753668045129956"/>
          <c:h val="0.77207882003719674"/>
        </c:manualLayout>
      </c:layout>
      <c:bar3DChart>
        <c:barDir val="col"/>
        <c:grouping val="clustered"/>
        <c:varyColors val="0"/>
        <c:ser>
          <c:idx val="0"/>
          <c:order val="0"/>
          <c:invertIfNegative val="0"/>
          <c:dLbls>
            <c:txPr>
              <a:bodyPr/>
              <a:lstStyle/>
              <a:p>
                <a:pPr>
                  <a:defRPr sz="1050" b="1"/>
                </a:pPr>
                <a:endParaRPr lang="en-US"/>
              </a:p>
            </c:txPr>
            <c:showLegendKey val="0"/>
            <c:showVal val="1"/>
            <c:showCatName val="0"/>
            <c:showSerName val="0"/>
            <c:showPercent val="0"/>
            <c:showBubbleSize val="0"/>
            <c:showLeaderLines val="0"/>
          </c:dLbls>
          <c:cat>
            <c:strRef>
              <c:f>'[2]MS exchange partner'!$A$38:$A$65</c:f>
              <c:strCache>
                <c:ptCount val="28"/>
                <c:pt idx="0">
                  <c:v>AT</c:v>
                </c:pt>
                <c:pt idx="1">
                  <c:v>ES</c:v>
                </c:pt>
                <c:pt idx="2">
                  <c:v>UK</c:v>
                </c:pt>
                <c:pt idx="3">
                  <c:v>IE</c:v>
                </c:pt>
                <c:pt idx="4">
                  <c:v>FI</c:v>
                </c:pt>
                <c:pt idx="5">
                  <c:v>LV</c:v>
                </c:pt>
                <c:pt idx="6">
                  <c:v>RO</c:v>
                </c:pt>
                <c:pt idx="7">
                  <c:v>BE</c:v>
                </c:pt>
                <c:pt idx="8">
                  <c:v>CZ</c:v>
                </c:pt>
                <c:pt idx="9">
                  <c:v>DE</c:v>
                </c:pt>
                <c:pt idx="10">
                  <c:v>FR</c:v>
                </c:pt>
                <c:pt idx="11">
                  <c:v>LT</c:v>
                </c:pt>
                <c:pt idx="12">
                  <c:v>NL</c:v>
                </c:pt>
                <c:pt idx="13">
                  <c:v>PL</c:v>
                </c:pt>
                <c:pt idx="14">
                  <c:v>SE</c:v>
                </c:pt>
                <c:pt idx="15">
                  <c:v>BG</c:v>
                </c:pt>
                <c:pt idx="16">
                  <c:v>DK</c:v>
                </c:pt>
                <c:pt idx="17">
                  <c:v>EE</c:v>
                </c:pt>
                <c:pt idx="18">
                  <c:v>IT</c:v>
                </c:pt>
                <c:pt idx="19">
                  <c:v>LU</c:v>
                </c:pt>
                <c:pt idx="20">
                  <c:v>CY</c:v>
                </c:pt>
                <c:pt idx="21">
                  <c:v>HU</c:v>
                </c:pt>
                <c:pt idx="22">
                  <c:v>SK</c:v>
                </c:pt>
                <c:pt idx="23">
                  <c:v>EL</c:v>
                </c:pt>
                <c:pt idx="24">
                  <c:v>HR</c:v>
                </c:pt>
                <c:pt idx="25">
                  <c:v>SI</c:v>
                </c:pt>
                <c:pt idx="26">
                  <c:v>MT</c:v>
                </c:pt>
                <c:pt idx="27">
                  <c:v>PT</c:v>
                </c:pt>
              </c:strCache>
            </c:strRef>
          </c:cat>
          <c:val>
            <c:numRef>
              <c:f>'[2]MS exchange partner'!$B$38:$B$65</c:f>
              <c:numCache>
                <c:formatCode>General</c:formatCode>
                <c:ptCount val="28"/>
                <c:pt idx="0">
                  <c:v>26</c:v>
                </c:pt>
                <c:pt idx="1">
                  <c:v>26</c:v>
                </c:pt>
                <c:pt idx="2">
                  <c:v>26</c:v>
                </c:pt>
                <c:pt idx="3">
                  <c:v>26</c:v>
                </c:pt>
                <c:pt idx="4">
                  <c:v>25</c:v>
                </c:pt>
                <c:pt idx="5">
                  <c:v>25</c:v>
                </c:pt>
                <c:pt idx="6">
                  <c:v>25</c:v>
                </c:pt>
                <c:pt idx="7">
                  <c:v>24</c:v>
                </c:pt>
                <c:pt idx="8">
                  <c:v>24</c:v>
                </c:pt>
                <c:pt idx="9">
                  <c:v>24</c:v>
                </c:pt>
                <c:pt idx="10">
                  <c:v>24</c:v>
                </c:pt>
                <c:pt idx="11">
                  <c:v>24</c:v>
                </c:pt>
                <c:pt idx="12">
                  <c:v>24</c:v>
                </c:pt>
                <c:pt idx="13">
                  <c:v>24</c:v>
                </c:pt>
                <c:pt idx="14">
                  <c:v>24</c:v>
                </c:pt>
                <c:pt idx="15">
                  <c:v>23</c:v>
                </c:pt>
                <c:pt idx="16">
                  <c:v>23</c:v>
                </c:pt>
                <c:pt idx="17">
                  <c:v>23</c:v>
                </c:pt>
                <c:pt idx="18">
                  <c:v>23</c:v>
                </c:pt>
                <c:pt idx="19">
                  <c:v>23</c:v>
                </c:pt>
                <c:pt idx="20">
                  <c:v>22</c:v>
                </c:pt>
                <c:pt idx="21">
                  <c:v>22</c:v>
                </c:pt>
                <c:pt idx="22">
                  <c:v>21</c:v>
                </c:pt>
                <c:pt idx="23">
                  <c:v>19</c:v>
                </c:pt>
                <c:pt idx="24">
                  <c:v>19</c:v>
                </c:pt>
                <c:pt idx="25">
                  <c:v>6</c:v>
                </c:pt>
                <c:pt idx="26">
                  <c:v>3</c:v>
                </c:pt>
                <c:pt idx="27">
                  <c:v>1</c:v>
                </c:pt>
              </c:numCache>
            </c:numRef>
          </c:val>
        </c:ser>
        <c:dLbls>
          <c:showLegendKey val="0"/>
          <c:showVal val="0"/>
          <c:showCatName val="0"/>
          <c:showSerName val="0"/>
          <c:showPercent val="0"/>
          <c:showBubbleSize val="0"/>
        </c:dLbls>
        <c:gapWidth val="150"/>
        <c:shape val="box"/>
        <c:axId val="182087040"/>
        <c:axId val="183660928"/>
        <c:axId val="0"/>
      </c:bar3DChart>
      <c:catAx>
        <c:axId val="182087040"/>
        <c:scaling>
          <c:orientation val="minMax"/>
        </c:scaling>
        <c:delete val="0"/>
        <c:axPos val="b"/>
        <c:majorTickMark val="out"/>
        <c:minorTickMark val="none"/>
        <c:tickLblPos val="nextTo"/>
        <c:txPr>
          <a:bodyPr/>
          <a:lstStyle/>
          <a:p>
            <a:pPr>
              <a:defRPr b="1"/>
            </a:pPr>
            <a:endParaRPr lang="en-US"/>
          </a:p>
        </c:txPr>
        <c:crossAx val="183660928"/>
        <c:crosses val="autoZero"/>
        <c:auto val="1"/>
        <c:lblAlgn val="ctr"/>
        <c:lblOffset val="100"/>
        <c:noMultiLvlLbl val="0"/>
      </c:catAx>
      <c:valAx>
        <c:axId val="183660928"/>
        <c:scaling>
          <c:orientation val="minMax"/>
          <c:max val="30"/>
        </c:scaling>
        <c:delete val="0"/>
        <c:axPos val="l"/>
        <c:majorGridlines/>
        <c:numFmt formatCode="General" sourceLinked="1"/>
        <c:majorTickMark val="out"/>
        <c:minorTickMark val="none"/>
        <c:tickLblPos val="nextTo"/>
        <c:txPr>
          <a:bodyPr/>
          <a:lstStyle/>
          <a:p>
            <a:pPr>
              <a:defRPr sz="1100" b="1"/>
            </a:pPr>
            <a:endParaRPr lang="en-US"/>
          </a:p>
        </c:txPr>
        <c:crossAx val="18208704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0.27056</cdr:x>
      <cdr:y>0.01455</cdr:y>
    </cdr:from>
    <cdr:to>
      <cdr:x>0.72886</cdr:x>
      <cdr:y>0.15031</cdr:y>
    </cdr:to>
    <cdr:sp macro="" textlink="">
      <cdr:nvSpPr>
        <cdr:cNvPr id="2" name="Text Box 1"/>
        <cdr:cNvSpPr txBox="1"/>
      </cdr:nvSpPr>
      <cdr:spPr>
        <a:xfrm xmlns:a="http://schemas.openxmlformats.org/drawingml/2006/main">
          <a:off x="1558449" y="47721"/>
          <a:ext cx="2639840" cy="4452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100" b="1"/>
            <a:t>Nombre de partenaires ECRIS (avr. </a:t>
          </a:r>
          <a:r>
            <a:rPr lang="en-GB" sz="1100" b="1" baseline="0"/>
            <a:t>2017)</a:t>
          </a:r>
          <a:endParaRPr lang="en-GB" sz="1100" b="1"/>
        </a:p>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9A93EAE6201546A21F3528A97E5D9A" ma:contentTypeVersion="0" ma:contentTypeDescription="Create a new document in this library." ma:contentTypeScope="" ma:versionID="e3ee652806b97ecd207b74e02fedf038">
  <xsd:schema xmlns:xsd="http://www.w3.org/2001/XMLSchema" xmlns:xs="http://www.w3.org/2001/XMLSchema" xmlns:p="http://schemas.microsoft.com/office/2006/metadata/properties" xmlns:ns2="http://schemas.microsoft.com/sharepoint/v3/fields" xmlns:ns3="c731397e-20a8-4749-99e2-8e0275fdae34" targetNamespace="http://schemas.microsoft.com/office/2006/metadata/properties" ma:root="true" ma:fieldsID="d0c39f83f2caef7c0b04dec737714a5a" ns2:_="" ns3:_="">
    <xsd:import namespace="http://schemas.microsoft.com/sharepoint/v3/fields"/>
    <xsd:import namespace="c731397e-20a8-4749-99e2-8e0275fdae3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31397e-20a8-4749-99e2-8e0275fdae3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c731397e-20a8-4749-99e2-8e0275fdae34">Not Started</EC_Collab_Status>
    <_Status xmlns="http://schemas.microsoft.com/sharepoint/v3/fields">Not Started</_Status>
    <EC_Collab_DocumentLanguage xmlns="c731397e-20a8-4749-99e2-8e0275fdae34">EN</EC_Collab_DocumentLanguage>
    <EC_Collab_Reference xmlns="c731397e-20a8-4749-99e2-8e0275fdae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DD89-53A6-4A33-B723-C5C47D31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731397e-20a8-4749-99e2-8e0275fda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61043-B00C-4724-A2D2-D46177033599}">
  <ds:schemaRefs>
    <ds:schemaRef ds:uri="http://schemas.microsoft.com/sharepoint/v3/contenttype/forms"/>
  </ds:schemaRefs>
</ds:datastoreItem>
</file>

<file path=customXml/itemProps3.xml><?xml version="1.0" encoding="utf-8"?>
<ds:datastoreItem xmlns:ds="http://schemas.openxmlformats.org/officeDocument/2006/customXml" ds:itemID="{B4DD5847-6273-4868-8914-C1002BC9BC05}">
  <ds:schemaRefs>
    <ds:schemaRef ds:uri="http://schemas.microsoft.com/office/infopath/2007/PartnerControls"/>
    <ds:schemaRef ds:uri="http://schemas.microsoft.com/sharepoint/v3/field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purl.org/dc/terms/"/>
    <ds:schemaRef ds:uri="c731397e-20a8-4749-99e2-8e0275fdae34"/>
  </ds:schemaRefs>
</ds:datastoreItem>
</file>

<file path=customXml/itemProps4.xml><?xml version="1.0" encoding="utf-8"?>
<ds:datastoreItem xmlns:ds="http://schemas.openxmlformats.org/officeDocument/2006/customXml" ds:itemID="{369AB815-5E11-48CE-A4F6-0AA565F7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19</Pages>
  <Words>5855</Words>
  <Characters>30076</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ECRIS Statistics on the eJustice Portal 130624</vt:lpstr>
    </vt:vector>
  </TitlesOfParts>
  <Manager/>
  <Company/>
  <LinksUpToDate>false</LinksUpToDate>
  <CharactersWithSpaces>35860</CharactersWithSpaces>
  <SharedDoc>false</SharedDoc>
  <HLinks>
    <vt:vector size="198" baseType="variant">
      <vt:variant>
        <vt:i4>3604575</vt:i4>
      </vt:variant>
      <vt:variant>
        <vt:i4>204</vt:i4>
      </vt:variant>
      <vt:variant>
        <vt:i4>0</vt:i4>
      </vt:variant>
      <vt:variant>
        <vt:i4>5</vt:i4>
      </vt:variant>
      <vt:variant>
        <vt:lpwstr>mailto:JUST-CRIMINAL-RECORD@ec.europa.eu</vt:lpwstr>
      </vt:variant>
      <vt:variant>
        <vt:lpwstr/>
      </vt:variant>
      <vt:variant>
        <vt:i4>786523</vt:i4>
      </vt:variant>
      <vt:variant>
        <vt:i4>201</vt:i4>
      </vt:variant>
      <vt:variant>
        <vt:i4>0</vt:i4>
      </vt:variant>
      <vt:variant>
        <vt:i4>5</vt:i4>
      </vt:variant>
      <vt:variant>
        <vt:lpwstr>http://www.statistics.be/</vt:lpwstr>
      </vt:variant>
      <vt:variant>
        <vt:lpwstr/>
      </vt:variant>
      <vt:variant>
        <vt:i4>1376314</vt:i4>
      </vt:variant>
      <vt:variant>
        <vt:i4>191</vt:i4>
      </vt:variant>
      <vt:variant>
        <vt:i4>0</vt:i4>
      </vt:variant>
      <vt:variant>
        <vt:i4>5</vt:i4>
      </vt:variant>
      <vt:variant>
        <vt:lpwstr/>
      </vt:variant>
      <vt:variant>
        <vt:lpwstr>_Toc366161943</vt:lpwstr>
      </vt:variant>
      <vt:variant>
        <vt:i4>1376314</vt:i4>
      </vt:variant>
      <vt:variant>
        <vt:i4>185</vt:i4>
      </vt:variant>
      <vt:variant>
        <vt:i4>0</vt:i4>
      </vt:variant>
      <vt:variant>
        <vt:i4>5</vt:i4>
      </vt:variant>
      <vt:variant>
        <vt:lpwstr/>
      </vt:variant>
      <vt:variant>
        <vt:lpwstr>_Toc366161943</vt:lpwstr>
      </vt:variant>
      <vt:variant>
        <vt:i4>1376314</vt:i4>
      </vt:variant>
      <vt:variant>
        <vt:i4>179</vt:i4>
      </vt:variant>
      <vt:variant>
        <vt:i4>0</vt:i4>
      </vt:variant>
      <vt:variant>
        <vt:i4>5</vt:i4>
      </vt:variant>
      <vt:variant>
        <vt:lpwstr/>
      </vt:variant>
      <vt:variant>
        <vt:lpwstr>_Toc366161942</vt:lpwstr>
      </vt:variant>
      <vt:variant>
        <vt:i4>1376314</vt:i4>
      </vt:variant>
      <vt:variant>
        <vt:i4>173</vt:i4>
      </vt:variant>
      <vt:variant>
        <vt:i4>0</vt:i4>
      </vt:variant>
      <vt:variant>
        <vt:i4>5</vt:i4>
      </vt:variant>
      <vt:variant>
        <vt:lpwstr/>
      </vt:variant>
      <vt:variant>
        <vt:lpwstr>_Toc366161941</vt:lpwstr>
      </vt:variant>
      <vt:variant>
        <vt:i4>1376314</vt:i4>
      </vt:variant>
      <vt:variant>
        <vt:i4>167</vt:i4>
      </vt:variant>
      <vt:variant>
        <vt:i4>0</vt:i4>
      </vt:variant>
      <vt:variant>
        <vt:i4>5</vt:i4>
      </vt:variant>
      <vt:variant>
        <vt:lpwstr/>
      </vt:variant>
      <vt:variant>
        <vt:lpwstr>_Toc366161940</vt:lpwstr>
      </vt:variant>
      <vt:variant>
        <vt:i4>1179706</vt:i4>
      </vt:variant>
      <vt:variant>
        <vt:i4>161</vt:i4>
      </vt:variant>
      <vt:variant>
        <vt:i4>0</vt:i4>
      </vt:variant>
      <vt:variant>
        <vt:i4>5</vt:i4>
      </vt:variant>
      <vt:variant>
        <vt:lpwstr/>
      </vt:variant>
      <vt:variant>
        <vt:lpwstr>_Toc366161939</vt:lpwstr>
      </vt:variant>
      <vt:variant>
        <vt:i4>1179706</vt:i4>
      </vt:variant>
      <vt:variant>
        <vt:i4>155</vt:i4>
      </vt:variant>
      <vt:variant>
        <vt:i4>0</vt:i4>
      </vt:variant>
      <vt:variant>
        <vt:i4>5</vt:i4>
      </vt:variant>
      <vt:variant>
        <vt:lpwstr/>
      </vt:variant>
      <vt:variant>
        <vt:lpwstr>_Toc366161938</vt:lpwstr>
      </vt:variant>
      <vt:variant>
        <vt:i4>1179706</vt:i4>
      </vt:variant>
      <vt:variant>
        <vt:i4>149</vt:i4>
      </vt:variant>
      <vt:variant>
        <vt:i4>0</vt:i4>
      </vt:variant>
      <vt:variant>
        <vt:i4>5</vt:i4>
      </vt:variant>
      <vt:variant>
        <vt:lpwstr/>
      </vt:variant>
      <vt:variant>
        <vt:lpwstr>_Toc366161937</vt:lpwstr>
      </vt:variant>
      <vt:variant>
        <vt:i4>1179706</vt:i4>
      </vt:variant>
      <vt:variant>
        <vt:i4>143</vt:i4>
      </vt:variant>
      <vt:variant>
        <vt:i4>0</vt:i4>
      </vt:variant>
      <vt:variant>
        <vt:i4>5</vt:i4>
      </vt:variant>
      <vt:variant>
        <vt:lpwstr/>
      </vt:variant>
      <vt:variant>
        <vt:lpwstr>_Toc366161936</vt:lpwstr>
      </vt:variant>
      <vt:variant>
        <vt:i4>1179706</vt:i4>
      </vt:variant>
      <vt:variant>
        <vt:i4>137</vt:i4>
      </vt:variant>
      <vt:variant>
        <vt:i4>0</vt:i4>
      </vt:variant>
      <vt:variant>
        <vt:i4>5</vt:i4>
      </vt:variant>
      <vt:variant>
        <vt:lpwstr/>
      </vt:variant>
      <vt:variant>
        <vt:lpwstr>_Toc366161935</vt:lpwstr>
      </vt:variant>
      <vt:variant>
        <vt:i4>1179706</vt:i4>
      </vt:variant>
      <vt:variant>
        <vt:i4>131</vt:i4>
      </vt:variant>
      <vt:variant>
        <vt:i4>0</vt:i4>
      </vt:variant>
      <vt:variant>
        <vt:i4>5</vt:i4>
      </vt:variant>
      <vt:variant>
        <vt:lpwstr/>
      </vt:variant>
      <vt:variant>
        <vt:lpwstr>_Toc366161934</vt:lpwstr>
      </vt:variant>
      <vt:variant>
        <vt:i4>1179706</vt:i4>
      </vt:variant>
      <vt:variant>
        <vt:i4>125</vt:i4>
      </vt:variant>
      <vt:variant>
        <vt:i4>0</vt:i4>
      </vt:variant>
      <vt:variant>
        <vt:i4>5</vt:i4>
      </vt:variant>
      <vt:variant>
        <vt:lpwstr/>
      </vt:variant>
      <vt:variant>
        <vt:lpwstr>_Toc366161933</vt:lpwstr>
      </vt:variant>
      <vt:variant>
        <vt:i4>1179706</vt:i4>
      </vt:variant>
      <vt:variant>
        <vt:i4>119</vt:i4>
      </vt:variant>
      <vt:variant>
        <vt:i4>0</vt:i4>
      </vt:variant>
      <vt:variant>
        <vt:i4>5</vt:i4>
      </vt:variant>
      <vt:variant>
        <vt:lpwstr/>
      </vt:variant>
      <vt:variant>
        <vt:lpwstr>_Toc366161932</vt:lpwstr>
      </vt:variant>
      <vt:variant>
        <vt:i4>1179706</vt:i4>
      </vt:variant>
      <vt:variant>
        <vt:i4>113</vt:i4>
      </vt:variant>
      <vt:variant>
        <vt:i4>0</vt:i4>
      </vt:variant>
      <vt:variant>
        <vt:i4>5</vt:i4>
      </vt:variant>
      <vt:variant>
        <vt:lpwstr/>
      </vt:variant>
      <vt:variant>
        <vt:lpwstr>_Toc366161931</vt:lpwstr>
      </vt:variant>
      <vt:variant>
        <vt:i4>1179706</vt:i4>
      </vt:variant>
      <vt:variant>
        <vt:i4>107</vt:i4>
      </vt:variant>
      <vt:variant>
        <vt:i4>0</vt:i4>
      </vt:variant>
      <vt:variant>
        <vt:i4>5</vt:i4>
      </vt:variant>
      <vt:variant>
        <vt:lpwstr/>
      </vt:variant>
      <vt:variant>
        <vt:lpwstr>_Toc366161930</vt:lpwstr>
      </vt:variant>
      <vt:variant>
        <vt:i4>1245242</vt:i4>
      </vt:variant>
      <vt:variant>
        <vt:i4>101</vt:i4>
      </vt:variant>
      <vt:variant>
        <vt:i4>0</vt:i4>
      </vt:variant>
      <vt:variant>
        <vt:i4>5</vt:i4>
      </vt:variant>
      <vt:variant>
        <vt:lpwstr/>
      </vt:variant>
      <vt:variant>
        <vt:lpwstr>_Toc366161929</vt:lpwstr>
      </vt:variant>
      <vt:variant>
        <vt:i4>1245242</vt:i4>
      </vt:variant>
      <vt:variant>
        <vt:i4>95</vt:i4>
      </vt:variant>
      <vt:variant>
        <vt:i4>0</vt:i4>
      </vt:variant>
      <vt:variant>
        <vt:i4>5</vt:i4>
      </vt:variant>
      <vt:variant>
        <vt:lpwstr/>
      </vt:variant>
      <vt:variant>
        <vt:lpwstr>_Toc366161928</vt:lpwstr>
      </vt:variant>
      <vt:variant>
        <vt:i4>1245242</vt:i4>
      </vt:variant>
      <vt:variant>
        <vt:i4>89</vt:i4>
      </vt:variant>
      <vt:variant>
        <vt:i4>0</vt:i4>
      </vt:variant>
      <vt:variant>
        <vt:i4>5</vt:i4>
      </vt:variant>
      <vt:variant>
        <vt:lpwstr/>
      </vt:variant>
      <vt:variant>
        <vt:lpwstr>_Toc366161927</vt:lpwstr>
      </vt:variant>
      <vt:variant>
        <vt:i4>1245242</vt:i4>
      </vt:variant>
      <vt:variant>
        <vt:i4>83</vt:i4>
      </vt:variant>
      <vt:variant>
        <vt:i4>0</vt:i4>
      </vt:variant>
      <vt:variant>
        <vt:i4>5</vt:i4>
      </vt:variant>
      <vt:variant>
        <vt:lpwstr/>
      </vt:variant>
      <vt:variant>
        <vt:lpwstr>_Toc366161926</vt:lpwstr>
      </vt:variant>
      <vt:variant>
        <vt:i4>1245242</vt:i4>
      </vt:variant>
      <vt:variant>
        <vt:i4>77</vt:i4>
      </vt:variant>
      <vt:variant>
        <vt:i4>0</vt:i4>
      </vt:variant>
      <vt:variant>
        <vt:i4>5</vt:i4>
      </vt:variant>
      <vt:variant>
        <vt:lpwstr/>
      </vt:variant>
      <vt:variant>
        <vt:lpwstr>_Toc366161925</vt:lpwstr>
      </vt:variant>
      <vt:variant>
        <vt:i4>1245242</vt:i4>
      </vt:variant>
      <vt:variant>
        <vt:i4>71</vt:i4>
      </vt:variant>
      <vt:variant>
        <vt:i4>0</vt:i4>
      </vt:variant>
      <vt:variant>
        <vt:i4>5</vt:i4>
      </vt:variant>
      <vt:variant>
        <vt:lpwstr/>
      </vt:variant>
      <vt:variant>
        <vt:lpwstr>_Toc366161924</vt:lpwstr>
      </vt:variant>
      <vt:variant>
        <vt:i4>1245242</vt:i4>
      </vt:variant>
      <vt:variant>
        <vt:i4>65</vt:i4>
      </vt:variant>
      <vt:variant>
        <vt:i4>0</vt:i4>
      </vt:variant>
      <vt:variant>
        <vt:i4>5</vt:i4>
      </vt:variant>
      <vt:variant>
        <vt:lpwstr/>
      </vt:variant>
      <vt:variant>
        <vt:lpwstr>_Toc366161923</vt:lpwstr>
      </vt:variant>
      <vt:variant>
        <vt:i4>1245242</vt:i4>
      </vt:variant>
      <vt:variant>
        <vt:i4>59</vt:i4>
      </vt:variant>
      <vt:variant>
        <vt:i4>0</vt:i4>
      </vt:variant>
      <vt:variant>
        <vt:i4>5</vt:i4>
      </vt:variant>
      <vt:variant>
        <vt:lpwstr/>
      </vt:variant>
      <vt:variant>
        <vt:lpwstr>_Toc366161922</vt:lpwstr>
      </vt:variant>
      <vt:variant>
        <vt:i4>1245242</vt:i4>
      </vt:variant>
      <vt:variant>
        <vt:i4>53</vt:i4>
      </vt:variant>
      <vt:variant>
        <vt:i4>0</vt:i4>
      </vt:variant>
      <vt:variant>
        <vt:i4>5</vt:i4>
      </vt:variant>
      <vt:variant>
        <vt:lpwstr/>
      </vt:variant>
      <vt:variant>
        <vt:lpwstr>_Toc366161921</vt:lpwstr>
      </vt:variant>
      <vt:variant>
        <vt:i4>1245242</vt:i4>
      </vt:variant>
      <vt:variant>
        <vt:i4>47</vt:i4>
      </vt:variant>
      <vt:variant>
        <vt:i4>0</vt:i4>
      </vt:variant>
      <vt:variant>
        <vt:i4>5</vt:i4>
      </vt:variant>
      <vt:variant>
        <vt:lpwstr/>
      </vt:variant>
      <vt:variant>
        <vt:lpwstr>_Toc366161920</vt:lpwstr>
      </vt:variant>
      <vt:variant>
        <vt:i4>1048634</vt:i4>
      </vt:variant>
      <vt:variant>
        <vt:i4>41</vt:i4>
      </vt:variant>
      <vt:variant>
        <vt:i4>0</vt:i4>
      </vt:variant>
      <vt:variant>
        <vt:i4>5</vt:i4>
      </vt:variant>
      <vt:variant>
        <vt:lpwstr/>
      </vt:variant>
      <vt:variant>
        <vt:lpwstr>_Toc366161919</vt:lpwstr>
      </vt:variant>
      <vt:variant>
        <vt:i4>1048634</vt:i4>
      </vt:variant>
      <vt:variant>
        <vt:i4>35</vt:i4>
      </vt:variant>
      <vt:variant>
        <vt:i4>0</vt:i4>
      </vt:variant>
      <vt:variant>
        <vt:i4>5</vt:i4>
      </vt:variant>
      <vt:variant>
        <vt:lpwstr/>
      </vt:variant>
      <vt:variant>
        <vt:lpwstr>_Toc366161918</vt:lpwstr>
      </vt:variant>
      <vt:variant>
        <vt:i4>1048634</vt:i4>
      </vt:variant>
      <vt:variant>
        <vt:i4>29</vt:i4>
      </vt:variant>
      <vt:variant>
        <vt:i4>0</vt:i4>
      </vt:variant>
      <vt:variant>
        <vt:i4>5</vt:i4>
      </vt:variant>
      <vt:variant>
        <vt:lpwstr/>
      </vt:variant>
      <vt:variant>
        <vt:lpwstr>_Toc366161917</vt:lpwstr>
      </vt:variant>
      <vt:variant>
        <vt:i4>1048634</vt:i4>
      </vt:variant>
      <vt:variant>
        <vt:i4>23</vt:i4>
      </vt:variant>
      <vt:variant>
        <vt:i4>0</vt:i4>
      </vt:variant>
      <vt:variant>
        <vt:i4>5</vt:i4>
      </vt:variant>
      <vt:variant>
        <vt:lpwstr/>
      </vt:variant>
      <vt:variant>
        <vt:lpwstr>_Toc366161916</vt:lpwstr>
      </vt:variant>
      <vt:variant>
        <vt:i4>1048634</vt:i4>
      </vt:variant>
      <vt:variant>
        <vt:i4>17</vt:i4>
      </vt:variant>
      <vt:variant>
        <vt:i4>0</vt:i4>
      </vt:variant>
      <vt:variant>
        <vt:i4>5</vt:i4>
      </vt:variant>
      <vt:variant>
        <vt:lpwstr/>
      </vt:variant>
      <vt:variant>
        <vt:lpwstr>_Toc366161915</vt:lpwstr>
      </vt:variant>
      <vt:variant>
        <vt:i4>1048634</vt:i4>
      </vt:variant>
      <vt:variant>
        <vt:i4>11</vt:i4>
      </vt:variant>
      <vt:variant>
        <vt:i4>0</vt:i4>
      </vt:variant>
      <vt:variant>
        <vt:i4>5</vt:i4>
      </vt:variant>
      <vt:variant>
        <vt:lpwstr/>
      </vt:variant>
      <vt:variant>
        <vt:lpwstr>_Toc366161914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ECRIS Statistics on the eJustice Portal 130624</dc:title>
  <dc:subject>ECRIS Statistics on the eJustice Portal</dc:subject>
  <dc:creator/>
  <cp:lastModifiedBy>LAGES CARVALHO Patrick (SG)</cp:lastModifiedBy>
  <cp:revision>33</cp:revision>
  <cp:lastPrinted>2017-05-10T12:22:00Z</cp:lastPrinted>
  <dcterms:created xsi:type="dcterms:W3CDTF">2017-06-21T08:48:00Z</dcterms:created>
  <dcterms:modified xsi:type="dcterms:W3CDTF">2017-07-05T06:46:00Z</dcterms:modified>
  <cp:contentStatus>Issued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0.2</vt:lpwstr>
  </property>
  <property fmtid="{D5CDD505-2E9C-101B-9397-08002B2CF9AE}" pid="3" name="Date completed">
    <vt:lpwstr>X/09/2013</vt:lpwstr>
  </property>
  <property fmtid="{D5CDD505-2E9C-101B-9397-08002B2CF9AE}" pid="4" name="Status">
    <vt:lpwstr>Issued</vt:lpwstr>
  </property>
  <property fmtid="{D5CDD505-2E9C-101B-9397-08002B2CF9AE}" pid="5" name="Document">
    <vt:lpwstr>01_ECRIS Statistics on the Ejustice Portalv0.1</vt:lpwstr>
  </property>
  <property fmtid="{D5CDD505-2E9C-101B-9397-08002B2CF9AE}" pid="6" name="_DocHome">
    <vt:i4>-683753521</vt:i4>
  </property>
  <property fmtid="{D5CDD505-2E9C-101B-9397-08002B2CF9AE}" pid="7" name="ContentTypeId">
    <vt:lpwstr>0x010100258AA79CEB83498886A3A08681123250004C9A93EAE6201546A21F3528A97E5D9A</vt:lpwstr>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