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drawings/drawing1.xml" ContentType="application/vnd.openxmlformats-officedocument.drawingml.chartshapes+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C9BA945EE7F247C78294F4889AD4946E" style="width:450.75pt;height:392.25pt">
            <v:imagedata r:id="rId12" o:title=""/>
          </v:shape>
        </w:pict>
      </w:r>
    </w:p>
    <w:bookmarkEnd w:id="0"/>
    <w:p>
      <w:pPr>
        <w:pStyle w:val="MemberStateHeader"/>
        <w:jc w:val="both"/>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39" w:code="9"/>
          <w:pgMar w:top="1134" w:right="1417" w:bottom="1134" w:left="1417" w:header="709" w:footer="709" w:gutter="0"/>
          <w:pgNumType w:start="1"/>
          <w:cols w:space="720"/>
          <w:docGrid w:linePitch="326"/>
        </w:sectPr>
      </w:pPr>
    </w:p>
    <w:p>
      <w:pPr>
        <w:pStyle w:val="MemberStateHeader"/>
        <w:rPr>
          <w:rFonts w:cs="Arial"/>
          <w:noProof/>
        </w:rPr>
      </w:pPr>
      <w:bookmarkStart w:id="1" w:name="_GoBack"/>
      <w:bookmarkEnd w:id="1"/>
    </w:p>
    <w:p>
      <w:pPr>
        <w:pStyle w:val="TOC1"/>
        <w:rPr>
          <w:rFonts w:asciiTheme="minorHAnsi" w:eastAsiaTheme="minorEastAsia" w:hAnsiTheme="minorHAnsi" w:cstheme="minorBidi"/>
          <w:caps w:val="0"/>
          <w:noProof/>
          <w:sz w:val="22"/>
          <w:szCs w:val="22"/>
          <w:lang w:eastAsia="en-GB"/>
        </w:rPr>
      </w:pPr>
      <w:r>
        <w:rPr>
          <w:rFonts w:ascii="Arial" w:hAnsi="Arial" w:cs="Arial"/>
          <w:smallCaps/>
          <w:noProof/>
          <w:sz w:val="20"/>
        </w:rPr>
        <w:fldChar w:fldCharType="begin"/>
      </w:r>
      <w:r>
        <w:rPr>
          <w:rFonts w:ascii="Arial" w:hAnsi="Arial" w:cs="Arial"/>
          <w:smallCaps/>
          <w:noProof/>
          <w:sz w:val="20"/>
        </w:rPr>
        <w:instrText xml:space="preserve"> TOC \o "1-1" \h \z \u </w:instrText>
      </w:r>
      <w:r>
        <w:rPr>
          <w:rFonts w:ascii="Arial" w:hAnsi="Arial" w:cs="Arial"/>
          <w:smallCaps/>
          <w:noProof/>
          <w:sz w:val="20"/>
        </w:rPr>
        <w:fldChar w:fldCharType="separate"/>
      </w:r>
      <w:hyperlink w:anchor="_Toc484622458" w:history="1">
        <w:r>
          <w:rPr>
            <w:rStyle w:val="Hyperlink"/>
            <w:noProof/>
          </w:rPr>
          <w:t>Agriculture and rural development</w:t>
        </w:r>
        <w:r>
          <w:rPr>
            <w:noProof/>
            <w:webHidden/>
          </w:rPr>
          <w:tab/>
        </w:r>
        <w:r>
          <w:rPr>
            <w:noProof/>
            <w:webHidden/>
          </w:rPr>
          <w:fldChar w:fldCharType="begin"/>
        </w:r>
        <w:r>
          <w:rPr>
            <w:noProof/>
            <w:webHidden/>
          </w:rPr>
          <w:instrText xml:space="preserve"> PAGEREF _Toc484622458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59" w:history="1">
        <w:r>
          <w:rPr>
            <w:rStyle w:val="Hyperlink"/>
            <w:noProof/>
          </w:rPr>
          <w:t>Communications networks, content and technology</w:t>
        </w:r>
        <w:r>
          <w:rPr>
            <w:noProof/>
            <w:webHidden/>
          </w:rPr>
          <w:tab/>
        </w:r>
        <w:r>
          <w:rPr>
            <w:noProof/>
            <w:webHidden/>
          </w:rPr>
          <w:fldChar w:fldCharType="begin"/>
        </w:r>
        <w:r>
          <w:rPr>
            <w:noProof/>
            <w:webHidden/>
          </w:rPr>
          <w:instrText xml:space="preserve"> PAGEREF _Toc484622459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0" w:history="1">
        <w:r>
          <w:rPr>
            <w:rStyle w:val="Hyperlink"/>
            <w:noProof/>
          </w:rPr>
          <w:t>Employment, social affairs and inclusion</w:t>
        </w:r>
        <w:r>
          <w:rPr>
            <w:noProof/>
            <w:webHidden/>
          </w:rPr>
          <w:tab/>
        </w:r>
        <w:r>
          <w:rPr>
            <w:noProof/>
            <w:webHidden/>
          </w:rPr>
          <w:fldChar w:fldCharType="begin"/>
        </w:r>
        <w:r>
          <w:rPr>
            <w:noProof/>
            <w:webHidden/>
          </w:rPr>
          <w:instrText xml:space="preserve"> PAGEREF _Toc484622460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1" w:history="1">
        <w:r>
          <w:rPr>
            <w:rStyle w:val="Hyperlink"/>
            <w:noProof/>
          </w:rPr>
          <w:t>Energy</w:t>
        </w:r>
        <w:r>
          <w:rPr>
            <w:noProof/>
            <w:webHidden/>
          </w:rPr>
          <w:tab/>
        </w:r>
        <w:r>
          <w:rPr>
            <w:noProof/>
            <w:webHidden/>
          </w:rPr>
          <w:fldChar w:fldCharType="begin"/>
        </w:r>
        <w:r>
          <w:rPr>
            <w:noProof/>
            <w:webHidden/>
          </w:rPr>
          <w:instrText xml:space="preserve"> PAGEREF _Toc484622461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2" w:history="1">
        <w:r>
          <w:rPr>
            <w:rStyle w:val="Hyperlink"/>
            <w:noProof/>
          </w:rPr>
          <w:t>Environment</w:t>
        </w:r>
        <w:r>
          <w:rPr>
            <w:noProof/>
            <w:webHidden/>
          </w:rPr>
          <w:tab/>
        </w:r>
        <w:r>
          <w:rPr>
            <w:noProof/>
            <w:webHidden/>
          </w:rPr>
          <w:fldChar w:fldCharType="begin"/>
        </w:r>
        <w:r>
          <w:rPr>
            <w:noProof/>
            <w:webHidden/>
          </w:rPr>
          <w:instrText xml:space="preserve"> PAGEREF _Toc484622462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3" w:history="1">
        <w:r>
          <w:rPr>
            <w:rStyle w:val="Hyperlink"/>
            <w:noProof/>
          </w:rPr>
          <w:t>Financial stability, financial services and capital markets union</w:t>
        </w:r>
        <w:r>
          <w:rPr>
            <w:noProof/>
            <w:webHidden/>
          </w:rPr>
          <w:tab/>
        </w:r>
        <w:r>
          <w:rPr>
            <w:noProof/>
            <w:webHidden/>
          </w:rPr>
          <w:fldChar w:fldCharType="begin"/>
        </w:r>
        <w:r>
          <w:rPr>
            <w:noProof/>
            <w:webHidden/>
          </w:rPr>
          <w:instrText xml:space="preserve"> PAGEREF _Toc484622463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4" w:history="1">
        <w:r>
          <w:rPr>
            <w:rStyle w:val="Hyperlink"/>
            <w:noProof/>
          </w:rPr>
          <w:t>Health and food safety</w:t>
        </w:r>
        <w:r>
          <w:rPr>
            <w:noProof/>
            <w:webHidden/>
          </w:rPr>
          <w:tab/>
        </w:r>
        <w:r>
          <w:rPr>
            <w:noProof/>
            <w:webHidden/>
          </w:rPr>
          <w:fldChar w:fldCharType="begin"/>
        </w:r>
        <w:r>
          <w:rPr>
            <w:noProof/>
            <w:webHidden/>
          </w:rPr>
          <w:instrText xml:space="preserve"> PAGEREF _Toc484622464 \h </w:instrText>
        </w:r>
        <w:r>
          <w:rPr>
            <w:noProof/>
            <w:webHidden/>
          </w:rPr>
        </w:r>
        <w:r>
          <w:rPr>
            <w:noProof/>
            <w:webHidden/>
          </w:rPr>
          <w:fldChar w:fldCharType="separate"/>
        </w:r>
        <w:r>
          <w:rPr>
            <w:noProof/>
            <w:webHidden/>
          </w:rPr>
          <w:t>41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5" w:history="1">
        <w:r>
          <w:rPr>
            <w:rStyle w:val="Hyperlink"/>
            <w:noProof/>
          </w:rPr>
          <w:t>Internal market, industry, entrepreneurship and SMES</w:t>
        </w:r>
        <w:r>
          <w:rPr>
            <w:noProof/>
            <w:webHidden/>
          </w:rPr>
          <w:tab/>
        </w:r>
        <w:r>
          <w:rPr>
            <w:noProof/>
            <w:webHidden/>
          </w:rPr>
          <w:fldChar w:fldCharType="begin"/>
        </w:r>
        <w:r>
          <w:rPr>
            <w:noProof/>
            <w:webHidden/>
          </w:rPr>
          <w:instrText xml:space="preserve"> PAGEREF _Toc484622465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6" w:history="1">
        <w:r>
          <w:rPr>
            <w:rStyle w:val="Hyperlink"/>
            <w:noProof/>
          </w:rPr>
          <w:t>Justice and consumers</w:t>
        </w:r>
        <w:r>
          <w:rPr>
            <w:noProof/>
            <w:webHidden/>
          </w:rPr>
          <w:tab/>
        </w:r>
        <w:r>
          <w:rPr>
            <w:noProof/>
            <w:webHidden/>
          </w:rPr>
          <w:fldChar w:fldCharType="begin"/>
        </w:r>
        <w:r>
          <w:rPr>
            <w:noProof/>
            <w:webHidden/>
          </w:rPr>
          <w:instrText xml:space="preserve"> PAGEREF _Toc484622466 \h </w:instrText>
        </w:r>
        <w:r>
          <w:rPr>
            <w:noProof/>
            <w:webHidden/>
          </w:rPr>
        </w:r>
        <w:r>
          <w:rPr>
            <w:noProof/>
            <w:webHidden/>
          </w:rPr>
          <w:fldChar w:fldCharType="separate"/>
        </w:r>
        <w:r>
          <w:rPr>
            <w:noProof/>
            <w:webHidden/>
          </w:rPr>
          <w:t>53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7" w:history="1">
        <w:r>
          <w:rPr>
            <w:rStyle w:val="Hyperlink"/>
            <w:noProof/>
          </w:rPr>
          <w:t>Maritime affairs and fisheries</w:t>
        </w:r>
        <w:r>
          <w:rPr>
            <w:noProof/>
            <w:webHidden/>
          </w:rPr>
          <w:tab/>
        </w:r>
        <w:r>
          <w:rPr>
            <w:noProof/>
            <w:webHidden/>
          </w:rPr>
          <w:fldChar w:fldCharType="begin"/>
        </w:r>
        <w:r>
          <w:rPr>
            <w:noProof/>
            <w:webHidden/>
          </w:rPr>
          <w:instrText xml:space="preserve"> PAGEREF _Toc484622467 \h </w:instrText>
        </w:r>
        <w:r>
          <w:rPr>
            <w:noProof/>
            <w:webHidden/>
          </w:rPr>
        </w:r>
        <w:r>
          <w:rPr>
            <w:noProof/>
            <w:webHidden/>
          </w:rPr>
          <w:fldChar w:fldCharType="separate"/>
        </w:r>
        <w:r>
          <w:rPr>
            <w:noProof/>
            <w:webHidden/>
          </w:rPr>
          <w:t>60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8" w:history="1">
        <w:r>
          <w:rPr>
            <w:rStyle w:val="Hyperlink"/>
            <w:noProof/>
          </w:rPr>
          <w:t>Migration and home affairs</w:t>
        </w:r>
        <w:r>
          <w:rPr>
            <w:noProof/>
            <w:webHidden/>
          </w:rPr>
          <w:tab/>
        </w:r>
        <w:r>
          <w:rPr>
            <w:noProof/>
            <w:webHidden/>
          </w:rPr>
          <w:fldChar w:fldCharType="begin"/>
        </w:r>
        <w:r>
          <w:rPr>
            <w:noProof/>
            <w:webHidden/>
          </w:rPr>
          <w:instrText xml:space="preserve"> PAGEREF _Toc484622468 \h </w:instrText>
        </w:r>
        <w:r>
          <w:rPr>
            <w:noProof/>
            <w:webHidden/>
          </w:rPr>
        </w:r>
        <w:r>
          <w:rPr>
            <w:noProof/>
            <w:webHidden/>
          </w:rPr>
          <w:fldChar w:fldCharType="separate"/>
        </w:r>
        <w:r>
          <w:rPr>
            <w:noProof/>
            <w:webHidden/>
          </w:rPr>
          <w:t>63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69" w:history="1">
        <w:r>
          <w:rPr>
            <w:rStyle w:val="Hyperlink"/>
            <w:noProof/>
          </w:rPr>
          <w:t>Mobility and transport</w:t>
        </w:r>
        <w:r>
          <w:rPr>
            <w:noProof/>
            <w:webHidden/>
          </w:rPr>
          <w:tab/>
        </w:r>
        <w:r>
          <w:rPr>
            <w:noProof/>
            <w:webHidden/>
          </w:rPr>
          <w:fldChar w:fldCharType="begin"/>
        </w:r>
        <w:r>
          <w:rPr>
            <w:noProof/>
            <w:webHidden/>
          </w:rPr>
          <w:instrText xml:space="preserve"> PAGEREF _Toc484622469 \h </w:instrText>
        </w:r>
        <w:r>
          <w:rPr>
            <w:noProof/>
            <w:webHidden/>
          </w:rPr>
        </w:r>
        <w:r>
          <w:rPr>
            <w:noProof/>
            <w:webHidden/>
          </w:rPr>
          <w:fldChar w:fldCharType="separate"/>
        </w:r>
        <w:r>
          <w:rPr>
            <w:noProof/>
            <w:webHidden/>
          </w:rPr>
          <w:t>70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70" w:history="1">
        <w:r>
          <w:rPr>
            <w:rStyle w:val="Hyperlink"/>
            <w:noProof/>
          </w:rPr>
          <w:t>Taxation and customs union</w:t>
        </w:r>
        <w:r>
          <w:rPr>
            <w:noProof/>
            <w:webHidden/>
          </w:rPr>
          <w:tab/>
        </w:r>
        <w:r>
          <w:rPr>
            <w:noProof/>
            <w:webHidden/>
          </w:rPr>
          <w:fldChar w:fldCharType="begin"/>
        </w:r>
        <w:r>
          <w:rPr>
            <w:noProof/>
            <w:webHidden/>
          </w:rPr>
          <w:instrText xml:space="preserve"> PAGEREF _Toc484622470 \h </w:instrText>
        </w:r>
        <w:r>
          <w:rPr>
            <w:noProof/>
            <w:webHidden/>
          </w:rPr>
        </w:r>
        <w:r>
          <w:rPr>
            <w:noProof/>
            <w:webHidden/>
          </w:rPr>
          <w:fldChar w:fldCharType="separate"/>
        </w:r>
        <w:r>
          <w:rPr>
            <w:noProof/>
            <w:webHidden/>
          </w:rPr>
          <w:t>79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4622471" w:history="1">
        <w:r>
          <w:rPr>
            <w:rStyle w:val="Hyperlink"/>
            <w:noProof/>
          </w:rPr>
          <w:t>METHODOLOGY AND EXPLANATIONS</w:t>
        </w:r>
        <w:r>
          <w:rPr>
            <w:noProof/>
            <w:webHidden/>
          </w:rPr>
          <w:tab/>
        </w:r>
        <w:r>
          <w:rPr>
            <w:noProof/>
            <w:webHidden/>
          </w:rPr>
          <w:fldChar w:fldCharType="begin"/>
        </w:r>
        <w:r>
          <w:rPr>
            <w:noProof/>
            <w:webHidden/>
          </w:rPr>
          <w:instrText xml:space="preserve"> PAGEREF _Toc484622471 \h </w:instrText>
        </w:r>
        <w:r>
          <w:rPr>
            <w:noProof/>
            <w:webHidden/>
          </w:rPr>
        </w:r>
        <w:r>
          <w:rPr>
            <w:noProof/>
            <w:webHidden/>
          </w:rPr>
          <w:fldChar w:fldCharType="separate"/>
        </w:r>
        <w:r>
          <w:rPr>
            <w:noProof/>
            <w:webHidden/>
          </w:rPr>
          <w:t>87</w:t>
        </w:r>
        <w:r>
          <w:rPr>
            <w:noProof/>
            <w:webHidden/>
          </w:rPr>
          <w:fldChar w:fldCharType="end"/>
        </w:r>
      </w:hyperlink>
    </w:p>
    <w:p>
      <w:pPr>
        <w:pStyle w:val="Heading1"/>
        <w:ind w:left="480"/>
        <w:jc w:val="both"/>
        <w:rPr>
          <w:rFonts w:cs="Arial"/>
          <w:smallCaps/>
          <w:noProof/>
          <w:color w:val="auto"/>
          <w:sz w:val="20"/>
        </w:rPr>
      </w:pPr>
      <w:r>
        <w:rPr>
          <w:rFonts w:cs="Arial"/>
          <w:smallCaps/>
          <w:noProof/>
          <w:color w:val="auto"/>
          <w:sz w:val="20"/>
        </w:rPr>
        <w:fldChar w:fldCharType="end"/>
      </w:r>
    </w:p>
    <w:p>
      <w:pPr>
        <w:pStyle w:val="MemberStateHeader"/>
        <w:rPr>
          <w:rFonts w:cs="Arial"/>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sectPr>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39" w:code="9"/>
          <w:pgMar w:top="1702" w:right="1275" w:bottom="737" w:left="1418" w:header="567" w:footer="352" w:gutter="0"/>
          <w:pgNumType w:start="2"/>
          <w:cols w:space="720"/>
          <w:titlePg/>
          <w:docGrid w:linePitch="326"/>
        </w:sectPr>
      </w:pPr>
      <w:r>
        <w:rPr>
          <w:rFonts w:cs="Arial"/>
          <w:noProof/>
          <w:sz w:val="20"/>
        </w:rPr>
        <w:t>This document provides an overview of the challenges in application of EU law in policy areas where the most significant developments related to infringement took place.</w:t>
      </w:r>
    </w:p>
    <w:p>
      <w:pPr>
        <w:pStyle w:val="Heading1"/>
        <w:ind w:left="0"/>
        <w:rPr>
          <w:noProof/>
        </w:rPr>
      </w:pPr>
      <w:bookmarkStart w:id="2" w:name="_Toc443057931"/>
      <w:bookmarkStart w:id="3" w:name="_Toc475524729"/>
      <w:bookmarkStart w:id="4" w:name="_Toc475529496"/>
      <w:bookmarkStart w:id="5" w:name="_Toc475529535"/>
      <w:bookmarkStart w:id="6" w:name="_Toc475529863"/>
      <w:bookmarkStart w:id="7" w:name="_Toc475550828"/>
      <w:bookmarkStart w:id="8" w:name="_Toc475551368"/>
      <w:bookmarkStart w:id="9" w:name="_Toc484622458"/>
      <w:r>
        <w:rPr>
          <w:noProof/>
        </w:rPr>
        <w:t>Agriculture and rural development</w:t>
      </w:r>
      <w:bookmarkEnd w:id="2"/>
      <w:bookmarkEnd w:id="3"/>
      <w:bookmarkEnd w:id="4"/>
      <w:bookmarkEnd w:id="5"/>
      <w:bookmarkEnd w:id="6"/>
      <w:bookmarkEnd w:id="7"/>
      <w:bookmarkEnd w:id="8"/>
      <w:bookmarkEnd w:id="9"/>
    </w:p>
    <w:p>
      <w:pPr>
        <w:rPr>
          <w:i/>
          <w:noProof/>
        </w:rPr>
      </w:pPr>
      <w:r>
        <w:rPr>
          <w:i/>
          <w:noProof/>
        </w:rPr>
        <w:t xml:space="preserve">New complaints in the area of agriculture and rural development increased in 2016 but remained below their 2014 peak. The number of new EU Pilot files dropped below the 2014 and 2015 levels. The Commission did not open any new formal infringement procedures. </w:t>
      </w:r>
    </w:p>
    <w:p>
      <w:pPr>
        <w:pStyle w:val="Title1"/>
        <w:rPr>
          <w:noProof/>
        </w:rPr>
      </w:pPr>
      <w:r>
        <w:rPr>
          <w:noProof/>
        </w:rPr>
        <w:t>COMPLAINTS</w:t>
      </w:r>
    </w:p>
    <w:p>
      <w:pPr>
        <w:numPr>
          <w:ilvl w:val="0"/>
          <w:numId w:val="49"/>
        </w:numPr>
        <w:spacing w:after="60"/>
        <w:jc w:val="left"/>
        <w:outlineLvl w:val="1"/>
        <w:rPr>
          <w:noProof/>
        </w:rPr>
      </w:pPr>
      <w:bookmarkStart w:id="10" w:name="_Toc434503194"/>
      <w:r>
        <w:rPr>
          <w:noProof/>
        </w:rPr>
        <w:t>New complaints received from members of the public (2012-2016)</w:t>
      </w:r>
      <w:bookmarkEnd w:id="10"/>
    </w:p>
    <w:p>
      <w:pPr>
        <w:pStyle w:val="Basis"/>
        <w:rPr>
          <w:noProof/>
          <w:lang w:val="en-GB"/>
        </w:rPr>
      </w:pPr>
      <w:r>
        <w:rPr>
          <w:noProof/>
        </w:rPr>
        <w:drawing>
          <wp:inline distT="0" distB="0" distL="0" distR="0">
            <wp:extent cx="4600575" cy="1943100"/>
            <wp:effectExtent l="0" t="0" r="9525" b="19050"/>
            <wp:docPr id="18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numPr>
          <w:ilvl w:val="0"/>
          <w:numId w:val="49"/>
        </w:numPr>
        <w:spacing w:after="60"/>
        <w:jc w:val="left"/>
        <w:outlineLvl w:val="1"/>
        <w:rPr>
          <w:noProof/>
        </w:rPr>
      </w:pPr>
      <w:r>
        <w:rPr>
          <w:noProof/>
        </w:rPr>
        <w:t>Public complaints open a year-end</w:t>
      </w:r>
    </w:p>
    <w:tbl>
      <w:tblPr>
        <w:tblStyle w:val="Style1"/>
        <w:tblW w:w="0" w:type="auto"/>
        <w:jc w:val="center"/>
        <w:tblInd w:w="421" w:type="dxa"/>
        <w:tblLook w:val="04A0" w:firstRow="1" w:lastRow="0" w:firstColumn="1" w:lastColumn="0" w:noHBand="0" w:noVBand="1"/>
      </w:tblPr>
      <w:tblGrid>
        <w:gridCol w:w="1697"/>
        <w:gridCol w:w="460"/>
        <w:gridCol w:w="5310"/>
      </w:tblGrid>
      <w:tr>
        <w:trPr>
          <w:trHeight w:val="403"/>
          <w:jc w:val="center"/>
        </w:trPr>
        <w:tc>
          <w:tcPr>
            <w:tcW w:w="1697"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35</w:t>
            </w:r>
          </w:p>
        </w:tc>
        <w:tc>
          <w:tcPr>
            <w:tcW w:w="460"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open at end-2015</w:t>
            </w:r>
          </w:p>
        </w:tc>
      </w:tr>
      <w:tr>
        <w:trPr>
          <w:trHeight w:val="403"/>
          <w:jc w:val="center"/>
        </w:trPr>
        <w:tc>
          <w:tcPr>
            <w:tcW w:w="1697"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105</w:t>
            </w:r>
          </w:p>
        </w:tc>
        <w:tc>
          <w:tcPr>
            <w:tcW w:w="460"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New complaints registered in 2016</w:t>
            </w:r>
          </w:p>
        </w:tc>
      </w:tr>
      <w:tr>
        <w:trPr>
          <w:trHeight w:val="403"/>
          <w:jc w:val="center"/>
        </w:trPr>
        <w:tc>
          <w:tcPr>
            <w:tcW w:w="1697" w:type="dxa"/>
            <w:tcBorders>
              <w:bottom w:val="single" w:sz="24" w:space="0" w:color="548DD4" w:themeColor="text2" w:themeTint="99"/>
            </w:tcBorders>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78</w:t>
            </w:r>
          </w:p>
        </w:tc>
        <w:tc>
          <w:tcPr>
            <w:tcW w:w="460"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handled in 2016</w:t>
            </w:r>
          </w:p>
        </w:tc>
      </w:tr>
      <w:tr>
        <w:trPr>
          <w:trHeight w:val="403"/>
          <w:jc w:val="center"/>
        </w:trPr>
        <w:tc>
          <w:tcPr>
            <w:tcW w:w="1697" w:type="dxa"/>
            <w:tcBorders>
              <w:top w:val="single" w:sz="24" w:space="0" w:color="548DD4" w:themeColor="text2" w:themeTint="99"/>
            </w:tcBorders>
            <w:vAlign w:val="center"/>
          </w:tcPr>
          <w:p>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62</w:t>
            </w:r>
          </w:p>
        </w:tc>
        <w:tc>
          <w:tcPr>
            <w:tcW w:w="460"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open at end-2016</w:t>
            </w:r>
          </w:p>
        </w:tc>
      </w:tr>
    </w:tbl>
    <w:p>
      <w:pPr>
        <w:pStyle w:val="Title1"/>
        <w:rPr>
          <w:noProof/>
        </w:rPr>
      </w:pPr>
      <w:r>
        <w:rPr>
          <w:noProof/>
        </w:rPr>
        <w:t>EU PILOT</w:t>
      </w:r>
    </w:p>
    <w:p>
      <w:pPr>
        <w:numPr>
          <w:ilvl w:val="0"/>
          <w:numId w:val="50"/>
        </w:numPr>
        <w:spacing w:after="60"/>
        <w:jc w:val="left"/>
        <w:outlineLvl w:val="1"/>
        <w:rPr>
          <w:noProof/>
        </w:rPr>
      </w:pPr>
      <w:bookmarkStart w:id="11" w:name="_Toc434503197"/>
      <w:r>
        <w:rPr>
          <w:noProof/>
        </w:rPr>
        <w:t>New EU Pilot files (2012-2016)</w:t>
      </w:r>
      <w:bookmarkEnd w:id="11"/>
    </w:p>
    <w:p>
      <w:pPr>
        <w:pStyle w:val="Basis"/>
        <w:rPr>
          <w:noProof/>
          <w:lang w:val="en-GB"/>
        </w:rPr>
      </w:pPr>
      <w:r>
        <w:rPr>
          <w:b/>
          <w:i/>
          <w:noProof/>
        </w:rPr>
        <w:drawing>
          <wp:inline distT="0" distB="0" distL="0" distR="0">
            <wp:extent cx="4581525" cy="1685925"/>
            <wp:effectExtent l="0" t="0" r="9525" b="9525"/>
            <wp:docPr id="17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numPr>
          <w:ilvl w:val="0"/>
          <w:numId w:val="50"/>
        </w:numPr>
        <w:spacing w:after="60"/>
        <w:jc w:val="left"/>
        <w:outlineLvl w:val="1"/>
        <w:rPr>
          <w:noProof/>
        </w:rPr>
      </w:pPr>
      <w:r>
        <w:rPr>
          <w:noProof/>
        </w:rPr>
        <w:t>EU Pilot files open at year-end</w:t>
      </w:r>
    </w:p>
    <w:p>
      <w:pPr>
        <w:ind w:left="720"/>
        <w:rPr>
          <w:noProof/>
          <w:sz w:val="20"/>
        </w:rPr>
      </w:pPr>
      <w:bookmarkStart w:id="12" w:name="_Toc434503199"/>
      <w:r>
        <w:rPr>
          <w:noProof/>
          <w:sz w:val="20"/>
        </w:rPr>
        <w:t>At the end of 2016, 26 EU Pilot files remained open.</w:t>
      </w:r>
    </w:p>
    <w:p>
      <w:pPr>
        <w:spacing w:after="0"/>
        <w:jc w:val="left"/>
        <w:rPr>
          <w:noProof/>
        </w:rPr>
      </w:pPr>
      <w:bookmarkStart w:id="13" w:name="_Toc434503200"/>
      <w:bookmarkEnd w:id="12"/>
      <w:r>
        <w:rPr>
          <w:noProof/>
        </w:rPr>
        <w:br w:type="page"/>
      </w:r>
    </w:p>
    <w:p>
      <w:pPr>
        <w:numPr>
          <w:ilvl w:val="0"/>
          <w:numId w:val="50"/>
        </w:numPr>
        <w:spacing w:after="60"/>
        <w:jc w:val="left"/>
        <w:outlineLvl w:val="1"/>
        <w:rPr>
          <w:noProof/>
        </w:rPr>
      </w:pPr>
      <w:r>
        <w:rPr>
          <w:noProof/>
        </w:rPr>
        <w:t>EU Pilot files: resolution rate for policies (2012-</w:t>
      </w:r>
      <w:bookmarkEnd w:id="13"/>
      <w:r>
        <w:rPr>
          <w:noProof/>
        </w:rPr>
        <w:t>2016)</w:t>
      </w:r>
    </w:p>
    <w:p>
      <w:pPr>
        <w:pStyle w:val="Basis"/>
        <w:rPr>
          <w:noProof/>
          <w:lang w:val="en-GB"/>
        </w:rPr>
      </w:pPr>
      <w:r>
        <w:rPr>
          <w:noProof/>
        </w:rPr>
        <w:drawing>
          <wp:inline distT="0" distB="0" distL="0" distR="0">
            <wp:extent cx="4591050" cy="2190750"/>
            <wp:effectExtent l="0" t="0" r="19050" b="19050"/>
            <wp:docPr id="1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Title1"/>
        <w:rPr>
          <w:noProof/>
        </w:rPr>
      </w:pPr>
      <w:r>
        <w:rPr>
          <w:noProof/>
        </w:rPr>
        <w:t>OWN-INITIATIVE CASES</w:t>
      </w:r>
    </w:p>
    <w:p>
      <w:pPr>
        <w:pStyle w:val="Subtitle"/>
        <w:ind w:left="360"/>
        <w:rPr>
          <w:noProof/>
        </w:rPr>
      </w:pPr>
      <w:r>
        <w:rPr>
          <w:noProof/>
        </w:rPr>
        <w:t>New own-initiative infringement cases</w:t>
      </w:r>
    </w:p>
    <w:p>
      <w:pPr>
        <w:pStyle w:val="Basis"/>
        <w:rPr>
          <w:rFonts w:ascii="Arial" w:hAnsi="Arial"/>
          <w:noProof/>
          <w:lang w:val="en-GB"/>
        </w:rPr>
      </w:pPr>
      <w:r>
        <w:rPr>
          <w:rFonts w:ascii="Arial" w:hAnsi="Arial"/>
          <w:noProof/>
          <w:lang w:val="en-GB"/>
        </w:rPr>
        <w:t>In 2016, the Commission opened own-initiative infringement cases for non-compliance with the Direct Payments Regulation.</w:t>
      </w:r>
      <w:r>
        <w:rPr>
          <w:rStyle w:val="FootnoteReference"/>
          <w:rFonts w:ascii="Arial" w:hAnsi="Arial"/>
          <w:noProof/>
          <w:lang w:val="en-GB"/>
        </w:rPr>
        <w:footnoteReference w:id="2"/>
      </w:r>
    </w:p>
    <w:p>
      <w:pPr>
        <w:pStyle w:val="Title1"/>
        <w:rPr>
          <w:noProof/>
        </w:rPr>
      </w:pPr>
      <w:r>
        <w:rPr>
          <w:noProof/>
        </w:rPr>
        <w:t>INFRINGEMENT CASES</w:t>
      </w:r>
    </w:p>
    <w:p>
      <w:pPr>
        <w:numPr>
          <w:ilvl w:val="0"/>
          <w:numId w:val="51"/>
        </w:numPr>
        <w:spacing w:after="120"/>
        <w:ind w:left="714" w:hanging="357"/>
        <w:jc w:val="left"/>
        <w:outlineLvl w:val="1"/>
        <w:rPr>
          <w:noProof/>
        </w:rPr>
      </w:pPr>
      <w:bookmarkStart w:id="14" w:name="_Toc434503204"/>
      <w:r>
        <w:rPr>
          <w:noProof/>
        </w:rPr>
        <w:t>Key infringement cases and referrals to the Court</w:t>
      </w:r>
      <w:bookmarkEnd w:id="14"/>
    </w:p>
    <w:p>
      <w:pPr>
        <w:pStyle w:val="Lijstje"/>
        <w:numPr>
          <w:ilvl w:val="0"/>
          <w:numId w:val="28"/>
        </w:numPr>
        <w:spacing w:after="120"/>
        <w:ind w:left="1417" w:hanging="425"/>
        <w:rPr>
          <w:rFonts w:ascii="Arial" w:hAnsi="Arial" w:cs="Arial"/>
          <w:noProof/>
          <w:lang w:val="en-GB"/>
        </w:rPr>
      </w:pPr>
      <w:r>
        <w:rPr>
          <w:rFonts w:ascii="Arial" w:hAnsi="Arial" w:cs="Arial"/>
          <w:noProof/>
          <w:lang w:val="en-GB"/>
        </w:rPr>
        <w:t>The Commission did not open any new formal infringement procedures in 2016, but pursued other ongoing infringement cases, including:</w:t>
      </w:r>
    </w:p>
    <w:p>
      <w:pPr>
        <w:pStyle w:val="Lijstje"/>
        <w:numPr>
          <w:ilvl w:val="0"/>
          <w:numId w:val="136"/>
        </w:numPr>
        <w:tabs>
          <w:tab w:val="left" w:pos="1560"/>
          <w:tab w:val="left" w:pos="1843"/>
        </w:tabs>
        <w:spacing w:after="120"/>
        <w:rPr>
          <w:rFonts w:ascii="Arial" w:hAnsi="Arial" w:cs="Arial"/>
          <w:noProof/>
          <w:lang w:val="en-GB"/>
        </w:rPr>
      </w:pPr>
      <w:r>
        <w:rPr>
          <w:rFonts w:ascii="Arial" w:hAnsi="Arial" w:cs="Arial"/>
          <w:i/>
          <w:noProof/>
          <w:lang w:val="en-GB"/>
        </w:rPr>
        <w:t>Greece</w:t>
      </w:r>
      <w:r>
        <w:rPr>
          <w:rFonts w:ascii="Arial" w:hAnsi="Arial" w:cs="Arial"/>
          <w:noProof/>
          <w:lang w:val="en-GB"/>
        </w:rPr>
        <w:t>: the prohibition placed on individual wine growers on the island of Samos from producing and marketing wine products.</w:t>
      </w:r>
      <w:r>
        <w:rPr>
          <w:rStyle w:val="FootnoteReference"/>
          <w:rFonts w:ascii="Arial" w:hAnsi="Arial" w:cs="Arial"/>
          <w:noProof/>
          <w:lang w:val="en-GB"/>
        </w:rPr>
        <w:footnoteReference w:id="3"/>
      </w:r>
    </w:p>
    <w:p>
      <w:pPr>
        <w:pStyle w:val="Lijstje"/>
        <w:numPr>
          <w:ilvl w:val="0"/>
          <w:numId w:val="28"/>
        </w:numPr>
        <w:spacing w:after="120"/>
        <w:ind w:left="1417" w:hanging="425"/>
        <w:rPr>
          <w:rFonts w:cs="Arial"/>
          <w:noProof/>
          <w:lang w:val="en-GB"/>
        </w:rPr>
      </w:pPr>
      <w:r>
        <w:rPr>
          <w:rFonts w:ascii="Arial" w:hAnsi="Arial" w:cs="Arial"/>
          <w:noProof/>
          <w:lang w:val="en-GB"/>
        </w:rPr>
        <w:t>The Commission did not refer any cases to the Court under Article 258 TFEU.</w:t>
      </w:r>
    </w:p>
    <w:p>
      <w:pPr>
        <w:pStyle w:val="Lijstje"/>
        <w:numPr>
          <w:ilvl w:val="0"/>
          <w:numId w:val="28"/>
        </w:numPr>
        <w:spacing w:after="120"/>
        <w:ind w:left="1417" w:hanging="425"/>
        <w:rPr>
          <w:rFonts w:ascii="Arial" w:hAnsi="Arial" w:cs="Arial"/>
          <w:noProof/>
          <w:lang w:val="en-GB"/>
        </w:rPr>
      </w:pPr>
      <w:r>
        <w:rPr>
          <w:rFonts w:ascii="Arial" w:hAnsi="Arial" w:cs="Arial"/>
          <w:noProof/>
          <w:lang w:val="en-GB"/>
        </w:rPr>
        <w:t>The Commission did not refer any cases to the Court under Article 260(2)TFEU.</w:t>
      </w:r>
    </w:p>
    <w:p>
      <w:pPr>
        <w:pStyle w:val="Title1"/>
        <w:rPr>
          <w:noProof/>
        </w:rPr>
      </w:pPr>
      <w:r>
        <w:rPr>
          <w:noProof/>
        </w:rPr>
        <w:t>EARLY RESOLUTION OF INFRINGEMENT CASES</w:t>
      </w:r>
    </w:p>
    <w:p>
      <w:pPr>
        <w:pStyle w:val="Subtitle"/>
        <w:ind w:left="360"/>
        <w:rPr>
          <w:noProof/>
        </w:rPr>
      </w:pPr>
      <w:bookmarkStart w:id="15" w:name="_Toc434503208"/>
      <w:r>
        <w:rPr>
          <w:noProof/>
        </w:rPr>
        <w:t xml:space="preserve">Major cases closed without a Court judgment in </w:t>
      </w:r>
      <w:bookmarkEnd w:id="15"/>
      <w:r>
        <w:rPr>
          <w:noProof/>
        </w:rPr>
        <w:t>2016</w:t>
      </w:r>
    </w:p>
    <w:p>
      <w:pPr>
        <w:pStyle w:val="Basis"/>
        <w:rPr>
          <w:rFonts w:ascii="Arial" w:hAnsi="Arial" w:cs="Arial"/>
          <w:noProof/>
          <w:lang w:val="en-GB"/>
        </w:rPr>
      </w:pPr>
      <w:r>
        <w:rPr>
          <w:rFonts w:ascii="Arial" w:hAnsi="Arial" w:cs="Arial"/>
          <w:noProof/>
          <w:lang w:val="en-GB"/>
        </w:rPr>
        <w:t>The Commission did not close any major infringement cases in 2016 in this area.</w:t>
      </w:r>
    </w:p>
    <w:p>
      <w:pPr>
        <w:pStyle w:val="Title1"/>
        <w:rPr>
          <w:noProof/>
        </w:rPr>
      </w:pPr>
      <w:r>
        <w:rPr>
          <w:noProof/>
        </w:rPr>
        <w:t>IMPORTANT JUDGMENTS</w:t>
      </w:r>
    </w:p>
    <w:p>
      <w:pPr>
        <w:numPr>
          <w:ilvl w:val="0"/>
          <w:numId w:val="52"/>
        </w:numPr>
        <w:spacing w:after="60"/>
        <w:jc w:val="left"/>
        <w:outlineLvl w:val="1"/>
        <w:rPr>
          <w:noProof/>
        </w:rPr>
      </w:pPr>
      <w:bookmarkStart w:id="16" w:name="_Toc434503209"/>
      <w:r>
        <w:rPr>
          <w:noProof/>
        </w:rPr>
        <w:t>Court rulings</w:t>
      </w:r>
      <w:bookmarkEnd w:id="16"/>
    </w:p>
    <w:p>
      <w:pPr>
        <w:pStyle w:val="Basis"/>
        <w:rPr>
          <w:rFonts w:ascii="Arial" w:hAnsi="Arial" w:cs="Arial"/>
          <w:noProof/>
          <w:lang w:val="en-GB"/>
        </w:rPr>
      </w:pPr>
      <w:r>
        <w:rPr>
          <w:rFonts w:ascii="Arial" w:hAnsi="Arial" w:cs="Arial"/>
          <w:noProof/>
          <w:lang w:val="en-GB"/>
        </w:rPr>
        <w:t>There were no major Court rulings in 2016 in this area.</w:t>
      </w:r>
    </w:p>
    <w:p>
      <w:pPr>
        <w:numPr>
          <w:ilvl w:val="0"/>
          <w:numId w:val="52"/>
        </w:numPr>
        <w:spacing w:after="60"/>
        <w:jc w:val="left"/>
        <w:outlineLvl w:val="1"/>
        <w:rPr>
          <w:noProof/>
        </w:rPr>
      </w:pPr>
      <w:bookmarkStart w:id="17" w:name="_Toc434503210"/>
      <w:r>
        <w:rPr>
          <w:noProof/>
        </w:rPr>
        <w:t>Preliminary rulings</w:t>
      </w:r>
      <w:bookmarkEnd w:id="17"/>
    </w:p>
    <w:p>
      <w:pPr>
        <w:ind w:left="720"/>
        <w:rPr>
          <w:rFonts w:cs="Arial"/>
          <w:noProof/>
          <w:sz w:val="20"/>
        </w:rPr>
      </w:pPr>
      <w:r>
        <w:rPr>
          <w:rFonts w:cs="Arial"/>
          <w:noProof/>
          <w:sz w:val="20"/>
        </w:rPr>
        <w:t>In preliminary rulings, the Court held that:</w:t>
      </w:r>
    </w:p>
    <w:p>
      <w:pPr>
        <w:numPr>
          <w:ilvl w:val="0"/>
          <w:numId w:val="25"/>
        </w:numPr>
        <w:spacing w:after="200" w:line="276" w:lineRule="auto"/>
        <w:ind w:left="2132"/>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 the EU poultry meat labelling rules are compatible with the Charter of Fundamental Rights’ freedom to conduct a business and do not discriminate by requiring the indication of the total price and the price per weight unit on the pre-packaging or on the attached label;</w:t>
      </w:r>
      <w:r>
        <w:rPr>
          <w:rFonts w:eastAsia="Calibri"/>
          <w:noProof/>
          <w:vertAlign w:val="superscript"/>
        </w:rPr>
        <w:footnoteReference w:id="4"/>
      </w:r>
    </w:p>
    <w:p>
      <w:pPr>
        <w:numPr>
          <w:ilvl w:val="0"/>
          <w:numId w:val="25"/>
        </w:numPr>
        <w:spacing w:after="200" w:line="276" w:lineRule="auto"/>
        <w:ind w:left="2132"/>
        <w:contextualSpacing/>
        <w:rPr>
          <w:rFonts w:eastAsia="Calibri" w:cs="Arial"/>
          <w:noProof/>
          <w:kern w:val="20"/>
          <w:sz w:val="20"/>
        </w:rPr>
      </w:pPr>
      <w:r>
        <w:rPr>
          <w:rFonts w:eastAsia="Calibri" w:cs="Arial"/>
          <w:i/>
          <w:noProof/>
          <w:kern w:val="20"/>
          <w:sz w:val="20"/>
        </w:rPr>
        <w:t>Finland</w:t>
      </w:r>
      <w:r>
        <w:rPr>
          <w:rFonts w:eastAsia="Calibri" w:cs="Arial"/>
          <w:noProof/>
          <w:kern w:val="20"/>
          <w:sz w:val="20"/>
        </w:rPr>
        <w:t>: when assessing whether the name of a spirit drink can be classified as an ‘evocation’ of a protected geographical indication, national courts must refer to the perception of the average European consumer who is reasonably well informed, observant and circumspect, and must take into consideration the phonetic and visual relationship between the names concerned and any evidence showing that such a relationship is not fortuitous. Evocation may exist even in the absence of any likelihood of confusion between the products concerned. The Court clarified these aspects in a case about the marketing of a Finnish spirit drink named ‘Verlados’.</w:t>
      </w:r>
      <w:r>
        <w:rPr>
          <w:rStyle w:val="FootnoteReference"/>
          <w:rFonts w:eastAsia="Calibri" w:cs="Arial"/>
          <w:noProof/>
          <w:kern w:val="20"/>
          <w:sz w:val="20"/>
        </w:rPr>
        <w:footnoteReference w:id="5"/>
      </w:r>
    </w:p>
    <w:p>
      <w:pPr>
        <w:pStyle w:val="Title1"/>
        <w:rPr>
          <w:noProof/>
        </w:rPr>
      </w:pPr>
      <w:r>
        <w:rPr>
          <w:noProof/>
        </w:rPr>
        <w:t>Outlook</w:t>
      </w:r>
    </w:p>
    <w:p>
      <w:pPr>
        <w:pStyle w:val="Subtitle"/>
        <w:rPr>
          <w:noProof/>
        </w:rPr>
      </w:pPr>
      <w:bookmarkStart w:id="18" w:name="_Toc434503211"/>
      <w:r>
        <w:rPr>
          <w:noProof/>
        </w:rPr>
        <w:t>Important implementation work in 2017 includes:</w:t>
      </w:r>
      <w:bookmarkEnd w:id="18"/>
    </w:p>
    <w:p>
      <w:pPr>
        <w:pStyle w:val="ListParagraph"/>
        <w:numPr>
          <w:ilvl w:val="0"/>
          <w:numId w:val="27"/>
        </w:numPr>
        <w:ind w:left="1276"/>
        <w:rPr>
          <w:rFonts w:cs="Arial"/>
          <w:noProof/>
          <w:sz w:val="20"/>
        </w:rPr>
      </w:pPr>
      <w:r>
        <w:rPr>
          <w:rFonts w:cs="Arial"/>
          <w:noProof/>
          <w:sz w:val="20"/>
        </w:rPr>
        <w:t>ensuring the correct and effective application of the rules of the common agricultural policy;</w:t>
      </w:r>
    </w:p>
    <w:p>
      <w:pPr>
        <w:pStyle w:val="ListParagraph"/>
        <w:numPr>
          <w:ilvl w:val="0"/>
          <w:numId w:val="27"/>
        </w:numPr>
        <w:ind w:left="1276"/>
        <w:rPr>
          <w:rFonts w:cs="Arial"/>
          <w:noProof/>
          <w:sz w:val="20"/>
        </w:rPr>
      </w:pPr>
      <w:r>
        <w:rPr>
          <w:noProof/>
          <w:sz w:val="20"/>
        </w:rPr>
        <w:t>pursuing legal action against Member States failing to apply correctly the mechanisms of the common market organisation and the direct payments regime</w:t>
      </w:r>
      <w:r>
        <w:rPr>
          <w:rFonts w:cs="Arial"/>
          <w:noProof/>
          <w:sz w:val="20"/>
        </w:rPr>
        <w:t>;</w:t>
      </w:r>
    </w:p>
    <w:p>
      <w:pPr>
        <w:pStyle w:val="ListParagraph"/>
        <w:numPr>
          <w:ilvl w:val="0"/>
          <w:numId w:val="27"/>
        </w:numPr>
        <w:ind w:left="1276"/>
        <w:rPr>
          <w:rFonts w:eastAsia="Calibri"/>
          <w:noProof/>
        </w:rPr>
      </w:pPr>
      <w:r>
        <w:rPr>
          <w:rFonts w:cs="Arial"/>
          <w:noProof/>
          <w:sz w:val="20"/>
        </w:rPr>
        <w:t>continuing to make use of the clearance of accounts procedure in the agricultural sector to persuade Member States to adjust their management and control systems when infringements have been detected through conformity audit mechanisms.</w:t>
      </w:r>
    </w:p>
    <w:p>
      <w:pPr>
        <w:pStyle w:val="ListParagraph"/>
        <w:ind w:left="2160"/>
        <w:rPr>
          <w:rFonts w:cs="Arial"/>
          <w:noProof/>
          <w:sz w:val="20"/>
        </w:rPr>
        <w:sectPr>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19" w:name="_Toc443057934"/>
      <w:bookmarkStart w:id="20" w:name="_Toc475524731"/>
      <w:bookmarkStart w:id="21" w:name="_Toc475529498"/>
      <w:bookmarkStart w:id="22" w:name="_Toc475529537"/>
      <w:bookmarkStart w:id="23" w:name="_Toc475529865"/>
      <w:bookmarkStart w:id="24" w:name="_Toc475550830"/>
      <w:bookmarkStart w:id="25" w:name="_Toc475551370"/>
      <w:bookmarkStart w:id="26" w:name="_Toc484622459"/>
      <w:r>
        <w:rPr>
          <w:noProof/>
        </w:rPr>
        <w:t>Communications networks, content and technology</w:t>
      </w:r>
      <w:bookmarkEnd w:id="19"/>
      <w:bookmarkEnd w:id="20"/>
      <w:bookmarkEnd w:id="21"/>
      <w:bookmarkEnd w:id="22"/>
      <w:bookmarkEnd w:id="23"/>
      <w:bookmarkEnd w:id="24"/>
      <w:bookmarkEnd w:id="25"/>
      <w:bookmarkEnd w:id="26"/>
    </w:p>
    <w:p>
      <w:pPr>
        <w:rPr>
          <w:i/>
          <w:noProof/>
        </w:rPr>
      </w:pPr>
      <w:r>
        <w:rPr>
          <w:i/>
          <w:noProof/>
        </w:rPr>
        <w:t>In 2016 new complaints in the area of communications networks, content and technology dropped slightly from the previous year´s peak. New EU Pilot files also fell back to the low level seen in 2014. The number of infringement cases pending at the end of the year almost doubled, however. The Commission opened 50 new late transposition cases, almost three times as many as in 2015.</w:t>
      </w:r>
    </w:p>
    <w:p>
      <w:pPr>
        <w:pStyle w:val="Title1"/>
        <w:numPr>
          <w:ilvl w:val="0"/>
          <w:numId w:val="34"/>
        </w:numPr>
        <w:rPr>
          <w:noProof/>
        </w:rPr>
      </w:pPr>
      <w:r>
        <w:rPr>
          <w:noProof/>
        </w:rPr>
        <w:t>COMPLAINTS</w:t>
      </w:r>
    </w:p>
    <w:p>
      <w:pPr>
        <w:numPr>
          <w:ilvl w:val="0"/>
          <w:numId w:val="48"/>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602480" cy="1874520"/>
            <wp:effectExtent l="0" t="0" r="26670" b="11430"/>
            <wp:docPr id="6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numPr>
          <w:ilvl w:val="0"/>
          <w:numId w:val="48"/>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81"/>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69</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66</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48</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87</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48"/>
        </w:numPr>
        <w:spacing w:after="120"/>
        <w:ind w:left="714" w:hanging="357"/>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506980"/>
            <wp:effectExtent l="0" t="0" r="22860" b="26670"/>
            <wp:docPr id="6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after="0"/>
        <w:jc w:val="left"/>
        <w:rPr>
          <w:rFonts w:ascii="Verdana" w:hAnsi="Verdana"/>
          <w:noProof/>
          <w:sz w:val="20"/>
        </w:rPr>
      </w:pPr>
      <w:r>
        <w:rPr>
          <w:rFonts w:ascii="Verdana" w:hAnsi="Verdana"/>
          <w:noProof/>
          <w:sz w:val="20"/>
        </w:rPr>
        <w:br w:type="page"/>
      </w:r>
    </w:p>
    <w:p>
      <w:pPr>
        <w:numPr>
          <w:ilvl w:val="0"/>
          <w:numId w:val="30"/>
        </w:numPr>
        <w:rPr>
          <w:caps/>
          <w:noProof/>
          <w:color w:val="4F81BD"/>
          <w:sz w:val="24"/>
          <w:szCs w:val="24"/>
        </w:rPr>
      </w:pPr>
      <w:r>
        <w:rPr>
          <w:caps/>
          <w:noProof/>
          <w:color w:val="4F81BD"/>
          <w:sz w:val="24"/>
          <w:szCs w:val="24"/>
        </w:rPr>
        <w:t>EU PILOT</w:t>
      </w:r>
    </w:p>
    <w:p>
      <w:pPr>
        <w:numPr>
          <w:ilvl w:val="0"/>
          <w:numId w:val="56"/>
        </w:numPr>
        <w:spacing w:after="60"/>
        <w:jc w:val="left"/>
        <w:outlineLvl w:val="1"/>
        <w:rPr>
          <w:noProof/>
        </w:rPr>
      </w:pPr>
      <w:r>
        <w:rPr>
          <w:noProof/>
        </w:rPr>
        <w:t>New EU Pilot files (2012-2016)</w:t>
      </w:r>
    </w:p>
    <w:p>
      <w:pPr>
        <w:ind w:left="720"/>
        <w:rPr>
          <w:rFonts w:ascii="Verdana" w:hAnsi="Verdana"/>
          <w:noProof/>
          <w:sz w:val="20"/>
        </w:rPr>
      </w:pPr>
      <w:r>
        <w:rPr>
          <w:rFonts w:ascii="Verdana" w:hAnsi="Verdana"/>
          <w:noProof/>
          <w:sz w:val="20"/>
          <w:lang w:val="en-US"/>
        </w:rPr>
        <w:drawing>
          <wp:inline distT="0" distB="0" distL="0" distR="0">
            <wp:extent cx="4619625" cy="2019300"/>
            <wp:effectExtent l="0" t="0" r="9525" b="19050"/>
            <wp:docPr id="6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numPr>
          <w:ilvl w:val="0"/>
          <w:numId w:val="56"/>
        </w:numPr>
        <w:spacing w:after="60"/>
        <w:jc w:val="left"/>
        <w:outlineLvl w:val="1"/>
        <w:rPr>
          <w:noProof/>
          <w:color w:val="002060"/>
          <w:szCs w:val="22"/>
        </w:rPr>
      </w:pPr>
      <w:r>
        <w:rPr>
          <w:noProof/>
        </w:rPr>
        <w:t>EU Pilot files open at year-end</w:t>
      </w:r>
    </w:p>
    <w:p>
      <w:pPr>
        <w:pStyle w:val="ListParagraph"/>
        <w:rPr>
          <w:noProof/>
          <w:sz w:val="20"/>
        </w:rPr>
      </w:pPr>
      <w:r>
        <w:rPr>
          <w:noProof/>
          <w:sz w:val="20"/>
        </w:rPr>
        <w:t>At the end of 2016, 38 EU Pilot files remained open.</w:t>
      </w:r>
    </w:p>
    <w:p>
      <w:pPr>
        <w:numPr>
          <w:ilvl w:val="0"/>
          <w:numId w:val="56"/>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369820"/>
            <wp:effectExtent l="0" t="0" r="26670" b="11430"/>
            <wp:docPr id="6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numPr>
          <w:ilvl w:val="0"/>
          <w:numId w:val="56"/>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color w:val="00B050"/>
          <w:sz w:val="20"/>
          <w:lang w:val="en-US"/>
        </w:rPr>
        <w:drawing>
          <wp:inline distT="0" distB="0" distL="0" distR="0">
            <wp:extent cx="4600575" cy="2486025"/>
            <wp:effectExtent l="0" t="0" r="9525" b="9525"/>
            <wp:docPr id="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numPr>
          <w:ilvl w:val="0"/>
          <w:numId w:val="30"/>
        </w:numPr>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w:t>
      </w:r>
    </w:p>
    <w:p>
      <w:pPr>
        <w:ind w:left="720"/>
        <w:rPr>
          <w:rFonts w:cs="Arial"/>
          <w:noProof/>
          <w:sz w:val="20"/>
        </w:rPr>
      </w:pPr>
      <w:r>
        <w:rPr>
          <w:rFonts w:cs="Arial"/>
          <w:noProof/>
          <w:sz w:val="20"/>
        </w:rPr>
        <w:t>The Commission did not open any own-initiative infringement cases in this area in 2016.</w:t>
      </w:r>
    </w:p>
    <w:p>
      <w:pPr>
        <w:numPr>
          <w:ilvl w:val="0"/>
          <w:numId w:val="30"/>
        </w:numPr>
        <w:rPr>
          <w:caps/>
          <w:noProof/>
          <w:color w:val="4F81BD"/>
          <w:sz w:val="24"/>
          <w:szCs w:val="24"/>
        </w:rPr>
      </w:pPr>
      <w:r>
        <w:rPr>
          <w:caps/>
          <w:noProof/>
          <w:color w:val="4F81BD"/>
          <w:sz w:val="24"/>
          <w:szCs w:val="24"/>
        </w:rPr>
        <w:t>INFRINGEMENT CASES</w:t>
      </w:r>
    </w:p>
    <w:p>
      <w:pPr>
        <w:numPr>
          <w:ilvl w:val="0"/>
          <w:numId w:val="53"/>
        </w:numPr>
        <w:spacing w:after="60"/>
        <w:jc w:val="left"/>
        <w:outlineLvl w:val="1"/>
        <w:rPr>
          <w:noProof/>
          <w:color w:val="002060"/>
          <w:szCs w:val="22"/>
        </w:rPr>
      </w:pPr>
      <w:r>
        <w:rPr>
          <w:noProof/>
          <w:color w:val="002060"/>
          <w:szCs w:val="22"/>
        </w:rPr>
        <w:t>Infringement cases open on 31 December (2012-2016)</w:t>
      </w:r>
    </w:p>
    <w:p>
      <w:pPr>
        <w:ind w:left="720"/>
        <w:rPr>
          <w:rFonts w:ascii="Verdana" w:hAnsi="Verdana"/>
          <w:noProof/>
          <w:sz w:val="20"/>
          <w:u w:val="single"/>
        </w:rPr>
      </w:pPr>
      <w:r>
        <w:rPr>
          <w:rFonts w:ascii="Verdana" w:hAnsi="Verdana"/>
          <w:noProof/>
          <w:sz w:val="20"/>
          <w:lang w:val="en-US"/>
        </w:rPr>
        <w:drawing>
          <wp:inline distT="0" distB="0" distL="0" distR="0">
            <wp:extent cx="4602480" cy="2118360"/>
            <wp:effectExtent l="0" t="0" r="26670" b="15240"/>
            <wp:docPr id="6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numPr>
          <w:ilvl w:val="0"/>
          <w:numId w:val="53"/>
        </w:numPr>
        <w:spacing w:after="60"/>
        <w:jc w:val="left"/>
        <w:outlineLvl w:val="1"/>
        <w:rPr>
          <w:noProof/>
          <w:color w:val="002060"/>
          <w:szCs w:val="22"/>
        </w:rPr>
      </w:pPr>
      <w:r>
        <w:rPr>
          <w:noProof/>
          <w:color w:val="002060"/>
          <w:szCs w:val="22"/>
        </w:rPr>
        <w:t>Infringement cases open on 31 December 2016: main policy sectors</w:t>
      </w:r>
    </w:p>
    <w:p>
      <w:pPr>
        <w:pStyle w:val="Basis"/>
        <w:rPr>
          <w:noProof/>
          <w:lang w:val="en-GB"/>
        </w:rPr>
      </w:pPr>
      <w:r>
        <w:rPr>
          <w:noProof/>
        </w:rPr>
        <w:drawing>
          <wp:inline distT="0" distB="0" distL="0" distR="0">
            <wp:extent cx="4549140" cy="2263140"/>
            <wp:effectExtent l="0" t="0" r="22860" b="22860"/>
            <wp:docPr id="11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numPr>
          <w:ilvl w:val="0"/>
          <w:numId w:val="53"/>
        </w:numPr>
        <w:spacing w:after="60"/>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49140" cy="2240280"/>
            <wp:effectExtent l="0" t="0" r="22860" b="26670"/>
            <wp:docPr id="7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numPr>
          <w:ilvl w:val="0"/>
          <w:numId w:val="53"/>
        </w:numPr>
        <w:spacing w:after="120"/>
        <w:ind w:left="714" w:hanging="357"/>
        <w:jc w:val="left"/>
        <w:outlineLvl w:val="1"/>
        <w:rPr>
          <w:noProof/>
          <w:color w:val="002060"/>
          <w:szCs w:val="22"/>
        </w:rPr>
      </w:pPr>
      <w:r>
        <w:rPr>
          <w:noProof/>
          <w:color w:val="002060"/>
          <w:szCs w:val="22"/>
        </w:rPr>
        <w:t>Key infringement cases and referrals to the Court</w:t>
      </w:r>
    </w:p>
    <w:p>
      <w:pPr>
        <w:pStyle w:val="Lijstje"/>
        <w:numPr>
          <w:ilvl w:val="0"/>
          <w:numId w:val="109"/>
        </w:numPr>
        <w:spacing w:after="120"/>
        <w:ind w:hanging="426"/>
        <w:rPr>
          <w:rFonts w:ascii="Arial" w:hAnsi="Arial" w:cs="Arial"/>
          <w:noProof/>
          <w:lang w:val="en-GB"/>
        </w:rPr>
      </w:pPr>
      <w:r>
        <w:rPr>
          <w:rFonts w:ascii="Arial" w:hAnsi="Arial" w:cs="Arial"/>
          <w:noProof/>
          <w:lang w:val="en-GB"/>
        </w:rPr>
        <w:t>The Commission opened 53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Greece</w:t>
      </w:r>
      <w:r>
        <w:rPr>
          <w:rFonts w:ascii="Arial" w:hAnsi="Arial" w:cs="Arial"/>
          <w:noProof/>
          <w:lang w:val="en-GB"/>
        </w:rPr>
        <w:t>: non-compliance with the rules under the Authorisation and Framework Directives regarding the independence of the national regulatory authority and rules on digital terrestrial television broadcasting;</w:t>
      </w:r>
      <w:r>
        <w:rPr>
          <w:rStyle w:val="FootnoteReference"/>
          <w:rFonts w:ascii="Arial" w:hAnsi="Arial" w:cs="Arial"/>
          <w:noProof/>
          <w:lang w:val="en-GB"/>
        </w:rPr>
        <w:footnoteReference w:id="6"/>
      </w:r>
    </w:p>
    <w:p>
      <w:pPr>
        <w:pStyle w:val="Lijstje2"/>
        <w:ind w:left="1843"/>
        <w:rPr>
          <w:rFonts w:ascii="Arial" w:hAnsi="Arial" w:cs="Arial"/>
          <w:noProof/>
          <w:lang w:val="en-GB"/>
        </w:rPr>
      </w:pPr>
      <w:r>
        <w:rPr>
          <w:rFonts w:ascii="Arial" w:hAnsi="Arial" w:cs="Arial"/>
          <w:i/>
          <w:noProof/>
          <w:lang w:val="en-GB"/>
        </w:rPr>
        <w:t xml:space="preserve">Poland: </w:t>
      </w:r>
      <w:r>
        <w:rPr>
          <w:rFonts w:ascii="Arial" w:hAnsi="Arial" w:cs="Arial"/>
          <w:noProof/>
          <w:lang w:val="en-GB"/>
        </w:rPr>
        <w:t>non-compliance with the rules under the Authorisation Directive, the Framework Directive and the Directive on competition in the market for communications networks and services as regards the spectrum assignment to a specific company without an open procedure.</w:t>
      </w:r>
      <w:r>
        <w:rPr>
          <w:rStyle w:val="FootnoteReference"/>
          <w:rFonts w:ascii="Arial" w:hAnsi="Arial" w:cs="Arial"/>
          <w:noProof/>
          <w:lang w:val="en-GB"/>
        </w:rPr>
        <w:footnoteReference w:id="7"/>
      </w:r>
    </w:p>
    <w:p>
      <w:pPr>
        <w:pStyle w:val="Lijstje"/>
        <w:numPr>
          <w:ilvl w:val="0"/>
          <w:numId w:val="109"/>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numPr>
          <w:ilvl w:val="0"/>
          <w:numId w:val="109"/>
        </w:numPr>
        <w:spacing w:after="200"/>
        <w:ind w:left="1417" w:hanging="425"/>
        <w:rPr>
          <w:rFonts w:eastAsia="Calibri" w:cs="Arial"/>
          <w:noProof/>
          <w:kern w:val="20"/>
          <w:sz w:val="20"/>
        </w:rPr>
      </w:pPr>
      <w:r>
        <w:rPr>
          <w:rFonts w:eastAsia="Calibri" w:cs="Arial"/>
          <w:noProof/>
          <w:kern w:val="20"/>
          <w:sz w:val="20"/>
        </w:rPr>
        <w:t>The Commission did not refer any cases to the Court under Article 260(2) TFEU.</w:t>
      </w:r>
    </w:p>
    <w:p>
      <w:pPr>
        <w:numPr>
          <w:ilvl w:val="0"/>
          <w:numId w:val="30"/>
        </w:numPr>
        <w:spacing w:after="200"/>
        <w:ind w:left="714" w:hanging="357"/>
        <w:rPr>
          <w:caps/>
          <w:noProof/>
          <w:color w:val="4F81BD"/>
          <w:sz w:val="24"/>
          <w:szCs w:val="24"/>
        </w:rPr>
      </w:pPr>
      <w:r>
        <w:rPr>
          <w:caps/>
          <w:noProof/>
          <w:color w:val="4F81BD"/>
          <w:sz w:val="24"/>
          <w:szCs w:val="24"/>
        </w:rPr>
        <w:t>TRANSPOSITION OF DIRECTIVES</w:t>
      </w:r>
    </w:p>
    <w:p>
      <w:pPr>
        <w:numPr>
          <w:ilvl w:val="0"/>
          <w:numId w:val="54"/>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419600" cy="1988820"/>
            <wp:effectExtent l="0" t="0" r="19050" b="11430"/>
            <wp:docPr id="72"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numPr>
          <w:ilvl w:val="0"/>
          <w:numId w:val="54"/>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noProof/>
          <w:sz w:val="20"/>
        </w:rPr>
      </w:pPr>
      <w:r>
        <w:rPr>
          <w:noProof/>
          <w:sz w:val="20"/>
        </w:rPr>
        <w:t>The Commission opened 50 new late transposition infringement cases in the area of electronic communication</w:t>
      </w:r>
      <w:r>
        <w:rPr>
          <w:rStyle w:val="FootnoteReference"/>
          <w:noProof/>
          <w:sz w:val="20"/>
        </w:rPr>
        <w:footnoteReference w:id="8"/>
      </w:r>
      <w:r>
        <w:rPr>
          <w:noProof/>
          <w:sz w:val="20"/>
        </w:rPr>
        <w:t xml:space="preserve"> and copyright</w:t>
      </w:r>
      <w:r>
        <w:rPr>
          <w:rStyle w:val="FootnoteReference"/>
          <w:noProof/>
        </w:rPr>
        <w:footnoteReference w:id="9"/>
      </w:r>
      <w:r>
        <w:rPr>
          <w:noProof/>
          <w:sz w:val="20"/>
        </w:rPr>
        <w:t xml:space="preserve"> (see below).</w:t>
      </w:r>
    </w:p>
    <w:p>
      <w:pPr>
        <w:ind w:left="720"/>
        <w:rPr>
          <w:noProof/>
        </w:rPr>
      </w:pPr>
      <w:r>
        <w:rPr>
          <w:rFonts w:ascii="Verdana" w:hAnsi="Verdana"/>
          <w:noProof/>
          <w:sz w:val="20"/>
          <w:lang w:val="en-US"/>
        </w:rPr>
        <w:drawing>
          <wp:inline distT="0" distB="0" distL="0" distR="0">
            <wp:extent cx="4587240" cy="2286000"/>
            <wp:effectExtent l="0" t="0" r="22860" b="19050"/>
            <wp:docPr id="99"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numPr>
          <w:ilvl w:val="0"/>
          <w:numId w:val="54"/>
        </w:numPr>
        <w:spacing w:after="60"/>
        <w:jc w:val="left"/>
        <w:outlineLvl w:val="1"/>
        <w:rPr>
          <w:noProof/>
          <w:color w:val="002060"/>
          <w:szCs w:val="22"/>
        </w:rPr>
      </w:pPr>
      <w:r>
        <w:rPr>
          <w:noProof/>
          <w:color w:val="002060"/>
          <w:szCs w:val="22"/>
        </w:rPr>
        <w:t>Key infringement cases and referrals to the Court</w:t>
      </w:r>
    </w:p>
    <w:p>
      <w:pPr>
        <w:numPr>
          <w:ilvl w:val="0"/>
          <w:numId w:val="124"/>
        </w:numPr>
        <w:spacing w:after="120"/>
        <w:ind w:hanging="426"/>
        <w:rPr>
          <w:rFonts w:eastAsia="Calibri" w:cs="Arial"/>
          <w:noProof/>
          <w:kern w:val="20"/>
          <w:sz w:val="20"/>
        </w:rPr>
      </w:pPr>
      <w:r>
        <w:rPr>
          <w:rFonts w:eastAsia="Calibri" w:cs="Arial"/>
          <w:noProof/>
          <w:kern w:val="20"/>
          <w:sz w:val="20"/>
        </w:rPr>
        <w:t>The Commission opened 50 cases for late transposition in 2016. Most concern:</w:t>
      </w:r>
    </w:p>
    <w:p>
      <w:pPr>
        <w:numPr>
          <w:ilvl w:val="0"/>
          <w:numId w:val="25"/>
        </w:numPr>
        <w:spacing w:after="200"/>
        <w:ind w:left="2132" w:hanging="426"/>
        <w:contextualSpacing/>
        <w:rPr>
          <w:rFonts w:eastAsia="Calibri"/>
          <w:noProof/>
          <w:sz w:val="20"/>
        </w:rPr>
      </w:pPr>
      <w:r>
        <w:rPr>
          <w:noProof/>
          <w:sz w:val="20"/>
        </w:rPr>
        <w:t>the Collective Management Rights Directive (23 cases);</w:t>
      </w:r>
      <w:r>
        <w:rPr>
          <w:rStyle w:val="FootnoteReference"/>
          <w:noProof/>
          <w:sz w:val="20"/>
        </w:rPr>
        <w:footnoteReference w:id="10"/>
      </w:r>
    </w:p>
    <w:p>
      <w:pPr>
        <w:numPr>
          <w:ilvl w:val="0"/>
          <w:numId w:val="25"/>
        </w:numPr>
        <w:spacing w:after="120"/>
        <w:ind w:left="2132" w:hanging="425"/>
        <w:rPr>
          <w:rFonts w:eastAsia="Calibri"/>
          <w:noProof/>
          <w:sz w:val="20"/>
        </w:rPr>
      </w:pPr>
      <w:r>
        <w:rPr>
          <w:noProof/>
          <w:sz w:val="20"/>
        </w:rPr>
        <w:t>the Broadband Cost-Reduction Directive (20 cases).</w:t>
      </w:r>
      <w:r>
        <w:rPr>
          <w:rStyle w:val="FootnoteReference"/>
          <w:noProof/>
          <w:sz w:val="20"/>
        </w:rPr>
        <w:footnoteReference w:id="11"/>
      </w:r>
    </w:p>
    <w:p>
      <w:pPr>
        <w:numPr>
          <w:ilvl w:val="0"/>
          <w:numId w:val="124"/>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spacing w:after="200"/>
        <w:ind w:firstLine="720"/>
        <w:contextualSpacing/>
        <w:rPr>
          <w:caps/>
          <w:noProof/>
          <w:color w:val="4F81BD"/>
          <w:sz w:val="24"/>
          <w:szCs w:val="24"/>
        </w:rPr>
      </w:pPr>
      <w:r>
        <w:rPr>
          <w:rFonts w:eastAsia="Calibri" w:cs="Arial"/>
          <w:noProof/>
          <w:kern w:val="20"/>
          <w:sz w:val="20"/>
        </w:rPr>
        <w:t>The Commission did not close any major infringement cases in 2016 in this</w:t>
      </w:r>
      <w:r>
        <w:rPr>
          <w:rFonts w:cs="Arial"/>
          <w:noProof/>
          <w:sz w:val="20"/>
        </w:rPr>
        <w:t xml:space="preserve"> area.</w:t>
      </w:r>
    </w:p>
    <w:p>
      <w:pPr>
        <w:pStyle w:val="Title1"/>
        <w:rPr>
          <w:caps w:val="0"/>
          <w:noProof/>
        </w:rPr>
      </w:pPr>
      <w:r>
        <w:rPr>
          <w:noProof/>
        </w:rPr>
        <w:t>IMPORTANT JUDGMENTS</w:t>
      </w:r>
    </w:p>
    <w:p>
      <w:pPr>
        <w:numPr>
          <w:ilvl w:val="0"/>
          <w:numId w:val="55"/>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12"/>
      </w:r>
    </w:p>
    <w:p>
      <w:pPr>
        <w:ind w:left="720"/>
        <w:rPr>
          <w:rFonts w:cs="Arial"/>
          <w:noProof/>
          <w:sz w:val="20"/>
        </w:rPr>
      </w:pPr>
      <w:r>
        <w:rPr>
          <w:rFonts w:cs="Arial"/>
          <w:noProof/>
          <w:sz w:val="20"/>
        </w:rPr>
        <w:t>There were no major Court rulings in 2016</w:t>
      </w:r>
      <w:r>
        <w:rPr>
          <w:noProof/>
          <w:sz w:val="20"/>
        </w:rPr>
        <w:t xml:space="preserve"> in this area</w:t>
      </w:r>
      <w:r>
        <w:rPr>
          <w:rFonts w:cs="Arial"/>
          <w:noProof/>
          <w:sz w:val="20"/>
        </w:rPr>
        <w:t>.</w:t>
      </w:r>
    </w:p>
    <w:p>
      <w:pPr>
        <w:numPr>
          <w:ilvl w:val="0"/>
          <w:numId w:val="55"/>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pStyle w:val="Lijstje2"/>
        <w:rPr>
          <w:noProof/>
          <w:lang w:val="en-GB"/>
        </w:rPr>
      </w:pPr>
      <w:r>
        <w:rPr>
          <w:rFonts w:ascii="Arial" w:hAnsi="Arial" w:cs="Arial"/>
          <w:i/>
          <w:noProof/>
          <w:lang w:val="en-GB"/>
        </w:rPr>
        <w:t xml:space="preserve">Denmark: </w:t>
      </w:r>
      <w:r>
        <w:rPr>
          <w:rFonts w:ascii="Arial" w:hAnsi="Arial" w:cs="Arial"/>
          <w:noProof/>
          <w:lang w:val="en-GB"/>
        </w:rPr>
        <w:t>the Universal Service Directive</w:t>
      </w:r>
      <w:r>
        <w:rPr>
          <w:rStyle w:val="FootnoteReference"/>
          <w:noProof/>
          <w:lang w:val="en-GB"/>
        </w:rPr>
        <w:footnoteReference w:id="13"/>
      </w:r>
      <w:r>
        <w:rPr>
          <w:rFonts w:ascii="Arial" w:hAnsi="Arial" w:cs="Arial"/>
          <w:noProof/>
          <w:lang w:val="en-GB"/>
        </w:rPr>
        <w:t xml:space="preserve"> must be interpreted as precluding national legislation under which an undertaking designated as the provider of additional mandatory services is entitled to compensation from the Member State for the net cost of providing those services only if that cost constitutes an unfair burden on that undertaking;</w:t>
      </w:r>
      <w:r>
        <w:rPr>
          <w:rStyle w:val="FootnoteReference"/>
          <w:noProof/>
          <w:lang w:val="en-GB"/>
        </w:rPr>
        <w:footnoteReference w:id="14"/>
      </w:r>
    </w:p>
    <w:p>
      <w:pPr>
        <w:pStyle w:val="Lijstje2"/>
        <w:rPr>
          <w:noProof/>
          <w:lang w:val="en-GB"/>
        </w:rPr>
      </w:pPr>
      <w:r>
        <w:rPr>
          <w:rFonts w:ascii="Arial" w:hAnsi="Arial" w:cs="Arial"/>
          <w:i/>
          <w:noProof/>
          <w:lang w:val="en-GB"/>
        </w:rPr>
        <w:t xml:space="preserve">Germany: </w:t>
      </w:r>
      <w:r>
        <w:rPr>
          <w:rFonts w:ascii="Arial" w:hAnsi="Arial" w:cs="Arial"/>
          <w:noProof/>
          <w:lang w:val="en-GB"/>
        </w:rPr>
        <w:t>when a person provides access to somebody else’s content through open internet access, the person whose rights are breached cannot claim compensation from the access provider for that breach by a third party. However, it can claim compensation from the access provider if the infringement continues;</w:t>
      </w:r>
      <w:r>
        <w:rPr>
          <w:rStyle w:val="FootnoteReference"/>
          <w:noProof/>
          <w:lang w:val="en-GB"/>
        </w:rPr>
        <w:footnoteReference w:id="15"/>
      </w:r>
    </w:p>
    <w:p>
      <w:pPr>
        <w:pStyle w:val="Lijstje2"/>
        <w:rPr>
          <w:noProof/>
          <w:lang w:val="en-GB"/>
        </w:rPr>
      </w:pPr>
      <w:r>
        <w:rPr>
          <w:rFonts w:ascii="Arial" w:hAnsi="Arial" w:cs="Arial"/>
          <w:i/>
          <w:noProof/>
          <w:lang w:val="en-GB"/>
        </w:rPr>
        <w:t>Spain:</w:t>
      </w:r>
      <w:r>
        <w:rPr>
          <w:rFonts w:ascii="Arial" w:hAnsi="Arial"/>
          <w:i/>
          <w:noProof/>
          <w:lang w:val="en-GB"/>
        </w:rPr>
        <w:t xml:space="preserve"> </w:t>
      </w:r>
      <w:r>
        <w:rPr>
          <w:rFonts w:ascii="Arial" w:hAnsi="Arial" w:cs="Arial"/>
          <w:noProof/>
          <w:lang w:val="en-GB"/>
        </w:rPr>
        <w:t xml:space="preserve">the Framework Directive on electronic communications networks and services </w:t>
      </w:r>
      <w:r>
        <w:rPr>
          <w:rStyle w:val="FootnoteReference"/>
          <w:noProof/>
          <w:lang w:val="en-GB"/>
        </w:rPr>
        <w:footnoteReference w:id="16"/>
      </w:r>
      <w:r>
        <w:rPr>
          <w:rFonts w:ascii="Arial" w:hAnsi="Arial"/>
          <w:noProof/>
          <w:lang w:val="en-GB"/>
        </w:rPr>
        <w:t xml:space="preserve"> </w:t>
      </w:r>
      <w:r>
        <w:rPr>
          <w:rFonts w:ascii="Arial" w:hAnsi="Arial" w:cs="Arial"/>
          <w:noProof/>
          <w:lang w:val="en-GB"/>
        </w:rPr>
        <w:t>does not preclude the possibility for national regulatory authorities to merge into one multisectoral authority, provided that, in performing those tasks, that body meets the requirements of competence, independence, impartiality and transparency laid down by the Directive. In addition, an effective right of appeal to an independent body against its decisions must be available, which is a matter to be determined by the national court;</w:t>
      </w:r>
      <w:r>
        <w:rPr>
          <w:rStyle w:val="FootnoteReference"/>
          <w:noProof/>
          <w:lang w:val="en-GB"/>
        </w:rPr>
        <w:footnoteReference w:id="17"/>
      </w:r>
    </w:p>
    <w:p>
      <w:pPr>
        <w:pStyle w:val="Lijstje2"/>
        <w:rPr>
          <w:noProof/>
          <w:lang w:val="en-GB"/>
        </w:rPr>
      </w:pPr>
      <w:r>
        <w:rPr>
          <w:rFonts w:ascii="Arial" w:hAnsi="Arial" w:cs="Arial"/>
          <w:i/>
          <w:noProof/>
          <w:lang w:val="en-GB"/>
        </w:rPr>
        <w:t>Netherlands:</w:t>
      </w:r>
      <w:r>
        <w:rPr>
          <w:rFonts w:ascii="Arial" w:hAnsi="Arial"/>
          <w:i/>
          <w:noProof/>
          <w:lang w:val="en-GB"/>
        </w:rPr>
        <w:t xml:space="preserve"> </w:t>
      </w:r>
      <w:r>
        <w:rPr>
          <w:rFonts w:ascii="Arial" w:hAnsi="Arial" w:cs="Arial"/>
          <w:noProof/>
          <w:lang w:val="en-GB"/>
        </w:rPr>
        <w:t>w</w:t>
      </w:r>
      <w:r>
        <w:rPr>
          <w:rFonts w:ascii="Arial" w:hAnsi="Arial" w:cs="Arial"/>
          <w:bCs/>
          <w:noProof/>
          <w:lang w:val="en-GB"/>
        </w:rPr>
        <w:t>hen a hyperlink is posted by the manager of a website to copyright-protected works made available on another website without the authorisation of the right holder, and no profit is</w:t>
      </w:r>
      <w:r>
        <w:rPr>
          <w:rFonts w:ascii="Arial" w:hAnsi="Arial"/>
          <w:noProof/>
          <w:lang w:val="en-GB"/>
        </w:rPr>
        <w:t xml:space="preserve"> pursued by the person posting the hyperlink, such a person can be considered, as a general rule, as not knowing or unable to reasonably know that the work was published without the consent of the right holder. However, when it is established that a person knew or ought to have known that the hyperlink provides access to a work illegally placed on the internet, the provision of the link constitutes a communication to the public. Such knowledge is presumed when the posting of hyperlinks is carried out for profit</w:t>
      </w:r>
      <w:r>
        <w:rPr>
          <w:rFonts w:ascii="Arial" w:hAnsi="Arial" w:cs="Arial"/>
          <w:noProof/>
          <w:lang w:val="en-GB"/>
        </w:rPr>
        <w:t>;</w:t>
      </w:r>
      <w:r>
        <w:rPr>
          <w:rStyle w:val="FootnoteReference"/>
          <w:noProof/>
          <w:lang w:val="en-GB"/>
        </w:rPr>
        <w:footnoteReference w:id="18"/>
      </w:r>
    </w:p>
    <w:p>
      <w:pPr>
        <w:pStyle w:val="Lijstje2"/>
        <w:rPr>
          <w:rFonts w:ascii="Arial" w:hAnsi="Arial"/>
          <w:noProof/>
          <w:lang w:val="en-GB"/>
        </w:rPr>
      </w:pPr>
      <w:r>
        <w:rPr>
          <w:rFonts w:ascii="Arial" w:hAnsi="Arial" w:cs="Arial"/>
          <w:i/>
          <w:noProof/>
          <w:lang w:val="en-GB"/>
        </w:rPr>
        <w:t>Netherlands:</w:t>
      </w:r>
      <w:r>
        <w:rPr>
          <w:rFonts w:ascii="Arial" w:hAnsi="Arial" w:cs="Arial"/>
          <w:noProof/>
          <w:lang w:val="en-GB"/>
        </w:rPr>
        <w:t xml:space="preserve"> under the Directive on rental and lending rights,</w:t>
      </w:r>
      <w:r>
        <w:rPr>
          <w:rStyle w:val="FootnoteReference"/>
          <w:rFonts w:ascii="Arial" w:hAnsi="Arial" w:cs="Arial"/>
          <w:noProof/>
          <w:lang w:val="en-GB"/>
        </w:rPr>
        <w:footnoteReference w:id="19"/>
      </w:r>
      <w:r>
        <w:rPr>
          <w:rFonts w:ascii="Arial" w:hAnsi="Arial" w:cs="Arial"/>
          <w:noProof/>
          <w:lang w:val="en-GB"/>
        </w:rPr>
        <w:t xml:space="preserve"> the term ‘lending’ covers the lending of a digital copy of a book, where the lending is carried out by placing that copy on the server of a public library and allowing a user to reproduce that copy by downloading it onto his own computer. Only one copy may be downloaded and it can only be used during the lending period;</w:t>
      </w:r>
      <w:r>
        <w:rPr>
          <w:rStyle w:val="FootnoteReference"/>
          <w:rFonts w:ascii="Arial" w:hAnsi="Arial" w:cs="Arial"/>
          <w:noProof/>
          <w:lang w:val="en-GB"/>
        </w:rPr>
        <w:footnoteReference w:id="20"/>
      </w:r>
    </w:p>
    <w:p>
      <w:pPr>
        <w:pStyle w:val="Lijstje2"/>
        <w:rPr>
          <w:noProof/>
          <w:lang w:val="en-GB"/>
        </w:rPr>
      </w:pPr>
      <w:r>
        <w:rPr>
          <w:rFonts w:ascii="Arial" w:hAnsi="Arial" w:cs="Arial"/>
          <w:i/>
          <w:noProof/>
          <w:lang w:val="en-GB"/>
        </w:rPr>
        <w:t>Poland</w:t>
      </w:r>
      <w:r>
        <w:rPr>
          <w:rFonts w:ascii="Arial" w:hAnsi="Arial"/>
          <w:noProof/>
          <w:lang w:val="en-GB"/>
        </w:rPr>
        <w:t xml:space="preserve">: </w:t>
      </w:r>
      <w:r>
        <w:rPr>
          <w:rFonts w:ascii="Arial" w:hAnsi="Arial" w:cs="Arial"/>
          <w:noProof/>
          <w:lang w:val="en-GB"/>
        </w:rPr>
        <w:t>the Universal Services Directive</w:t>
      </w:r>
      <w:r>
        <w:rPr>
          <w:rStyle w:val="FootnoteReference"/>
          <w:noProof/>
          <w:lang w:val="en-GB"/>
        </w:rPr>
        <w:footnoteReference w:id="21"/>
      </w:r>
      <w:r>
        <w:rPr>
          <w:rFonts w:ascii="Arial" w:hAnsi="Arial" w:cs="Arial"/>
          <w:noProof/>
          <w:lang w:val="en-GB"/>
        </w:rPr>
        <w:t xml:space="preserve"> must be interpreted to mean that a Member State may provide that an operator of a public electronic communications network must ensure that all end users are able to access non-geographic numbers on its network in that State, and not only those of other Member States;</w:t>
      </w:r>
      <w:r>
        <w:rPr>
          <w:rStyle w:val="FootnoteReference"/>
          <w:noProof/>
          <w:lang w:val="en-GB"/>
        </w:rPr>
        <w:footnoteReference w:id="22"/>
      </w:r>
    </w:p>
    <w:p>
      <w:pPr>
        <w:pStyle w:val="Lijstje2"/>
        <w:rPr>
          <w:rFonts w:ascii="Arial" w:hAnsi="Arial"/>
          <w:noProof/>
          <w:lang w:val="en-GB"/>
        </w:rPr>
      </w:pPr>
      <w:r>
        <w:rPr>
          <w:rFonts w:ascii="Arial" w:hAnsi="Arial" w:cs="Arial"/>
          <w:i/>
          <w:noProof/>
          <w:lang w:val="en-GB"/>
        </w:rPr>
        <w:t xml:space="preserve">Finland: </w:t>
      </w:r>
      <w:r>
        <w:rPr>
          <w:rFonts w:ascii="Arial" w:hAnsi="Arial" w:cs="Arial"/>
          <w:noProof/>
          <w:lang w:val="en-GB"/>
        </w:rPr>
        <w:t>a separation between a programme’s closing credits and advertising can be made spatially and not necessarily also optically or acoustically, as long as the advertising remains readily recognisable and distinguishable from editorial content. The Court also held that sponsorship announcements not placed at the beginning or end of a programme, as well as so-called black seconds that briefly separate one advertising spot from another, must be counted within the hourly limit for advertising;</w:t>
      </w:r>
      <w:r>
        <w:rPr>
          <w:rStyle w:val="FootnoteReference"/>
          <w:rFonts w:ascii="Arial" w:hAnsi="Arial" w:cs="Arial"/>
          <w:noProof/>
          <w:lang w:val="en-GB"/>
        </w:rPr>
        <w:footnoteReference w:id="23"/>
      </w:r>
    </w:p>
    <w:p>
      <w:pPr>
        <w:pStyle w:val="Lijstje2"/>
        <w:rPr>
          <w:rFonts w:ascii="Arial" w:hAnsi="Arial"/>
          <w:noProof/>
          <w:lang w:val="en-GB"/>
        </w:rPr>
      </w:pPr>
      <w:r>
        <w:rPr>
          <w:rFonts w:ascii="Arial" w:hAnsi="Arial" w:cs="Arial"/>
          <w:i/>
          <w:noProof/>
          <w:lang w:val="en-GB"/>
        </w:rPr>
        <w:t>Sweden and United Kingdom</w:t>
      </w:r>
      <w:r>
        <w:rPr>
          <w:rFonts w:ascii="Arial" w:hAnsi="Arial"/>
          <w:i/>
          <w:noProof/>
          <w:lang w:val="en-GB"/>
        </w:rPr>
        <w:t xml:space="preserve">: </w:t>
      </w:r>
      <w:r>
        <w:rPr>
          <w:rFonts w:ascii="Arial" w:hAnsi="Arial" w:cs="Arial"/>
          <w:noProof/>
          <w:lang w:val="en-GB"/>
        </w:rPr>
        <w:t>under the Directive on privacy and electronic communications</w:t>
      </w:r>
      <w:r>
        <w:rPr>
          <w:rStyle w:val="FootnoteReference"/>
          <w:noProof/>
          <w:lang w:val="en-GB"/>
        </w:rPr>
        <w:footnoteReference w:id="24"/>
      </w:r>
      <w:r>
        <w:rPr>
          <w:rFonts w:ascii="Arial" w:hAnsi="Arial" w:cs="Arial"/>
          <w:noProof/>
          <w:lang w:val="en-GB"/>
        </w:rPr>
        <w:t xml:space="preserve"> Member States may establish, as a preventive measure, a targeted retention of data solely for the purpose of fighting serious crime, provided that such retention is limited to what is strictly necessary regarding the categories of data to be retained, the means of communication affected, the persons concerned and the duration of the retention period. The Court further clarified that the access of national authorities to the retained data must be subject to conditions, including prior review by an independent authority, and that the data must be retained within the EU.</w:t>
      </w:r>
      <w:r>
        <w:rPr>
          <w:rStyle w:val="FootnoteReference"/>
          <w:noProof/>
          <w:lang w:val="en-GB"/>
        </w:rPr>
        <w:footnoteReference w:id="25"/>
      </w:r>
    </w:p>
    <w:p>
      <w:pPr>
        <w:numPr>
          <w:ilvl w:val="0"/>
          <w:numId w:val="30"/>
        </w:numPr>
        <w:rPr>
          <w:caps/>
          <w:noProof/>
          <w:color w:val="4F81BD"/>
          <w:sz w:val="24"/>
          <w:szCs w:val="24"/>
        </w:rPr>
      </w:pPr>
      <w:r>
        <w:rPr>
          <w:caps/>
          <w:noProof/>
          <w:color w:val="4F81BD"/>
          <w:sz w:val="24"/>
          <w:szCs w:val="24"/>
        </w:rPr>
        <w:t>Outlook</w:t>
      </w:r>
    </w:p>
    <w:p>
      <w:pPr>
        <w:spacing w:after="120"/>
        <w:ind w:left="357"/>
        <w:jc w:val="left"/>
        <w:outlineLvl w:val="1"/>
        <w:rPr>
          <w:noProof/>
          <w:color w:val="002060"/>
          <w:szCs w:val="22"/>
        </w:rPr>
      </w:pPr>
      <w:r>
        <w:rPr>
          <w:noProof/>
          <w:color w:val="002060"/>
          <w:szCs w:val="22"/>
        </w:rPr>
        <w:t>Important implementation work in 2017 includes:</w:t>
      </w:r>
    </w:p>
    <w:p>
      <w:pPr>
        <w:numPr>
          <w:ilvl w:val="0"/>
          <w:numId w:val="27"/>
        </w:numPr>
        <w:autoSpaceDE w:val="0"/>
        <w:autoSpaceDN w:val="0"/>
        <w:adjustRightInd w:val="0"/>
        <w:spacing w:after="0"/>
        <w:ind w:left="993" w:hanging="283"/>
        <w:rPr>
          <w:noProof/>
          <w:sz w:val="20"/>
        </w:rPr>
      </w:pPr>
      <w:r>
        <w:rPr>
          <w:noProof/>
          <w:sz w:val="20"/>
        </w:rPr>
        <w:t>monitoring the correct application of EU law in the fields of the single market for telecommunications, with a focus on the correct application of the ‘roam like at home’ principle and of EU law on e-signatures and trust services. This concerns:</w:t>
      </w:r>
    </w:p>
    <w:p>
      <w:pPr>
        <w:numPr>
          <w:ilvl w:val="0"/>
          <w:numId w:val="27"/>
        </w:numPr>
        <w:autoSpaceDE w:val="0"/>
        <w:autoSpaceDN w:val="0"/>
        <w:adjustRightInd w:val="0"/>
        <w:spacing w:after="0"/>
        <w:ind w:left="2410" w:hanging="283"/>
        <w:rPr>
          <w:noProof/>
          <w:sz w:val="20"/>
        </w:rPr>
      </w:pPr>
      <w:r>
        <w:rPr>
          <w:noProof/>
          <w:sz w:val="20"/>
        </w:rPr>
        <w:t>the Regulation laying down measures concerning open internet access;</w:t>
      </w:r>
      <w:r>
        <w:rPr>
          <w:rStyle w:val="FootnoteReference"/>
          <w:noProof/>
          <w:sz w:val="20"/>
        </w:rPr>
        <w:t xml:space="preserve"> </w:t>
      </w:r>
      <w:r>
        <w:rPr>
          <w:rStyle w:val="FootnoteReference"/>
          <w:noProof/>
          <w:sz w:val="20"/>
        </w:rPr>
        <w:footnoteReference w:id="26"/>
      </w:r>
      <w:r>
        <w:rPr>
          <w:noProof/>
          <w:sz w:val="20"/>
        </w:rPr>
        <w:t xml:space="preserve">  </w:t>
      </w:r>
    </w:p>
    <w:p>
      <w:pPr>
        <w:numPr>
          <w:ilvl w:val="0"/>
          <w:numId w:val="27"/>
        </w:numPr>
        <w:autoSpaceDE w:val="0"/>
        <w:autoSpaceDN w:val="0"/>
        <w:adjustRightInd w:val="0"/>
        <w:spacing w:after="0"/>
        <w:ind w:left="2410" w:hanging="283"/>
        <w:rPr>
          <w:noProof/>
          <w:sz w:val="20"/>
        </w:rPr>
      </w:pPr>
      <w:r>
        <w:rPr>
          <w:noProof/>
          <w:sz w:val="20"/>
        </w:rPr>
        <w:t>the Regulation</w:t>
      </w:r>
      <w:r>
        <w:rPr>
          <w:noProof/>
          <w:sz w:val="20"/>
          <w:vertAlign w:val="superscript"/>
        </w:rPr>
        <w:t xml:space="preserve"> </w:t>
      </w:r>
      <w:r>
        <w:rPr>
          <w:noProof/>
          <w:sz w:val="20"/>
        </w:rPr>
        <w:t>on electronic identification and trust services for electronic transactions in the internal market;</w:t>
      </w:r>
      <w:r>
        <w:rPr>
          <w:rStyle w:val="FootnoteReference"/>
          <w:noProof/>
        </w:rPr>
        <w:footnoteReference w:id="27"/>
      </w:r>
    </w:p>
    <w:p>
      <w:pPr>
        <w:numPr>
          <w:ilvl w:val="0"/>
          <w:numId w:val="27"/>
        </w:numPr>
        <w:autoSpaceDE w:val="0"/>
        <w:autoSpaceDN w:val="0"/>
        <w:adjustRightInd w:val="0"/>
        <w:spacing w:after="0"/>
        <w:ind w:left="993" w:hanging="283"/>
        <w:rPr>
          <w:noProof/>
          <w:sz w:val="20"/>
        </w:rPr>
      </w:pPr>
      <w:r>
        <w:rPr>
          <w:noProof/>
          <w:sz w:val="20"/>
        </w:rPr>
        <w:t>monitoring the transposition of:</w:t>
      </w:r>
    </w:p>
    <w:p>
      <w:pPr>
        <w:numPr>
          <w:ilvl w:val="0"/>
          <w:numId w:val="27"/>
        </w:numPr>
        <w:autoSpaceDE w:val="0"/>
        <w:autoSpaceDN w:val="0"/>
        <w:adjustRightInd w:val="0"/>
        <w:spacing w:after="0"/>
        <w:ind w:left="2410" w:hanging="283"/>
        <w:rPr>
          <w:noProof/>
          <w:sz w:val="20"/>
        </w:rPr>
      </w:pPr>
      <w:r>
        <w:rPr>
          <w:noProof/>
          <w:sz w:val="20"/>
        </w:rPr>
        <w:t>the Broadband Cost-Reduction Directive;</w:t>
      </w:r>
      <w:r>
        <w:rPr>
          <w:rStyle w:val="FootnoteReference"/>
          <w:noProof/>
          <w:sz w:val="20"/>
        </w:rPr>
        <w:footnoteReference w:id="28"/>
      </w:r>
    </w:p>
    <w:p>
      <w:pPr>
        <w:numPr>
          <w:ilvl w:val="0"/>
          <w:numId w:val="27"/>
        </w:numPr>
        <w:autoSpaceDE w:val="0"/>
        <w:autoSpaceDN w:val="0"/>
        <w:adjustRightInd w:val="0"/>
        <w:spacing w:after="0"/>
        <w:ind w:left="2410" w:hanging="283"/>
        <w:rPr>
          <w:noProof/>
          <w:sz w:val="20"/>
        </w:rPr>
      </w:pPr>
      <w:r>
        <w:rPr>
          <w:noProof/>
          <w:sz w:val="20"/>
        </w:rPr>
        <w:t>the Collective Management Rights Directive.</w:t>
      </w:r>
      <w:r>
        <w:rPr>
          <w:rStyle w:val="FootnoteReference"/>
          <w:noProof/>
          <w:sz w:val="20"/>
        </w:rPr>
        <w:footnoteReference w:id="29"/>
      </w:r>
    </w:p>
    <w:p>
      <w:pPr>
        <w:rPr>
          <w:noProof/>
        </w:rPr>
      </w:pPr>
    </w:p>
    <w:p>
      <w:pPr>
        <w:rPr>
          <w:rFonts w:cs="Arial"/>
          <w:noProof/>
          <w:sz w:val="20"/>
        </w:rPr>
        <w:sectPr>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39" w:code="9"/>
          <w:pgMar w:top="1985" w:right="1275" w:bottom="737" w:left="1418" w:header="567" w:footer="352" w:gutter="0"/>
          <w:cols w:space="720"/>
          <w:titlePg/>
          <w:docGrid w:linePitch="326"/>
        </w:sectPr>
      </w:pPr>
    </w:p>
    <w:p>
      <w:pPr>
        <w:pStyle w:val="Heading1"/>
        <w:ind w:left="0"/>
        <w:rPr>
          <w:noProof/>
        </w:rPr>
      </w:pPr>
      <w:bookmarkStart w:id="27" w:name="_Toc443057936"/>
      <w:bookmarkStart w:id="28" w:name="_Toc475524732"/>
      <w:bookmarkStart w:id="29" w:name="_Toc475529499"/>
      <w:bookmarkStart w:id="30" w:name="_Toc475529538"/>
      <w:bookmarkStart w:id="31" w:name="_Toc475529866"/>
      <w:bookmarkStart w:id="32" w:name="_Toc475550831"/>
      <w:bookmarkStart w:id="33" w:name="_Toc475551371"/>
      <w:bookmarkStart w:id="34" w:name="_Toc484622460"/>
      <w:r>
        <w:rPr>
          <w:noProof/>
        </w:rPr>
        <w:t>Employment, social affairs and inclusion</w:t>
      </w:r>
      <w:bookmarkEnd w:id="27"/>
      <w:bookmarkEnd w:id="28"/>
      <w:bookmarkEnd w:id="29"/>
      <w:bookmarkEnd w:id="30"/>
      <w:bookmarkEnd w:id="31"/>
      <w:bookmarkEnd w:id="32"/>
      <w:bookmarkEnd w:id="33"/>
      <w:bookmarkEnd w:id="34"/>
    </w:p>
    <w:p>
      <w:pPr>
        <w:rPr>
          <w:i/>
          <w:noProof/>
        </w:rPr>
      </w:pPr>
      <w:r>
        <w:rPr>
          <w:i/>
          <w:noProof/>
        </w:rPr>
        <w:t>In 2016 new complaints in the area of employment, social affairs and inclusion rose to a five-year peak but the number of new EU Pilot files fell again, reaching its lowest since 2012. Open infringement cases at the end of the year rose for the third year running. The Commission sharply increased the number of new cases it launched for late transposition of directives.</w:t>
      </w:r>
    </w:p>
    <w:p>
      <w:pPr>
        <w:pStyle w:val="Title1"/>
        <w:numPr>
          <w:ilvl w:val="0"/>
          <w:numId w:val="35"/>
        </w:numPr>
        <w:rPr>
          <w:noProof/>
        </w:rPr>
      </w:pPr>
      <w:r>
        <w:rPr>
          <w:noProof/>
        </w:rPr>
        <w:t>COMPLAINTS</w:t>
      </w:r>
    </w:p>
    <w:p>
      <w:pPr>
        <w:numPr>
          <w:ilvl w:val="0"/>
          <w:numId w:val="57"/>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587240" cy="2171700"/>
            <wp:effectExtent l="0" t="0" r="22860" b="19050"/>
            <wp:docPr id="29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numPr>
          <w:ilvl w:val="0"/>
          <w:numId w:val="57"/>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460"/>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416</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679</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610</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485</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18"/>
        </w:rPr>
      </w:pPr>
    </w:p>
    <w:p>
      <w:pPr>
        <w:numPr>
          <w:ilvl w:val="0"/>
          <w:numId w:val="57"/>
        </w:numPr>
        <w:spacing w:after="120"/>
        <w:ind w:left="714" w:hanging="357"/>
        <w:jc w:val="left"/>
        <w:outlineLvl w:val="1"/>
        <w:rPr>
          <w:noProof/>
          <w:color w:val="002060"/>
          <w:szCs w:val="22"/>
        </w:rPr>
      </w:pPr>
      <w:r>
        <w:rPr>
          <w:noProof/>
          <w:color w:val="002060"/>
          <w:szCs w:val="22"/>
        </w:rPr>
        <w:t>New complaints registered in 2016: main policy sectors</w:t>
      </w:r>
    </w:p>
    <w:p>
      <w:pPr>
        <w:ind w:left="720"/>
        <w:rPr>
          <w:noProof/>
          <w:sz w:val="20"/>
        </w:rPr>
      </w:pPr>
      <w:r>
        <w:rPr>
          <w:rFonts w:ascii="Verdana" w:hAnsi="Verdana"/>
          <w:noProof/>
          <w:sz w:val="20"/>
          <w:lang w:val="en-US"/>
        </w:rPr>
        <w:drawing>
          <wp:inline distT="0" distB="0" distL="0" distR="0">
            <wp:extent cx="4587240" cy="2377440"/>
            <wp:effectExtent l="0" t="0" r="22860" b="22860"/>
            <wp:docPr id="29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58"/>
        </w:numPr>
        <w:spacing w:after="120"/>
        <w:ind w:left="714" w:hanging="357"/>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87240" cy="2080260"/>
            <wp:effectExtent l="0" t="0" r="22860" b="15240"/>
            <wp:docPr id="29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numPr>
          <w:ilvl w:val="0"/>
          <w:numId w:val="58"/>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45 EU Pilot files remained open.</w:t>
      </w:r>
    </w:p>
    <w:p>
      <w:pPr>
        <w:numPr>
          <w:ilvl w:val="0"/>
          <w:numId w:val="58"/>
        </w:numPr>
        <w:spacing w:after="120"/>
        <w:ind w:left="714" w:hanging="357"/>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339340"/>
            <wp:effectExtent l="0" t="0" r="26670" b="22860"/>
            <wp:docPr id="29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numPr>
          <w:ilvl w:val="0"/>
          <w:numId w:val="58"/>
        </w:numPr>
        <w:spacing w:after="120"/>
        <w:ind w:left="714" w:hanging="357"/>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color w:val="00B050"/>
          <w:sz w:val="20"/>
          <w:lang w:val="en-US"/>
        </w:rPr>
        <w:drawing>
          <wp:inline distT="0" distB="0" distL="0" distR="0">
            <wp:extent cx="4581525" cy="2219325"/>
            <wp:effectExtent l="0" t="0" r="9525" b="9525"/>
            <wp:docPr id="29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spacing w:after="200"/>
        <w:ind w:left="714" w:hanging="357"/>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 in 2016</w:t>
      </w:r>
    </w:p>
    <w:p>
      <w:pPr>
        <w:ind w:left="720"/>
        <w:rPr>
          <w:rFonts w:cs="Arial"/>
          <w:noProof/>
          <w:sz w:val="20"/>
        </w:rPr>
      </w:pPr>
      <w:r>
        <w:rPr>
          <w:rFonts w:cs="Arial"/>
          <w:noProof/>
          <w:sz w:val="20"/>
        </w:rPr>
        <w:t>The Commission did not open any own-initiative infringement cases in 2016 in this area.</w:t>
      </w:r>
    </w:p>
    <w:p>
      <w:pPr>
        <w:numPr>
          <w:ilvl w:val="0"/>
          <w:numId w:val="30"/>
        </w:numPr>
        <w:spacing w:after="120"/>
        <w:ind w:left="714" w:hanging="357"/>
        <w:rPr>
          <w:caps/>
          <w:noProof/>
          <w:color w:val="4F81BD"/>
          <w:sz w:val="24"/>
          <w:szCs w:val="24"/>
        </w:rPr>
      </w:pPr>
      <w:r>
        <w:rPr>
          <w:caps/>
          <w:noProof/>
          <w:color w:val="4F81BD"/>
          <w:sz w:val="24"/>
          <w:szCs w:val="24"/>
        </w:rPr>
        <w:t>INFRINGEMENT CASES</w:t>
      </w:r>
    </w:p>
    <w:p>
      <w:pPr>
        <w:numPr>
          <w:ilvl w:val="0"/>
          <w:numId w:val="59"/>
        </w:numPr>
        <w:spacing w:after="120"/>
        <w:ind w:left="714" w:hanging="357"/>
        <w:jc w:val="left"/>
        <w:outlineLvl w:val="1"/>
        <w:rPr>
          <w:noProof/>
          <w:color w:val="002060"/>
          <w:szCs w:val="22"/>
        </w:rPr>
      </w:pPr>
      <w:r>
        <w:rPr>
          <w:noProof/>
          <w:color w:val="002060"/>
          <w:szCs w:val="22"/>
        </w:rPr>
        <w:t>Infringement cases open on 31 December (2012-2016)</w:t>
      </w:r>
    </w:p>
    <w:p>
      <w:pPr>
        <w:ind w:left="720"/>
        <w:rPr>
          <w:rFonts w:ascii="Verdana" w:hAnsi="Verdana"/>
          <w:noProof/>
          <w:sz w:val="20"/>
          <w:u w:val="single"/>
        </w:rPr>
      </w:pPr>
      <w:r>
        <w:rPr>
          <w:rFonts w:ascii="Verdana" w:hAnsi="Verdana"/>
          <w:noProof/>
          <w:sz w:val="20"/>
          <w:lang w:val="en-US"/>
        </w:rPr>
        <w:drawing>
          <wp:inline distT="0" distB="0" distL="0" distR="0">
            <wp:extent cx="4587240" cy="2133600"/>
            <wp:effectExtent l="0" t="0" r="22860" b="19050"/>
            <wp:docPr id="298"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numPr>
          <w:ilvl w:val="0"/>
          <w:numId w:val="59"/>
        </w:numPr>
        <w:spacing w:after="120"/>
        <w:ind w:left="714" w:hanging="357"/>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32660"/>
            <wp:effectExtent l="0" t="0" r="22860" b="15240"/>
            <wp:docPr id="29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numPr>
          <w:ilvl w:val="0"/>
          <w:numId w:val="59"/>
        </w:numPr>
        <w:spacing w:after="120"/>
        <w:ind w:left="714" w:hanging="357"/>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25040"/>
            <wp:effectExtent l="0" t="0" r="22860" b="22860"/>
            <wp:docPr id="30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after="0"/>
        <w:jc w:val="left"/>
        <w:rPr>
          <w:noProof/>
          <w:color w:val="002060"/>
          <w:szCs w:val="22"/>
        </w:rPr>
      </w:pPr>
      <w:r>
        <w:rPr>
          <w:noProof/>
          <w:color w:val="002060"/>
          <w:szCs w:val="22"/>
        </w:rPr>
        <w:br w:type="page"/>
      </w:r>
    </w:p>
    <w:p>
      <w:pPr>
        <w:numPr>
          <w:ilvl w:val="0"/>
          <w:numId w:val="59"/>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0"/>
        </w:numPr>
        <w:spacing w:after="120"/>
        <w:ind w:hanging="426"/>
        <w:rPr>
          <w:rFonts w:ascii="Arial" w:hAnsi="Arial" w:cs="Arial"/>
          <w:noProof/>
          <w:lang w:val="en-GB"/>
        </w:rPr>
      </w:pPr>
      <w:r>
        <w:rPr>
          <w:rFonts w:ascii="Arial" w:hAnsi="Arial" w:cs="Arial"/>
          <w:noProof/>
          <w:lang w:val="en-GB"/>
        </w:rPr>
        <w:t>The Commission opened 39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Germany</w:t>
      </w:r>
      <w:r>
        <w:rPr>
          <w:rFonts w:ascii="Arial" w:hAnsi="Arial" w:cs="Arial"/>
          <w:noProof/>
          <w:lang w:val="en-GB"/>
        </w:rPr>
        <w:t>: late transposition of the Directive</w:t>
      </w:r>
      <w:r>
        <w:rPr>
          <w:rStyle w:val="FootnoteReference"/>
          <w:rFonts w:ascii="Arial" w:hAnsi="Arial" w:cs="Arial"/>
          <w:noProof/>
          <w:lang w:val="en-GB"/>
        </w:rPr>
        <w:footnoteReference w:id="30"/>
      </w:r>
      <w:r>
        <w:rPr>
          <w:rFonts w:ascii="Arial" w:hAnsi="Arial" w:cs="Arial"/>
          <w:noProof/>
          <w:lang w:val="en-GB"/>
        </w:rPr>
        <w:t xml:space="preserve"> aligning various rules to the Regulation</w:t>
      </w:r>
      <w:r>
        <w:rPr>
          <w:rStyle w:val="FootnoteReference"/>
          <w:rFonts w:ascii="Arial" w:hAnsi="Arial" w:cs="Arial"/>
          <w:noProof/>
          <w:lang w:val="en-GB"/>
        </w:rPr>
        <w:footnoteReference w:id="31"/>
      </w:r>
      <w:r>
        <w:rPr>
          <w:rFonts w:ascii="Arial" w:hAnsi="Arial" w:cs="Arial"/>
          <w:noProof/>
          <w:lang w:val="en-GB"/>
        </w:rPr>
        <w:t xml:space="preserve"> on classification, labelling and packaging of substances and mixtures;</w:t>
      </w:r>
    </w:p>
    <w:p>
      <w:pPr>
        <w:pStyle w:val="Lijstje2"/>
        <w:ind w:left="1843"/>
        <w:rPr>
          <w:rFonts w:ascii="Arial" w:hAnsi="Arial" w:cs="Arial"/>
          <w:noProof/>
          <w:lang w:val="en-GB"/>
        </w:rPr>
      </w:pPr>
      <w:r>
        <w:rPr>
          <w:rFonts w:ascii="Arial" w:hAnsi="Arial" w:cs="Arial"/>
          <w:i/>
          <w:noProof/>
          <w:lang w:val="en-GB"/>
        </w:rPr>
        <w:t>Spain</w:t>
      </w:r>
      <w:r>
        <w:rPr>
          <w:rFonts w:ascii="Arial" w:hAnsi="Arial" w:cs="Arial"/>
          <w:noProof/>
          <w:lang w:val="en-GB"/>
        </w:rPr>
        <w:t>: the less favourable treatment of fixed-term staff in the public sector. This  raises concerns under the Fixed-Term Work Directive</w:t>
      </w:r>
      <w:r>
        <w:rPr>
          <w:rStyle w:val="FootnoteReference"/>
          <w:rFonts w:ascii="Arial" w:hAnsi="Arial" w:cs="Arial"/>
          <w:noProof/>
          <w:lang w:val="en-GB"/>
        </w:rPr>
        <w:t>.</w:t>
      </w:r>
      <w:r>
        <w:rPr>
          <w:rStyle w:val="FootnoteReference"/>
          <w:rFonts w:ascii="Arial" w:hAnsi="Arial" w:cs="Arial"/>
          <w:noProof/>
          <w:lang w:val="en-GB"/>
        </w:rPr>
        <w:footnoteReference w:id="32"/>
      </w:r>
    </w:p>
    <w:p>
      <w:pPr>
        <w:pStyle w:val="Lijstje"/>
        <w:numPr>
          <w:ilvl w:val="0"/>
          <w:numId w:val="110"/>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110"/>
        </w:numPr>
        <w:spacing w:after="120"/>
        <w:ind w:hanging="426"/>
        <w:rPr>
          <w:rFonts w:ascii="Arial" w:hAnsi="Arial" w:cs="Arial"/>
          <w:noProof/>
          <w:lang w:val="en-GB"/>
        </w:rPr>
      </w:pPr>
      <w:r>
        <w:rPr>
          <w:rFonts w:ascii="Arial" w:hAnsi="Arial" w:cs="Arial"/>
          <w:noProof/>
          <w:lang w:val="en-GB"/>
        </w:rPr>
        <w:t>The Commission did not refer any cases to the Court under Article 260(2) TFEU.</w:t>
      </w:r>
    </w:p>
    <w:p>
      <w:pPr>
        <w:numPr>
          <w:ilvl w:val="0"/>
          <w:numId w:val="30"/>
        </w:numPr>
        <w:rPr>
          <w:caps/>
          <w:noProof/>
          <w:color w:val="4F81BD"/>
          <w:sz w:val="24"/>
          <w:szCs w:val="24"/>
        </w:rPr>
      </w:pPr>
      <w:r>
        <w:rPr>
          <w:caps/>
          <w:noProof/>
          <w:color w:val="4F81BD"/>
          <w:sz w:val="24"/>
          <w:szCs w:val="24"/>
        </w:rPr>
        <w:t>TRANSPOSITION OF DIRECTIVES</w:t>
      </w:r>
    </w:p>
    <w:p>
      <w:pPr>
        <w:numPr>
          <w:ilvl w:val="0"/>
          <w:numId w:val="60"/>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587240" cy="2095500"/>
            <wp:effectExtent l="0" t="0" r="22860" b="19050"/>
            <wp:docPr id="30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numPr>
          <w:ilvl w:val="0"/>
          <w:numId w:val="60"/>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noProof/>
          <w:sz w:val="20"/>
        </w:rPr>
      </w:pPr>
      <w:r>
        <w:rPr>
          <w:rFonts w:ascii="Verdana" w:hAnsi="Verdana"/>
          <w:noProof/>
          <w:sz w:val="20"/>
          <w:lang w:val="en-US"/>
        </w:rPr>
        <w:drawing>
          <wp:inline distT="0" distB="0" distL="0" distR="0">
            <wp:extent cx="4587240" cy="2316480"/>
            <wp:effectExtent l="0" t="0" r="22860" b="26670"/>
            <wp:docPr id="92"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numPr>
          <w:ilvl w:val="0"/>
          <w:numId w:val="60"/>
        </w:numPr>
        <w:spacing w:after="60"/>
        <w:jc w:val="left"/>
        <w:outlineLvl w:val="1"/>
        <w:rPr>
          <w:noProof/>
          <w:color w:val="002060"/>
          <w:szCs w:val="22"/>
        </w:rPr>
      </w:pPr>
      <w:r>
        <w:rPr>
          <w:noProof/>
          <w:color w:val="002060"/>
          <w:szCs w:val="22"/>
        </w:rPr>
        <w:t>Key infringement cases and referrals to the Court</w:t>
      </w:r>
    </w:p>
    <w:p>
      <w:pPr>
        <w:numPr>
          <w:ilvl w:val="0"/>
          <w:numId w:val="122"/>
        </w:numPr>
        <w:spacing w:after="120"/>
        <w:ind w:hanging="426"/>
        <w:rPr>
          <w:rFonts w:eastAsia="Calibri" w:cs="Arial"/>
          <w:noProof/>
          <w:kern w:val="20"/>
          <w:sz w:val="20"/>
        </w:rPr>
      </w:pPr>
      <w:r>
        <w:rPr>
          <w:rFonts w:eastAsia="Calibri" w:cs="Arial"/>
          <w:noProof/>
          <w:kern w:val="20"/>
          <w:sz w:val="20"/>
        </w:rPr>
        <w:t>The Commission opened 39 cases for late transposition in 2016. They included:</w:t>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Directive on the enforcement of free movement of workers’ rights;</w:t>
      </w:r>
      <w:r>
        <w:rPr>
          <w:rStyle w:val="FootnoteReference"/>
          <w:rFonts w:eastAsia="Calibri" w:cs="Arial"/>
          <w:noProof/>
          <w:kern w:val="20"/>
          <w:sz w:val="20"/>
        </w:rPr>
        <w:footnoteReference w:id="33"/>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Directive on the enforcement of posted workers’ rights</w:t>
      </w:r>
      <w:r>
        <w:rPr>
          <w:rStyle w:val="FootnoteReference"/>
          <w:rFonts w:eastAsia="Calibri" w:cs="Arial"/>
          <w:noProof/>
          <w:kern w:val="20"/>
          <w:sz w:val="20"/>
        </w:rPr>
        <w:footnoteReference w:id="34"/>
      </w:r>
      <w:r>
        <w:rPr>
          <w:rFonts w:eastAsia="Calibri" w:cs="Arial"/>
          <w:noProof/>
          <w:kern w:val="20"/>
          <w:sz w:val="20"/>
        </w:rPr>
        <w:t xml:space="preserve"> and</w:t>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Directive on the minimum health and safety requirements to be observed when workers are exposed to electromagnetic fields.</w:t>
      </w:r>
      <w:r>
        <w:rPr>
          <w:rStyle w:val="FootnoteReference"/>
          <w:rFonts w:eastAsia="Calibri" w:cs="Arial"/>
          <w:noProof/>
          <w:kern w:val="20"/>
          <w:sz w:val="20"/>
        </w:rPr>
        <w:footnoteReference w:id="35"/>
      </w:r>
    </w:p>
    <w:p>
      <w:pPr>
        <w:numPr>
          <w:ilvl w:val="0"/>
          <w:numId w:val="122"/>
        </w:numPr>
        <w:spacing w:after="120"/>
        <w:ind w:hanging="426"/>
        <w:rPr>
          <w:rFonts w:eastAsia="Calibri" w:cs="Arial"/>
          <w:noProof/>
          <w:kern w:val="20"/>
          <w:sz w:val="20"/>
        </w:rPr>
      </w:pPr>
      <w:r>
        <w:rPr>
          <w:rFonts w:eastAsia="Calibri" w:cs="Arial"/>
          <w:noProof/>
          <w:kern w:val="20"/>
          <w:sz w:val="20"/>
        </w:rPr>
        <w:t>The Commission referred one case to the Court under Articles 258 and 260(3) TFEU. It concerned:</w:t>
      </w:r>
    </w:p>
    <w:p>
      <w:pPr>
        <w:numPr>
          <w:ilvl w:val="0"/>
          <w:numId w:val="25"/>
        </w:numPr>
        <w:spacing w:after="200"/>
        <w:ind w:left="2132" w:hanging="425"/>
        <w:rPr>
          <w:rFonts w:eastAsia="Calibri" w:cs="Arial"/>
          <w:noProof/>
          <w:kern w:val="20"/>
          <w:sz w:val="20"/>
        </w:rPr>
      </w:pPr>
      <w:r>
        <w:rPr>
          <w:rFonts w:eastAsia="Calibri" w:cs="Arial"/>
          <w:i/>
          <w:noProof/>
          <w:kern w:val="20"/>
          <w:sz w:val="20"/>
        </w:rPr>
        <w:t>Luxembourg</w:t>
      </w:r>
      <w:r>
        <w:rPr>
          <w:rFonts w:eastAsia="Calibri" w:cs="Arial"/>
          <w:noProof/>
          <w:kern w:val="20"/>
          <w:sz w:val="20"/>
        </w:rPr>
        <w:t>: late transposition of the Directive</w:t>
      </w:r>
      <w:r>
        <w:rPr>
          <w:rStyle w:val="FootnoteReference"/>
          <w:noProof/>
        </w:rPr>
        <w:footnoteReference w:id="36"/>
      </w:r>
      <w:r>
        <w:rPr>
          <w:rFonts w:eastAsia="Calibri" w:cs="Arial"/>
          <w:noProof/>
          <w:kern w:val="20"/>
          <w:sz w:val="20"/>
        </w:rPr>
        <w:t xml:space="preserve"> aligning various rules to the Regulation</w:t>
      </w:r>
      <w:r>
        <w:rPr>
          <w:rStyle w:val="FootnoteReference"/>
          <w:noProof/>
        </w:rPr>
        <w:footnoteReference w:id="37"/>
      </w:r>
      <w:r>
        <w:rPr>
          <w:rFonts w:eastAsia="Calibri" w:cs="Arial"/>
          <w:noProof/>
          <w:kern w:val="20"/>
          <w:sz w:val="20"/>
        </w:rPr>
        <w:t xml:space="preserve"> on classification, labelling and packaging of substances and mixtures.</w:t>
      </w:r>
      <w:r>
        <w:rPr>
          <w:rStyle w:val="FootnoteReference"/>
          <w:noProof/>
        </w:rPr>
        <w:footnoteReference w:id="38"/>
      </w:r>
    </w:p>
    <w:p>
      <w:pPr>
        <w:numPr>
          <w:ilvl w:val="0"/>
          <w:numId w:val="30"/>
        </w:numPr>
        <w:spacing w:before="240"/>
        <w:ind w:left="714" w:hanging="357"/>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ind w:left="720"/>
        <w:rPr>
          <w:rFonts w:cs="Arial"/>
          <w:noProof/>
          <w:sz w:val="20"/>
        </w:rPr>
      </w:pPr>
      <w:r>
        <w:rPr>
          <w:rFonts w:cs="Arial"/>
          <w:noProof/>
          <w:sz w:val="20"/>
        </w:rPr>
        <w:t>These concerned:</w:t>
      </w:r>
    </w:p>
    <w:p>
      <w:pPr>
        <w:numPr>
          <w:ilvl w:val="0"/>
          <w:numId w:val="25"/>
        </w:numPr>
        <w:spacing w:after="200"/>
        <w:ind w:left="2132"/>
        <w:contextualSpacing/>
        <w:rPr>
          <w:rFonts w:eastAsia="Calibri" w:cs="Arial"/>
          <w:noProof/>
          <w:kern w:val="20"/>
          <w:sz w:val="20"/>
        </w:rPr>
      </w:pPr>
      <w:r>
        <w:rPr>
          <w:rFonts w:eastAsia="Calibri" w:cs="Arial"/>
          <w:i/>
          <w:noProof/>
          <w:kern w:val="20"/>
          <w:sz w:val="20"/>
        </w:rPr>
        <w:t>Denmark</w:t>
      </w:r>
      <w:r>
        <w:rPr>
          <w:rFonts w:eastAsia="Calibri" w:cs="Arial"/>
          <w:noProof/>
          <w:kern w:val="20"/>
          <w:sz w:val="20"/>
        </w:rPr>
        <w:t>: collective agreements in the municipal education sector which excluded part-time staff from a number of benefits if they worked less than 8 hours per week or were employed for less than 1 month;</w:t>
      </w:r>
    </w:p>
    <w:p>
      <w:pPr>
        <w:numPr>
          <w:ilvl w:val="0"/>
          <w:numId w:val="25"/>
        </w:numPr>
        <w:spacing w:after="200"/>
        <w:ind w:left="2132"/>
        <w:contextualSpacing/>
        <w:rPr>
          <w:rFonts w:eastAsia="Calibri" w:cs="Arial"/>
          <w:noProof/>
          <w:kern w:val="20"/>
          <w:sz w:val="20"/>
        </w:rPr>
      </w:pPr>
      <w:r>
        <w:rPr>
          <w:rFonts w:eastAsia="Calibri" w:cs="Arial"/>
          <w:i/>
          <w:noProof/>
          <w:kern w:val="20"/>
          <w:sz w:val="20"/>
        </w:rPr>
        <w:t>Spain</w:t>
      </w:r>
      <w:r>
        <w:rPr>
          <w:rFonts w:eastAsia="Calibri" w:cs="Arial"/>
          <w:noProof/>
          <w:kern w:val="20"/>
          <w:sz w:val="20"/>
        </w:rPr>
        <w:t xml:space="preserve">: two cases related to the incompatibility of national law on the </w:t>
      </w:r>
      <w:r>
        <w:rPr>
          <w:rFonts w:eastAsia="Calibri" w:cs="Arial"/>
          <w:i/>
          <w:noProof/>
          <w:kern w:val="20"/>
          <w:sz w:val="20"/>
        </w:rPr>
        <w:t>Guardia Civil</w:t>
      </w:r>
      <w:r>
        <w:rPr>
          <w:rFonts w:eastAsia="Calibri" w:cs="Arial"/>
          <w:noProof/>
          <w:kern w:val="20"/>
          <w:sz w:val="20"/>
        </w:rPr>
        <w:t xml:space="preserve"> with the Working Time Directive as regards maximum working time, minimum rest periods and the protective provisions concerning night work; </w:t>
      </w:r>
    </w:p>
    <w:p>
      <w:pPr>
        <w:numPr>
          <w:ilvl w:val="0"/>
          <w:numId w:val="25"/>
        </w:numPr>
        <w:spacing w:after="200"/>
        <w:ind w:left="2132"/>
        <w:contextualSpacing/>
        <w:rPr>
          <w:rFonts w:eastAsia="Calibri" w:cs="Arial"/>
          <w:noProof/>
          <w:kern w:val="20"/>
          <w:sz w:val="20"/>
        </w:rPr>
      </w:pPr>
      <w:r>
        <w:rPr>
          <w:rFonts w:eastAsia="Calibri" w:cs="Arial"/>
          <w:i/>
          <w:noProof/>
          <w:kern w:val="20"/>
          <w:sz w:val="20"/>
        </w:rPr>
        <w:t>Hungary</w:t>
      </w:r>
      <w:r>
        <w:rPr>
          <w:rFonts w:eastAsia="Calibri" w:cs="Arial"/>
          <w:noProof/>
          <w:kern w:val="20"/>
          <w:sz w:val="20"/>
        </w:rPr>
        <w:t>: paid annual leave granted to members of so-called school cooperatives;</w:t>
      </w:r>
    </w:p>
    <w:p>
      <w:pPr>
        <w:numPr>
          <w:ilvl w:val="0"/>
          <w:numId w:val="25"/>
        </w:numPr>
        <w:spacing w:after="200"/>
        <w:ind w:left="2132"/>
        <w:contextualSpacing/>
        <w:rPr>
          <w:rFonts w:eastAsia="Calibri" w:cs="Arial"/>
          <w:noProof/>
          <w:kern w:val="20"/>
          <w:sz w:val="20"/>
        </w:rPr>
      </w:pPr>
      <w:r>
        <w:rPr>
          <w:rFonts w:eastAsia="Calibri" w:cs="Arial"/>
          <w:i/>
          <w:noProof/>
          <w:kern w:val="20"/>
          <w:sz w:val="20"/>
        </w:rPr>
        <w:t>Romania</w:t>
      </w:r>
      <w:r>
        <w:rPr>
          <w:rFonts w:eastAsia="Calibri" w:cs="Arial"/>
          <w:noProof/>
          <w:kern w:val="20"/>
          <w:sz w:val="20"/>
        </w:rPr>
        <w:t>: national laws on government employees which were incompatible with the Working Time Directive as regards workers' right to acquire annual leave during sick leave and to carry over untaken annual leave due to sick leave;</w:t>
      </w:r>
    </w:p>
    <w:p>
      <w:pPr>
        <w:numPr>
          <w:ilvl w:val="0"/>
          <w:numId w:val="25"/>
        </w:numPr>
        <w:spacing w:after="200"/>
        <w:ind w:left="2132" w:hanging="357"/>
        <w:rPr>
          <w:rFonts w:eastAsia="Calibri" w:cs="Arial"/>
          <w:noProof/>
          <w:kern w:val="20"/>
          <w:sz w:val="20"/>
        </w:rPr>
      </w:pPr>
      <w:r>
        <w:rPr>
          <w:rFonts w:eastAsia="Calibri" w:cs="Arial"/>
          <w:i/>
          <w:noProof/>
          <w:kern w:val="20"/>
          <w:sz w:val="20"/>
        </w:rPr>
        <w:t>Sweden</w:t>
      </w:r>
      <w:r>
        <w:rPr>
          <w:rFonts w:eastAsia="Calibri" w:cs="Arial"/>
          <w:noProof/>
          <w:kern w:val="20"/>
          <w:sz w:val="20"/>
        </w:rPr>
        <w:t>: insufficient protection in national legislation against abuse of successive fixed-term employment contracts. This allowed employers to use various fixed-term contracts without limitation.</w:t>
      </w:r>
    </w:p>
    <w:p>
      <w:pPr>
        <w:numPr>
          <w:ilvl w:val="0"/>
          <w:numId w:val="30"/>
        </w:numPr>
        <w:rPr>
          <w:caps/>
          <w:noProof/>
          <w:color w:val="4F81BD"/>
          <w:sz w:val="24"/>
          <w:szCs w:val="24"/>
        </w:rPr>
      </w:pPr>
      <w:r>
        <w:rPr>
          <w:caps/>
          <w:noProof/>
          <w:color w:val="4F81BD"/>
          <w:sz w:val="24"/>
          <w:szCs w:val="24"/>
        </w:rPr>
        <w:t>IMPORTANT JUDGMENTS</w:t>
      </w:r>
    </w:p>
    <w:p>
      <w:pPr>
        <w:numPr>
          <w:ilvl w:val="0"/>
          <w:numId w:val="61"/>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39"/>
      </w:r>
    </w:p>
    <w:p>
      <w:pPr>
        <w:spacing w:after="120"/>
        <w:ind w:left="720"/>
        <w:rPr>
          <w:rFonts w:cs="Arial"/>
          <w:noProof/>
          <w:sz w:val="20"/>
        </w:rPr>
      </w:pPr>
      <w:r>
        <w:rPr>
          <w:rFonts w:cs="Arial"/>
          <w:noProof/>
          <w:sz w:val="20"/>
        </w:rPr>
        <w:t>The Court ruled that:</w:t>
      </w:r>
    </w:p>
    <w:p>
      <w:pPr>
        <w:numPr>
          <w:ilvl w:val="0"/>
          <w:numId w:val="25"/>
        </w:numPr>
        <w:spacing w:after="200"/>
        <w:ind w:left="2132"/>
        <w:contextualSpacing/>
        <w:rPr>
          <w:rFonts w:eastAsia="Calibri" w:cs="Arial"/>
          <w:noProof/>
          <w:kern w:val="20"/>
          <w:sz w:val="20"/>
        </w:rPr>
      </w:pPr>
      <w:r>
        <w:rPr>
          <w:rFonts w:eastAsia="Calibri" w:cs="Arial"/>
          <w:i/>
          <w:noProof/>
          <w:kern w:val="20"/>
          <w:sz w:val="20"/>
        </w:rPr>
        <w:t>Cyprus</w:t>
      </w:r>
      <w:r>
        <w:rPr>
          <w:rFonts w:eastAsia="Calibri" w:cs="Arial"/>
          <w:noProof/>
          <w:kern w:val="20"/>
          <w:sz w:val="20"/>
        </w:rPr>
        <w:t xml:space="preserve"> has treated migrant workers unequally by providing that those who left the national civil service to work within the EU institutions or within another international organisation lose their pension right and receive only a lump sum payment. By contrast, civil servants who remained in their position or took up another civil service position in Cyprus received the lump sum and retained their pension right;</w:t>
      </w:r>
      <w:r>
        <w:rPr>
          <w:rStyle w:val="FootnoteReference"/>
          <w:noProof/>
        </w:rPr>
        <w:footnoteReference w:id="40"/>
      </w:r>
    </w:p>
    <w:p>
      <w:pPr>
        <w:numPr>
          <w:ilvl w:val="0"/>
          <w:numId w:val="25"/>
        </w:numPr>
        <w:spacing w:after="200"/>
        <w:ind w:left="2132"/>
        <w:contextualSpacing/>
        <w:rPr>
          <w:rFonts w:eastAsia="Calibri" w:cs="Arial"/>
          <w:noProof/>
          <w:kern w:val="20"/>
          <w:sz w:val="20"/>
        </w:rPr>
      </w:pPr>
      <w:r>
        <w:rPr>
          <w:rFonts w:eastAsia="Calibri" w:cs="Arial"/>
          <w:i/>
          <w:noProof/>
          <w:kern w:val="20"/>
          <w:sz w:val="20"/>
        </w:rPr>
        <w:t>Malta</w:t>
      </w:r>
      <w:r>
        <w:rPr>
          <w:rFonts w:eastAsia="Calibri" w:cs="Arial"/>
          <w:noProof/>
          <w:kern w:val="20"/>
          <w:sz w:val="20"/>
        </w:rPr>
        <w:t xml:space="preserve"> did not violate EU social security rules when its laws deducted the value of civil-service old-age pensions from other Member States from Maltese old-age pensions;</w:t>
      </w:r>
      <w:r>
        <w:rPr>
          <w:rStyle w:val="FootnoteReference"/>
          <w:noProof/>
        </w:rPr>
        <w:footnoteReference w:id="41"/>
      </w:r>
    </w:p>
    <w:p>
      <w:pPr>
        <w:numPr>
          <w:ilvl w:val="0"/>
          <w:numId w:val="25"/>
        </w:numPr>
        <w:spacing w:after="200"/>
        <w:ind w:left="2132"/>
        <w:contextualSpacing/>
        <w:rPr>
          <w:rFonts w:eastAsia="Calibri" w:cs="Arial"/>
          <w:noProof/>
          <w:kern w:val="20"/>
          <w:sz w:val="20"/>
        </w:rPr>
      </w:pPr>
      <w:r>
        <w:rPr>
          <w:rFonts w:eastAsia="Calibri" w:cs="Arial"/>
          <w:i/>
          <w:noProof/>
          <w:kern w:val="20"/>
          <w:sz w:val="20"/>
        </w:rPr>
        <w:t>United Kingdom</w:t>
      </w:r>
      <w:r>
        <w:rPr>
          <w:rFonts w:eastAsia="Calibri" w:cs="Arial"/>
          <w:noProof/>
          <w:kern w:val="20"/>
          <w:sz w:val="20"/>
        </w:rPr>
        <w:t xml:space="preserve"> did not violate the Regulation on the coordination of social security systems</w:t>
      </w:r>
      <w:r>
        <w:rPr>
          <w:rStyle w:val="FootnoteReference"/>
          <w:noProof/>
        </w:rPr>
        <w:footnoteReference w:id="42"/>
      </w:r>
      <w:r>
        <w:rPr>
          <w:rFonts w:eastAsia="Calibri" w:cs="Arial"/>
          <w:noProof/>
          <w:kern w:val="20"/>
          <w:sz w:val="20"/>
        </w:rPr>
        <w:t xml:space="preserve"> by requiring a person claiming certain social benefits (child benefit and child tax credit) to satisfy the so-called right to reside test in order to be treated as habitually resident in the UK.</w:t>
      </w:r>
      <w:r>
        <w:rPr>
          <w:rStyle w:val="FootnoteReference"/>
          <w:noProof/>
        </w:rPr>
        <w:footnoteReference w:id="43"/>
      </w:r>
    </w:p>
    <w:p>
      <w:pPr>
        <w:spacing w:after="60"/>
        <w:ind w:left="720"/>
        <w:jc w:val="left"/>
        <w:outlineLvl w:val="1"/>
        <w:rPr>
          <w:noProof/>
          <w:color w:val="002060"/>
          <w:szCs w:val="22"/>
        </w:rPr>
      </w:pPr>
    </w:p>
    <w:p>
      <w:pPr>
        <w:numPr>
          <w:ilvl w:val="0"/>
          <w:numId w:val="61"/>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numPr>
          <w:ilvl w:val="0"/>
          <w:numId w:val="25"/>
        </w:numPr>
        <w:spacing w:after="0"/>
        <w:ind w:left="2132" w:hanging="357"/>
        <w:rPr>
          <w:rFonts w:eastAsia="Calibri" w:cs="Arial"/>
          <w:noProof/>
          <w:kern w:val="20"/>
          <w:sz w:val="20"/>
        </w:rPr>
      </w:pPr>
      <w:r>
        <w:rPr>
          <w:rFonts w:eastAsia="Calibri" w:cs="Arial"/>
          <w:i/>
          <w:noProof/>
          <w:kern w:val="20"/>
          <w:sz w:val="20"/>
        </w:rPr>
        <w:t>Germany</w:t>
      </w:r>
      <w:r>
        <w:rPr>
          <w:rFonts w:eastAsia="Calibri" w:cs="Arial"/>
          <w:noProof/>
          <w:kern w:val="20"/>
          <w:sz w:val="20"/>
        </w:rPr>
        <w:t>: a civil servant of a Member State who leaves his post voluntarily in order to be employed in another Member State should not lose his retirement pension rights under the retirement pension scheme for civil servants;</w:t>
      </w:r>
      <w:r>
        <w:rPr>
          <w:rStyle w:val="FootnoteReference"/>
          <w:rFonts w:eastAsia="Calibri" w:cs="Arial"/>
          <w:noProof/>
          <w:kern w:val="20"/>
          <w:sz w:val="20"/>
        </w:rPr>
        <w:footnoteReference w:id="44"/>
      </w:r>
    </w:p>
    <w:p>
      <w:pPr>
        <w:numPr>
          <w:ilvl w:val="0"/>
          <w:numId w:val="25"/>
        </w:numPr>
        <w:spacing w:after="200"/>
        <w:ind w:left="2132"/>
        <w:contextualSpacing/>
        <w:rPr>
          <w:rFonts w:eastAsia="Calibri" w:cs="Arial"/>
          <w:noProof/>
          <w:kern w:val="20"/>
          <w:sz w:val="20"/>
        </w:rPr>
      </w:pPr>
      <w:r>
        <w:rPr>
          <w:rFonts w:eastAsia="Calibri" w:cs="Arial"/>
          <w:i/>
          <w:noProof/>
          <w:kern w:val="20"/>
          <w:sz w:val="20"/>
        </w:rPr>
        <w:t>Greece</w:t>
      </w:r>
      <w:r>
        <w:rPr>
          <w:rFonts w:eastAsia="Calibri" w:cs="Arial"/>
          <w:noProof/>
          <w:kern w:val="20"/>
          <w:sz w:val="20"/>
        </w:rPr>
        <w:t>: in principle, EU law allows national authorities to prohibit collective redundancies. However, these rules must strike a fair balance between the protection of workers and employers’ freedom to conduct a business. The legal criteria on the basis of which the authorities may oppose planned collective redundancies must therefore be formulated in specific and precise terms. Thus a national authorisation regime for collective redundancies would be incompatible with the Collective Redundancies Directive</w:t>
      </w:r>
      <w:r>
        <w:rPr>
          <w:rStyle w:val="FootnoteReference"/>
          <w:rFonts w:eastAsia="Calibri" w:cs="Arial"/>
          <w:noProof/>
          <w:kern w:val="20"/>
          <w:sz w:val="20"/>
        </w:rPr>
        <w:footnoteReference w:id="45"/>
      </w:r>
      <w:r>
        <w:rPr>
          <w:rFonts w:eastAsia="Calibri" w:cs="Arial"/>
          <w:noProof/>
          <w:kern w:val="20"/>
          <w:sz w:val="20"/>
        </w:rPr>
        <w:t xml:space="preserve"> if it deprived this Directive of its practical effect;</w:t>
      </w:r>
      <w:r>
        <w:rPr>
          <w:rStyle w:val="FootnoteReference"/>
          <w:rFonts w:eastAsia="Calibri" w:cs="Arial"/>
          <w:noProof/>
          <w:kern w:val="20"/>
          <w:sz w:val="20"/>
        </w:rPr>
        <w:footnoteReference w:id="46"/>
      </w:r>
    </w:p>
    <w:p>
      <w:pPr>
        <w:numPr>
          <w:ilvl w:val="0"/>
          <w:numId w:val="25"/>
        </w:numPr>
        <w:spacing w:after="200"/>
        <w:ind w:left="2132"/>
        <w:contextualSpacing/>
        <w:rPr>
          <w:rFonts w:eastAsia="Calibri" w:cs="Arial"/>
          <w:noProof/>
          <w:kern w:val="20"/>
          <w:sz w:val="20"/>
        </w:rPr>
      </w:pPr>
      <w:r>
        <w:rPr>
          <w:rFonts w:eastAsia="Calibri" w:cs="Arial"/>
          <w:i/>
          <w:noProof/>
          <w:kern w:val="20"/>
          <w:sz w:val="20"/>
        </w:rPr>
        <w:t>Luxembourg</w:t>
      </w:r>
      <w:r>
        <w:rPr>
          <w:rFonts w:eastAsia="Calibri" w:cs="Arial"/>
          <w:noProof/>
          <w:kern w:val="20"/>
          <w:sz w:val="20"/>
        </w:rPr>
        <w:t>: the grant of financial aid for higher education studies to a non-resident student cannot be made conditional on whether at least one of the student’s parents worked in Luxembourg for a minimum and continuous period of 5 years (while no such condition exists in respect of a student residing in Luxembourg) ;</w:t>
      </w:r>
      <w:r>
        <w:rPr>
          <w:rStyle w:val="FootnoteReference"/>
          <w:rFonts w:eastAsia="Calibri" w:cs="Arial"/>
          <w:noProof/>
          <w:kern w:val="20"/>
          <w:sz w:val="20"/>
        </w:rPr>
        <w:footnoteReference w:id="47"/>
      </w:r>
    </w:p>
    <w:p>
      <w:pPr>
        <w:numPr>
          <w:ilvl w:val="0"/>
          <w:numId w:val="25"/>
        </w:numPr>
        <w:spacing w:after="200"/>
        <w:ind w:left="2132"/>
        <w:contextualSpacing/>
        <w:rPr>
          <w:rFonts w:eastAsia="Calibri" w:cs="Arial"/>
          <w:noProof/>
          <w:kern w:val="20"/>
          <w:sz w:val="20"/>
        </w:rPr>
      </w:pPr>
      <w:r>
        <w:rPr>
          <w:rFonts w:eastAsia="Calibri" w:cs="Arial"/>
          <w:i/>
          <w:noProof/>
          <w:kern w:val="20"/>
          <w:sz w:val="20"/>
        </w:rPr>
        <w:t>Austria</w:t>
      </w:r>
      <w:r>
        <w:rPr>
          <w:rFonts w:eastAsia="Calibri" w:cs="Arial"/>
          <w:noProof/>
          <w:kern w:val="20"/>
          <w:sz w:val="20"/>
        </w:rPr>
        <w:t>: old-age benefits provided under an occupational pension scheme of one Member State and those provided under a statutory pension scheme of another Member State are equivalent benefits, where both have the same aim of ensuring that their recipients maintain a standard of living commensurate with that which they enjoyed before retirement.</w:t>
      </w:r>
      <w:r>
        <w:rPr>
          <w:rStyle w:val="FootnoteReference"/>
          <w:rFonts w:eastAsia="Calibri" w:cs="Arial"/>
          <w:noProof/>
          <w:kern w:val="20"/>
          <w:sz w:val="20"/>
        </w:rPr>
        <w:footnoteReference w:id="48"/>
      </w:r>
    </w:p>
    <w:p>
      <w:pPr>
        <w:numPr>
          <w:ilvl w:val="0"/>
          <w:numId w:val="30"/>
        </w:numPr>
        <w:spacing w:after="120"/>
        <w:ind w:left="714" w:hanging="357"/>
        <w:rPr>
          <w:caps/>
          <w:noProof/>
          <w:color w:val="4F81BD"/>
          <w:sz w:val="24"/>
          <w:szCs w:val="24"/>
        </w:rPr>
      </w:pPr>
      <w:r>
        <w:rPr>
          <w:caps/>
          <w:noProof/>
          <w:color w:val="4F81BD"/>
          <w:sz w:val="24"/>
          <w:szCs w:val="24"/>
        </w:rPr>
        <w:t>Outlook</w:t>
      </w:r>
    </w:p>
    <w:p>
      <w:pPr>
        <w:spacing w:after="60"/>
        <w:ind w:left="360"/>
        <w:jc w:val="left"/>
        <w:outlineLvl w:val="1"/>
        <w:rPr>
          <w:noProof/>
          <w:color w:val="31849B"/>
        </w:rPr>
      </w:pPr>
      <w:r>
        <w:rPr>
          <w:noProof/>
          <w:color w:val="002060"/>
          <w:szCs w:val="22"/>
        </w:rPr>
        <w:t>Important implementation work in 2017 includes:</w:t>
      </w:r>
    </w:p>
    <w:p>
      <w:pPr>
        <w:numPr>
          <w:ilvl w:val="0"/>
          <w:numId w:val="27"/>
        </w:numPr>
        <w:ind w:left="1276"/>
        <w:contextualSpacing/>
        <w:rPr>
          <w:noProof/>
          <w:sz w:val="20"/>
        </w:rPr>
      </w:pPr>
      <w:r>
        <w:rPr>
          <w:noProof/>
          <w:sz w:val="20"/>
        </w:rPr>
        <w:t>monitoring the correct transposition of the Directives on:</w:t>
      </w:r>
    </w:p>
    <w:p>
      <w:pPr>
        <w:numPr>
          <w:ilvl w:val="0"/>
          <w:numId w:val="27"/>
        </w:numPr>
        <w:contextualSpacing/>
        <w:rPr>
          <w:noProof/>
          <w:sz w:val="20"/>
        </w:rPr>
      </w:pPr>
      <w:r>
        <w:rPr>
          <w:noProof/>
          <w:sz w:val="20"/>
        </w:rPr>
        <w:t>protecting workers against electromagnetic fields;</w:t>
      </w:r>
      <w:r>
        <w:rPr>
          <w:rStyle w:val="FootnoteReference"/>
          <w:noProof/>
          <w:sz w:val="20"/>
        </w:rPr>
        <w:footnoteReference w:id="49"/>
      </w:r>
      <w:r>
        <w:rPr>
          <w:noProof/>
          <w:sz w:val="20"/>
        </w:rPr>
        <w:t xml:space="preserve"> </w:t>
      </w:r>
    </w:p>
    <w:p>
      <w:pPr>
        <w:numPr>
          <w:ilvl w:val="0"/>
          <w:numId w:val="27"/>
        </w:numPr>
        <w:contextualSpacing/>
        <w:rPr>
          <w:noProof/>
          <w:sz w:val="20"/>
        </w:rPr>
      </w:pPr>
      <w:r>
        <w:rPr>
          <w:noProof/>
          <w:sz w:val="20"/>
        </w:rPr>
        <w:t>aligning occupational health and safety Directives to Regulation 1272/2008 on classification, labelling and packaging of substances and mixtures;</w:t>
      </w:r>
      <w:r>
        <w:rPr>
          <w:rStyle w:val="FootnoteReference"/>
          <w:noProof/>
          <w:sz w:val="20"/>
        </w:rPr>
        <w:footnoteReference w:id="50"/>
      </w:r>
    </w:p>
    <w:p>
      <w:pPr>
        <w:numPr>
          <w:ilvl w:val="0"/>
          <w:numId w:val="27"/>
        </w:numPr>
        <w:contextualSpacing/>
        <w:rPr>
          <w:noProof/>
          <w:sz w:val="20"/>
        </w:rPr>
      </w:pPr>
      <w:r>
        <w:rPr>
          <w:noProof/>
          <w:sz w:val="20"/>
        </w:rPr>
        <w:t>enforcing free movement of workers</w:t>
      </w:r>
      <w:r>
        <w:rPr>
          <w:rStyle w:val="FootnoteReference"/>
          <w:noProof/>
          <w:sz w:val="20"/>
        </w:rPr>
        <w:footnoteReference w:id="51"/>
      </w:r>
      <w:r>
        <w:rPr>
          <w:noProof/>
          <w:sz w:val="20"/>
        </w:rPr>
        <w:t xml:space="preserve"> and</w:t>
      </w:r>
    </w:p>
    <w:p>
      <w:pPr>
        <w:numPr>
          <w:ilvl w:val="0"/>
          <w:numId w:val="27"/>
        </w:numPr>
        <w:spacing w:line="276" w:lineRule="auto"/>
        <w:contextualSpacing/>
        <w:rPr>
          <w:rFonts w:cs="Arial"/>
          <w:noProof/>
          <w:sz w:val="20"/>
        </w:rPr>
      </w:pPr>
      <w:r>
        <w:rPr>
          <w:noProof/>
          <w:sz w:val="20"/>
        </w:rPr>
        <w:t>enforcing the posting of workers;</w:t>
      </w:r>
      <w:r>
        <w:rPr>
          <w:rStyle w:val="FootnoteReference"/>
          <w:noProof/>
          <w:sz w:val="20"/>
        </w:rPr>
        <w:footnoteReference w:id="52"/>
      </w:r>
      <w:r>
        <w:rPr>
          <w:rFonts w:cs="Arial"/>
          <w:noProof/>
          <w:sz w:val="20"/>
        </w:rPr>
        <w:t xml:space="preserve"> and</w:t>
      </w:r>
    </w:p>
    <w:p>
      <w:pPr>
        <w:numPr>
          <w:ilvl w:val="0"/>
          <w:numId w:val="27"/>
        </w:numPr>
        <w:spacing w:after="200" w:line="276" w:lineRule="auto"/>
        <w:contextualSpacing/>
        <w:jc w:val="left"/>
        <w:rPr>
          <w:rFonts w:cs="Arial"/>
          <w:noProof/>
          <w:sz w:val="20"/>
        </w:rPr>
      </w:pPr>
      <w:r>
        <w:rPr>
          <w:rFonts w:eastAsiaTheme="minorHAnsi" w:cs="Arial"/>
          <w:noProof/>
          <w:sz w:val="20"/>
          <w:szCs w:val="22"/>
        </w:rPr>
        <w:t>working time in inland waterway transport</w:t>
      </w:r>
      <w:r>
        <w:rPr>
          <w:rStyle w:val="FootnoteReference"/>
          <w:rFonts w:eastAsiaTheme="minorHAnsi" w:cs="Arial"/>
          <w:noProof/>
          <w:sz w:val="20"/>
          <w:szCs w:val="22"/>
        </w:rPr>
        <w:footnoteReference w:id="53"/>
      </w:r>
      <w:r>
        <w:rPr>
          <w:rFonts w:eastAsiaTheme="minorHAnsi" w:cs="Arial"/>
          <w:noProof/>
          <w:sz w:val="20"/>
          <w:szCs w:val="22"/>
        </w:rPr>
        <w:t xml:space="preserve">. </w:t>
      </w:r>
    </w:p>
    <w:p>
      <w:pPr>
        <w:ind w:left="2160"/>
        <w:contextualSpacing/>
        <w:rPr>
          <w:noProof/>
          <w:sz w:val="20"/>
        </w:rPr>
      </w:pPr>
    </w:p>
    <w:p>
      <w:pPr>
        <w:numPr>
          <w:ilvl w:val="0"/>
          <w:numId w:val="27"/>
        </w:numPr>
        <w:ind w:left="1276"/>
        <w:contextualSpacing/>
        <w:rPr>
          <w:rFonts w:cs="Arial"/>
          <w:noProof/>
          <w:sz w:val="20"/>
        </w:rPr>
      </w:pPr>
      <w:r>
        <w:rPr>
          <w:rFonts w:cs="Arial"/>
          <w:noProof/>
          <w:sz w:val="20"/>
        </w:rPr>
        <w:t>following up on a preliminary ruling which is expected in 2017 in the de Lobkowicz case.</w:t>
      </w:r>
      <w:r>
        <w:rPr>
          <w:rStyle w:val="FootnoteReference"/>
          <w:rFonts w:cs="Arial"/>
          <w:noProof/>
          <w:sz w:val="20"/>
        </w:rPr>
        <w:footnoteReference w:id="54"/>
      </w:r>
      <w:r>
        <w:rPr>
          <w:rFonts w:cs="Arial"/>
          <w:noProof/>
          <w:sz w:val="20"/>
        </w:rPr>
        <w:t xml:space="preserve"> This may bring clarifications in relation to the principle of one legislation applicable in social security coordination.</w:t>
      </w:r>
    </w:p>
    <w:p>
      <w:pPr>
        <w:spacing w:after="0"/>
        <w:jc w:val="left"/>
        <w:rPr>
          <w:rFonts w:ascii="Verdana" w:hAnsi="Verdana"/>
          <w:noProof/>
          <w:sz w:val="20"/>
        </w:rPr>
      </w:pPr>
    </w:p>
    <w:p>
      <w:pPr>
        <w:rPr>
          <w:i/>
          <w:noProof/>
        </w:rPr>
        <w:sectPr>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35" w:name="_Toc475524733"/>
      <w:bookmarkStart w:id="36" w:name="_Toc475529500"/>
      <w:bookmarkStart w:id="37" w:name="_Toc475529539"/>
      <w:bookmarkStart w:id="38" w:name="_Toc475529867"/>
      <w:bookmarkStart w:id="39" w:name="_Toc475550832"/>
      <w:bookmarkStart w:id="40" w:name="_Toc475551372"/>
      <w:bookmarkStart w:id="41" w:name="_Toc484622461"/>
      <w:r>
        <w:rPr>
          <w:noProof/>
        </w:rPr>
        <w:t>Energy</w:t>
      </w:r>
      <w:bookmarkEnd w:id="35"/>
      <w:bookmarkEnd w:id="36"/>
      <w:bookmarkEnd w:id="37"/>
      <w:bookmarkEnd w:id="38"/>
      <w:bookmarkEnd w:id="39"/>
      <w:bookmarkEnd w:id="40"/>
      <w:bookmarkEnd w:id="41"/>
    </w:p>
    <w:p>
      <w:pPr>
        <w:rPr>
          <w:i/>
          <w:noProof/>
        </w:rPr>
      </w:pPr>
      <w:r>
        <w:rPr>
          <w:i/>
          <w:noProof/>
        </w:rPr>
        <w:t>All the main indicators in the area of energy improved in 2016. New complaints dropped to their lowest level in five years after peaking the previous year. The number of new EU Pilot files continued the downward trend seen since 2014. Infringement cases pending at the end of the year were down, while new late transposition cases reached an all-time low.</w:t>
      </w:r>
    </w:p>
    <w:p>
      <w:pPr>
        <w:pStyle w:val="Title1"/>
        <w:numPr>
          <w:ilvl w:val="0"/>
          <w:numId w:val="36"/>
        </w:numPr>
        <w:rPr>
          <w:noProof/>
        </w:rPr>
      </w:pPr>
      <w:r>
        <w:rPr>
          <w:noProof/>
        </w:rPr>
        <w:t>COMPLAINTS</w:t>
      </w:r>
    </w:p>
    <w:p>
      <w:pPr>
        <w:numPr>
          <w:ilvl w:val="0"/>
          <w:numId w:val="62"/>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600575" cy="2009775"/>
            <wp:effectExtent l="0" t="0" r="9525" b="9525"/>
            <wp:docPr id="10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numPr>
          <w:ilvl w:val="0"/>
          <w:numId w:val="62"/>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460"/>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90</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60</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50</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100</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18"/>
        </w:rPr>
      </w:pPr>
    </w:p>
    <w:p>
      <w:pPr>
        <w:numPr>
          <w:ilvl w:val="0"/>
          <w:numId w:val="62"/>
        </w:numPr>
        <w:spacing w:after="60"/>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00300"/>
            <wp:effectExtent l="0" t="0" r="22860" b="19050"/>
            <wp:docPr id="10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63"/>
        </w:numPr>
        <w:spacing w:after="60"/>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94860" cy="2286000"/>
            <wp:effectExtent l="0" t="0" r="15240" b="19050"/>
            <wp:docPr id="10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numPr>
          <w:ilvl w:val="0"/>
          <w:numId w:val="63"/>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65 EU Pilot files remained open.</w:t>
      </w:r>
    </w:p>
    <w:p>
      <w:pPr>
        <w:numPr>
          <w:ilvl w:val="0"/>
          <w:numId w:val="63"/>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499360"/>
            <wp:effectExtent l="0" t="0" r="26670" b="15240"/>
            <wp:docPr id="11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numPr>
          <w:ilvl w:val="0"/>
          <w:numId w:val="63"/>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sz w:val="20"/>
          <w:lang w:val="en-US"/>
        </w:rPr>
        <w:drawing>
          <wp:inline distT="0" distB="0" distL="0" distR="0">
            <wp:extent cx="4600575" cy="2228850"/>
            <wp:effectExtent l="0" t="0" r="9525" b="19050"/>
            <wp:docPr id="11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numPr>
          <w:ilvl w:val="0"/>
          <w:numId w:val="30"/>
        </w:numPr>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concerning the Directives on:</w:t>
      </w:r>
    </w:p>
    <w:p>
      <w:pPr>
        <w:pStyle w:val="Basis"/>
        <w:numPr>
          <w:ilvl w:val="0"/>
          <w:numId w:val="33"/>
        </w:numPr>
        <w:autoSpaceDE w:val="0"/>
        <w:autoSpaceDN w:val="0"/>
        <w:adjustRightInd w:val="0"/>
        <w:spacing w:after="0"/>
        <w:ind w:left="1417" w:hanging="357"/>
        <w:jc w:val="left"/>
        <w:rPr>
          <w:rFonts w:ascii="Arial" w:hAnsi="Arial" w:cs="Arial"/>
          <w:noProof/>
          <w:lang w:val="en-GB" w:eastAsia="en-GB"/>
        </w:rPr>
      </w:pPr>
      <w:r>
        <w:rPr>
          <w:rFonts w:ascii="Arial" w:hAnsi="Arial" w:cs="Arial"/>
          <w:noProof/>
          <w:lang w:val="en-GB" w:eastAsia="en-GB"/>
        </w:rPr>
        <w:t>the energy performance of buildings;</w:t>
      </w:r>
      <w:r>
        <w:rPr>
          <w:rStyle w:val="FootnoteReference"/>
          <w:rFonts w:ascii="Arial" w:hAnsi="Arial" w:cs="Arial"/>
          <w:noProof/>
          <w:lang w:val="en-GB" w:eastAsia="en-GB"/>
        </w:rPr>
        <w:footnoteReference w:id="55"/>
      </w:r>
    </w:p>
    <w:p>
      <w:pPr>
        <w:pStyle w:val="Basis"/>
        <w:numPr>
          <w:ilvl w:val="0"/>
          <w:numId w:val="33"/>
        </w:numPr>
        <w:autoSpaceDE w:val="0"/>
        <w:autoSpaceDN w:val="0"/>
        <w:adjustRightInd w:val="0"/>
        <w:spacing w:after="0"/>
        <w:ind w:left="1417" w:hanging="357"/>
        <w:jc w:val="left"/>
        <w:rPr>
          <w:rFonts w:ascii="Arial" w:hAnsi="Arial" w:cs="Arial"/>
          <w:noProof/>
          <w:lang w:val="en-GB" w:eastAsia="en-GB"/>
        </w:rPr>
      </w:pPr>
      <w:r>
        <w:rPr>
          <w:rFonts w:ascii="Arial" w:hAnsi="Arial" w:cs="Arial"/>
          <w:noProof/>
          <w:lang w:val="en-GB" w:eastAsia="en-GB"/>
        </w:rPr>
        <w:t>energy efficiency;</w:t>
      </w:r>
      <w:r>
        <w:rPr>
          <w:rStyle w:val="FootnoteReference"/>
          <w:rFonts w:ascii="Arial" w:hAnsi="Arial" w:cs="Arial"/>
          <w:noProof/>
          <w:lang w:val="en-GB" w:eastAsia="en-GB"/>
        </w:rPr>
        <w:footnoteReference w:id="56"/>
      </w:r>
    </w:p>
    <w:p>
      <w:pPr>
        <w:pStyle w:val="Basis"/>
        <w:numPr>
          <w:ilvl w:val="0"/>
          <w:numId w:val="33"/>
        </w:numPr>
        <w:autoSpaceDE w:val="0"/>
        <w:autoSpaceDN w:val="0"/>
        <w:adjustRightInd w:val="0"/>
        <w:spacing w:after="0"/>
        <w:ind w:left="1417" w:hanging="357"/>
        <w:jc w:val="left"/>
        <w:rPr>
          <w:rFonts w:ascii="Arial" w:hAnsi="Arial" w:cs="Arial"/>
          <w:noProof/>
          <w:lang w:val="en-GB" w:eastAsia="en-GB"/>
        </w:rPr>
      </w:pPr>
      <w:r>
        <w:rPr>
          <w:rFonts w:ascii="Arial" w:hAnsi="Arial" w:cs="Arial"/>
          <w:noProof/>
          <w:lang w:val="en-GB" w:eastAsia="en-GB"/>
        </w:rPr>
        <w:t>radioactive waste;</w:t>
      </w:r>
      <w:r>
        <w:rPr>
          <w:rStyle w:val="FootnoteReference"/>
          <w:rFonts w:ascii="Arial" w:hAnsi="Arial" w:cs="Arial"/>
          <w:noProof/>
          <w:lang w:val="en-GB" w:eastAsia="en-GB"/>
        </w:rPr>
        <w:footnoteReference w:id="57"/>
      </w:r>
    </w:p>
    <w:p>
      <w:pPr>
        <w:pStyle w:val="Basis"/>
        <w:numPr>
          <w:ilvl w:val="0"/>
          <w:numId w:val="33"/>
        </w:numPr>
        <w:autoSpaceDE w:val="0"/>
        <w:autoSpaceDN w:val="0"/>
        <w:adjustRightInd w:val="0"/>
        <w:spacing w:after="0"/>
        <w:ind w:left="1417" w:hanging="357"/>
        <w:jc w:val="left"/>
        <w:rPr>
          <w:rFonts w:ascii="Arial" w:hAnsi="Arial" w:cs="Arial"/>
          <w:noProof/>
          <w:lang w:val="en-GB" w:eastAsia="en-GB"/>
        </w:rPr>
      </w:pPr>
      <w:r>
        <w:rPr>
          <w:rFonts w:ascii="Arial" w:hAnsi="Arial" w:cs="Arial"/>
          <w:noProof/>
          <w:lang w:val="en-GB" w:eastAsia="en-GB"/>
        </w:rPr>
        <w:t>drinking water</w:t>
      </w:r>
      <w:r>
        <w:rPr>
          <w:rFonts w:ascii="Arial" w:hAnsi="Arial" w:cs="Arial"/>
          <w:noProof/>
          <w:lang w:val="en-GB"/>
        </w:rPr>
        <w:t>;</w:t>
      </w:r>
      <w:r>
        <w:rPr>
          <w:rStyle w:val="FootnoteReference"/>
          <w:rFonts w:ascii="Arial" w:hAnsi="Arial" w:cs="Arial"/>
          <w:noProof/>
          <w:lang w:val="en-GB"/>
        </w:rPr>
        <w:footnoteReference w:id="58"/>
      </w:r>
    </w:p>
    <w:p>
      <w:pPr>
        <w:pStyle w:val="Basis"/>
        <w:numPr>
          <w:ilvl w:val="0"/>
          <w:numId w:val="33"/>
        </w:numPr>
        <w:autoSpaceDE w:val="0"/>
        <w:autoSpaceDN w:val="0"/>
        <w:adjustRightInd w:val="0"/>
        <w:spacing w:after="0"/>
        <w:ind w:left="1418"/>
        <w:jc w:val="left"/>
        <w:rPr>
          <w:rFonts w:ascii="Arial" w:hAnsi="Arial" w:cs="Arial"/>
          <w:noProof/>
          <w:lang w:val="en-GB"/>
        </w:rPr>
      </w:pPr>
      <w:r>
        <w:rPr>
          <w:rFonts w:ascii="Arial" w:hAnsi="Arial" w:cs="Arial"/>
          <w:noProof/>
          <w:lang w:val="en-GB" w:eastAsia="en-GB"/>
        </w:rPr>
        <w:t>the Third Internal Energy Market Package</w:t>
      </w:r>
      <w:r>
        <w:rPr>
          <w:rFonts w:ascii="Arial" w:hAnsi="Arial" w:cs="Arial"/>
          <w:noProof/>
          <w:lang w:val="en-GB"/>
        </w:rPr>
        <w:t>.</w:t>
      </w:r>
      <w:r>
        <w:rPr>
          <w:rStyle w:val="FootnoteReference"/>
          <w:rFonts w:ascii="Arial" w:hAnsi="Arial" w:cs="Arial"/>
          <w:noProof/>
          <w:lang w:val="en-GB"/>
        </w:rPr>
        <w:footnoteReference w:id="59"/>
      </w:r>
    </w:p>
    <w:p>
      <w:pPr>
        <w:pStyle w:val="Basis"/>
        <w:autoSpaceDE w:val="0"/>
        <w:autoSpaceDN w:val="0"/>
        <w:adjustRightInd w:val="0"/>
        <w:spacing w:after="0"/>
        <w:ind w:left="1418"/>
        <w:jc w:val="left"/>
        <w:rPr>
          <w:rFonts w:ascii="Arial" w:hAnsi="Arial" w:cs="Arial"/>
          <w:noProof/>
          <w:lang w:val="en-GB"/>
        </w:rPr>
      </w:pPr>
    </w:p>
    <w:p>
      <w:pPr>
        <w:numPr>
          <w:ilvl w:val="0"/>
          <w:numId w:val="30"/>
        </w:numPr>
        <w:rPr>
          <w:caps/>
          <w:noProof/>
          <w:color w:val="4F81BD"/>
          <w:sz w:val="24"/>
          <w:szCs w:val="24"/>
        </w:rPr>
      </w:pPr>
      <w:r>
        <w:rPr>
          <w:caps/>
          <w:noProof/>
          <w:color w:val="4F81BD"/>
          <w:sz w:val="24"/>
          <w:szCs w:val="24"/>
        </w:rPr>
        <w:t>INFRINGEMENT CASES</w:t>
      </w:r>
    </w:p>
    <w:p>
      <w:pPr>
        <w:numPr>
          <w:ilvl w:val="0"/>
          <w:numId w:val="64"/>
        </w:numPr>
        <w:spacing w:after="120"/>
        <w:ind w:left="714" w:hanging="357"/>
        <w:jc w:val="left"/>
        <w:outlineLvl w:val="1"/>
        <w:rPr>
          <w:noProof/>
          <w:color w:val="002060"/>
          <w:szCs w:val="22"/>
        </w:rPr>
      </w:pPr>
      <w:r>
        <w:rPr>
          <w:noProof/>
          <w:color w:val="002060"/>
          <w:szCs w:val="22"/>
        </w:rPr>
        <w:t>Infringement cases open on 31 December (2012-2016)</w:t>
      </w:r>
    </w:p>
    <w:p>
      <w:pPr>
        <w:ind w:left="720"/>
        <w:rPr>
          <w:rFonts w:ascii="Verdana" w:hAnsi="Verdana"/>
          <w:noProof/>
          <w:sz w:val="20"/>
          <w:u w:val="single"/>
        </w:rPr>
      </w:pPr>
      <w:r>
        <w:rPr>
          <w:rFonts w:ascii="Verdana" w:hAnsi="Verdana"/>
          <w:noProof/>
          <w:sz w:val="20"/>
          <w:lang w:val="en-US"/>
        </w:rPr>
        <w:drawing>
          <wp:inline distT="0" distB="0" distL="0" distR="0">
            <wp:extent cx="4587240" cy="2156460"/>
            <wp:effectExtent l="0" t="0" r="22860" b="15240"/>
            <wp:docPr id="11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numPr>
          <w:ilvl w:val="0"/>
          <w:numId w:val="64"/>
        </w:numPr>
        <w:spacing w:after="120"/>
        <w:ind w:left="714" w:hanging="357"/>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15540"/>
            <wp:effectExtent l="0" t="0" r="22860" b="22860"/>
            <wp:docPr id="11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after="0"/>
        <w:jc w:val="left"/>
        <w:rPr>
          <w:noProof/>
          <w:color w:val="002060"/>
          <w:szCs w:val="22"/>
        </w:rPr>
      </w:pPr>
      <w:r>
        <w:rPr>
          <w:noProof/>
          <w:color w:val="002060"/>
          <w:szCs w:val="22"/>
        </w:rPr>
        <w:br w:type="page"/>
      </w:r>
    </w:p>
    <w:p>
      <w:pPr>
        <w:numPr>
          <w:ilvl w:val="0"/>
          <w:numId w:val="64"/>
        </w:numPr>
        <w:spacing w:after="120"/>
        <w:ind w:left="714" w:hanging="357"/>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23160"/>
            <wp:effectExtent l="0" t="0" r="22860" b="15240"/>
            <wp:docPr id="11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numPr>
          <w:ilvl w:val="0"/>
          <w:numId w:val="64"/>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1"/>
        </w:numPr>
        <w:spacing w:after="120"/>
        <w:ind w:hanging="426"/>
        <w:rPr>
          <w:rFonts w:ascii="Arial" w:hAnsi="Arial" w:cs="Arial"/>
          <w:noProof/>
          <w:lang w:val="en-GB"/>
        </w:rPr>
      </w:pPr>
      <w:r>
        <w:rPr>
          <w:rFonts w:ascii="Arial" w:hAnsi="Arial" w:cs="Arial"/>
          <w:noProof/>
          <w:lang w:val="en-GB"/>
        </w:rPr>
        <w:t>The Commission opened 30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Belgium, Germany, Spain, France, Croatia, Hungary, Austria</w:t>
      </w:r>
      <w:r>
        <w:rPr>
          <w:rFonts w:ascii="Arial" w:hAnsi="Arial" w:cs="Arial"/>
          <w:noProof/>
          <w:lang w:val="en-GB"/>
        </w:rPr>
        <w:t>: failure to comply with the Third Internal Energy Market Package;</w:t>
      </w:r>
      <w:r>
        <w:rPr>
          <w:rStyle w:val="FootnoteReference"/>
          <w:rFonts w:ascii="Arial" w:hAnsi="Arial" w:cs="Arial"/>
          <w:noProof/>
          <w:lang w:val="en-GB"/>
        </w:rPr>
        <w:footnoteReference w:id="60"/>
      </w:r>
    </w:p>
    <w:p>
      <w:pPr>
        <w:pStyle w:val="Lijstje2"/>
        <w:ind w:left="1843"/>
        <w:rPr>
          <w:rFonts w:ascii="Arial" w:hAnsi="Arial" w:cs="Arial"/>
          <w:noProof/>
          <w:lang w:val="en-GB"/>
        </w:rPr>
      </w:pPr>
      <w:r>
        <w:rPr>
          <w:rFonts w:ascii="Arial" w:hAnsi="Arial" w:cs="Arial"/>
          <w:i/>
          <w:noProof/>
          <w:lang w:val="en-GB"/>
        </w:rPr>
        <w:t xml:space="preserve">Bulgaria, Germany, Greece, Spain, Netherlands, Poland, Portugal, Romania, United Kingdom: </w:t>
      </w:r>
      <w:r>
        <w:rPr>
          <w:rFonts w:ascii="Arial" w:hAnsi="Arial" w:cs="Arial"/>
          <w:noProof/>
          <w:lang w:val="en-GB"/>
        </w:rPr>
        <w:t>failure to fully transpose the Offshore Safety Directive;</w:t>
      </w:r>
      <w:r>
        <w:rPr>
          <w:rStyle w:val="FootnoteReference"/>
          <w:rFonts w:ascii="Arial" w:hAnsi="Arial" w:cs="Arial"/>
          <w:noProof/>
          <w:lang w:val="en-GB"/>
        </w:rPr>
        <w:footnoteReference w:id="61"/>
      </w:r>
    </w:p>
    <w:p>
      <w:pPr>
        <w:pStyle w:val="Lijstje2"/>
        <w:ind w:left="1843"/>
        <w:rPr>
          <w:rFonts w:ascii="Arial" w:hAnsi="Arial" w:cs="Arial"/>
          <w:noProof/>
          <w:lang w:val="en-GB"/>
        </w:rPr>
      </w:pPr>
      <w:r>
        <w:rPr>
          <w:rFonts w:ascii="Arial" w:hAnsi="Arial" w:cs="Arial"/>
          <w:i/>
          <w:noProof/>
          <w:lang w:val="en-GB"/>
        </w:rPr>
        <w:t>Bulgaria, Spain, Slovenia</w:t>
      </w:r>
      <w:r>
        <w:rPr>
          <w:rFonts w:ascii="Arial" w:hAnsi="Arial" w:cs="Arial"/>
          <w:noProof/>
          <w:lang w:val="en-GB"/>
        </w:rPr>
        <w:t>: failure to comply with the Energy Efficiency and Energy Performance of Buildings Directives;</w:t>
      </w:r>
      <w:r>
        <w:rPr>
          <w:rStyle w:val="FootnoteReference"/>
          <w:rFonts w:ascii="Arial" w:hAnsi="Arial" w:cs="Arial"/>
          <w:noProof/>
          <w:lang w:val="en-GB"/>
        </w:rPr>
        <w:footnoteReference w:id="62"/>
      </w:r>
    </w:p>
    <w:p>
      <w:pPr>
        <w:pStyle w:val="Lijstje2"/>
        <w:ind w:left="1843"/>
        <w:rPr>
          <w:rFonts w:ascii="Arial" w:hAnsi="Arial" w:cs="Arial"/>
          <w:i/>
          <w:noProof/>
          <w:lang w:val="en-GB"/>
        </w:rPr>
      </w:pPr>
      <w:r>
        <w:rPr>
          <w:rFonts w:ascii="Arial" w:hAnsi="Arial" w:cs="Arial"/>
          <w:i/>
          <w:noProof/>
          <w:lang w:val="en-GB"/>
        </w:rPr>
        <w:t xml:space="preserve">Czech Republic: </w:t>
      </w:r>
      <w:r>
        <w:rPr>
          <w:rFonts w:ascii="Arial" w:hAnsi="Arial" w:cs="Arial"/>
          <w:noProof/>
          <w:lang w:val="en-GB"/>
        </w:rPr>
        <w:t>failure to comply with the Security of Gas Supply Regulation;</w:t>
      </w:r>
      <w:r>
        <w:rPr>
          <w:rStyle w:val="FootnoteReference"/>
          <w:rFonts w:ascii="Arial" w:hAnsi="Arial" w:cs="Arial"/>
          <w:noProof/>
          <w:lang w:val="en-GB"/>
        </w:rPr>
        <w:footnoteReference w:id="63"/>
      </w:r>
    </w:p>
    <w:p>
      <w:pPr>
        <w:pStyle w:val="Lijstje2"/>
        <w:ind w:left="1843"/>
        <w:rPr>
          <w:rFonts w:ascii="Arial" w:hAnsi="Arial" w:cs="Arial"/>
          <w:noProof/>
          <w:lang w:val="en-GB"/>
        </w:rPr>
      </w:pPr>
      <w:r>
        <w:rPr>
          <w:rFonts w:ascii="Arial" w:hAnsi="Arial" w:cs="Arial"/>
          <w:i/>
          <w:noProof/>
          <w:lang w:val="en-GB"/>
        </w:rPr>
        <w:t xml:space="preserve">Denmark, Estonia, Poland: </w:t>
      </w:r>
      <w:r>
        <w:rPr>
          <w:rFonts w:ascii="Arial" w:hAnsi="Arial" w:cs="Arial"/>
          <w:noProof/>
          <w:lang w:val="en-GB"/>
        </w:rPr>
        <w:t>failure to fully transpose the Energy Efficiency Directive;</w:t>
      </w:r>
      <w:r>
        <w:rPr>
          <w:rStyle w:val="FootnoteReference"/>
          <w:rFonts w:ascii="Arial" w:hAnsi="Arial" w:cs="Arial"/>
          <w:noProof/>
          <w:lang w:val="en-GB"/>
        </w:rPr>
        <w:footnoteReference w:id="64"/>
      </w:r>
    </w:p>
    <w:p>
      <w:pPr>
        <w:pStyle w:val="Lijstje2"/>
        <w:ind w:left="1843"/>
        <w:rPr>
          <w:rFonts w:ascii="Arial" w:hAnsi="Arial" w:cs="Arial"/>
          <w:noProof/>
          <w:lang w:val="en-GB"/>
        </w:rPr>
      </w:pPr>
      <w:r>
        <w:rPr>
          <w:rFonts w:ascii="Arial" w:hAnsi="Arial" w:cs="Arial"/>
          <w:i/>
          <w:noProof/>
          <w:lang w:val="en-GB"/>
        </w:rPr>
        <w:t xml:space="preserve">Latvia: </w:t>
      </w:r>
      <w:r>
        <w:rPr>
          <w:rFonts w:ascii="Arial" w:hAnsi="Arial" w:cs="Arial"/>
          <w:noProof/>
          <w:lang w:val="en-GB"/>
        </w:rPr>
        <w:t>failure to fully transpose the Radioactive Waste Directive;</w:t>
      </w:r>
      <w:r>
        <w:rPr>
          <w:rStyle w:val="FootnoteReference"/>
          <w:rFonts w:ascii="Arial" w:hAnsi="Arial" w:cs="Arial"/>
          <w:noProof/>
          <w:lang w:val="en-GB"/>
        </w:rPr>
        <w:footnoteReference w:id="65"/>
      </w:r>
    </w:p>
    <w:p>
      <w:pPr>
        <w:pStyle w:val="Lijstje2"/>
        <w:ind w:left="1843"/>
        <w:rPr>
          <w:rFonts w:ascii="Arial" w:hAnsi="Arial" w:cs="Arial"/>
          <w:noProof/>
          <w:lang w:val="en-GB"/>
        </w:rPr>
      </w:pPr>
      <w:r>
        <w:rPr>
          <w:rFonts w:ascii="Arial" w:hAnsi="Arial" w:cs="Arial"/>
          <w:i/>
          <w:noProof/>
          <w:lang w:val="en-GB"/>
        </w:rPr>
        <w:t xml:space="preserve">Poland, Portugal: </w:t>
      </w:r>
      <w:r>
        <w:rPr>
          <w:rFonts w:ascii="Arial" w:hAnsi="Arial" w:cs="Arial"/>
          <w:noProof/>
          <w:lang w:val="en-GB"/>
        </w:rPr>
        <w:t>failure to comply with the requirements of the Renewable Energy Directive;</w:t>
      </w:r>
      <w:r>
        <w:rPr>
          <w:rStyle w:val="FootnoteReference"/>
          <w:rFonts w:ascii="Arial" w:hAnsi="Arial" w:cs="Arial"/>
          <w:noProof/>
          <w:lang w:val="en-GB"/>
        </w:rPr>
        <w:footnoteReference w:id="66"/>
      </w:r>
    </w:p>
    <w:p>
      <w:pPr>
        <w:pStyle w:val="Lijstje2"/>
        <w:ind w:left="1843"/>
        <w:rPr>
          <w:rFonts w:ascii="Arial" w:hAnsi="Arial" w:cs="Arial"/>
          <w:i/>
          <w:noProof/>
          <w:lang w:val="en-GB"/>
        </w:rPr>
      </w:pPr>
      <w:r>
        <w:rPr>
          <w:rFonts w:ascii="Arial" w:hAnsi="Arial" w:cs="Arial"/>
          <w:i/>
          <w:noProof/>
          <w:lang w:val="en-GB"/>
        </w:rPr>
        <w:t xml:space="preserve">Romania: </w:t>
      </w:r>
      <w:r>
        <w:rPr>
          <w:rFonts w:ascii="Arial" w:hAnsi="Arial" w:cs="Arial"/>
          <w:noProof/>
          <w:lang w:val="en-GB"/>
        </w:rPr>
        <w:t>failure to comply with the requirements of the Oil Stocks Directive.</w:t>
      </w:r>
      <w:r>
        <w:rPr>
          <w:rStyle w:val="FootnoteReference"/>
          <w:rFonts w:ascii="Arial" w:hAnsi="Arial" w:cs="Arial"/>
          <w:noProof/>
          <w:lang w:val="en-GB"/>
        </w:rPr>
        <w:footnoteReference w:id="67"/>
      </w:r>
    </w:p>
    <w:p>
      <w:pPr>
        <w:pStyle w:val="Lijstje"/>
        <w:numPr>
          <w:ilvl w:val="0"/>
          <w:numId w:val="111"/>
        </w:numPr>
        <w:spacing w:after="120"/>
        <w:ind w:hanging="426"/>
        <w:rPr>
          <w:rFonts w:cs="Arial"/>
          <w:noProof/>
          <w:lang w:val="en-GB"/>
        </w:rPr>
      </w:pPr>
      <w:r>
        <w:rPr>
          <w:rFonts w:ascii="Arial" w:hAnsi="Arial"/>
          <w:noProof/>
          <w:lang w:val="en-GB"/>
        </w:rPr>
        <w:t>The Commission referred one case to the Court under Article 258 TFEU. It concerned:</w:t>
      </w:r>
    </w:p>
    <w:p>
      <w:pPr>
        <w:pStyle w:val="Lijstje2"/>
        <w:ind w:left="1843"/>
        <w:rPr>
          <w:rFonts w:ascii="Arial" w:hAnsi="Arial" w:cs="Arial"/>
          <w:noProof/>
          <w:lang w:val="en-GB"/>
        </w:rPr>
      </w:pPr>
      <w:r>
        <w:rPr>
          <w:rFonts w:ascii="Arial" w:hAnsi="Arial" w:cs="Arial"/>
          <w:i/>
          <w:noProof/>
          <w:lang w:val="en-GB"/>
        </w:rPr>
        <w:t>Greece</w:t>
      </w:r>
      <w:r>
        <w:rPr>
          <w:rFonts w:ascii="Arial" w:hAnsi="Arial" w:cs="Arial"/>
          <w:noProof/>
          <w:lang w:val="en-GB"/>
        </w:rPr>
        <w:t>: non-compliance with the obligation to calculate the cost-optimal levels of minimum energy performance requirements for buildings.</w:t>
      </w:r>
      <w:r>
        <w:rPr>
          <w:rStyle w:val="FootnoteReference"/>
          <w:rFonts w:ascii="Arial" w:hAnsi="Arial" w:cs="Arial"/>
          <w:noProof/>
          <w:lang w:val="en-GB"/>
        </w:rPr>
        <w:footnoteReference w:id="68"/>
      </w:r>
    </w:p>
    <w:p>
      <w:pPr>
        <w:numPr>
          <w:ilvl w:val="0"/>
          <w:numId w:val="111"/>
        </w:numPr>
        <w:ind w:left="1417" w:hanging="425"/>
        <w:rPr>
          <w:rFonts w:eastAsia="Calibri" w:cs="Arial"/>
          <w:noProof/>
          <w:kern w:val="20"/>
          <w:sz w:val="20"/>
        </w:rPr>
      </w:pPr>
      <w:r>
        <w:rPr>
          <w:rFonts w:eastAsia="Calibri" w:cs="Arial"/>
          <w:noProof/>
          <w:kern w:val="20"/>
          <w:sz w:val="20"/>
        </w:rPr>
        <w:t>The Commission did not refer any cases to the Court under Article 260(2) TFEU.</w:t>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TRANSPOSITION OF DIRECTIVES</w:t>
      </w:r>
    </w:p>
    <w:p>
      <w:pPr>
        <w:numPr>
          <w:ilvl w:val="0"/>
          <w:numId w:val="65"/>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587240" cy="2202180"/>
            <wp:effectExtent l="0" t="0" r="22860" b="26670"/>
            <wp:docPr id="115"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numPr>
          <w:ilvl w:val="0"/>
          <w:numId w:val="65"/>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331720"/>
            <wp:effectExtent l="0" t="0" r="22860" b="11430"/>
            <wp:docPr id="116"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numPr>
          <w:ilvl w:val="0"/>
          <w:numId w:val="65"/>
        </w:numPr>
        <w:spacing w:after="60"/>
        <w:jc w:val="left"/>
        <w:outlineLvl w:val="1"/>
        <w:rPr>
          <w:noProof/>
          <w:color w:val="002060"/>
          <w:szCs w:val="22"/>
        </w:rPr>
      </w:pPr>
      <w:r>
        <w:rPr>
          <w:noProof/>
          <w:color w:val="002060"/>
          <w:szCs w:val="22"/>
        </w:rPr>
        <w:t>Key infringement cases and referrals to the Court</w:t>
      </w:r>
    </w:p>
    <w:p>
      <w:pPr>
        <w:numPr>
          <w:ilvl w:val="0"/>
          <w:numId w:val="125"/>
        </w:numPr>
        <w:spacing w:before="120" w:after="120"/>
        <w:ind w:left="1417" w:hanging="425"/>
        <w:rPr>
          <w:rFonts w:eastAsia="Calibri" w:cs="Arial"/>
          <w:noProof/>
          <w:kern w:val="20"/>
          <w:sz w:val="20"/>
        </w:rPr>
      </w:pPr>
      <w:r>
        <w:rPr>
          <w:rFonts w:eastAsia="Calibri" w:cs="Arial"/>
          <w:noProof/>
          <w:kern w:val="20"/>
          <w:sz w:val="20"/>
        </w:rPr>
        <w:t>The Commission opened four cases for late transposition in 2016. They concern:</w:t>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Drinking Water Directive (3 cases);</w:t>
      </w:r>
      <w:r>
        <w:rPr>
          <w:rStyle w:val="FootnoteReference"/>
          <w:rFonts w:eastAsia="Calibri" w:cs="Arial"/>
          <w:noProof/>
          <w:kern w:val="20"/>
          <w:sz w:val="20"/>
        </w:rPr>
        <w:footnoteReference w:id="69"/>
      </w:r>
    </w:p>
    <w:p>
      <w:pPr>
        <w:numPr>
          <w:ilvl w:val="0"/>
          <w:numId w:val="25"/>
        </w:numPr>
        <w:ind w:left="2132" w:hanging="425"/>
        <w:contextualSpacing/>
        <w:rPr>
          <w:rFonts w:eastAsia="Calibri" w:cs="Arial"/>
          <w:noProof/>
          <w:kern w:val="20"/>
          <w:sz w:val="20"/>
        </w:rPr>
      </w:pPr>
      <w:r>
        <w:rPr>
          <w:rFonts w:eastAsia="Calibri" w:cs="Arial"/>
          <w:noProof/>
          <w:kern w:val="20"/>
          <w:sz w:val="20"/>
        </w:rPr>
        <w:t>the Offshore Safety Directive (1 case).</w:t>
      </w:r>
      <w:r>
        <w:rPr>
          <w:rStyle w:val="FootnoteReference"/>
          <w:rFonts w:eastAsia="Calibri" w:cs="Arial"/>
          <w:noProof/>
          <w:kern w:val="20"/>
          <w:sz w:val="20"/>
        </w:rPr>
        <w:footnoteReference w:id="70"/>
      </w:r>
    </w:p>
    <w:p>
      <w:pPr>
        <w:ind w:left="2132"/>
        <w:contextualSpacing/>
        <w:rPr>
          <w:rFonts w:eastAsia="Calibri" w:cs="Arial"/>
          <w:noProof/>
          <w:kern w:val="20"/>
          <w:sz w:val="20"/>
        </w:rPr>
      </w:pPr>
    </w:p>
    <w:p>
      <w:pPr>
        <w:numPr>
          <w:ilvl w:val="0"/>
          <w:numId w:val="125"/>
        </w:numPr>
        <w:spacing w:before="120" w:after="120"/>
        <w:ind w:left="1417" w:hanging="425"/>
        <w:rPr>
          <w:rFonts w:eastAsia="Calibri" w:cs="Arial"/>
          <w:noProof/>
          <w:kern w:val="20"/>
          <w:sz w:val="20"/>
        </w:rPr>
      </w:pPr>
      <w:r>
        <w:rPr>
          <w:rFonts w:eastAsia="Calibri" w:cs="Arial"/>
          <w:noProof/>
          <w:kern w:val="20"/>
          <w:sz w:val="20"/>
        </w:rPr>
        <w:t xml:space="preserve">The Commission did not refer any cases to the Court under Articles 258 and 260(3) TFEU. </w:t>
      </w:r>
    </w:p>
    <w:p>
      <w:pPr>
        <w:spacing w:before="120" w:after="120"/>
        <w:ind w:left="1417"/>
        <w:rPr>
          <w:rFonts w:eastAsia="Calibri" w:cs="Arial"/>
          <w:noProof/>
          <w:kern w:val="20"/>
          <w:sz w:val="12"/>
        </w:rPr>
      </w:pP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pStyle w:val="Title1"/>
        <w:numPr>
          <w:ilvl w:val="0"/>
          <w:numId w:val="0"/>
        </w:numPr>
        <w:ind w:left="720"/>
        <w:rPr>
          <w:noProof/>
        </w:rPr>
      </w:pPr>
      <w:r>
        <w:rPr>
          <w:rFonts w:cs="Arial"/>
          <w:caps w:val="0"/>
          <w:noProof/>
          <w:color w:val="auto"/>
          <w:sz w:val="20"/>
          <w:szCs w:val="20"/>
        </w:rPr>
        <w:t>The Commission did not close any major infringement cases in 2016 in this area.</w:t>
      </w:r>
    </w:p>
    <w:p>
      <w:pPr>
        <w:spacing w:after="0"/>
        <w:jc w:val="left"/>
        <w:rPr>
          <w:caps/>
          <w:noProof/>
          <w:color w:val="4F81BD"/>
          <w:sz w:val="24"/>
          <w:szCs w:val="24"/>
        </w:rPr>
      </w:pPr>
      <w:r>
        <w:rPr>
          <w:noProof/>
        </w:rPr>
        <w:br w:type="page"/>
      </w:r>
    </w:p>
    <w:p>
      <w:pPr>
        <w:pStyle w:val="Title1"/>
        <w:rPr>
          <w:caps w:val="0"/>
          <w:noProof/>
        </w:rPr>
      </w:pPr>
      <w:r>
        <w:rPr>
          <w:noProof/>
        </w:rPr>
        <w:t>IMPORTANT JUDGMENTS</w:t>
      </w:r>
    </w:p>
    <w:p>
      <w:pPr>
        <w:numPr>
          <w:ilvl w:val="0"/>
          <w:numId w:val="66"/>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71"/>
      </w:r>
    </w:p>
    <w:p>
      <w:pPr>
        <w:pStyle w:val="ListParagraph"/>
        <w:rPr>
          <w:rFonts w:cs="Arial"/>
          <w:noProof/>
          <w:sz w:val="20"/>
        </w:rPr>
      </w:pPr>
      <w:r>
        <w:rPr>
          <w:rFonts w:cs="Arial"/>
          <w:noProof/>
          <w:sz w:val="20"/>
        </w:rPr>
        <w:t>There were no major Court rulings in 2016</w:t>
      </w:r>
      <w:r>
        <w:rPr>
          <w:rFonts w:cs="Arial"/>
          <w:noProof/>
        </w:rPr>
        <w:t xml:space="preserve"> </w:t>
      </w:r>
      <w:r>
        <w:rPr>
          <w:noProof/>
          <w:sz w:val="20"/>
        </w:rPr>
        <w:t>in this area</w:t>
      </w:r>
      <w:r>
        <w:rPr>
          <w:rFonts w:cs="Arial"/>
          <w:noProof/>
          <w:sz w:val="20"/>
        </w:rPr>
        <w:t>.</w:t>
      </w:r>
    </w:p>
    <w:p>
      <w:pPr>
        <w:numPr>
          <w:ilvl w:val="0"/>
          <w:numId w:val="66"/>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pStyle w:val="Lijstje2"/>
        <w:rPr>
          <w:rFonts w:ascii="Arial" w:hAnsi="Arial" w:cs="Arial"/>
          <w:noProof/>
          <w:lang w:val="en-GB"/>
        </w:rPr>
      </w:pPr>
      <w:r>
        <w:rPr>
          <w:rFonts w:ascii="Arial" w:hAnsi="Arial" w:cs="Arial"/>
          <w:i/>
          <w:noProof/>
          <w:lang w:val="en-GB"/>
        </w:rPr>
        <w:t xml:space="preserve">Belgium: </w:t>
      </w:r>
      <w:r>
        <w:rPr>
          <w:rFonts w:ascii="Arial" w:hAnsi="Arial" w:cs="Arial"/>
          <w:noProof/>
          <w:lang w:val="en-GB"/>
        </w:rPr>
        <w:t>the exemption of distribution charges limited to green electricity produced in Flanders is incompatible with EU law. It fails to achieve the objective of increasing the production of green electricity and is thus considered non-proportionate discrimination against imported electricity;</w:t>
      </w:r>
      <w:r>
        <w:rPr>
          <w:rStyle w:val="FootnoteReference"/>
          <w:rFonts w:ascii="Arial" w:hAnsi="Arial" w:cs="Arial"/>
          <w:noProof/>
          <w:lang w:val="en-GB"/>
        </w:rPr>
        <w:footnoteReference w:id="72"/>
      </w:r>
    </w:p>
    <w:p>
      <w:pPr>
        <w:pStyle w:val="Lijstje2"/>
        <w:rPr>
          <w:rFonts w:cs="Arial"/>
          <w:noProof/>
          <w:lang w:val="en-GB"/>
        </w:rPr>
      </w:pPr>
      <w:r>
        <w:rPr>
          <w:rFonts w:ascii="Arial" w:hAnsi="Arial" w:cs="Arial"/>
          <w:i/>
          <w:noProof/>
          <w:lang w:val="en-GB"/>
        </w:rPr>
        <w:t xml:space="preserve">France: </w:t>
      </w:r>
      <w:r>
        <w:rPr>
          <w:rFonts w:ascii="Arial" w:hAnsi="Arial" w:cs="Arial"/>
          <w:noProof/>
          <w:lang w:val="en-GB"/>
        </w:rPr>
        <w:t>security of supply and territorial cohesion might be objectives in the general economic interest which may justify state intervention in fixing the price of supply of natural gas to household customers. However, such intervention would be compatible with the Gas Directive</w:t>
      </w:r>
      <w:r>
        <w:rPr>
          <w:rStyle w:val="FootnoteReference"/>
          <w:rFonts w:ascii="Arial" w:hAnsi="Arial" w:cs="Arial"/>
          <w:noProof/>
          <w:lang w:val="en-GB"/>
        </w:rPr>
        <w:footnoteReference w:id="73"/>
      </w:r>
      <w:r>
        <w:rPr>
          <w:rFonts w:ascii="Arial" w:hAnsi="Arial" w:cs="Arial"/>
          <w:noProof/>
          <w:lang w:val="en-GB"/>
        </w:rPr>
        <w:t xml:space="preserve"> only if strict requirements were met, including proportionality and non-discrimination.</w:t>
      </w:r>
      <w:r>
        <w:rPr>
          <w:rStyle w:val="FootnoteReference"/>
          <w:rFonts w:cs="Arial"/>
          <w:noProof/>
          <w:lang w:val="en-GB"/>
        </w:rPr>
        <w:footnoteReference w:id="74"/>
      </w:r>
    </w:p>
    <w:p>
      <w:pPr>
        <w:numPr>
          <w:ilvl w:val="0"/>
          <w:numId w:val="30"/>
        </w:numPr>
        <w:spacing w:after="120"/>
        <w:ind w:left="714" w:hanging="357"/>
        <w:rPr>
          <w:caps/>
          <w:noProof/>
          <w:color w:val="4F81BD"/>
          <w:sz w:val="24"/>
          <w:szCs w:val="24"/>
        </w:rPr>
      </w:pPr>
      <w:r>
        <w:rPr>
          <w:caps/>
          <w:noProof/>
          <w:color w:val="4F81BD"/>
          <w:sz w:val="24"/>
          <w:szCs w:val="24"/>
        </w:rPr>
        <w:t>Outlook</w:t>
      </w:r>
    </w:p>
    <w:p>
      <w:pPr>
        <w:spacing w:after="60"/>
        <w:ind w:left="360"/>
        <w:jc w:val="left"/>
        <w:outlineLvl w:val="1"/>
        <w:rPr>
          <w:noProof/>
          <w:color w:val="31849B"/>
        </w:rPr>
      </w:pPr>
      <w:r>
        <w:rPr>
          <w:noProof/>
          <w:color w:val="002060"/>
          <w:szCs w:val="22"/>
        </w:rPr>
        <w:t>Important implementation work in 2017 includes:</w:t>
      </w:r>
    </w:p>
    <w:p>
      <w:pPr>
        <w:numPr>
          <w:ilvl w:val="0"/>
          <w:numId w:val="27"/>
        </w:numPr>
        <w:ind w:left="1276"/>
        <w:contextualSpacing/>
        <w:rPr>
          <w:noProof/>
          <w:sz w:val="20"/>
        </w:rPr>
      </w:pPr>
      <w:r>
        <w:rPr>
          <w:noProof/>
          <w:sz w:val="20"/>
        </w:rPr>
        <w:t>performing transposition and conformity checks where needed, for example for the Directives:</w:t>
      </w:r>
    </w:p>
    <w:p>
      <w:pPr>
        <w:numPr>
          <w:ilvl w:val="0"/>
          <w:numId w:val="27"/>
        </w:numPr>
        <w:contextualSpacing/>
        <w:rPr>
          <w:noProof/>
          <w:sz w:val="20"/>
        </w:rPr>
      </w:pPr>
      <w:r>
        <w:rPr>
          <w:noProof/>
          <w:sz w:val="20"/>
        </w:rPr>
        <w:t>establishing a Community framework for the nuclear safety of nuclear installations;</w:t>
      </w:r>
      <w:r>
        <w:rPr>
          <w:rStyle w:val="FootnoteReference"/>
          <w:noProof/>
          <w:sz w:val="20"/>
        </w:rPr>
        <w:footnoteReference w:id="75"/>
      </w:r>
    </w:p>
    <w:p>
      <w:pPr>
        <w:numPr>
          <w:ilvl w:val="0"/>
          <w:numId w:val="27"/>
        </w:numPr>
        <w:contextualSpacing/>
        <w:rPr>
          <w:noProof/>
          <w:sz w:val="20"/>
        </w:rPr>
      </w:pPr>
      <w:r>
        <w:rPr>
          <w:noProof/>
          <w:sz w:val="20"/>
        </w:rPr>
        <w:t>on the quality of petrol and diesel fuels (Indirect Land-Use Change);</w:t>
      </w:r>
      <w:r>
        <w:rPr>
          <w:rStyle w:val="FootnoteReference"/>
          <w:noProof/>
          <w:sz w:val="20"/>
        </w:rPr>
        <w:footnoteReference w:id="76"/>
      </w:r>
    </w:p>
    <w:p>
      <w:pPr>
        <w:numPr>
          <w:ilvl w:val="0"/>
          <w:numId w:val="27"/>
        </w:numPr>
        <w:ind w:left="1276"/>
        <w:contextualSpacing/>
        <w:rPr>
          <w:rFonts w:cs="Arial"/>
          <w:noProof/>
          <w:sz w:val="20"/>
        </w:rPr>
      </w:pPr>
      <w:r>
        <w:rPr>
          <w:noProof/>
          <w:sz w:val="20"/>
        </w:rPr>
        <w:t>following up on non-conformity issues related to the Third Energy Package Directives and the Energy Performance of Buildings Directive;</w:t>
      </w:r>
      <w:r>
        <w:rPr>
          <w:rStyle w:val="FootnoteReference"/>
          <w:noProof/>
          <w:sz w:val="20"/>
        </w:rPr>
        <w:footnoteReference w:id="77"/>
      </w:r>
    </w:p>
    <w:p>
      <w:pPr>
        <w:numPr>
          <w:ilvl w:val="0"/>
          <w:numId w:val="27"/>
        </w:numPr>
        <w:ind w:left="1276"/>
        <w:contextualSpacing/>
        <w:rPr>
          <w:rFonts w:cs="Arial"/>
          <w:noProof/>
          <w:sz w:val="20"/>
        </w:rPr>
      </w:pPr>
      <w:r>
        <w:rPr>
          <w:noProof/>
          <w:sz w:val="20"/>
        </w:rPr>
        <w:t>checking compliance with the Energy Efficiency and Offshore Safety Directives;</w:t>
      </w:r>
      <w:r>
        <w:rPr>
          <w:rStyle w:val="FootnoteReference"/>
          <w:noProof/>
          <w:sz w:val="20"/>
        </w:rPr>
        <w:footnoteReference w:id="78"/>
      </w:r>
    </w:p>
    <w:p>
      <w:pPr>
        <w:numPr>
          <w:ilvl w:val="0"/>
          <w:numId w:val="27"/>
        </w:numPr>
        <w:ind w:left="1276"/>
        <w:contextualSpacing/>
        <w:rPr>
          <w:rFonts w:cs="Arial"/>
          <w:noProof/>
          <w:sz w:val="20"/>
        </w:rPr>
      </w:pPr>
      <w:r>
        <w:rPr>
          <w:rFonts w:cs="Arial"/>
          <w:noProof/>
          <w:sz w:val="20"/>
        </w:rPr>
        <w:t>following up a Court judgment expected on the applicability of the Aarhus Regulation in the field covered by the Euratom Treaty.</w:t>
      </w:r>
      <w:r>
        <w:rPr>
          <w:rStyle w:val="FootnoteReference"/>
          <w:rFonts w:cs="Arial"/>
          <w:noProof/>
          <w:sz w:val="20"/>
        </w:rPr>
        <w:footnoteReference w:id="79"/>
      </w:r>
    </w:p>
    <w:p>
      <w:pPr>
        <w:rPr>
          <w:rFonts w:cs="Arial"/>
          <w:noProof/>
          <w:sz w:val="20"/>
        </w:rPr>
      </w:pPr>
    </w:p>
    <w:p>
      <w:pPr>
        <w:rPr>
          <w:rFonts w:cs="Arial"/>
          <w:noProof/>
          <w:sz w:val="20"/>
        </w:rPr>
        <w:sectPr>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42" w:name="_Toc475524734"/>
      <w:bookmarkStart w:id="43" w:name="_Toc475529501"/>
      <w:bookmarkStart w:id="44" w:name="_Toc475529540"/>
      <w:bookmarkStart w:id="45" w:name="_Toc475529868"/>
      <w:bookmarkStart w:id="46" w:name="_Toc475550833"/>
      <w:bookmarkStart w:id="47" w:name="_Toc475551373"/>
      <w:bookmarkStart w:id="48" w:name="_Toc484622462"/>
      <w:r>
        <w:rPr>
          <w:noProof/>
        </w:rPr>
        <w:t>Environment</w:t>
      </w:r>
      <w:bookmarkEnd w:id="42"/>
      <w:bookmarkEnd w:id="43"/>
      <w:bookmarkEnd w:id="44"/>
      <w:bookmarkEnd w:id="45"/>
      <w:bookmarkEnd w:id="46"/>
      <w:bookmarkEnd w:id="47"/>
      <w:bookmarkEnd w:id="48"/>
    </w:p>
    <w:p>
      <w:pPr>
        <w:rPr>
          <w:i/>
          <w:noProof/>
        </w:rPr>
      </w:pPr>
      <w:r>
        <w:rPr>
          <w:i/>
          <w:noProof/>
        </w:rPr>
        <w:t xml:space="preserve">New complaints in the area of environment policy continued to decrease in 2016, reaching the lowest level in 6 years. The same goes for infringement cases open at the end of the year and new late transposition cases. In contrast, the number of new EU Pilot files jumped, while remaining below its 2012-2014 levels.   </w:t>
      </w:r>
    </w:p>
    <w:p>
      <w:pPr>
        <w:pStyle w:val="Title1"/>
        <w:numPr>
          <w:ilvl w:val="0"/>
          <w:numId w:val="37"/>
        </w:numPr>
        <w:spacing w:after="120"/>
        <w:ind w:left="714" w:hanging="357"/>
        <w:rPr>
          <w:noProof/>
        </w:rPr>
      </w:pPr>
      <w:r>
        <w:rPr>
          <w:noProof/>
        </w:rPr>
        <w:t>COMPLAINTS</w:t>
      </w:r>
    </w:p>
    <w:p>
      <w:pPr>
        <w:numPr>
          <w:ilvl w:val="0"/>
          <w:numId w:val="67"/>
        </w:numPr>
        <w:spacing w:after="120"/>
        <w:ind w:left="714" w:hanging="357"/>
        <w:jc w:val="left"/>
        <w:outlineLvl w:val="1"/>
        <w:rPr>
          <w:noProof/>
          <w:color w:val="002060"/>
          <w:szCs w:val="22"/>
        </w:rPr>
      </w:pPr>
      <w:r>
        <w:rPr>
          <w:noProof/>
          <w:color w:val="002060"/>
          <w:szCs w:val="22"/>
        </w:rPr>
        <w:t>New complaints received from members of the public (2012-2016)</w:t>
      </w:r>
    </w:p>
    <w:p>
      <w:pPr>
        <w:pStyle w:val="Basis"/>
        <w:rPr>
          <w:noProof/>
          <w:lang w:val="en-GB"/>
        </w:rPr>
      </w:pPr>
      <w:r>
        <w:rPr>
          <w:noProof/>
        </w:rPr>
        <w:drawing>
          <wp:inline distT="0" distB="0" distL="0" distR="0">
            <wp:extent cx="4587240" cy="2072640"/>
            <wp:effectExtent l="0" t="0" r="22860" b="22860"/>
            <wp:docPr id="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numPr>
          <w:ilvl w:val="0"/>
          <w:numId w:val="67"/>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81"/>
        <w:gridCol w:w="5310"/>
      </w:tblGrid>
      <w:tr>
        <w:trPr>
          <w:trHeight w:val="403"/>
          <w:jc w:val="center"/>
        </w:trPr>
        <w:tc>
          <w:tcPr>
            <w:tcW w:w="1697"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434</w:t>
            </w:r>
          </w:p>
        </w:tc>
        <w:tc>
          <w:tcPr>
            <w:tcW w:w="381"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open at end-2015</w:t>
            </w:r>
          </w:p>
        </w:tc>
      </w:tr>
      <w:tr>
        <w:trPr>
          <w:trHeight w:val="403"/>
          <w:jc w:val="center"/>
        </w:trPr>
        <w:tc>
          <w:tcPr>
            <w:tcW w:w="1697"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348</w:t>
            </w:r>
          </w:p>
        </w:tc>
        <w:tc>
          <w:tcPr>
            <w:tcW w:w="381"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New complaints registered in 2016</w:t>
            </w:r>
          </w:p>
        </w:tc>
      </w:tr>
      <w:tr>
        <w:trPr>
          <w:trHeight w:val="403"/>
          <w:jc w:val="center"/>
        </w:trPr>
        <w:tc>
          <w:tcPr>
            <w:tcW w:w="1697" w:type="dxa"/>
            <w:tcBorders>
              <w:bottom w:val="single" w:sz="24" w:space="0" w:color="548DD4" w:themeColor="text2" w:themeTint="99"/>
            </w:tcBorders>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311</w:t>
            </w:r>
          </w:p>
        </w:tc>
        <w:tc>
          <w:tcPr>
            <w:tcW w:w="381"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handled in 2016</w:t>
            </w:r>
          </w:p>
        </w:tc>
      </w:tr>
      <w:tr>
        <w:trPr>
          <w:trHeight w:val="403"/>
          <w:jc w:val="center"/>
        </w:trPr>
        <w:tc>
          <w:tcPr>
            <w:tcW w:w="1697" w:type="dxa"/>
            <w:tcBorders>
              <w:top w:val="single" w:sz="24" w:space="0" w:color="548DD4" w:themeColor="text2" w:themeTint="99"/>
            </w:tcBorders>
            <w:vAlign w:val="center"/>
          </w:tcPr>
          <w:p>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471</w:t>
            </w:r>
          </w:p>
        </w:tc>
        <w:tc>
          <w:tcPr>
            <w:tcW w:w="381" w:type="dxa"/>
            <w:vAlign w:val="center"/>
          </w:tcPr>
          <w:p>
            <w:pPr>
              <w:pStyle w:val="Body"/>
              <w:spacing w:after="0"/>
              <w:ind w:firstLine="0"/>
              <w:jc w:val="righ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&gt;</w:t>
            </w:r>
          </w:p>
        </w:tc>
        <w:tc>
          <w:tcPr>
            <w:tcW w:w="5310" w:type="dxa"/>
            <w:vAlign w:val="center"/>
          </w:tcPr>
          <w:p>
            <w:pPr>
              <w:pStyle w:val="Body"/>
              <w:spacing w:after="0"/>
              <w:ind w:firstLine="0"/>
              <w:jc w:val="left"/>
              <w:rPr>
                <w:rFonts w:ascii="Arial" w:hAnsi="Arial" w:cs="Arial"/>
                <w:noProof/>
                <w:color w:val="548DD4" w:themeColor="text2" w:themeTint="99"/>
                <w:sz w:val="22"/>
                <w:szCs w:val="28"/>
                <w:lang w:val="en-GB"/>
              </w:rPr>
            </w:pPr>
            <w:r>
              <w:rPr>
                <w:rFonts w:ascii="Arial" w:hAnsi="Arial" w:cs="Arial"/>
                <w:noProof/>
                <w:color w:val="548DD4" w:themeColor="text2" w:themeTint="99"/>
                <w:sz w:val="22"/>
                <w:szCs w:val="28"/>
                <w:lang w:val="en-GB"/>
              </w:rPr>
              <w:t>Complaints open at end-2016</w:t>
            </w:r>
          </w:p>
        </w:tc>
      </w:tr>
    </w:tbl>
    <w:p>
      <w:pPr>
        <w:pStyle w:val="Basis"/>
        <w:spacing w:after="0"/>
        <w:rPr>
          <w:noProof/>
          <w:sz w:val="18"/>
          <w:lang w:val="en-GB"/>
        </w:rPr>
      </w:pPr>
    </w:p>
    <w:p>
      <w:pPr>
        <w:numPr>
          <w:ilvl w:val="0"/>
          <w:numId w:val="67"/>
        </w:numPr>
        <w:spacing w:after="120"/>
        <w:ind w:left="714" w:hanging="357"/>
        <w:jc w:val="left"/>
        <w:outlineLvl w:val="1"/>
        <w:rPr>
          <w:noProof/>
          <w:color w:val="002060"/>
          <w:szCs w:val="22"/>
        </w:rPr>
      </w:pPr>
      <w:r>
        <w:rPr>
          <w:noProof/>
          <w:color w:val="002060"/>
          <w:szCs w:val="22"/>
        </w:rPr>
        <w:t>New complaints registered in 2016: main policy sectors</w:t>
      </w:r>
    </w:p>
    <w:p>
      <w:pPr>
        <w:pStyle w:val="Basis"/>
        <w:rPr>
          <w:noProof/>
          <w:lang w:val="en-GB"/>
        </w:rPr>
      </w:pPr>
      <w:r>
        <w:rPr>
          <w:noProof/>
        </w:rPr>
        <w:drawing>
          <wp:inline distT="0" distB="0" distL="0" distR="0">
            <wp:extent cx="4587240" cy="2255520"/>
            <wp:effectExtent l="0" t="0" r="22860" b="11430"/>
            <wp:docPr id="12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spacing w:after="0"/>
        <w:jc w:val="left"/>
        <w:rPr>
          <w:caps/>
          <w:noProof/>
          <w:sz w:val="24"/>
          <w:szCs w:val="24"/>
        </w:rPr>
      </w:pPr>
      <w:r>
        <w:rPr>
          <w:noProof/>
        </w:rPr>
        <w:br w:type="page"/>
      </w:r>
    </w:p>
    <w:p>
      <w:pPr>
        <w:pStyle w:val="Title1"/>
        <w:spacing w:after="120"/>
        <w:ind w:left="714" w:hanging="357"/>
        <w:rPr>
          <w:noProof/>
        </w:rPr>
      </w:pPr>
      <w:r>
        <w:rPr>
          <w:noProof/>
        </w:rPr>
        <w:t>EU PILOT</w:t>
      </w:r>
    </w:p>
    <w:p>
      <w:pPr>
        <w:numPr>
          <w:ilvl w:val="0"/>
          <w:numId w:val="68"/>
        </w:numPr>
        <w:spacing w:after="120"/>
        <w:ind w:left="714" w:hanging="357"/>
        <w:jc w:val="left"/>
        <w:outlineLvl w:val="1"/>
        <w:rPr>
          <w:noProof/>
          <w:color w:val="002060"/>
          <w:szCs w:val="22"/>
        </w:rPr>
      </w:pPr>
      <w:r>
        <w:rPr>
          <w:noProof/>
          <w:color w:val="002060"/>
          <w:szCs w:val="22"/>
        </w:rPr>
        <w:t>New EU Pilot files (2012-2016)</w:t>
      </w:r>
    </w:p>
    <w:p>
      <w:pPr>
        <w:pStyle w:val="Basis"/>
        <w:rPr>
          <w:noProof/>
          <w:lang w:val="en-GB"/>
        </w:rPr>
      </w:pPr>
      <w:r>
        <w:rPr>
          <w:noProof/>
        </w:rPr>
        <w:drawing>
          <wp:inline distT="0" distB="0" distL="0" distR="0">
            <wp:extent cx="4591050" cy="2057400"/>
            <wp:effectExtent l="0" t="0" r="19050" b="19050"/>
            <wp:docPr id="9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numPr>
          <w:ilvl w:val="0"/>
          <w:numId w:val="68"/>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294 EU Pilot files remained open.</w:t>
      </w:r>
    </w:p>
    <w:p>
      <w:pPr>
        <w:numPr>
          <w:ilvl w:val="0"/>
          <w:numId w:val="68"/>
        </w:numPr>
        <w:spacing w:after="120"/>
        <w:ind w:left="714" w:hanging="357"/>
        <w:jc w:val="left"/>
        <w:outlineLvl w:val="1"/>
        <w:rPr>
          <w:noProof/>
          <w:color w:val="002060"/>
          <w:szCs w:val="22"/>
        </w:rPr>
      </w:pPr>
      <w:r>
        <w:rPr>
          <w:noProof/>
          <w:color w:val="002060"/>
          <w:szCs w:val="22"/>
        </w:rPr>
        <w:t>New EU Pilot files opened in 2016: main policy sectors</w:t>
      </w:r>
    </w:p>
    <w:p>
      <w:pPr>
        <w:pStyle w:val="Basis"/>
        <w:rPr>
          <w:noProof/>
          <w:lang w:val="en-GB"/>
        </w:rPr>
      </w:pPr>
      <w:r>
        <w:rPr>
          <w:noProof/>
        </w:rPr>
        <w:drawing>
          <wp:inline distT="0" distB="0" distL="0" distR="0">
            <wp:extent cx="4602480" cy="2286000"/>
            <wp:effectExtent l="0" t="0" r="26670" b="19050"/>
            <wp:docPr id="13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numPr>
          <w:ilvl w:val="0"/>
          <w:numId w:val="68"/>
        </w:numPr>
        <w:spacing w:after="120"/>
        <w:ind w:left="714" w:hanging="357"/>
        <w:jc w:val="left"/>
        <w:outlineLvl w:val="1"/>
        <w:rPr>
          <w:noProof/>
        </w:rPr>
      </w:pPr>
      <w:r>
        <w:rPr>
          <w:noProof/>
        </w:rPr>
        <w:t>EU Pilot files: resolution rate for policies (2012-2016)</w:t>
      </w:r>
    </w:p>
    <w:p>
      <w:pPr>
        <w:pStyle w:val="Basis"/>
        <w:rPr>
          <w:noProof/>
          <w:lang w:val="en-GB"/>
        </w:rPr>
      </w:pPr>
      <w:r>
        <w:rPr>
          <w:noProof/>
          <w:color w:val="002060"/>
          <w:szCs w:val="22"/>
          <w:lang w:val="en-GB"/>
        </w:rPr>
        <w:t xml:space="preserve"> </w:t>
      </w:r>
      <w:r>
        <w:rPr>
          <w:noProof/>
        </w:rPr>
        <w:drawing>
          <wp:inline distT="0" distB="0" distL="0" distR="0">
            <wp:extent cx="4572000" cy="2194560"/>
            <wp:effectExtent l="0" t="0" r="19050" b="15240"/>
            <wp:docPr id="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0"/>
        <w:jc w:val="left"/>
        <w:rPr>
          <w:caps/>
          <w:noProof/>
          <w:color w:val="4F81BD"/>
          <w:sz w:val="24"/>
          <w:szCs w:val="24"/>
        </w:rPr>
      </w:pPr>
      <w:r>
        <w:rPr>
          <w:noProof/>
        </w:rPr>
        <w:br w:type="page"/>
      </w:r>
    </w:p>
    <w:p>
      <w:pPr>
        <w:pStyle w:val="Title1"/>
        <w:rPr>
          <w:noProof/>
        </w:rPr>
      </w:pPr>
      <w:r>
        <w:rPr>
          <w:noProof/>
        </w:rPr>
        <w:t>OWN-INITIATIVE CASES</w:t>
      </w:r>
    </w:p>
    <w:p>
      <w:pPr>
        <w:pStyle w:val="Subtitle"/>
        <w:ind w:left="360"/>
        <w:rPr>
          <w:noProof/>
        </w:rPr>
      </w:pPr>
      <w:r>
        <w:rPr>
          <w:noProof/>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shortcomings in the completion of the Natura 2000 network of nature protection areas;</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insufficient designation and conservation measures regarding special areas of conservation under the Habitats Directive;</w:t>
      </w:r>
      <w:r>
        <w:rPr>
          <w:rStyle w:val="FootnoteReference"/>
          <w:rFonts w:ascii="Arial" w:hAnsi="Arial" w:cs="Arial"/>
          <w:noProof/>
          <w:lang w:val="en-GB"/>
        </w:rPr>
        <w:footnoteReference w:id="80"/>
      </w:r>
    </w:p>
    <w:p>
      <w:pPr>
        <w:pStyle w:val="Basis"/>
        <w:numPr>
          <w:ilvl w:val="0"/>
          <w:numId w:val="33"/>
        </w:numPr>
        <w:ind w:left="1418"/>
        <w:contextualSpacing/>
        <w:rPr>
          <w:rFonts w:ascii="Arial" w:hAnsi="Arial" w:cs="Arial"/>
          <w:noProof/>
          <w:lang w:val="en-GB"/>
        </w:rPr>
      </w:pPr>
      <w:r>
        <w:rPr>
          <w:rFonts w:ascii="Arial" w:hAnsi="Arial" w:cs="Arial"/>
          <w:noProof/>
          <w:lang w:val="en-GB"/>
        </w:rPr>
        <w:t>non-compliance with the requirements of the Waste Framework Directive</w:t>
      </w:r>
      <w:r>
        <w:rPr>
          <w:rStyle w:val="FootnoteReference"/>
          <w:rFonts w:ascii="Arial" w:hAnsi="Arial" w:cs="Arial"/>
          <w:noProof/>
          <w:lang w:val="en-GB"/>
        </w:rPr>
        <w:footnoteReference w:id="81"/>
      </w:r>
      <w:r>
        <w:rPr>
          <w:rFonts w:ascii="Arial" w:hAnsi="Arial" w:cs="Arial"/>
          <w:noProof/>
          <w:lang w:val="en-GB"/>
        </w:rPr>
        <w:t xml:space="preserve"> and the Landfill Directive;</w:t>
      </w:r>
      <w:r>
        <w:rPr>
          <w:rStyle w:val="FootnoteReference"/>
          <w:rFonts w:ascii="Arial" w:hAnsi="Arial" w:cs="Arial"/>
          <w:noProof/>
          <w:lang w:val="en-GB"/>
        </w:rPr>
        <w:footnoteReference w:id="82"/>
      </w:r>
    </w:p>
    <w:p>
      <w:pPr>
        <w:pStyle w:val="Basis"/>
        <w:numPr>
          <w:ilvl w:val="0"/>
          <w:numId w:val="33"/>
        </w:numPr>
        <w:ind w:left="1418"/>
        <w:contextualSpacing/>
        <w:rPr>
          <w:rFonts w:ascii="Arial" w:hAnsi="Arial" w:cs="Arial"/>
          <w:noProof/>
          <w:lang w:val="en-GB"/>
        </w:rPr>
      </w:pPr>
      <w:r>
        <w:rPr>
          <w:rFonts w:ascii="Arial" w:hAnsi="Arial" w:cs="Arial"/>
          <w:noProof/>
          <w:lang w:val="en-GB"/>
        </w:rPr>
        <w:t>non-compliance with the Water Framework Directive;</w:t>
      </w:r>
      <w:r>
        <w:rPr>
          <w:rStyle w:val="FootnoteReference"/>
          <w:rFonts w:ascii="Arial" w:hAnsi="Arial" w:cs="Arial"/>
          <w:noProof/>
          <w:lang w:val="en-GB"/>
        </w:rPr>
        <w:footnoteReference w:id="83"/>
      </w:r>
    </w:p>
    <w:p>
      <w:pPr>
        <w:pStyle w:val="Basis"/>
        <w:numPr>
          <w:ilvl w:val="0"/>
          <w:numId w:val="33"/>
        </w:numPr>
        <w:ind w:left="1418"/>
        <w:contextualSpacing/>
        <w:rPr>
          <w:rFonts w:ascii="Arial" w:hAnsi="Arial" w:cs="Arial"/>
          <w:noProof/>
          <w:lang w:val="en-GB"/>
        </w:rPr>
      </w:pPr>
      <w:r>
        <w:rPr>
          <w:rFonts w:ascii="Arial" w:hAnsi="Arial" w:cs="Arial"/>
          <w:noProof/>
          <w:lang w:val="en-GB"/>
        </w:rPr>
        <w:t>incorrect transposition and application of the Floods Directive;</w:t>
      </w:r>
      <w:r>
        <w:rPr>
          <w:rStyle w:val="FootnoteReference"/>
          <w:rFonts w:ascii="Arial" w:hAnsi="Arial" w:cs="Arial"/>
          <w:noProof/>
          <w:lang w:val="en-GB"/>
        </w:rPr>
        <w:footnoteReference w:id="84"/>
      </w:r>
    </w:p>
    <w:p>
      <w:pPr>
        <w:pStyle w:val="Basis"/>
        <w:numPr>
          <w:ilvl w:val="0"/>
          <w:numId w:val="33"/>
        </w:numPr>
        <w:ind w:left="1418"/>
        <w:contextualSpacing/>
        <w:rPr>
          <w:rFonts w:ascii="Arial" w:hAnsi="Arial" w:cs="Arial"/>
          <w:noProof/>
          <w:lang w:val="en-GB"/>
        </w:rPr>
      </w:pPr>
      <w:r>
        <w:rPr>
          <w:rFonts w:ascii="Arial" w:hAnsi="Arial" w:cs="Arial"/>
          <w:noProof/>
          <w:lang w:val="en-GB"/>
        </w:rPr>
        <w:t>incorrect transposition of the Groundwater Directive;</w:t>
      </w:r>
      <w:r>
        <w:rPr>
          <w:rStyle w:val="FootnoteReference"/>
          <w:rFonts w:ascii="Arial" w:hAnsi="Arial" w:cs="Arial"/>
          <w:noProof/>
          <w:lang w:val="en-GB"/>
        </w:rPr>
        <w:footnoteReference w:id="85"/>
      </w:r>
    </w:p>
    <w:p>
      <w:pPr>
        <w:pStyle w:val="Basis"/>
        <w:numPr>
          <w:ilvl w:val="0"/>
          <w:numId w:val="33"/>
        </w:numPr>
        <w:ind w:left="1418"/>
        <w:contextualSpacing/>
        <w:rPr>
          <w:rFonts w:ascii="Arial" w:hAnsi="Arial" w:cs="Arial"/>
          <w:noProof/>
          <w:lang w:val="en-GB"/>
        </w:rPr>
      </w:pPr>
      <w:r>
        <w:rPr>
          <w:rFonts w:ascii="Arial" w:hAnsi="Arial" w:cs="Arial"/>
          <w:noProof/>
          <w:lang w:val="en-GB"/>
        </w:rPr>
        <w:t>incorrect transposition and application of the Marine Strategy Framework Directive;</w:t>
      </w:r>
      <w:r>
        <w:rPr>
          <w:rStyle w:val="FootnoteReference"/>
          <w:rFonts w:ascii="Arial" w:hAnsi="Arial" w:cs="Arial"/>
          <w:noProof/>
          <w:lang w:val="en-GB"/>
        </w:rPr>
        <w:footnoteReference w:id="86"/>
      </w:r>
    </w:p>
    <w:p>
      <w:pPr>
        <w:pStyle w:val="Basis"/>
        <w:numPr>
          <w:ilvl w:val="0"/>
          <w:numId w:val="33"/>
        </w:numPr>
        <w:ind w:left="1418"/>
        <w:contextualSpacing/>
        <w:rPr>
          <w:rFonts w:ascii="Arial" w:hAnsi="Arial" w:cs="Arial"/>
          <w:noProof/>
          <w:lang w:val="en-GB"/>
        </w:rPr>
      </w:pPr>
      <w:r>
        <w:rPr>
          <w:rFonts w:ascii="Arial" w:hAnsi="Arial" w:cs="Arial"/>
          <w:noProof/>
          <w:lang w:val="en-GB"/>
        </w:rPr>
        <w:t>shortcomings in the application of the Environmental Noise Directive;</w:t>
      </w:r>
      <w:r>
        <w:rPr>
          <w:rStyle w:val="FootnoteReference"/>
          <w:rFonts w:ascii="Arial" w:hAnsi="Arial" w:cs="Arial"/>
          <w:noProof/>
          <w:lang w:val="en-GB"/>
        </w:rPr>
        <w:footnoteReference w:id="87"/>
      </w:r>
    </w:p>
    <w:p>
      <w:pPr>
        <w:pStyle w:val="Basis"/>
        <w:numPr>
          <w:ilvl w:val="0"/>
          <w:numId w:val="33"/>
        </w:numPr>
        <w:ind w:left="1418"/>
        <w:contextualSpacing/>
        <w:rPr>
          <w:rFonts w:ascii="Arial" w:hAnsi="Arial" w:cs="Arial"/>
          <w:noProof/>
          <w:lang w:val="en-GB"/>
        </w:rPr>
      </w:pPr>
      <w:r>
        <w:rPr>
          <w:rFonts w:ascii="Arial" w:hAnsi="Arial" w:cs="Arial"/>
          <w:noProof/>
          <w:lang w:val="en-GB"/>
        </w:rPr>
        <w:t>incorrect transposition of the Industrial Emissions Directive;</w:t>
      </w:r>
      <w:r>
        <w:rPr>
          <w:rStyle w:val="FootnoteReference"/>
          <w:rFonts w:ascii="Arial" w:hAnsi="Arial" w:cs="Arial"/>
          <w:noProof/>
          <w:lang w:val="en-GB"/>
        </w:rPr>
        <w:footnoteReference w:id="88"/>
      </w:r>
    </w:p>
    <w:p>
      <w:pPr>
        <w:pStyle w:val="Basis"/>
        <w:numPr>
          <w:ilvl w:val="0"/>
          <w:numId w:val="33"/>
        </w:numPr>
        <w:ind w:left="1418"/>
        <w:contextualSpacing/>
        <w:rPr>
          <w:rFonts w:ascii="Arial" w:hAnsi="Arial" w:cs="Arial"/>
          <w:noProof/>
        </w:rPr>
      </w:pPr>
      <w:r>
        <w:rPr>
          <w:rFonts w:ascii="Arial" w:hAnsi="Arial" w:cs="Arial"/>
          <w:noProof/>
          <w:lang w:val="en-GB"/>
        </w:rPr>
        <w:t>incorrect transposition of the Environmental Liability Directive</w:t>
      </w:r>
      <w:r>
        <w:rPr>
          <w:rStyle w:val="FootnoteReference"/>
          <w:rFonts w:ascii="Arial" w:hAnsi="Arial" w:cs="Arial"/>
          <w:noProof/>
          <w:lang w:val="en-GB"/>
        </w:rPr>
        <w:footnoteReference w:id="89"/>
      </w:r>
      <w:r>
        <w:rPr>
          <w:rFonts w:cs="Arial"/>
          <w:noProof/>
        </w:rPr>
        <w:t xml:space="preserve"> </w:t>
      </w:r>
      <w:r>
        <w:rPr>
          <w:rFonts w:ascii="Arial" w:hAnsi="Arial" w:cs="Arial"/>
          <w:noProof/>
        </w:rPr>
        <w:t>and</w:t>
      </w:r>
    </w:p>
    <w:p>
      <w:pPr>
        <w:pStyle w:val="Basis"/>
        <w:numPr>
          <w:ilvl w:val="0"/>
          <w:numId w:val="33"/>
        </w:numPr>
        <w:ind w:left="1418"/>
        <w:contextualSpacing/>
        <w:rPr>
          <w:rFonts w:ascii="Arial" w:hAnsi="Arial" w:cs="Arial"/>
          <w:noProof/>
        </w:rPr>
      </w:pPr>
      <w:r>
        <w:rPr>
          <w:rFonts w:ascii="Arial" w:eastAsiaTheme="minorHAnsi" w:hAnsi="Arial" w:cs="Arial"/>
          <w:bCs/>
          <w:noProof/>
        </w:rPr>
        <w:t>non-respect of air quality limit values set by the Air Quality Directive.</w:t>
      </w:r>
      <w:r>
        <w:rPr>
          <w:rStyle w:val="FootnoteReference"/>
          <w:rFonts w:ascii="Arial" w:eastAsiaTheme="minorHAnsi" w:hAnsi="Arial" w:cs="Arial"/>
          <w:bCs/>
          <w:noProof/>
        </w:rPr>
        <w:footnoteReference w:id="90"/>
      </w:r>
    </w:p>
    <w:p>
      <w:pPr>
        <w:pStyle w:val="Title1"/>
        <w:spacing w:after="120"/>
        <w:ind w:left="714" w:hanging="357"/>
        <w:rPr>
          <w:noProof/>
        </w:rPr>
      </w:pPr>
      <w:r>
        <w:rPr>
          <w:noProof/>
        </w:rPr>
        <w:t>INFRINGEMENT CASES</w:t>
      </w:r>
    </w:p>
    <w:p>
      <w:pPr>
        <w:numPr>
          <w:ilvl w:val="0"/>
          <w:numId w:val="69"/>
        </w:numPr>
        <w:spacing w:after="120"/>
        <w:ind w:left="714" w:hanging="357"/>
        <w:jc w:val="left"/>
        <w:outlineLvl w:val="1"/>
        <w:rPr>
          <w:noProof/>
          <w:color w:val="002060"/>
          <w:szCs w:val="22"/>
        </w:rPr>
      </w:pPr>
      <w:r>
        <w:rPr>
          <w:noProof/>
          <w:color w:val="002060"/>
          <w:szCs w:val="22"/>
        </w:rPr>
        <w:t>Infringement cases open on 31 December (2012-2016)</w:t>
      </w:r>
    </w:p>
    <w:p>
      <w:pPr>
        <w:pStyle w:val="Basis"/>
        <w:rPr>
          <w:noProof/>
          <w:lang w:val="en-GB"/>
        </w:rPr>
      </w:pPr>
      <w:r>
        <w:rPr>
          <w:noProof/>
        </w:rPr>
        <w:drawing>
          <wp:inline distT="0" distB="0" distL="0" distR="0">
            <wp:extent cx="4562475" cy="2276475"/>
            <wp:effectExtent l="0" t="0" r="9525" b="9525"/>
            <wp:docPr id="9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numPr>
          <w:ilvl w:val="0"/>
          <w:numId w:val="69"/>
        </w:numPr>
        <w:spacing w:after="60"/>
        <w:jc w:val="left"/>
        <w:outlineLvl w:val="1"/>
        <w:rPr>
          <w:noProof/>
          <w:color w:val="002060"/>
          <w:szCs w:val="22"/>
        </w:rPr>
      </w:pPr>
      <w:r>
        <w:rPr>
          <w:noProof/>
          <w:color w:val="002060"/>
          <w:szCs w:val="22"/>
        </w:rPr>
        <w:t>Infringement cases open on 31 December 2016: main policy sectors</w:t>
      </w:r>
    </w:p>
    <w:p>
      <w:pPr>
        <w:pStyle w:val="Basis"/>
        <w:rPr>
          <w:noProof/>
          <w:lang w:val="en-GB"/>
        </w:rPr>
      </w:pPr>
      <w:r>
        <w:rPr>
          <w:noProof/>
        </w:rPr>
        <w:drawing>
          <wp:inline distT="0" distB="0" distL="0" distR="0">
            <wp:extent cx="4587240" cy="2324100"/>
            <wp:effectExtent l="0" t="0" r="22860" b="19050"/>
            <wp:docPr id="1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numPr>
          <w:ilvl w:val="0"/>
          <w:numId w:val="69"/>
        </w:numPr>
        <w:spacing w:after="60"/>
        <w:jc w:val="left"/>
        <w:outlineLvl w:val="1"/>
        <w:rPr>
          <w:noProof/>
          <w:color w:val="002060"/>
          <w:szCs w:val="22"/>
        </w:rPr>
      </w:pPr>
      <w:r>
        <w:rPr>
          <w:noProof/>
          <w:color w:val="002060"/>
          <w:szCs w:val="22"/>
        </w:rPr>
        <w:t>New infringement cases opened in 2016: main policy sectors</w:t>
      </w:r>
    </w:p>
    <w:p>
      <w:pPr>
        <w:pStyle w:val="Basis"/>
        <w:rPr>
          <w:noProof/>
          <w:lang w:val="en-GB"/>
        </w:rPr>
      </w:pPr>
      <w:r>
        <w:rPr>
          <w:noProof/>
        </w:rPr>
        <w:drawing>
          <wp:inline distT="0" distB="0" distL="0" distR="0">
            <wp:extent cx="4587240" cy="2346960"/>
            <wp:effectExtent l="0" t="0" r="22860" b="15240"/>
            <wp:docPr id="13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numPr>
          <w:ilvl w:val="0"/>
          <w:numId w:val="69"/>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2"/>
        </w:numPr>
        <w:spacing w:after="120"/>
        <w:ind w:hanging="426"/>
        <w:rPr>
          <w:rFonts w:ascii="Arial" w:hAnsi="Arial" w:cs="Arial"/>
          <w:noProof/>
          <w:lang w:val="en-GB"/>
        </w:rPr>
      </w:pPr>
      <w:r>
        <w:rPr>
          <w:rFonts w:ascii="Arial" w:hAnsi="Arial" w:cs="Arial"/>
          <w:noProof/>
          <w:lang w:val="en-GB"/>
        </w:rPr>
        <w:t>The Commission opened 89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Belgium, Spain, France,</w:t>
      </w:r>
      <w:r>
        <w:rPr>
          <w:rStyle w:val="FootnoteReference"/>
          <w:rFonts w:ascii="Arial" w:hAnsi="Arial" w:cs="Arial"/>
          <w:i/>
          <w:noProof/>
          <w:lang w:val="en-GB"/>
        </w:rPr>
        <w:footnoteReference w:id="91"/>
      </w:r>
      <w:r>
        <w:rPr>
          <w:rFonts w:ascii="Arial" w:hAnsi="Arial" w:cs="Arial"/>
          <w:i/>
          <w:noProof/>
          <w:lang w:val="en-GB"/>
        </w:rPr>
        <w:t xml:space="preserve"> Croatia,</w:t>
      </w:r>
      <w:r>
        <w:rPr>
          <w:rStyle w:val="FootnoteReference"/>
          <w:rFonts w:ascii="Arial" w:hAnsi="Arial" w:cs="Arial"/>
          <w:i/>
          <w:noProof/>
          <w:lang w:val="en-GB"/>
        </w:rPr>
        <w:footnoteReference w:id="92"/>
      </w:r>
      <w:r>
        <w:rPr>
          <w:rFonts w:ascii="Arial" w:hAnsi="Arial" w:cs="Arial"/>
          <w:i/>
          <w:noProof/>
          <w:lang w:val="en-GB"/>
        </w:rPr>
        <w:t xml:space="preserve"> Cyprus,</w:t>
      </w:r>
      <w:r>
        <w:rPr>
          <w:rStyle w:val="FootnoteReference"/>
          <w:rFonts w:ascii="Arial" w:hAnsi="Arial" w:cs="Arial"/>
          <w:i/>
          <w:noProof/>
          <w:lang w:val="en-GB"/>
        </w:rPr>
        <w:footnoteReference w:id="93"/>
      </w:r>
      <w:r>
        <w:rPr>
          <w:rFonts w:ascii="Arial" w:hAnsi="Arial" w:cs="Arial"/>
          <w:i/>
          <w:noProof/>
          <w:lang w:val="en-GB"/>
        </w:rPr>
        <w:t xml:space="preserve"> Romania</w:t>
      </w:r>
      <w:r>
        <w:rPr>
          <w:rStyle w:val="FootnoteReference"/>
          <w:rFonts w:ascii="Arial" w:hAnsi="Arial" w:cs="Arial"/>
          <w:i/>
          <w:noProof/>
          <w:lang w:val="en-GB"/>
        </w:rPr>
        <w:footnoteReference w:id="94"/>
      </w:r>
      <w:r>
        <w:rPr>
          <w:rFonts w:ascii="Arial" w:hAnsi="Arial" w:cs="Arial"/>
          <w:noProof/>
          <w:lang w:val="en-GB"/>
        </w:rPr>
        <w:t>: lack of waste management plans and waste prevention programmes required under the Waste Framework Directive;</w:t>
      </w:r>
      <w:r>
        <w:rPr>
          <w:rStyle w:val="FootnoteReference"/>
          <w:rFonts w:ascii="Arial" w:hAnsi="Arial" w:cs="Arial"/>
          <w:noProof/>
          <w:lang w:val="en-GB"/>
        </w:rPr>
        <w:footnoteReference w:id="95"/>
      </w:r>
    </w:p>
    <w:p>
      <w:pPr>
        <w:pStyle w:val="Lijstje2"/>
        <w:ind w:left="1843"/>
        <w:rPr>
          <w:rFonts w:ascii="Arial" w:hAnsi="Arial" w:cs="Arial"/>
          <w:noProof/>
          <w:lang w:val="en-GB"/>
        </w:rPr>
      </w:pPr>
      <w:r>
        <w:rPr>
          <w:rFonts w:ascii="Arial" w:hAnsi="Arial" w:cs="Arial"/>
          <w:i/>
          <w:noProof/>
          <w:lang w:val="en-GB"/>
        </w:rPr>
        <w:t>Belgium, Czech Republic, Estonia, Ireland,</w:t>
      </w:r>
      <w:r>
        <w:rPr>
          <w:rStyle w:val="FootnoteReference"/>
          <w:rFonts w:ascii="Arial" w:hAnsi="Arial" w:cs="Arial"/>
          <w:i/>
          <w:noProof/>
          <w:lang w:val="en-GB"/>
        </w:rPr>
        <w:footnoteReference w:id="96"/>
      </w:r>
      <w:r>
        <w:rPr>
          <w:rFonts w:ascii="Arial" w:hAnsi="Arial" w:cs="Arial"/>
          <w:i/>
          <w:noProof/>
          <w:lang w:val="en-GB"/>
        </w:rPr>
        <w:t xml:space="preserve"> Spain, Malta and Portugal</w:t>
      </w:r>
      <w:r>
        <w:rPr>
          <w:rFonts w:ascii="Arial" w:hAnsi="Arial" w:cs="Arial"/>
          <w:noProof/>
          <w:lang w:val="en-GB"/>
        </w:rPr>
        <w:t xml:space="preserve">: </w:t>
      </w: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ind w:left="1843"/>
        <w:rPr>
          <w:rFonts w:ascii="Arial" w:hAnsi="Arial" w:cs="Arial"/>
          <w:noProof/>
          <w:lang w:val="en-GB"/>
        </w:rPr>
      </w:pPr>
      <w:r>
        <w:rPr>
          <w:rFonts w:ascii="Arial" w:hAnsi="Arial" w:cs="Arial"/>
          <w:i/>
          <w:noProof/>
          <w:lang w:val="en-GB"/>
        </w:rPr>
        <w:t>Belgium, Czech Republic, Denmark, Hungary, Austria and Poland</w:t>
      </w:r>
      <w:r>
        <w:rPr>
          <w:rFonts w:ascii="Arial" w:hAnsi="Arial" w:cs="Arial"/>
          <w:noProof/>
          <w:lang w:val="en-GB"/>
        </w:rPr>
        <w:t>: 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rFonts w:ascii="Arial" w:hAnsi="Arial" w:cs="Arial"/>
          <w:noProof/>
          <w:lang w:val="en-GB"/>
        </w:rPr>
        <w:footnoteReference w:id="97"/>
      </w:r>
    </w:p>
    <w:p>
      <w:pPr>
        <w:pStyle w:val="Lijstje2"/>
        <w:ind w:left="1843"/>
        <w:rPr>
          <w:rFonts w:ascii="Arial" w:hAnsi="Arial" w:cs="Arial"/>
          <w:i/>
          <w:noProof/>
          <w:lang w:val="en-GB"/>
        </w:rPr>
      </w:pPr>
      <w:r>
        <w:rPr>
          <w:rFonts w:ascii="Arial" w:hAnsi="Arial" w:cs="Arial"/>
          <w:i/>
          <w:noProof/>
          <w:lang w:val="en-GB"/>
        </w:rPr>
        <w:t>Belgium, Czech Republic and Denmark</w:t>
      </w:r>
      <w:r>
        <w:rPr>
          <w:rFonts w:ascii="Arial" w:hAnsi="Arial" w:cs="Arial"/>
          <w:noProof/>
          <w:lang w:val="en-GB"/>
        </w:rPr>
        <w:t>: non-compliant transposition of the Environmental Liability Directive;</w:t>
      </w:r>
      <w:r>
        <w:rPr>
          <w:rStyle w:val="FootnoteReference"/>
          <w:rFonts w:ascii="Arial" w:hAnsi="Arial" w:cs="Arial"/>
          <w:noProof/>
          <w:lang w:val="en-GB"/>
        </w:rPr>
        <w:footnoteReference w:id="98"/>
      </w:r>
    </w:p>
    <w:p>
      <w:pPr>
        <w:pStyle w:val="Lijstje2"/>
        <w:ind w:left="1843"/>
        <w:rPr>
          <w:rFonts w:ascii="Arial" w:hAnsi="Arial" w:cs="Arial"/>
          <w:noProof/>
          <w:lang w:val="en-GB"/>
        </w:rPr>
      </w:pPr>
      <w:r>
        <w:rPr>
          <w:rFonts w:ascii="Arial" w:hAnsi="Arial" w:cs="Arial"/>
          <w:i/>
          <w:noProof/>
          <w:lang w:val="en-GB"/>
        </w:rPr>
        <w:t>Germany, Spain, Italy, Hungary, Slovenia and Slovakia</w:t>
      </w:r>
      <w:r>
        <w:rPr>
          <w:rFonts w:ascii="Arial" w:hAnsi="Arial" w:cs="Arial"/>
          <w:noProof/>
          <w:lang w:val="en-GB"/>
        </w:rPr>
        <w:t>: lack of strategic noise maps and/or action plans required by the Environmental Noise Directive;</w:t>
      </w:r>
      <w:r>
        <w:rPr>
          <w:rStyle w:val="FootnoteReference"/>
          <w:rFonts w:ascii="Arial" w:hAnsi="Arial" w:cs="Arial"/>
          <w:noProof/>
          <w:lang w:val="en-GB"/>
        </w:rPr>
        <w:footnoteReference w:id="99"/>
      </w:r>
    </w:p>
    <w:p>
      <w:pPr>
        <w:pStyle w:val="Lijstje2"/>
        <w:ind w:left="1843"/>
        <w:rPr>
          <w:rFonts w:ascii="Arial" w:hAnsi="Arial" w:cs="Arial"/>
          <w:noProof/>
          <w:lang w:val="en-GB"/>
        </w:rPr>
      </w:pPr>
      <w:r>
        <w:rPr>
          <w:rFonts w:ascii="Arial" w:hAnsi="Arial" w:cs="Arial"/>
          <w:i/>
          <w:noProof/>
          <w:lang w:val="en-GB"/>
        </w:rPr>
        <w:t>Ireland</w:t>
      </w:r>
      <w:r>
        <w:rPr>
          <w:rStyle w:val="FootnoteReference"/>
          <w:rFonts w:ascii="Arial" w:hAnsi="Arial" w:cs="Arial"/>
          <w:i/>
          <w:noProof/>
          <w:lang w:val="en-GB"/>
        </w:rPr>
        <w:footnoteReference w:id="100"/>
      </w:r>
      <w:r>
        <w:rPr>
          <w:rFonts w:ascii="Arial" w:hAnsi="Arial" w:cs="Arial"/>
          <w:i/>
          <w:noProof/>
          <w:lang w:val="en-GB"/>
        </w:rPr>
        <w:t>, Greece,</w:t>
      </w:r>
      <w:r>
        <w:rPr>
          <w:rStyle w:val="FootnoteReference"/>
          <w:rFonts w:ascii="Arial" w:hAnsi="Arial" w:cs="Arial"/>
          <w:i/>
          <w:noProof/>
          <w:lang w:val="en-GB"/>
        </w:rPr>
        <w:footnoteReference w:id="101"/>
      </w:r>
      <w:r>
        <w:rPr>
          <w:rFonts w:ascii="Arial" w:hAnsi="Arial" w:cs="Arial"/>
          <w:i/>
          <w:noProof/>
          <w:lang w:val="en-GB"/>
        </w:rPr>
        <w:t xml:space="preserve"> and Portugal:</w:t>
      </w:r>
      <w:r>
        <w:rPr>
          <w:rStyle w:val="FootnoteReference"/>
          <w:rFonts w:ascii="Arial" w:hAnsi="Arial" w:cs="Arial"/>
          <w:i/>
          <w:noProof/>
          <w:lang w:val="en-GB"/>
        </w:rPr>
        <w:footnoteReference w:id="102"/>
      </w:r>
      <w:r>
        <w:rPr>
          <w:rFonts w:ascii="Arial" w:hAnsi="Arial" w:cs="Arial"/>
          <w:noProof/>
          <w:lang w:val="en-GB"/>
        </w:rPr>
        <w:t xml:space="preserve"> bad application of the Habitats Directive as regards designation of special areas of conservation and establishment of the necessary conservation measures;</w:t>
      </w:r>
      <w:r>
        <w:rPr>
          <w:rStyle w:val="FootnoteReference"/>
          <w:rFonts w:ascii="Arial" w:hAnsi="Arial" w:cs="Arial"/>
          <w:noProof/>
          <w:lang w:val="en-GB"/>
        </w:rPr>
        <w:footnoteReference w:id="103"/>
      </w:r>
    </w:p>
    <w:p>
      <w:pPr>
        <w:pStyle w:val="Lijstje2"/>
        <w:ind w:left="1843"/>
        <w:rPr>
          <w:rFonts w:ascii="Arial" w:hAnsi="Arial" w:cs="Arial"/>
          <w:noProof/>
          <w:lang w:val="en-GB"/>
        </w:rPr>
      </w:pPr>
      <w:r>
        <w:rPr>
          <w:rFonts w:ascii="Arial" w:hAnsi="Arial" w:cs="Arial"/>
          <w:i/>
          <w:noProof/>
          <w:lang w:val="en-GB"/>
        </w:rPr>
        <w:t>Greece</w:t>
      </w:r>
      <w:r>
        <w:rPr>
          <w:rFonts w:ascii="Arial" w:hAnsi="Arial" w:cs="Arial"/>
          <w:noProof/>
          <w:lang w:val="en-GB"/>
        </w:rPr>
        <w:t>: failure to notify flood hazard and risk maps</w:t>
      </w:r>
      <w:r>
        <w:rPr>
          <w:rFonts w:ascii="Times New Roman" w:eastAsia="MS Mincho" w:hAnsi="Times New Roman"/>
          <w:noProof/>
          <w:kern w:val="0"/>
          <w:sz w:val="24"/>
          <w:szCs w:val="24"/>
          <w:lang w:val="en-GB" w:eastAsia="ja-JP"/>
        </w:rPr>
        <w:t xml:space="preserve"> </w:t>
      </w:r>
      <w:r>
        <w:rPr>
          <w:rFonts w:ascii="Arial" w:hAnsi="Arial" w:cs="Arial"/>
          <w:noProof/>
          <w:lang w:val="en-GB"/>
        </w:rPr>
        <w:t>required under the Floods Directive;</w:t>
      </w:r>
      <w:r>
        <w:rPr>
          <w:rStyle w:val="FootnoteReference"/>
          <w:rFonts w:ascii="Arial" w:hAnsi="Arial" w:cs="Arial"/>
          <w:noProof/>
          <w:lang w:val="en-GB"/>
        </w:rPr>
        <w:footnoteReference w:id="104"/>
      </w:r>
    </w:p>
    <w:p>
      <w:pPr>
        <w:pStyle w:val="Lijstje2"/>
        <w:ind w:left="1843"/>
        <w:rPr>
          <w:rFonts w:ascii="Arial" w:hAnsi="Arial" w:cs="Arial"/>
          <w:noProof/>
          <w:lang w:val="en-GB"/>
        </w:rPr>
      </w:pPr>
      <w:r>
        <w:rPr>
          <w:rFonts w:ascii="Arial" w:hAnsi="Arial" w:cs="Arial"/>
          <w:i/>
          <w:noProof/>
          <w:lang w:val="en-GB"/>
        </w:rPr>
        <w:t>Spain and Slovenia</w:t>
      </w:r>
      <w:r>
        <w:rPr>
          <w:rStyle w:val="FootnoteReference"/>
          <w:rFonts w:ascii="Arial" w:hAnsi="Arial" w:cs="Arial"/>
          <w:i/>
          <w:noProof/>
          <w:lang w:val="en-GB"/>
        </w:rPr>
        <w:footnoteReference w:id="105"/>
      </w:r>
      <w:r>
        <w:rPr>
          <w:rFonts w:ascii="Arial" w:hAnsi="Arial" w:cs="Arial"/>
          <w:noProof/>
          <w:lang w:val="en-GB"/>
        </w:rPr>
        <w:t>: failure to ensure that waste landfills operate in compliance with EU standards;</w:t>
      </w:r>
    </w:p>
    <w:p>
      <w:pPr>
        <w:pStyle w:val="Lijstje2"/>
        <w:ind w:left="1843"/>
        <w:rPr>
          <w:rFonts w:ascii="Arial" w:hAnsi="Arial" w:cs="Arial"/>
          <w:noProof/>
          <w:lang w:val="en-GB"/>
        </w:rPr>
      </w:pPr>
      <w:r>
        <w:rPr>
          <w:rFonts w:ascii="Arial" w:hAnsi="Arial" w:cs="Arial"/>
          <w:i/>
          <w:noProof/>
          <w:lang w:val="en-GB"/>
        </w:rPr>
        <w:t>France</w:t>
      </w:r>
      <w:r>
        <w:rPr>
          <w:rFonts w:ascii="Arial" w:hAnsi="Arial" w:cs="Arial"/>
          <w:noProof/>
          <w:lang w:val="en-GB"/>
        </w:rPr>
        <w:t>:</w:t>
      </w:r>
      <w:r>
        <w:rPr>
          <w:rFonts w:ascii="Arial" w:hAnsi="Arial" w:cs="Arial"/>
          <w:i/>
          <w:noProof/>
          <w:lang w:val="en-GB"/>
        </w:rPr>
        <w:t xml:space="preserve"> </w:t>
      </w:r>
      <w:r>
        <w:rPr>
          <w:rFonts w:ascii="Arial" w:hAnsi="Arial" w:cs="Arial"/>
          <w:noProof/>
          <w:lang w:val="en-GB"/>
        </w:rPr>
        <w:t>non-compliant transposition of the Mining Waste Directive;</w:t>
      </w:r>
      <w:r>
        <w:rPr>
          <w:rStyle w:val="FootnoteReference"/>
          <w:rFonts w:ascii="Arial" w:hAnsi="Arial" w:cs="Arial"/>
          <w:noProof/>
          <w:lang w:val="en-GB"/>
        </w:rPr>
        <w:footnoteReference w:id="106"/>
      </w:r>
    </w:p>
    <w:p>
      <w:pPr>
        <w:pStyle w:val="Lijstje2"/>
        <w:ind w:left="1843"/>
        <w:rPr>
          <w:rFonts w:ascii="Arial" w:hAnsi="Arial" w:cs="Arial"/>
          <w:noProof/>
          <w:lang w:val="en-GB"/>
        </w:rPr>
      </w:pPr>
      <w:r>
        <w:rPr>
          <w:rFonts w:ascii="Arial" w:hAnsi="Arial" w:cs="Arial"/>
          <w:i/>
          <w:noProof/>
          <w:lang w:val="en-GB"/>
        </w:rPr>
        <w:t>Croatia,</w:t>
      </w:r>
      <w:r>
        <w:rPr>
          <w:rStyle w:val="FootnoteReference"/>
          <w:rFonts w:ascii="Arial" w:hAnsi="Arial" w:cs="Arial"/>
          <w:i/>
          <w:noProof/>
          <w:lang w:val="en-GB"/>
        </w:rPr>
        <w:footnoteReference w:id="107"/>
      </w:r>
      <w:r>
        <w:rPr>
          <w:rFonts w:ascii="Arial" w:hAnsi="Arial" w:cs="Arial"/>
          <w:i/>
          <w:noProof/>
          <w:lang w:val="en-GB"/>
        </w:rPr>
        <w:t xml:space="preserve"> Finland and Sweden</w:t>
      </w:r>
      <w:r>
        <w:rPr>
          <w:rFonts w:ascii="Arial" w:hAnsi="Arial" w:cs="Arial"/>
          <w:noProof/>
          <w:lang w:val="en-GB"/>
        </w:rPr>
        <w:t>:</w:t>
      </w:r>
      <w:r>
        <w:rPr>
          <w:rFonts w:ascii="Arial" w:hAnsi="Arial" w:cs="Arial"/>
          <w:i/>
          <w:noProof/>
          <w:lang w:val="en-GB"/>
        </w:rPr>
        <w:t xml:space="preserve"> </w:t>
      </w:r>
      <w:r>
        <w:rPr>
          <w:rFonts w:ascii="Arial" w:hAnsi="Arial" w:cs="Arial"/>
          <w:noProof/>
          <w:lang w:val="en-GB"/>
        </w:rPr>
        <w:t>non-compliant transposition of the Waste Framework Directive;</w:t>
      </w:r>
      <w:r>
        <w:rPr>
          <w:rStyle w:val="FootnoteReference"/>
          <w:rFonts w:ascii="Arial" w:hAnsi="Arial" w:cs="Arial"/>
          <w:noProof/>
          <w:lang w:val="en-GB"/>
        </w:rPr>
        <w:footnoteReference w:id="108"/>
      </w:r>
    </w:p>
    <w:p>
      <w:pPr>
        <w:pStyle w:val="Lijstje2"/>
        <w:ind w:left="1843"/>
        <w:rPr>
          <w:rFonts w:ascii="Arial" w:hAnsi="Arial" w:cs="Arial"/>
          <w:noProof/>
          <w:lang w:val="en-GB"/>
        </w:rPr>
      </w:pPr>
      <w:r>
        <w:rPr>
          <w:rFonts w:ascii="Arial" w:hAnsi="Arial" w:cs="Arial"/>
          <w:i/>
          <w:noProof/>
          <w:lang w:val="en-GB"/>
        </w:rPr>
        <w:t>Italy</w:t>
      </w:r>
      <w:r>
        <w:rPr>
          <w:rFonts w:ascii="Arial" w:hAnsi="Arial" w:cs="Arial"/>
          <w:noProof/>
          <w:lang w:val="en-GB"/>
        </w:rPr>
        <w:t>:</w:t>
      </w:r>
      <w:r>
        <w:rPr>
          <w:rFonts w:ascii="Arial" w:hAnsi="Arial" w:cs="Arial"/>
          <w:i/>
          <w:noProof/>
          <w:lang w:val="en-GB"/>
        </w:rPr>
        <w:t xml:space="preserve"> </w:t>
      </w:r>
      <w:r>
        <w:rPr>
          <w:rFonts w:ascii="Arial" w:hAnsi="Arial" w:cs="Arial"/>
          <w:noProof/>
          <w:lang w:val="en-GB"/>
        </w:rPr>
        <w:t>non-respect of the PM</w:t>
      </w:r>
      <w:r>
        <w:rPr>
          <w:rFonts w:ascii="Arial" w:hAnsi="Arial" w:cs="Arial"/>
          <w:noProof/>
          <w:vertAlign w:val="subscript"/>
          <w:lang w:val="en-GB"/>
        </w:rPr>
        <w:t>10</w:t>
      </w:r>
      <w:r>
        <w:rPr>
          <w:rStyle w:val="FootnoteReference"/>
          <w:rFonts w:ascii="Arial" w:hAnsi="Arial" w:cs="Arial"/>
          <w:noProof/>
          <w:lang w:val="en-GB"/>
        </w:rPr>
        <w:footnoteReference w:id="109"/>
      </w:r>
      <w:r>
        <w:rPr>
          <w:rFonts w:ascii="Arial" w:hAnsi="Arial" w:cs="Arial"/>
          <w:noProof/>
          <w:lang w:val="en-GB"/>
        </w:rPr>
        <w:t xml:space="preserve"> limit values set by the Air Quality Directive;</w:t>
      </w:r>
      <w:r>
        <w:rPr>
          <w:rStyle w:val="FootnoteReference"/>
          <w:rFonts w:ascii="Arial" w:hAnsi="Arial" w:cs="Arial"/>
          <w:noProof/>
          <w:lang w:val="en-GB"/>
        </w:rPr>
        <w:footnoteReference w:id="110"/>
      </w:r>
    </w:p>
    <w:p>
      <w:pPr>
        <w:pStyle w:val="Lijstje2"/>
        <w:ind w:left="1843"/>
        <w:rPr>
          <w:rFonts w:ascii="Arial" w:hAnsi="Arial" w:cs="Arial"/>
          <w:noProof/>
          <w:lang w:val="en-GB"/>
        </w:rPr>
      </w:pPr>
      <w:r>
        <w:rPr>
          <w:rFonts w:ascii="Arial" w:hAnsi="Arial" w:cs="Arial"/>
          <w:i/>
          <w:noProof/>
          <w:lang w:val="en-GB"/>
        </w:rPr>
        <w:t>Slovakia</w:t>
      </w:r>
      <w:r>
        <w:rPr>
          <w:rFonts w:ascii="Arial" w:hAnsi="Arial" w:cs="Arial"/>
          <w:noProof/>
          <w:lang w:val="en-GB"/>
        </w:rPr>
        <w:t>: non-compliance with the EU Timber Regulation.</w:t>
      </w:r>
      <w:r>
        <w:rPr>
          <w:rStyle w:val="FootnoteReference"/>
          <w:rFonts w:ascii="Arial" w:hAnsi="Arial" w:cs="Arial"/>
          <w:noProof/>
          <w:lang w:val="en-GB"/>
        </w:rPr>
        <w:footnoteReference w:id="111"/>
      </w:r>
    </w:p>
    <w:p>
      <w:pPr>
        <w:pStyle w:val="Lijstje2"/>
        <w:ind w:left="1843"/>
        <w:rPr>
          <w:rFonts w:ascii="Arial" w:hAnsi="Arial" w:cs="Arial"/>
          <w:noProof/>
          <w:lang w:val="en-GB"/>
        </w:rPr>
      </w:pPr>
      <w:r>
        <w:rPr>
          <w:rFonts w:ascii="Arial" w:hAnsi="Arial" w:cs="Arial"/>
          <w:i/>
          <w:noProof/>
          <w:lang w:val="en-GB"/>
        </w:rPr>
        <w:t>Sweden</w:t>
      </w:r>
      <w:r>
        <w:rPr>
          <w:rFonts w:ascii="Arial" w:hAnsi="Arial" w:cs="Arial"/>
          <w:noProof/>
          <w:lang w:val="en-GB"/>
        </w:rPr>
        <w:t>: non-compliant transposition of the Water Framework Directive.</w:t>
      </w:r>
      <w:r>
        <w:rPr>
          <w:rStyle w:val="FootnoteReference"/>
          <w:rFonts w:ascii="Arial" w:hAnsi="Arial" w:cs="Arial"/>
          <w:noProof/>
          <w:lang w:val="en-GB"/>
        </w:rPr>
        <w:footnoteReference w:id="112"/>
      </w:r>
    </w:p>
    <w:p>
      <w:pPr>
        <w:pStyle w:val="Lijstje"/>
        <w:numPr>
          <w:ilvl w:val="0"/>
          <w:numId w:val="112"/>
        </w:numPr>
        <w:spacing w:after="120"/>
        <w:ind w:hanging="426"/>
        <w:rPr>
          <w:rFonts w:ascii="Arial" w:hAnsi="Arial" w:cs="Arial"/>
          <w:noProof/>
          <w:lang w:val="en-GB"/>
        </w:rPr>
      </w:pPr>
      <w:r>
        <w:rPr>
          <w:rFonts w:ascii="Arial" w:hAnsi="Arial" w:cs="Arial"/>
          <w:noProof/>
          <w:lang w:val="en-GB"/>
        </w:rPr>
        <w:t>The Commission referred six cases to the Court under Article 258 TFEU. They concern:</w:t>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 failure to correctly apply the requirements of the Habitats Directive in relation to the authorisation of a coal power plant in Hamburg/Moorburg;</w:t>
      </w:r>
      <w:r>
        <w:rPr>
          <w:rStyle w:val="FootnoteReference"/>
          <w:rFonts w:eastAsia="Calibri" w:cs="Arial"/>
          <w:noProof/>
          <w:kern w:val="20"/>
          <w:sz w:val="20"/>
        </w:rPr>
        <w:footnoteReference w:id="113"/>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 failure to take sufficient measures to combat water pollution caused by nitrates from agricultural sources;</w:t>
      </w:r>
      <w:r>
        <w:rPr>
          <w:rStyle w:val="FootnoteReference"/>
          <w:rFonts w:eastAsia="Calibri" w:cs="Arial"/>
          <w:noProof/>
          <w:kern w:val="20"/>
          <w:sz w:val="20"/>
        </w:rPr>
        <w:footnoteReference w:id="114"/>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Greece</w:t>
      </w:r>
      <w:r>
        <w:rPr>
          <w:rFonts w:eastAsia="Calibri" w:cs="Arial"/>
          <w:noProof/>
          <w:kern w:val="20"/>
          <w:sz w:val="20"/>
        </w:rPr>
        <w:t>: poor management of the Temploni waste landfill on the island of Corfu;</w:t>
      </w:r>
      <w:r>
        <w:rPr>
          <w:rStyle w:val="FootnoteReference"/>
          <w:rFonts w:eastAsia="Calibri" w:cs="Arial"/>
          <w:noProof/>
          <w:kern w:val="20"/>
          <w:sz w:val="20"/>
        </w:rPr>
        <w:footnoteReference w:id="115"/>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Poland</w:t>
      </w:r>
      <w:r>
        <w:rPr>
          <w:rFonts w:eastAsia="Calibri" w:cs="Arial"/>
          <w:noProof/>
          <w:kern w:val="20"/>
          <w:sz w:val="20"/>
        </w:rPr>
        <w:t>: widespread non-respect of the PM</w:t>
      </w:r>
      <w:r>
        <w:rPr>
          <w:rFonts w:eastAsia="Calibri" w:cs="Arial"/>
          <w:noProof/>
          <w:kern w:val="20"/>
          <w:sz w:val="20"/>
          <w:vertAlign w:val="subscript"/>
        </w:rPr>
        <w:t>10</w:t>
      </w:r>
      <w:r>
        <w:rPr>
          <w:rFonts w:eastAsia="Calibri" w:cs="Arial"/>
          <w:noProof/>
          <w:kern w:val="20"/>
          <w:sz w:val="20"/>
        </w:rPr>
        <w:t xml:space="preserve"> limit values </w:t>
      </w:r>
      <w:r>
        <w:rPr>
          <w:rFonts w:eastAsia="Calibri"/>
          <w:noProof/>
          <w:kern w:val="20"/>
          <w:sz w:val="20"/>
        </w:rPr>
        <w:t>set by the Air Quality Directive</w:t>
      </w:r>
      <w:r>
        <w:rPr>
          <w:rFonts w:eastAsia="Calibri" w:cs="Arial"/>
          <w:noProof/>
          <w:kern w:val="20"/>
          <w:sz w:val="20"/>
        </w:rPr>
        <w:t>;</w:t>
      </w:r>
      <w:r>
        <w:rPr>
          <w:rStyle w:val="FootnoteReference"/>
          <w:rFonts w:eastAsia="Calibri" w:cs="Arial"/>
          <w:noProof/>
          <w:kern w:val="20"/>
          <w:sz w:val="20"/>
        </w:rPr>
        <w:footnoteReference w:id="116"/>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Poland</w:t>
      </w:r>
      <w:r>
        <w:rPr>
          <w:rFonts w:eastAsia="Calibri" w:cs="Arial"/>
          <w:noProof/>
          <w:kern w:val="20"/>
          <w:sz w:val="20"/>
        </w:rPr>
        <w:t>: failure to ensure that the environmental impacts of exploratory mining drillings are properly assessed;</w:t>
      </w:r>
      <w:r>
        <w:rPr>
          <w:rStyle w:val="FootnoteReference"/>
          <w:rFonts w:eastAsia="Calibri" w:cs="Arial"/>
          <w:noProof/>
          <w:kern w:val="20"/>
          <w:sz w:val="20"/>
        </w:rPr>
        <w:footnoteReference w:id="117"/>
      </w:r>
    </w:p>
    <w:p>
      <w:pPr>
        <w:numPr>
          <w:ilvl w:val="0"/>
          <w:numId w:val="25"/>
        </w:numPr>
        <w:spacing w:after="200"/>
        <w:ind w:left="1843" w:hanging="284"/>
        <w:rPr>
          <w:rFonts w:eastAsia="Calibri" w:cs="Arial"/>
          <w:noProof/>
          <w:kern w:val="20"/>
          <w:sz w:val="20"/>
        </w:rPr>
      </w:pPr>
      <w:r>
        <w:rPr>
          <w:rFonts w:eastAsia="Calibri" w:cs="Arial"/>
          <w:i/>
          <w:noProof/>
          <w:kern w:val="20"/>
          <w:sz w:val="20"/>
        </w:rPr>
        <w:t>Slovenia</w:t>
      </w:r>
      <w:r>
        <w:rPr>
          <w:rFonts w:eastAsia="Calibri" w:cs="Arial"/>
          <w:noProof/>
          <w:kern w:val="20"/>
          <w:sz w:val="20"/>
        </w:rPr>
        <w:t>: inappropriate treatment of waste tyres in Lovrenc na Dravskem polju.</w:t>
      </w:r>
      <w:r>
        <w:rPr>
          <w:rStyle w:val="FootnoteReference"/>
          <w:rFonts w:eastAsia="Calibri" w:cs="Arial"/>
          <w:noProof/>
          <w:kern w:val="20"/>
          <w:sz w:val="20"/>
        </w:rPr>
        <w:footnoteReference w:id="118"/>
      </w:r>
    </w:p>
    <w:p>
      <w:pPr>
        <w:numPr>
          <w:ilvl w:val="0"/>
          <w:numId w:val="112"/>
        </w:numPr>
        <w:spacing w:after="120"/>
        <w:ind w:left="1412" w:hanging="426"/>
        <w:rPr>
          <w:rFonts w:eastAsia="Calibri" w:cs="Arial"/>
          <w:noProof/>
          <w:kern w:val="20"/>
          <w:sz w:val="20"/>
        </w:rPr>
      </w:pPr>
      <w:r>
        <w:rPr>
          <w:rFonts w:eastAsia="Calibri" w:cs="Arial"/>
          <w:noProof/>
          <w:kern w:val="20"/>
          <w:sz w:val="20"/>
        </w:rPr>
        <w:t>The Commission referred two cases to the Court under Article 260(2) TFEU. They concern:</w:t>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Greece</w:t>
      </w:r>
      <w:r>
        <w:rPr>
          <w:rFonts w:eastAsia="Calibri" w:cs="Arial"/>
          <w:noProof/>
          <w:kern w:val="20"/>
          <w:sz w:val="20"/>
        </w:rPr>
        <w:t>: failure to implement a Court judgment that Greece was failing to adequately collect and treat waste water discharged into the Gulf of Elefsina. The Commission proposed to the Court to impose a lump sum payment of EUR</w:t>
      </w:r>
      <w:r>
        <w:rPr>
          <w:rFonts w:eastAsia="Calibri" w:cs="Arial"/>
          <w:noProof/>
          <w:kern w:val="20"/>
          <w:sz w:val="20"/>
          <w:vertAlign w:val="subscript"/>
        </w:rPr>
        <w:t> </w:t>
      </w:r>
      <w:r>
        <w:rPr>
          <w:rFonts w:eastAsia="Calibri" w:cs="Arial"/>
          <w:noProof/>
          <w:kern w:val="20"/>
          <w:sz w:val="20"/>
        </w:rPr>
        <w:t>15 943 620 and a daily penalty payment of EUR</w:t>
      </w:r>
      <w:r>
        <w:rPr>
          <w:rFonts w:eastAsia="Calibri" w:cs="Arial"/>
          <w:noProof/>
          <w:kern w:val="20"/>
          <w:sz w:val="20"/>
          <w:vertAlign w:val="subscript"/>
        </w:rPr>
        <w:t> </w:t>
      </w:r>
      <w:r>
        <w:rPr>
          <w:rFonts w:eastAsia="Calibri" w:cs="Arial"/>
          <w:noProof/>
          <w:kern w:val="20"/>
          <w:sz w:val="20"/>
        </w:rPr>
        <w:t>34 974 until full compliance with EU law is ensured;</w:t>
      </w:r>
      <w:r>
        <w:rPr>
          <w:rStyle w:val="FootnoteReference"/>
          <w:rFonts w:eastAsia="Calibri" w:cs="Arial"/>
          <w:noProof/>
          <w:kern w:val="20"/>
          <w:sz w:val="20"/>
        </w:rPr>
        <w:footnoteReference w:id="119"/>
      </w:r>
    </w:p>
    <w:p>
      <w:pPr>
        <w:numPr>
          <w:ilvl w:val="0"/>
          <w:numId w:val="25"/>
        </w:numPr>
        <w:spacing w:after="200"/>
        <w:ind w:left="1843" w:hanging="283"/>
        <w:contextualSpacing/>
        <w:rPr>
          <w:rFonts w:eastAsia="Calibri" w:cs="Arial"/>
          <w:noProof/>
          <w:kern w:val="20"/>
          <w:sz w:val="20"/>
        </w:rPr>
      </w:pPr>
      <w:r>
        <w:rPr>
          <w:rFonts w:eastAsia="Calibri" w:cs="Arial"/>
          <w:i/>
          <w:noProof/>
          <w:kern w:val="20"/>
          <w:sz w:val="20"/>
        </w:rPr>
        <w:t>Slovakia</w:t>
      </w:r>
      <w:r>
        <w:rPr>
          <w:rFonts w:eastAsia="Calibri" w:cs="Arial"/>
          <w:noProof/>
          <w:kern w:val="20"/>
          <w:sz w:val="20"/>
        </w:rPr>
        <w:t xml:space="preserve">: failure to implement a Court judgment that Slovakia was failing </w:t>
      </w:r>
      <w:r>
        <w:rPr>
          <w:rFonts w:eastAsia="Calibri" w:cs="Arial"/>
          <w:bCs/>
          <w:noProof/>
          <w:kern w:val="20"/>
          <w:sz w:val="20"/>
        </w:rPr>
        <w:t>to ensure that decisions on the operation of the landfill in Žilina–Považský Chlmec were taken in line with EU rules</w:t>
      </w:r>
      <w:r>
        <w:rPr>
          <w:rFonts w:eastAsia="Calibri" w:cs="Arial"/>
          <w:noProof/>
          <w:kern w:val="20"/>
          <w:sz w:val="20"/>
        </w:rPr>
        <w:t xml:space="preserve"> on landfilling of waste. The Commission proposed to the Court to impose a lump sum payment of EUR</w:t>
      </w:r>
      <w:r>
        <w:rPr>
          <w:rFonts w:eastAsia="Calibri" w:cs="Arial"/>
          <w:noProof/>
          <w:kern w:val="20"/>
          <w:sz w:val="20"/>
          <w:vertAlign w:val="subscript"/>
        </w:rPr>
        <w:t> </w:t>
      </w:r>
      <w:r>
        <w:rPr>
          <w:rFonts w:eastAsia="Calibri" w:cs="Arial"/>
          <w:noProof/>
          <w:kern w:val="20"/>
          <w:sz w:val="20"/>
        </w:rPr>
        <w:t>939 000 and a daily penalty payment of EUR</w:t>
      </w:r>
      <w:r>
        <w:rPr>
          <w:rFonts w:eastAsia="Calibri" w:cs="Arial"/>
          <w:noProof/>
          <w:kern w:val="20"/>
          <w:sz w:val="20"/>
          <w:vertAlign w:val="subscript"/>
        </w:rPr>
        <w:t> </w:t>
      </w:r>
      <w:r>
        <w:rPr>
          <w:rFonts w:eastAsia="Calibri" w:cs="Arial"/>
          <w:noProof/>
          <w:kern w:val="20"/>
          <w:sz w:val="20"/>
        </w:rPr>
        <w:t>6 793.80 until full compliance with EU law is ensured.</w:t>
      </w:r>
      <w:r>
        <w:rPr>
          <w:rStyle w:val="FootnoteReference"/>
          <w:rFonts w:eastAsia="Calibri" w:cs="Arial"/>
          <w:noProof/>
          <w:kern w:val="20"/>
          <w:sz w:val="20"/>
        </w:rPr>
        <w:footnoteReference w:id="120"/>
      </w:r>
    </w:p>
    <w:p>
      <w:pPr>
        <w:pStyle w:val="Title1"/>
        <w:spacing w:after="120"/>
        <w:ind w:left="714" w:hanging="357"/>
        <w:rPr>
          <w:noProof/>
        </w:rPr>
      </w:pPr>
      <w:r>
        <w:rPr>
          <w:noProof/>
        </w:rPr>
        <w:t>TRANSPOSITION OF DIRECTIVES</w:t>
      </w:r>
    </w:p>
    <w:p>
      <w:pPr>
        <w:numPr>
          <w:ilvl w:val="0"/>
          <w:numId w:val="70"/>
        </w:numPr>
        <w:spacing w:after="120"/>
        <w:ind w:left="714" w:hanging="357"/>
        <w:jc w:val="left"/>
        <w:outlineLvl w:val="1"/>
        <w:rPr>
          <w:noProof/>
          <w:color w:val="002060"/>
          <w:szCs w:val="22"/>
        </w:rPr>
      </w:pPr>
      <w:r>
        <w:rPr>
          <w:noProof/>
          <w:color w:val="002060"/>
          <w:szCs w:val="22"/>
        </w:rPr>
        <w:t>New late transposition infringement cases (2012- 2016)</w:t>
      </w:r>
    </w:p>
    <w:p>
      <w:pPr>
        <w:pStyle w:val="Basis"/>
        <w:rPr>
          <w:noProof/>
          <w:lang w:val="en-GB"/>
        </w:rPr>
      </w:pPr>
      <w:r>
        <w:rPr>
          <w:noProof/>
        </w:rPr>
        <w:drawing>
          <wp:inline distT="0" distB="0" distL="0" distR="0">
            <wp:extent cx="4591050" cy="2447925"/>
            <wp:effectExtent l="0" t="0" r="19050" b="9525"/>
            <wp:docPr id="97"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after="0"/>
        <w:jc w:val="left"/>
        <w:rPr>
          <w:noProof/>
          <w:color w:val="002060"/>
          <w:szCs w:val="22"/>
        </w:rPr>
      </w:pPr>
    </w:p>
    <w:p>
      <w:pPr>
        <w:numPr>
          <w:ilvl w:val="0"/>
          <w:numId w:val="70"/>
        </w:numPr>
        <w:spacing w:after="120"/>
        <w:ind w:left="714" w:hanging="357"/>
        <w:jc w:val="left"/>
        <w:outlineLvl w:val="1"/>
        <w:rPr>
          <w:noProof/>
          <w:color w:val="002060"/>
          <w:szCs w:val="22"/>
        </w:rPr>
      </w:pPr>
      <w:r>
        <w:rPr>
          <w:noProof/>
          <w:color w:val="002060"/>
          <w:szCs w:val="22"/>
        </w:rPr>
        <w:t>New late transposition infringement cases opened in 2016: main policy sectors</w:t>
      </w:r>
    </w:p>
    <w:p>
      <w:pPr>
        <w:pStyle w:val="Basis"/>
        <w:tabs>
          <w:tab w:val="left" w:pos="1985"/>
        </w:tabs>
        <w:rPr>
          <w:noProof/>
          <w:lang w:val="en-GB"/>
        </w:rPr>
      </w:pPr>
      <w:r>
        <w:rPr>
          <w:noProof/>
        </w:rPr>
        <w:drawing>
          <wp:inline distT="0" distB="0" distL="0" distR="0">
            <wp:extent cx="4587240" cy="2377440"/>
            <wp:effectExtent l="0" t="0" r="22860" b="22860"/>
            <wp:docPr id="98"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numPr>
          <w:ilvl w:val="0"/>
          <w:numId w:val="70"/>
        </w:numPr>
        <w:spacing w:after="60"/>
        <w:jc w:val="left"/>
        <w:outlineLvl w:val="1"/>
        <w:rPr>
          <w:noProof/>
          <w:color w:val="002060"/>
          <w:szCs w:val="22"/>
        </w:rPr>
      </w:pPr>
      <w:r>
        <w:rPr>
          <w:noProof/>
          <w:color w:val="002060"/>
          <w:szCs w:val="22"/>
        </w:rPr>
        <w:t>Key infringement cases and referrals to the Court</w:t>
      </w:r>
    </w:p>
    <w:p>
      <w:pPr>
        <w:numPr>
          <w:ilvl w:val="0"/>
          <w:numId w:val="121"/>
        </w:numPr>
        <w:spacing w:after="120"/>
        <w:ind w:hanging="426"/>
        <w:rPr>
          <w:rFonts w:eastAsia="Calibri" w:cs="Arial"/>
          <w:noProof/>
          <w:kern w:val="20"/>
          <w:sz w:val="20"/>
        </w:rPr>
      </w:pPr>
      <w:r>
        <w:rPr>
          <w:rFonts w:eastAsia="Calibri" w:cs="Arial"/>
          <w:noProof/>
          <w:kern w:val="20"/>
          <w:sz w:val="20"/>
        </w:rPr>
        <w:t>The Commission opened 50 cases for late transposition in 2016. Most concern:</w:t>
      </w:r>
    </w:p>
    <w:p>
      <w:pPr>
        <w:numPr>
          <w:ilvl w:val="0"/>
          <w:numId w:val="25"/>
        </w:numPr>
        <w:spacing w:after="200"/>
        <w:ind w:left="2132" w:hanging="426"/>
        <w:contextualSpacing/>
        <w:rPr>
          <w:rFonts w:eastAsia="Calibri" w:cs="Arial"/>
          <w:noProof/>
          <w:sz w:val="20"/>
        </w:rPr>
      </w:pPr>
      <w:r>
        <w:rPr>
          <w:noProof/>
          <w:sz w:val="20"/>
        </w:rPr>
        <w:t>a Commission Directive</w:t>
      </w:r>
      <w:r>
        <w:rPr>
          <w:rStyle w:val="FootnoteReference"/>
          <w:rFonts w:cs="Arial"/>
          <w:noProof/>
          <w:sz w:val="20"/>
        </w:rPr>
        <w:footnoteReference w:id="121"/>
      </w:r>
      <w:r>
        <w:rPr>
          <w:rFonts w:cs="Arial"/>
          <w:noProof/>
          <w:sz w:val="20"/>
        </w:rPr>
        <w:t xml:space="preserve"> amending the Waste Framework Directive</w:t>
      </w:r>
      <w:r>
        <w:rPr>
          <w:rStyle w:val="FootnoteReference"/>
          <w:rFonts w:cs="Arial"/>
          <w:noProof/>
          <w:sz w:val="20"/>
        </w:rPr>
        <w:footnoteReference w:id="122"/>
      </w:r>
      <w:r>
        <w:rPr>
          <w:rFonts w:cs="Arial"/>
          <w:noProof/>
          <w:sz w:val="20"/>
        </w:rPr>
        <w:t xml:space="preserve"> (11 Member States);</w:t>
      </w:r>
    </w:p>
    <w:p>
      <w:pPr>
        <w:numPr>
          <w:ilvl w:val="0"/>
          <w:numId w:val="25"/>
        </w:numPr>
        <w:spacing w:after="200"/>
        <w:ind w:left="2132" w:hanging="426"/>
        <w:contextualSpacing/>
        <w:rPr>
          <w:rFonts w:eastAsia="Calibri" w:cs="Arial"/>
          <w:noProof/>
          <w:sz w:val="20"/>
        </w:rPr>
      </w:pPr>
      <w:r>
        <w:rPr>
          <w:rFonts w:eastAsia="Calibri" w:cs="Arial"/>
          <w:noProof/>
          <w:sz w:val="20"/>
        </w:rPr>
        <w:t>a C</w:t>
      </w:r>
      <w:r>
        <w:rPr>
          <w:rFonts w:cs="Arial"/>
          <w:noProof/>
          <w:sz w:val="20"/>
        </w:rPr>
        <w:t>ommission Directive</w:t>
      </w:r>
      <w:r>
        <w:rPr>
          <w:rStyle w:val="FootnoteReference"/>
          <w:rFonts w:cs="Arial"/>
          <w:noProof/>
          <w:sz w:val="20"/>
        </w:rPr>
        <w:footnoteReference w:id="123"/>
      </w:r>
      <w:r>
        <w:rPr>
          <w:rFonts w:cs="Arial"/>
          <w:noProof/>
          <w:sz w:val="20"/>
        </w:rPr>
        <w:t xml:space="preserve"> amending the Stage II Petrol Vapour Recovery Directive</w:t>
      </w:r>
      <w:r>
        <w:rPr>
          <w:rStyle w:val="FootnoteReference"/>
          <w:rFonts w:cs="Arial"/>
          <w:noProof/>
          <w:sz w:val="20"/>
        </w:rPr>
        <w:footnoteReference w:id="124"/>
      </w:r>
      <w:r>
        <w:rPr>
          <w:rFonts w:cs="Arial"/>
          <w:noProof/>
          <w:sz w:val="20"/>
        </w:rPr>
        <w:t xml:space="preserve"> (10 Member States);</w:t>
      </w:r>
    </w:p>
    <w:p>
      <w:pPr>
        <w:numPr>
          <w:ilvl w:val="0"/>
          <w:numId w:val="25"/>
        </w:numPr>
        <w:spacing w:after="200"/>
        <w:ind w:left="2132" w:hanging="425"/>
        <w:rPr>
          <w:rFonts w:eastAsia="Calibri" w:cs="Arial"/>
          <w:noProof/>
          <w:sz w:val="20"/>
        </w:rPr>
      </w:pPr>
      <w:r>
        <w:rPr>
          <w:rFonts w:cs="Arial"/>
          <w:noProof/>
          <w:sz w:val="20"/>
        </w:rPr>
        <w:t>a Commission Directive</w:t>
      </w:r>
      <w:r>
        <w:rPr>
          <w:rStyle w:val="FootnoteReference"/>
          <w:rFonts w:eastAsia="Calibri" w:cs="Arial"/>
          <w:noProof/>
          <w:sz w:val="20"/>
        </w:rPr>
        <w:footnoteReference w:id="125"/>
      </w:r>
      <w:r>
        <w:rPr>
          <w:rFonts w:cs="Arial"/>
          <w:noProof/>
          <w:sz w:val="20"/>
        </w:rPr>
        <w:t xml:space="preserve"> amending the Groundwater Directive</w:t>
      </w:r>
      <w:r>
        <w:rPr>
          <w:rStyle w:val="FootnoteReference"/>
          <w:rFonts w:eastAsia="Calibri" w:cs="Arial"/>
          <w:noProof/>
          <w:sz w:val="20"/>
        </w:rPr>
        <w:footnoteReference w:id="126"/>
      </w:r>
      <w:r>
        <w:rPr>
          <w:rFonts w:cs="Arial"/>
          <w:noProof/>
          <w:sz w:val="20"/>
        </w:rPr>
        <w:t xml:space="preserve"> (nine Member States).</w:t>
      </w:r>
    </w:p>
    <w:p>
      <w:pPr>
        <w:numPr>
          <w:ilvl w:val="0"/>
          <w:numId w:val="121"/>
        </w:numPr>
        <w:spacing w:after="120"/>
        <w:ind w:left="1412" w:hanging="425"/>
        <w:rPr>
          <w:rFonts w:eastAsia="Calibri" w:cs="Arial"/>
          <w:noProof/>
          <w:kern w:val="20"/>
          <w:sz w:val="20"/>
        </w:rPr>
      </w:pPr>
      <w:r>
        <w:rPr>
          <w:rFonts w:eastAsia="Calibri" w:cs="Arial"/>
          <w:noProof/>
          <w:kern w:val="20"/>
          <w:sz w:val="20"/>
        </w:rPr>
        <w:t>The Commission referred one case to the Court under Articles 258 and 260(3) TFEU. It concerned:</w:t>
      </w:r>
    </w:p>
    <w:p>
      <w:pPr>
        <w:numPr>
          <w:ilvl w:val="0"/>
          <w:numId w:val="25"/>
        </w:numPr>
        <w:spacing w:after="200"/>
        <w:ind w:left="2132"/>
        <w:contextualSpacing/>
        <w:rPr>
          <w:rFonts w:eastAsia="Calibri" w:cs="Arial"/>
          <w:noProof/>
          <w:kern w:val="20"/>
          <w:sz w:val="20"/>
        </w:rPr>
      </w:pPr>
      <w:r>
        <w:rPr>
          <w:rFonts w:eastAsia="Calibri" w:cs="Arial"/>
          <w:i/>
          <w:noProof/>
          <w:kern w:val="20"/>
          <w:sz w:val="20"/>
        </w:rPr>
        <w:t>Romania</w:t>
      </w:r>
      <w:r>
        <w:rPr>
          <w:rFonts w:eastAsia="Calibri" w:cs="Arial"/>
          <w:noProof/>
          <w:kern w:val="20"/>
          <w:sz w:val="20"/>
        </w:rPr>
        <w:t xml:space="preserve">: failure to transpose the </w:t>
      </w:r>
      <w:hyperlink r:id="rId92" w:history="1">
        <w:r>
          <w:rPr>
            <w:rFonts w:eastAsia="Calibri" w:cs="Arial"/>
            <w:noProof/>
            <w:kern w:val="20"/>
            <w:sz w:val="20"/>
          </w:rPr>
          <w:t>Directive</w:t>
        </w:r>
      </w:hyperlink>
      <w:r>
        <w:rPr>
          <w:rFonts w:eastAsia="Calibri" w:cs="Arial"/>
          <w:noProof/>
          <w:kern w:val="20"/>
          <w:sz w:val="20"/>
        </w:rPr>
        <w:t xml:space="preserve"> on the sulphur content of marine fuels.</w:t>
      </w:r>
      <w:r>
        <w:rPr>
          <w:rStyle w:val="FootnoteReference"/>
          <w:rFonts w:eastAsia="Calibri" w:cs="Arial"/>
          <w:noProof/>
          <w:kern w:val="20"/>
          <w:sz w:val="20"/>
        </w:rPr>
        <w:footnoteReference w:id="127"/>
      </w:r>
    </w:p>
    <w:p>
      <w:pPr>
        <w:pStyle w:val="Title1"/>
        <w:rPr>
          <w:noProof/>
        </w:rPr>
      </w:pPr>
      <w:r>
        <w:rPr>
          <w:noProof/>
        </w:rPr>
        <w:t>EARLY RESOLUTION OF INFRINGEMENT CASES</w:t>
      </w:r>
    </w:p>
    <w:p>
      <w:pPr>
        <w:pStyle w:val="Subtitle"/>
        <w:rPr>
          <w:noProof/>
        </w:rPr>
      </w:pPr>
      <w:r>
        <w:rPr>
          <w:noProof/>
        </w:rPr>
        <w:t>Major cases closed without a Court judgment in 2016</w:t>
      </w:r>
    </w:p>
    <w:p>
      <w:pPr>
        <w:spacing w:after="120"/>
        <w:ind w:left="720"/>
        <w:rPr>
          <w:rFonts w:cs="Arial"/>
          <w:noProof/>
          <w:sz w:val="20"/>
        </w:rPr>
      </w:pPr>
      <w:r>
        <w:rPr>
          <w:rFonts w:cs="Arial"/>
          <w:noProof/>
          <w:sz w:val="20"/>
        </w:rPr>
        <w:t>These concerned:</w:t>
      </w:r>
    </w:p>
    <w:p>
      <w:pPr>
        <w:numPr>
          <w:ilvl w:val="0"/>
          <w:numId w:val="25"/>
        </w:numPr>
        <w:spacing w:after="200"/>
        <w:ind w:left="2132"/>
        <w:contextualSpacing/>
        <w:rPr>
          <w:rFonts w:eastAsia="Calibri" w:cs="Arial"/>
          <w:noProof/>
          <w:kern w:val="20"/>
          <w:sz w:val="20"/>
        </w:rPr>
      </w:pPr>
      <w:r>
        <w:rPr>
          <w:rFonts w:eastAsia="Calibri" w:cs="Arial"/>
          <w:i/>
          <w:noProof/>
          <w:kern w:val="20"/>
          <w:sz w:val="20"/>
        </w:rPr>
        <w:t>Belgium, Bulgaria, Czech Republic, Denmark, Estonia, Greece, Latvia, Lithuania, Luxembourg, Romania, Slovenia, Spain and United Kingdom</w:t>
      </w:r>
      <w:r>
        <w:rPr>
          <w:rFonts w:eastAsia="Calibri" w:cs="Arial"/>
          <w:noProof/>
          <w:kern w:val="20"/>
          <w:sz w:val="20"/>
        </w:rPr>
        <w:t>: non-communication of national measures transposing the Seveso III Directive;</w:t>
      </w:r>
      <w:r>
        <w:rPr>
          <w:rStyle w:val="FootnoteReference"/>
          <w:rFonts w:eastAsia="Calibri" w:cs="Arial"/>
          <w:noProof/>
          <w:kern w:val="20"/>
          <w:sz w:val="20"/>
        </w:rPr>
        <w:footnoteReference w:id="128"/>
      </w:r>
    </w:p>
    <w:p>
      <w:pPr>
        <w:numPr>
          <w:ilvl w:val="0"/>
          <w:numId w:val="25"/>
        </w:numPr>
        <w:spacing w:after="200"/>
        <w:ind w:left="2132"/>
        <w:contextualSpacing/>
        <w:rPr>
          <w:rFonts w:cs="Arial"/>
          <w:i/>
          <w:noProof/>
          <w:sz w:val="20"/>
        </w:rPr>
      </w:pPr>
      <w:r>
        <w:rPr>
          <w:rFonts w:eastAsia="Calibri" w:cs="Arial"/>
          <w:i/>
          <w:noProof/>
          <w:kern w:val="20"/>
          <w:sz w:val="20"/>
        </w:rPr>
        <w:t>Czech Republic</w:t>
      </w:r>
      <w:r>
        <w:rPr>
          <w:rFonts w:eastAsia="Calibri" w:cs="Arial"/>
          <w:noProof/>
          <w:kern w:val="20"/>
          <w:sz w:val="20"/>
        </w:rPr>
        <w:t>: non-compliant transposition of the Waste Framework Directive;</w:t>
      </w:r>
      <w:r>
        <w:rPr>
          <w:rStyle w:val="FootnoteReference"/>
          <w:rFonts w:eastAsia="Calibri" w:cs="Arial"/>
          <w:noProof/>
          <w:kern w:val="20"/>
          <w:sz w:val="20"/>
        </w:rPr>
        <w:footnoteReference w:id="129"/>
      </w:r>
    </w:p>
    <w:p>
      <w:pPr>
        <w:numPr>
          <w:ilvl w:val="0"/>
          <w:numId w:val="25"/>
        </w:numPr>
        <w:spacing w:after="200"/>
        <w:ind w:left="2132"/>
        <w:contextualSpacing/>
        <w:rPr>
          <w:rFonts w:eastAsia="Calibri" w:cs="Arial"/>
          <w:noProof/>
          <w:kern w:val="20"/>
          <w:sz w:val="20"/>
        </w:rPr>
      </w:pPr>
      <w:r>
        <w:rPr>
          <w:rFonts w:eastAsia="Calibri" w:cs="Arial"/>
          <w:i/>
          <w:noProof/>
          <w:kern w:val="20"/>
          <w:sz w:val="20"/>
        </w:rPr>
        <w:t>Czech Republic</w:t>
      </w:r>
      <w:r>
        <w:rPr>
          <w:rFonts w:eastAsia="Calibri" w:cs="Arial"/>
          <w:noProof/>
          <w:kern w:val="20"/>
          <w:sz w:val="20"/>
        </w:rPr>
        <w:t>: incorrect transposition of the Groundwater Directive;</w:t>
      </w:r>
      <w:r>
        <w:rPr>
          <w:rStyle w:val="FootnoteReference"/>
          <w:rFonts w:eastAsia="Calibri" w:cs="Arial"/>
          <w:noProof/>
          <w:kern w:val="20"/>
          <w:sz w:val="20"/>
        </w:rPr>
        <w:footnoteReference w:id="130"/>
      </w:r>
    </w:p>
    <w:p>
      <w:pPr>
        <w:numPr>
          <w:ilvl w:val="0"/>
          <w:numId w:val="25"/>
        </w:numPr>
        <w:spacing w:after="200"/>
        <w:ind w:left="2132"/>
        <w:contextualSpacing/>
        <w:rPr>
          <w:rFonts w:eastAsia="Calibri" w:cs="Arial"/>
          <w:noProof/>
          <w:kern w:val="20"/>
          <w:sz w:val="20"/>
        </w:rPr>
      </w:pPr>
      <w:r>
        <w:rPr>
          <w:rFonts w:eastAsia="Calibri" w:cs="Arial"/>
          <w:i/>
          <w:noProof/>
          <w:kern w:val="20"/>
          <w:sz w:val="20"/>
        </w:rPr>
        <w:t>Czech Republic</w:t>
      </w:r>
      <w:r>
        <w:rPr>
          <w:rFonts w:eastAsia="Calibri" w:cs="Arial"/>
          <w:noProof/>
          <w:kern w:val="20"/>
          <w:sz w:val="20"/>
        </w:rPr>
        <w:t>: incorrect transposition of the Environmental Quality Standards Directive;</w:t>
      </w:r>
      <w:r>
        <w:rPr>
          <w:rStyle w:val="FootnoteReference"/>
          <w:rFonts w:eastAsia="Calibri" w:cs="Arial"/>
          <w:noProof/>
          <w:kern w:val="20"/>
          <w:sz w:val="20"/>
        </w:rPr>
        <w:footnoteReference w:id="131"/>
      </w:r>
    </w:p>
    <w:p>
      <w:pPr>
        <w:numPr>
          <w:ilvl w:val="0"/>
          <w:numId w:val="25"/>
        </w:numPr>
        <w:spacing w:after="200"/>
        <w:ind w:left="2132"/>
        <w:contextualSpacing/>
        <w:rPr>
          <w:rFonts w:eastAsia="Calibri"/>
          <w:noProof/>
          <w:kern w:val="20"/>
          <w:sz w:val="20"/>
        </w:rPr>
      </w:pPr>
      <w:r>
        <w:rPr>
          <w:rFonts w:eastAsia="Calibri"/>
          <w:i/>
          <w:noProof/>
          <w:kern w:val="20"/>
          <w:sz w:val="20"/>
        </w:rPr>
        <w:t>Greece</w:t>
      </w:r>
      <w:r>
        <w:rPr>
          <w:rFonts w:eastAsia="Calibri"/>
          <w:noProof/>
          <w:kern w:val="20"/>
          <w:sz w:val="20"/>
        </w:rPr>
        <w:t>: operation of the landfill of Mesolonghi in breach of the Landfill Directive and the Waste Framework Directive;</w:t>
      </w:r>
      <w:r>
        <w:rPr>
          <w:rStyle w:val="FootnoteReference"/>
          <w:rFonts w:eastAsia="Calibri"/>
          <w:noProof/>
          <w:kern w:val="20"/>
          <w:sz w:val="20"/>
        </w:rPr>
        <w:footnoteReference w:id="132"/>
      </w:r>
    </w:p>
    <w:p>
      <w:pPr>
        <w:numPr>
          <w:ilvl w:val="0"/>
          <w:numId w:val="25"/>
        </w:numPr>
        <w:spacing w:after="200"/>
        <w:ind w:left="2132"/>
        <w:contextualSpacing/>
        <w:rPr>
          <w:rFonts w:cs="Arial"/>
          <w:i/>
          <w:noProof/>
          <w:sz w:val="20"/>
        </w:rPr>
      </w:pPr>
      <w:r>
        <w:rPr>
          <w:rFonts w:cs="Arial"/>
          <w:i/>
          <w:noProof/>
          <w:sz w:val="20"/>
        </w:rPr>
        <w:t>Spain</w:t>
      </w:r>
      <w:r>
        <w:rPr>
          <w:rFonts w:cs="Arial"/>
          <w:noProof/>
          <w:sz w:val="20"/>
        </w:rPr>
        <w:t>:</w:t>
      </w:r>
      <w:r>
        <w:rPr>
          <w:rFonts w:cs="Arial"/>
          <w:i/>
          <w:noProof/>
          <w:sz w:val="20"/>
        </w:rPr>
        <w:t xml:space="preserve"> </w:t>
      </w:r>
      <w:r>
        <w:rPr>
          <w:rFonts w:cs="Arial"/>
          <w:noProof/>
          <w:sz w:val="20"/>
        </w:rPr>
        <w:t>incorrect transposition of the Environmental Impact Assessment Directive by the Tourism Act in the Balearic Islands;</w:t>
      </w:r>
      <w:r>
        <w:rPr>
          <w:rStyle w:val="FootnoteReference"/>
          <w:rFonts w:cs="Arial"/>
          <w:noProof/>
          <w:sz w:val="20"/>
        </w:rPr>
        <w:footnoteReference w:id="133"/>
      </w:r>
    </w:p>
    <w:p>
      <w:pPr>
        <w:numPr>
          <w:ilvl w:val="0"/>
          <w:numId w:val="25"/>
        </w:numPr>
        <w:spacing w:after="200"/>
        <w:ind w:left="2132"/>
        <w:contextualSpacing/>
        <w:rPr>
          <w:rFonts w:eastAsia="Calibri" w:cs="Arial"/>
          <w:noProof/>
          <w:kern w:val="20"/>
          <w:sz w:val="20"/>
        </w:rPr>
      </w:pPr>
      <w:r>
        <w:rPr>
          <w:rFonts w:eastAsia="Calibri" w:cs="Arial"/>
          <w:i/>
          <w:noProof/>
          <w:kern w:val="20"/>
          <w:sz w:val="20"/>
        </w:rPr>
        <w:t>Italy</w:t>
      </w:r>
      <w:r>
        <w:rPr>
          <w:rFonts w:eastAsia="Calibri" w:cs="Arial"/>
          <w:noProof/>
          <w:kern w:val="20"/>
          <w:sz w:val="20"/>
        </w:rPr>
        <w:t>: bad application of the Birds Directive in relation to the trapping of live decoys using nets;</w:t>
      </w:r>
      <w:r>
        <w:rPr>
          <w:rStyle w:val="FootnoteReference"/>
          <w:rFonts w:eastAsia="Calibri" w:cs="Arial"/>
          <w:noProof/>
          <w:kern w:val="20"/>
          <w:sz w:val="20"/>
        </w:rPr>
        <w:footnoteReference w:id="134"/>
      </w:r>
    </w:p>
    <w:p>
      <w:pPr>
        <w:numPr>
          <w:ilvl w:val="0"/>
          <w:numId w:val="25"/>
        </w:numPr>
        <w:spacing w:after="200"/>
        <w:ind w:left="2132"/>
        <w:contextualSpacing/>
        <w:rPr>
          <w:rFonts w:eastAsia="Calibri" w:cs="Arial"/>
          <w:noProof/>
          <w:kern w:val="20"/>
          <w:sz w:val="20"/>
        </w:rPr>
      </w:pPr>
      <w:r>
        <w:rPr>
          <w:rFonts w:eastAsia="Calibri" w:cs="Arial"/>
          <w:i/>
          <w:noProof/>
          <w:kern w:val="20"/>
          <w:sz w:val="20"/>
        </w:rPr>
        <w:t>Italy and Cyprus</w:t>
      </w:r>
      <w:r>
        <w:rPr>
          <w:rFonts w:eastAsia="Calibri" w:cs="Arial"/>
          <w:noProof/>
          <w:kern w:val="20"/>
          <w:sz w:val="20"/>
        </w:rPr>
        <w:t>: non-communication of national measures transposing the new Batteries Directive;</w:t>
      </w:r>
      <w:r>
        <w:rPr>
          <w:rStyle w:val="FootnoteReference"/>
          <w:rFonts w:eastAsia="Calibri" w:cs="Arial"/>
          <w:noProof/>
          <w:kern w:val="20"/>
          <w:sz w:val="20"/>
        </w:rPr>
        <w:footnoteReference w:id="135"/>
      </w:r>
    </w:p>
    <w:p>
      <w:pPr>
        <w:numPr>
          <w:ilvl w:val="0"/>
          <w:numId w:val="25"/>
        </w:numPr>
        <w:spacing w:after="200"/>
        <w:ind w:left="2132"/>
        <w:contextualSpacing/>
        <w:rPr>
          <w:rFonts w:eastAsia="Calibri" w:cs="Arial"/>
          <w:noProof/>
          <w:kern w:val="20"/>
          <w:sz w:val="20"/>
        </w:rPr>
      </w:pPr>
      <w:r>
        <w:rPr>
          <w:rFonts w:eastAsia="Calibri" w:cs="Arial"/>
          <w:i/>
          <w:noProof/>
          <w:kern w:val="20"/>
          <w:sz w:val="20"/>
        </w:rPr>
        <w:t>Cyprus</w:t>
      </w:r>
      <w:r>
        <w:rPr>
          <w:rFonts w:eastAsia="Calibri" w:cs="Arial"/>
          <w:noProof/>
          <w:kern w:val="20"/>
          <w:sz w:val="20"/>
        </w:rPr>
        <w:t>: non-communication of national measures transposing the Directive on priority substances in the field of water policy;</w:t>
      </w:r>
      <w:r>
        <w:rPr>
          <w:rStyle w:val="FootnoteReference"/>
          <w:rFonts w:eastAsia="Calibri" w:cs="Arial"/>
          <w:noProof/>
          <w:kern w:val="20"/>
          <w:sz w:val="20"/>
        </w:rPr>
        <w:footnoteReference w:id="136"/>
      </w:r>
    </w:p>
    <w:p>
      <w:pPr>
        <w:numPr>
          <w:ilvl w:val="0"/>
          <w:numId w:val="25"/>
        </w:numPr>
        <w:spacing w:after="200"/>
        <w:ind w:left="2132"/>
        <w:contextualSpacing/>
        <w:rPr>
          <w:rFonts w:eastAsia="Calibri" w:cs="Arial"/>
          <w:noProof/>
          <w:kern w:val="20"/>
          <w:sz w:val="20"/>
        </w:rPr>
      </w:pPr>
      <w:r>
        <w:rPr>
          <w:rFonts w:eastAsia="Calibri" w:cs="Arial"/>
          <w:i/>
          <w:noProof/>
          <w:kern w:val="20"/>
          <w:sz w:val="20"/>
        </w:rPr>
        <w:t>Hungary and Romania</w:t>
      </w:r>
      <w:r>
        <w:rPr>
          <w:rFonts w:eastAsia="Calibri" w:cs="Arial"/>
          <w:noProof/>
          <w:kern w:val="20"/>
          <w:sz w:val="20"/>
        </w:rPr>
        <w:t>: failure to implement the EU Timber Regulation and the Forest Law Enforcement, Governance and Trade Regulation.</w:t>
      </w:r>
      <w:r>
        <w:rPr>
          <w:rStyle w:val="FootnoteReference"/>
          <w:rFonts w:eastAsia="Calibri" w:cs="Arial"/>
          <w:noProof/>
          <w:kern w:val="20"/>
          <w:sz w:val="20"/>
        </w:rPr>
        <w:footnoteReference w:id="137"/>
      </w:r>
    </w:p>
    <w:p>
      <w:pPr>
        <w:numPr>
          <w:ilvl w:val="0"/>
          <w:numId w:val="25"/>
        </w:numPr>
        <w:spacing w:after="200"/>
        <w:ind w:left="2132"/>
        <w:contextualSpacing/>
        <w:rPr>
          <w:rFonts w:eastAsia="Calibri" w:cs="Arial"/>
          <w:noProof/>
          <w:kern w:val="20"/>
          <w:sz w:val="20"/>
        </w:rPr>
      </w:pPr>
      <w:r>
        <w:rPr>
          <w:rFonts w:eastAsia="Calibri" w:cs="Arial"/>
          <w:i/>
          <w:noProof/>
          <w:kern w:val="20"/>
          <w:sz w:val="20"/>
        </w:rPr>
        <w:t>Austria and Slovenia</w:t>
      </w:r>
      <w:r>
        <w:rPr>
          <w:rFonts w:eastAsia="Calibri" w:cs="Arial"/>
          <w:noProof/>
          <w:kern w:val="20"/>
          <w:sz w:val="20"/>
        </w:rPr>
        <w:t>: non-communication of national measures transposing the Industrial Emissions Directive;</w:t>
      </w:r>
      <w:r>
        <w:rPr>
          <w:rStyle w:val="FootnoteReference"/>
          <w:rFonts w:eastAsia="Calibri" w:cs="Arial"/>
          <w:noProof/>
          <w:kern w:val="20"/>
          <w:sz w:val="20"/>
        </w:rPr>
        <w:footnoteReference w:id="138"/>
      </w:r>
    </w:p>
    <w:p>
      <w:pPr>
        <w:numPr>
          <w:ilvl w:val="0"/>
          <w:numId w:val="25"/>
        </w:numPr>
        <w:spacing w:after="200"/>
        <w:ind w:left="2132"/>
        <w:contextualSpacing/>
        <w:rPr>
          <w:rFonts w:cs="Arial"/>
          <w:i/>
          <w:noProof/>
          <w:sz w:val="20"/>
        </w:rPr>
      </w:pPr>
      <w:r>
        <w:rPr>
          <w:rFonts w:eastAsia="Calibri" w:cs="Arial"/>
          <w:i/>
          <w:noProof/>
          <w:kern w:val="20"/>
          <w:sz w:val="20"/>
        </w:rPr>
        <w:t>Poland</w:t>
      </w:r>
      <w:r>
        <w:rPr>
          <w:rFonts w:eastAsia="Calibri" w:cs="Arial"/>
          <w:noProof/>
          <w:kern w:val="20"/>
          <w:sz w:val="20"/>
        </w:rPr>
        <w:t xml:space="preserve">: incorrect transposition of the </w:t>
      </w:r>
      <w:r>
        <w:rPr>
          <w:rFonts w:cs="Arial"/>
          <w:noProof/>
          <w:sz w:val="20"/>
        </w:rPr>
        <w:t>Environmental Impact Assessment Directive</w:t>
      </w:r>
      <w:r>
        <w:rPr>
          <w:rFonts w:eastAsia="Calibri" w:cs="Arial"/>
          <w:noProof/>
          <w:kern w:val="20"/>
          <w:sz w:val="20"/>
        </w:rPr>
        <w:t xml:space="preserve"> and the Habitats Directive in relation to maintenance works;</w:t>
      </w:r>
      <w:r>
        <w:rPr>
          <w:rStyle w:val="FootnoteReference"/>
          <w:rFonts w:eastAsia="Calibri" w:cs="Arial"/>
          <w:noProof/>
          <w:kern w:val="20"/>
          <w:sz w:val="20"/>
        </w:rPr>
        <w:footnoteReference w:id="139"/>
      </w:r>
    </w:p>
    <w:p>
      <w:pPr>
        <w:numPr>
          <w:ilvl w:val="0"/>
          <w:numId w:val="25"/>
        </w:numPr>
        <w:spacing w:after="200"/>
        <w:ind w:left="2132"/>
        <w:contextualSpacing/>
        <w:rPr>
          <w:rFonts w:eastAsia="Calibri"/>
          <w:noProof/>
          <w:kern w:val="20"/>
          <w:sz w:val="20"/>
        </w:rPr>
      </w:pPr>
      <w:r>
        <w:rPr>
          <w:rFonts w:eastAsia="Calibri"/>
          <w:i/>
          <w:noProof/>
          <w:kern w:val="20"/>
          <w:sz w:val="20"/>
        </w:rPr>
        <w:t>Poland</w:t>
      </w:r>
      <w:r>
        <w:rPr>
          <w:rFonts w:eastAsia="Calibri"/>
          <w:noProof/>
          <w:kern w:val="20"/>
          <w:sz w:val="20"/>
        </w:rPr>
        <w:t>: non-communication of national measures transposing the Directive on waste electrical and electronic equipment;</w:t>
      </w:r>
      <w:r>
        <w:rPr>
          <w:rStyle w:val="FootnoteReference"/>
          <w:rFonts w:eastAsia="Calibri"/>
          <w:noProof/>
          <w:kern w:val="20"/>
          <w:sz w:val="20"/>
        </w:rPr>
        <w:footnoteReference w:id="140"/>
      </w:r>
    </w:p>
    <w:p>
      <w:pPr>
        <w:numPr>
          <w:ilvl w:val="0"/>
          <w:numId w:val="25"/>
        </w:numPr>
        <w:spacing w:after="200"/>
        <w:ind w:left="2132"/>
        <w:contextualSpacing/>
        <w:rPr>
          <w:rFonts w:eastAsia="Calibri"/>
          <w:noProof/>
          <w:kern w:val="20"/>
          <w:sz w:val="20"/>
        </w:rPr>
      </w:pPr>
      <w:r>
        <w:rPr>
          <w:rFonts w:eastAsia="Calibri"/>
          <w:i/>
          <w:noProof/>
          <w:kern w:val="20"/>
          <w:sz w:val="20"/>
        </w:rPr>
        <w:t>Portugal</w:t>
      </w:r>
      <w:r>
        <w:rPr>
          <w:rFonts w:eastAsia="Calibri"/>
          <w:noProof/>
          <w:kern w:val="20"/>
          <w:sz w:val="20"/>
        </w:rPr>
        <w:t>: illegal landfills operated in breach of the Landfill Directive;</w:t>
      </w:r>
      <w:r>
        <w:rPr>
          <w:rStyle w:val="FootnoteReference"/>
          <w:rFonts w:eastAsia="Calibri"/>
          <w:noProof/>
          <w:kern w:val="20"/>
          <w:sz w:val="20"/>
        </w:rPr>
        <w:footnoteReference w:id="141"/>
      </w:r>
    </w:p>
    <w:p>
      <w:pPr>
        <w:numPr>
          <w:ilvl w:val="0"/>
          <w:numId w:val="25"/>
        </w:numPr>
        <w:spacing w:after="200"/>
        <w:ind w:left="2132"/>
        <w:contextualSpacing/>
        <w:rPr>
          <w:rFonts w:cs="Arial"/>
          <w:i/>
          <w:noProof/>
          <w:sz w:val="20"/>
        </w:rPr>
      </w:pPr>
      <w:r>
        <w:rPr>
          <w:rFonts w:cs="Arial"/>
          <w:i/>
          <w:noProof/>
          <w:sz w:val="20"/>
        </w:rPr>
        <w:t>Romania</w:t>
      </w:r>
      <w:r>
        <w:rPr>
          <w:rFonts w:cs="Arial"/>
          <w:noProof/>
          <w:sz w:val="20"/>
        </w:rPr>
        <w:t>: incorrect application of the Environmental Impact Assessment Directive in relation to the operation of the FCN Pitesti nuclear power plant;</w:t>
      </w:r>
      <w:r>
        <w:rPr>
          <w:rStyle w:val="FootnoteReference"/>
          <w:rFonts w:cs="Arial"/>
          <w:noProof/>
          <w:sz w:val="20"/>
        </w:rPr>
        <w:footnoteReference w:id="142"/>
      </w:r>
    </w:p>
    <w:p>
      <w:pPr>
        <w:numPr>
          <w:ilvl w:val="0"/>
          <w:numId w:val="25"/>
        </w:numPr>
        <w:spacing w:after="200"/>
        <w:ind w:left="2132"/>
        <w:contextualSpacing/>
        <w:rPr>
          <w:rFonts w:eastAsia="Calibri" w:cs="Arial"/>
          <w:noProof/>
          <w:kern w:val="20"/>
          <w:sz w:val="20"/>
        </w:rPr>
      </w:pPr>
      <w:r>
        <w:rPr>
          <w:rFonts w:eastAsia="Calibri" w:cs="Arial"/>
          <w:i/>
          <w:noProof/>
          <w:kern w:val="20"/>
          <w:sz w:val="20"/>
        </w:rPr>
        <w:t>Slovenia</w:t>
      </w:r>
      <w:r>
        <w:rPr>
          <w:rFonts w:eastAsia="Calibri" w:cs="Arial"/>
          <w:noProof/>
          <w:kern w:val="20"/>
          <w:sz w:val="20"/>
        </w:rPr>
        <w:t>: failure to adopt a national waste management plan and a waste prevention programme as required under the Waste Framework Directive;</w:t>
      </w:r>
      <w:r>
        <w:rPr>
          <w:rStyle w:val="FootnoteReference"/>
          <w:rFonts w:eastAsia="Calibri" w:cs="Arial"/>
          <w:noProof/>
          <w:kern w:val="20"/>
          <w:sz w:val="20"/>
        </w:rPr>
        <w:footnoteReference w:id="143"/>
      </w:r>
    </w:p>
    <w:p>
      <w:pPr>
        <w:numPr>
          <w:ilvl w:val="0"/>
          <w:numId w:val="25"/>
        </w:numPr>
        <w:spacing w:after="200"/>
        <w:ind w:left="2132"/>
        <w:contextualSpacing/>
        <w:rPr>
          <w:rFonts w:eastAsia="Calibri" w:cs="Arial"/>
          <w:noProof/>
          <w:kern w:val="20"/>
          <w:sz w:val="20"/>
        </w:rPr>
      </w:pPr>
      <w:r>
        <w:rPr>
          <w:rFonts w:eastAsia="Calibri" w:cs="Arial"/>
          <w:i/>
          <w:noProof/>
          <w:kern w:val="20"/>
          <w:sz w:val="20"/>
        </w:rPr>
        <w:t>Slovakia</w:t>
      </w:r>
      <w:r>
        <w:rPr>
          <w:rFonts w:eastAsia="Calibri" w:cs="Arial"/>
          <w:noProof/>
          <w:kern w:val="20"/>
          <w:sz w:val="20"/>
        </w:rPr>
        <w:t>: failure to ensure adequate protection of wolves, in line with the Habitats Directive;</w:t>
      </w:r>
      <w:r>
        <w:rPr>
          <w:rStyle w:val="FootnoteReference"/>
          <w:rFonts w:eastAsia="Calibri" w:cs="Arial"/>
          <w:noProof/>
          <w:kern w:val="20"/>
          <w:sz w:val="20"/>
        </w:rPr>
        <w:footnoteReference w:id="144"/>
      </w:r>
    </w:p>
    <w:p>
      <w:pPr>
        <w:numPr>
          <w:ilvl w:val="0"/>
          <w:numId w:val="25"/>
        </w:numPr>
        <w:spacing w:after="200"/>
        <w:ind w:left="2132"/>
        <w:contextualSpacing/>
        <w:rPr>
          <w:rFonts w:eastAsia="Calibri" w:cs="Arial"/>
          <w:noProof/>
          <w:kern w:val="20"/>
          <w:sz w:val="20"/>
        </w:rPr>
      </w:pPr>
      <w:r>
        <w:rPr>
          <w:rFonts w:eastAsia="Calibri" w:cs="Arial"/>
          <w:i/>
          <w:noProof/>
          <w:kern w:val="20"/>
          <w:sz w:val="20"/>
        </w:rPr>
        <w:t>Slovakia</w:t>
      </w:r>
      <w:r>
        <w:rPr>
          <w:rFonts w:eastAsia="Calibri" w:cs="Arial"/>
          <w:noProof/>
          <w:kern w:val="20"/>
          <w:sz w:val="20"/>
        </w:rPr>
        <w:t>: incorrect transposition of the Floods Directive;</w:t>
      </w:r>
      <w:r>
        <w:rPr>
          <w:rStyle w:val="FootnoteReference"/>
          <w:rFonts w:eastAsia="Calibri" w:cs="Arial"/>
          <w:noProof/>
          <w:kern w:val="20"/>
          <w:sz w:val="20"/>
        </w:rPr>
        <w:footnoteReference w:id="145"/>
      </w:r>
    </w:p>
    <w:p>
      <w:pPr>
        <w:numPr>
          <w:ilvl w:val="0"/>
          <w:numId w:val="25"/>
        </w:numPr>
        <w:spacing w:after="200"/>
        <w:ind w:left="2132"/>
        <w:contextualSpacing/>
        <w:rPr>
          <w:rFonts w:eastAsia="Calibri" w:cs="Arial"/>
          <w:noProof/>
          <w:kern w:val="20"/>
          <w:sz w:val="20"/>
        </w:rPr>
      </w:pPr>
      <w:r>
        <w:rPr>
          <w:rFonts w:eastAsia="Calibri" w:cs="Arial"/>
          <w:i/>
          <w:noProof/>
          <w:kern w:val="20"/>
          <w:sz w:val="20"/>
        </w:rPr>
        <w:t>Finland</w:t>
      </w:r>
      <w:r>
        <w:rPr>
          <w:rFonts w:eastAsia="Calibri" w:cs="Arial"/>
          <w:noProof/>
          <w:kern w:val="20"/>
          <w:sz w:val="20"/>
        </w:rPr>
        <w:t>: incorrect transposition of the Water Framework Directive;</w:t>
      </w:r>
      <w:r>
        <w:rPr>
          <w:rStyle w:val="FootnoteReference"/>
          <w:rFonts w:eastAsia="Calibri" w:cs="Arial"/>
          <w:noProof/>
          <w:kern w:val="20"/>
          <w:sz w:val="20"/>
        </w:rPr>
        <w:footnoteReference w:id="146"/>
      </w:r>
    </w:p>
    <w:p>
      <w:pPr>
        <w:numPr>
          <w:ilvl w:val="0"/>
          <w:numId w:val="25"/>
        </w:numPr>
        <w:spacing w:after="200"/>
        <w:ind w:left="2132"/>
        <w:contextualSpacing/>
        <w:rPr>
          <w:rFonts w:eastAsia="Calibri" w:cs="Arial"/>
          <w:noProof/>
          <w:kern w:val="20"/>
          <w:sz w:val="20"/>
        </w:rPr>
      </w:pPr>
      <w:r>
        <w:rPr>
          <w:rFonts w:eastAsia="Calibri" w:cs="Arial"/>
          <w:i/>
          <w:noProof/>
          <w:kern w:val="20"/>
          <w:sz w:val="20"/>
        </w:rPr>
        <w:t>Sweden</w:t>
      </w:r>
      <w:r>
        <w:rPr>
          <w:rFonts w:eastAsia="Calibri" w:cs="Arial"/>
          <w:noProof/>
          <w:kern w:val="20"/>
          <w:sz w:val="20"/>
        </w:rPr>
        <w:t>: lack of access to justice in relation to hunting decisions taken by the County Administrative Boards;</w:t>
      </w:r>
    </w:p>
    <w:p>
      <w:pPr>
        <w:numPr>
          <w:ilvl w:val="0"/>
          <w:numId w:val="25"/>
        </w:numPr>
        <w:spacing w:after="200"/>
        <w:ind w:left="2132"/>
        <w:contextualSpacing/>
        <w:rPr>
          <w:rFonts w:eastAsia="Calibri" w:cs="Arial"/>
          <w:noProof/>
          <w:kern w:val="20"/>
          <w:sz w:val="20"/>
        </w:rPr>
      </w:pPr>
      <w:r>
        <w:rPr>
          <w:rFonts w:eastAsia="Calibri" w:cs="Arial"/>
          <w:i/>
          <w:noProof/>
          <w:kern w:val="20"/>
          <w:sz w:val="20"/>
        </w:rPr>
        <w:t>United Kingdom</w:t>
      </w:r>
      <w:r>
        <w:rPr>
          <w:rFonts w:eastAsia="Calibri" w:cs="Arial"/>
          <w:noProof/>
          <w:kern w:val="20"/>
          <w:sz w:val="20"/>
        </w:rPr>
        <w:t>: incorrect application of the Industrial Emissions Directive by excluding small waste oil burners from the scope of the definition of waste incineration plants;</w:t>
      </w:r>
      <w:r>
        <w:rPr>
          <w:rStyle w:val="FootnoteReference"/>
          <w:rFonts w:eastAsia="Calibri" w:cs="Arial"/>
          <w:noProof/>
          <w:kern w:val="20"/>
          <w:sz w:val="20"/>
        </w:rPr>
        <w:footnoteReference w:id="147"/>
      </w:r>
    </w:p>
    <w:p>
      <w:pPr>
        <w:numPr>
          <w:ilvl w:val="0"/>
          <w:numId w:val="25"/>
        </w:numPr>
        <w:spacing w:after="200"/>
        <w:ind w:left="2132"/>
        <w:contextualSpacing/>
        <w:rPr>
          <w:rFonts w:eastAsia="Calibri" w:cs="Arial"/>
          <w:noProof/>
          <w:kern w:val="20"/>
          <w:sz w:val="20"/>
        </w:rPr>
      </w:pPr>
      <w:r>
        <w:rPr>
          <w:rFonts w:eastAsia="Calibri" w:cs="Arial"/>
          <w:i/>
          <w:noProof/>
          <w:kern w:val="20"/>
          <w:sz w:val="20"/>
        </w:rPr>
        <w:t>United Kingdom</w:t>
      </w:r>
      <w:r>
        <w:rPr>
          <w:rFonts w:eastAsia="Calibri" w:cs="Arial"/>
          <w:noProof/>
          <w:kern w:val="20"/>
          <w:sz w:val="20"/>
        </w:rPr>
        <w:t xml:space="preserve">: failure to comply with the Habitats Directive as regards protection of wild salmon in Scotland. </w:t>
      </w:r>
      <w:r>
        <w:rPr>
          <w:rStyle w:val="FootnoteReference"/>
          <w:rFonts w:eastAsia="Calibri" w:cs="Arial"/>
          <w:noProof/>
          <w:kern w:val="20"/>
          <w:sz w:val="20"/>
        </w:rPr>
        <w:footnoteReference w:id="148"/>
      </w:r>
    </w:p>
    <w:p>
      <w:pPr>
        <w:pStyle w:val="Title1"/>
        <w:rPr>
          <w:noProof/>
        </w:rPr>
      </w:pPr>
      <w:r>
        <w:rPr>
          <w:noProof/>
        </w:rPr>
        <w:t>IMPORTANT JUDGMENTS</w:t>
      </w:r>
    </w:p>
    <w:p>
      <w:pPr>
        <w:numPr>
          <w:ilvl w:val="0"/>
          <w:numId w:val="71"/>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149"/>
      </w:r>
    </w:p>
    <w:p>
      <w:pPr>
        <w:pStyle w:val="Basis"/>
        <w:spacing w:after="120"/>
        <w:rPr>
          <w:rFonts w:ascii="Arial" w:hAnsi="Arial" w:cs="Arial"/>
          <w:noProof/>
          <w:lang w:val="en-GB"/>
        </w:rPr>
      </w:pPr>
      <w:r>
        <w:rPr>
          <w:rFonts w:ascii="Arial" w:hAnsi="Arial" w:cs="Arial"/>
          <w:noProof/>
          <w:lang w:val="en-GB"/>
        </w:rPr>
        <w:t>The Court ruled that:</w:t>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Bulgaria</w:t>
      </w:r>
      <w:r>
        <w:rPr>
          <w:rFonts w:ascii="Arial" w:hAnsi="Arial" w:cs="Arial"/>
          <w:bCs/>
          <w:noProof/>
          <w:lang w:val="en-GB"/>
        </w:rPr>
        <w:t xml:space="preserve"> has failed to protect unique habitats and endangered species in the Kaliakra region, in violation of the Birds Directive, the Habitats Directive and the Environmental Impact Assessment Directive;</w:t>
      </w:r>
      <w:r>
        <w:rPr>
          <w:rStyle w:val="FootnoteReference"/>
          <w:rFonts w:ascii="Arial" w:hAnsi="Arial" w:cs="Arial"/>
          <w:bCs/>
          <w:noProof/>
          <w:lang w:val="en-GB"/>
        </w:rPr>
        <w:footnoteReference w:id="150"/>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Greece </w:t>
      </w:r>
      <w:r>
        <w:rPr>
          <w:rFonts w:ascii="Arial" w:hAnsi="Arial" w:cs="Arial"/>
          <w:bCs/>
          <w:noProof/>
          <w:lang w:val="en-GB"/>
        </w:rPr>
        <w:t xml:space="preserve">has failed to comply with the Habitats Directive by not providing adequate protection for the endangered sea turtle </w:t>
      </w:r>
      <w:r>
        <w:rPr>
          <w:rFonts w:ascii="Arial" w:hAnsi="Arial" w:cs="Arial"/>
          <w:bCs/>
          <w:i/>
          <w:iCs/>
          <w:noProof/>
          <w:lang w:val="en-GB"/>
        </w:rPr>
        <w:t>Caretta caretta</w:t>
      </w:r>
      <w:r>
        <w:rPr>
          <w:rFonts w:ascii="Arial" w:hAnsi="Arial" w:cs="Arial"/>
          <w:bCs/>
          <w:noProof/>
          <w:lang w:val="en-GB"/>
        </w:rPr>
        <w:t xml:space="preserve"> in the Bay of.Kyparissia;</w:t>
      </w:r>
      <w:r>
        <w:rPr>
          <w:rStyle w:val="FootnoteReference"/>
          <w:rFonts w:ascii="Arial" w:hAnsi="Arial" w:cs="Arial"/>
          <w:bCs/>
          <w:noProof/>
          <w:lang w:val="en-GB"/>
        </w:rPr>
        <w:footnoteReference w:id="151"/>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Greece </w:t>
      </w:r>
      <w:r>
        <w:rPr>
          <w:rFonts w:ascii="Arial" w:hAnsi="Arial" w:cs="Arial"/>
          <w:bCs/>
          <w:noProof/>
          <w:lang w:val="en-GB"/>
        </w:rPr>
        <w:t>has failed to take all the necessary measures to comply</w:t>
      </w:r>
      <w:r>
        <w:rPr>
          <w:rFonts w:ascii="Arial" w:hAnsi="Arial" w:cs="Arial"/>
          <w:b/>
          <w:bCs/>
          <w:noProof/>
          <w:lang w:val="en-GB"/>
        </w:rPr>
        <w:t xml:space="preserve"> </w:t>
      </w:r>
      <w:r>
        <w:rPr>
          <w:rFonts w:ascii="Arial" w:hAnsi="Arial" w:cs="Arial"/>
          <w:bCs/>
          <w:noProof/>
          <w:lang w:val="en-GB"/>
        </w:rPr>
        <w:t>with the Court's 2009 judgment that Greece was not ensuring adequate management of hazardous waste. The Court ordered Greece to pay a lump sum of EUR 10 million and a daily penalty payment of EUR 30 000;</w:t>
      </w:r>
      <w:r>
        <w:rPr>
          <w:rStyle w:val="FootnoteReference"/>
          <w:rFonts w:ascii="Arial" w:hAnsi="Arial" w:cs="Arial"/>
          <w:bCs/>
          <w:noProof/>
          <w:lang w:val="en-GB"/>
        </w:rPr>
        <w:footnoteReference w:id="152"/>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Spain</w:t>
      </w:r>
      <w:r>
        <w:rPr>
          <w:rFonts w:ascii="Arial" w:hAnsi="Arial" w:cs="Arial"/>
          <w:bCs/>
          <w:noProof/>
          <w:lang w:val="en-GB"/>
        </w:rPr>
        <w:t xml:space="preserve"> has failed to ensure the adequate treatment of urban waste water from four agglomerations discharging into sensitive areas;</w:t>
      </w:r>
      <w:r>
        <w:rPr>
          <w:rStyle w:val="FootnoteReference"/>
          <w:rFonts w:ascii="Arial" w:hAnsi="Arial" w:cs="Arial"/>
          <w:bCs/>
          <w:noProof/>
          <w:lang w:val="en-GB"/>
        </w:rPr>
        <w:footnoteReference w:id="153"/>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Spain </w:t>
      </w:r>
      <w:r>
        <w:rPr>
          <w:rFonts w:ascii="Arial" w:hAnsi="Arial" w:cs="Arial"/>
          <w:bCs/>
          <w:noProof/>
          <w:lang w:val="en-GB"/>
        </w:rPr>
        <w:t>has not fulfilled its obligations under the Birds Directive and the Habitats Directive in relation to a project to build a high-speed railway line between Seville and Almeria;</w:t>
      </w:r>
      <w:r>
        <w:rPr>
          <w:rStyle w:val="FootnoteReference"/>
          <w:rFonts w:ascii="Arial" w:hAnsi="Arial" w:cs="Arial"/>
          <w:bCs/>
          <w:noProof/>
          <w:lang w:val="en-GB"/>
        </w:rPr>
        <w:footnoteReference w:id="154"/>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Spain </w:t>
      </w:r>
      <w:r>
        <w:rPr>
          <w:rFonts w:ascii="Arial" w:hAnsi="Arial" w:cs="Arial"/>
          <w:bCs/>
          <w:noProof/>
          <w:lang w:val="en-GB"/>
        </w:rPr>
        <w:t>has infringed the Landfill Directive as it has not taken the necessary measures to ensure that landfills do not continue to operate unless they satisfy the requirements of the Directive;</w:t>
      </w:r>
      <w:r>
        <w:rPr>
          <w:rStyle w:val="FootnoteReference"/>
          <w:rFonts w:ascii="Arial" w:hAnsi="Arial" w:cs="Arial"/>
          <w:bCs/>
          <w:noProof/>
          <w:lang w:val="en-GB"/>
        </w:rPr>
        <w:footnoteReference w:id="155"/>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France</w:t>
      </w:r>
      <w:r>
        <w:rPr>
          <w:rFonts w:ascii="Arial" w:hAnsi="Arial" w:cs="Arial"/>
          <w:bCs/>
          <w:noProof/>
          <w:lang w:val="en-GB"/>
        </w:rPr>
        <w:t xml:space="preserve"> has failed to provide adequate treatment of urban waste water in several smaller agglomerations;</w:t>
      </w:r>
      <w:r>
        <w:rPr>
          <w:rStyle w:val="FootnoteReference"/>
          <w:rFonts w:ascii="Arial" w:hAnsi="Arial" w:cs="Arial"/>
          <w:bCs/>
          <w:noProof/>
          <w:lang w:val="en-GB"/>
        </w:rPr>
        <w:footnoteReference w:id="156"/>
      </w:r>
    </w:p>
    <w:p>
      <w:pPr>
        <w:pStyle w:val="Lijstje2"/>
        <w:numPr>
          <w:ilvl w:val="0"/>
          <w:numId w:val="107"/>
        </w:numPr>
        <w:tabs>
          <w:tab w:val="left" w:pos="2127"/>
        </w:tabs>
        <w:ind w:left="1276" w:hanging="426"/>
        <w:rPr>
          <w:rFonts w:ascii="Arial" w:hAnsi="Arial" w:cs="Arial"/>
          <w:bCs/>
          <w:noProof/>
          <w:lang w:val="en-GB"/>
        </w:rPr>
      </w:pPr>
      <w:r>
        <w:rPr>
          <w:rFonts w:ascii="Arial" w:hAnsi="Arial" w:cs="Arial"/>
          <w:noProof/>
          <w:lang w:val="en-GB"/>
        </w:rPr>
        <w:t xml:space="preserve">the action brought by the Commission against </w:t>
      </w:r>
      <w:r>
        <w:rPr>
          <w:rFonts w:ascii="Arial" w:hAnsi="Arial" w:cs="Arial"/>
          <w:i/>
          <w:noProof/>
          <w:lang w:val="en-GB"/>
        </w:rPr>
        <w:t>Austria</w:t>
      </w:r>
      <w:r>
        <w:rPr>
          <w:rFonts w:ascii="Arial" w:hAnsi="Arial" w:cs="Arial"/>
          <w:noProof/>
          <w:lang w:val="en-GB"/>
        </w:rPr>
        <w:t xml:space="preserve"> for its failure to fulfil obligations under the Water Framework Directive in relation to the authorisation for the construction of a hydropower plant on the Schwarze Sulm</w:t>
      </w:r>
      <w:r>
        <w:rPr>
          <w:rFonts w:ascii="Arial" w:hAnsi="Arial"/>
          <w:noProof/>
          <w:lang w:val="en-GB"/>
        </w:rPr>
        <w:t xml:space="preserve"> </w:t>
      </w:r>
      <w:r>
        <w:rPr>
          <w:rFonts w:ascii="Arial" w:hAnsi="Arial" w:cs="Arial"/>
          <w:noProof/>
          <w:lang w:val="en-GB"/>
        </w:rPr>
        <w:t>River was unfounded;</w:t>
      </w:r>
      <w:r>
        <w:rPr>
          <w:rStyle w:val="FootnoteReference"/>
          <w:rFonts w:ascii="Arial" w:hAnsi="Arial" w:cs="Arial"/>
          <w:noProof/>
          <w:lang w:val="en-GB"/>
        </w:rPr>
        <w:footnoteReference w:id="157"/>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Poland</w:t>
      </w:r>
      <w:r>
        <w:rPr>
          <w:rFonts w:ascii="Arial" w:hAnsi="Arial" w:cs="Arial"/>
          <w:bCs/>
          <w:noProof/>
          <w:lang w:val="en-GB"/>
        </w:rPr>
        <w:t xml:space="preserve"> has failed to transpose correctly or completely into its national legal framework several provisions of the Water Framework Directive;</w:t>
      </w:r>
      <w:r>
        <w:rPr>
          <w:rStyle w:val="FootnoteReference"/>
          <w:rFonts w:ascii="Arial" w:hAnsi="Arial" w:cs="Arial"/>
          <w:bCs/>
          <w:noProof/>
          <w:lang w:val="en-GB"/>
        </w:rPr>
        <w:footnoteReference w:id="158"/>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Portugal </w:t>
      </w:r>
      <w:r>
        <w:rPr>
          <w:rFonts w:ascii="Arial" w:hAnsi="Arial" w:cs="Arial"/>
          <w:bCs/>
          <w:noProof/>
          <w:lang w:val="en-GB"/>
        </w:rPr>
        <w:t>has failed to execute in full the Court's 2009 judgment that Portugal was not ensuring adequate treatment of urban waste water in certain agglomerations discharging into normal areas. The Court ordered Portugal to pay a lump sum of EUR 3 million and daily penalty payment of EUR 8 000;</w:t>
      </w:r>
      <w:r>
        <w:rPr>
          <w:rStyle w:val="FootnoteReference"/>
          <w:rFonts w:ascii="Arial" w:hAnsi="Arial" w:cs="Arial"/>
          <w:bCs/>
          <w:noProof/>
          <w:lang w:val="en-GB"/>
        </w:rPr>
        <w:footnoteReference w:id="159"/>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Portugal</w:t>
      </w:r>
      <w:r>
        <w:rPr>
          <w:rFonts w:ascii="Arial" w:hAnsi="Arial" w:cs="Arial"/>
          <w:bCs/>
          <w:noProof/>
          <w:lang w:val="en-GB"/>
        </w:rPr>
        <w:t xml:space="preserve"> has failed to ensure adequate treatment of urban waste water in several smaller agglomerations;</w:t>
      </w:r>
      <w:r>
        <w:rPr>
          <w:rStyle w:val="FootnoteReference"/>
          <w:rFonts w:ascii="Arial" w:hAnsi="Arial" w:cs="Arial"/>
          <w:bCs/>
          <w:noProof/>
          <w:lang w:val="en-GB"/>
        </w:rPr>
        <w:footnoteReference w:id="160"/>
      </w:r>
    </w:p>
    <w:p>
      <w:pPr>
        <w:pStyle w:val="Lijstje2"/>
        <w:numPr>
          <w:ilvl w:val="0"/>
          <w:numId w:val="107"/>
        </w:numPr>
        <w:tabs>
          <w:tab w:val="left" w:pos="2127"/>
        </w:tabs>
        <w:ind w:left="1276" w:hanging="426"/>
        <w:rPr>
          <w:rFonts w:ascii="Arial" w:hAnsi="Arial" w:cs="Arial"/>
          <w:bCs/>
          <w:noProof/>
          <w:lang w:val="en-GB"/>
        </w:rPr>
      </w:pPr>
      <w:r>
        <w:rPr>
          <w:rFonts w:ascii="Arial" w:hAnsi="Arial" w:cs="Arial"/>
          <w:bCs/>
          <w:i/>
          <w:noProof/>
          <w:lang w:val="en-GB"/>
        </w:rPr>
        <w:t xml:space="preserve">Romania </w:t>
      </w:r>
      <w:r>
        <w:rPr>
          <w:rFonts w:ascii="Arial" w:hAnsi="Arial" w:cs="Arial"/>
          <w:bCs/>
          <w:noProof/>
          <w:lang w:val="en-GB"/>
        </w:rPr>
        <w:t>has failed to take the necessary measures to prevent pollution from dust particles coming from a copper mining operation, in breach of the Mining Waste Directive;</w:t>
      </w:r>
      <w:r>
        <w:rPr>
          <w:rStyle w:val="FootnoteReference"/>
          <w:rFonts w:ascii="Arial" w:hAnsi="Arial" w:cs="Arial"/>
          <w:bCs/>
          <w:noProof/>
          <w:lang w:val="en-GB"/>
        </w:rPr>
        <w:footnoteReference w:id="161"/>
      </w:r>
    </w:p>
    <w:p>
      <w:pPr>
        <w:pStyle w:val="Lijstje2"/>
        <w:numPr>
          <w:ilvl w:val="0"/>
          <w:numId w:val="107"/>
        </w:numPr>
        <w:tabs>
          <w:tab w:val="left" w:pos="2127"/>
        </w:tabs>
        <w:ind w:left="1276" w:hanging="426"/>
        <w:rPr>
          <w:rFonts w:ascii="Arial" w:hAnsi="Arial" w:cs="Arial"/>
          <w:noProof/>
          <w:lang w:val="en-GB"/>
        </w:rPr>
      </w:pPr>
      <w:r>
        <w:rPr>
          <w:rFonts w:ascii="Arial" w:hAnsi="Arial" w:cs="Arial"/>
          <w:bCs/>
          <w:i/>
          <w:noProof/>
          <w:lang w:val="en-GB"/>
        </w:rPr>
        <w:t>United Kingdom</w:t>
      </w:r>
      <w:r>
        <w:rPr>
          <w:rFonts w:ascii="Arial" w:hAnsi="Arial" w:cs="Arial"/>
          <w:bCs/>
          <w:noProof/>
          <w:lang w:val="en-GB"/>
        </w:rPr>
        <w:t xml:space="preserve"> has incorrectly applied the Large Combustion Plants Directive in relation to the Aberthaw Power Station in Wales, by not respecting the emission limit value for nitrogen oxides (NOx).</w:t>
      </w:r>
      <w:r>
        <w:rPr>
          <w:rStyle w:val="FootnoteReference"/>
          <w:rFonts w:ascii="Arial" w:hAnsi="Arial" w:cs="Arial"/>
          <w:bCs/>
          <w:noProof/>
          <w:lang w:val="en-GB"/>
        </w:rPr>
        <w:footnoteReference w:id="162"/>
      </w:r>
    </w:p>
    <w:p>
      <w:pPr>
        <w:numPr>
          <w:ilvl w:val="0"/>
          <w:numId w:val="71"/>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pStyle w:val="Lijstje2"/>
        <w:numPr>
          <w:ilvl w:val="0"/>
          <w:numId w:val="107"/>
        </w:numPr>
        <w:tabs>
          <w:tab w:val="left" w:pos="2127"/>
        </w:tabs>
        <w:ind w:left="1276" w:hanging="426"/>
        <w:rPr>
          <w:rFonts w:ascii="Arial" w:hAnsi="Arial" w:cs="Arial"/>
          <w:bCs/>
          <w:noProof/>
          <w:lang w:val="en-GB"/>
        </w:rPr>
      </w:pPr>
      <w:r>
        <w:rPr>
          <w:rFonts w:ascii="Arial" w:hAnsi="Arial" w:cs="Arial"/>
          <w:i/>
          <w:noProof/>
          <w:lang w:val="en-GB"/>
        </w:rPr>
        <w:t>Belgium</w:t>
      </w:r>
      <w:r>
        <w:rPr>
          <w:rFonts w:ascii="Arial" w:hAnsi="Arial" w:cs="Arial"/>
          <w:noProof/>
          <w:lang w:val="en-GB"/>
        </w:rPr>
        <w:t xml:space="preserve">: </w:t>
      </w:r>
      <w:r>
        <w:rPr>
          <w:rFonts w:ascii="Arial" w:hAnsi="Arial" w:cs="Arial"/>
          <w:bCs/>
          <w:noProof/>
          <w:lang w:val="en-GB"/>
        </w:rPr>
        <w:t>measures contained in a plan or project not directly connected with the management of a site of Community importance which, before the occurrence of adverse effects on a natural habitat type present on it, are providing for the future creation of an area of that type may not be taken into account in the assessment of the effects of the plan or project on the site when that assessment precedes the completion of the respective area. Qualifying such measures as ‘compensatory measures’ under the Habitats Directive is strictly subject to the conditions it lays down;</w:t>
      </w:r>
      <w:r>
        <w:rPr>
          <w:rStyle w:val="FootnoteReference"/>
          <w:rFonts w:ascii="Arial" w:hAnsi="Arial" w:cs="Arial"/>
          <w:bCs/>
          <w:noProof/>
          <w:lang w:val="en-GB"/>
        </w:rPr>
        <w:footnoteReference w:id="163"/>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Belgium</w:t>
      </w:r>
      <w:r>
        <w:rPr>
          <w:rFonts w:ascii="Arial" w:hAnsi="Arial" w:cs="Arial"/>
          <w:noProof/>
          <w:lang w:val="en-GB"/>
        </w:rPr>
        <w:t xml:space="preserve">: </w:t>
      </w:r>
      <w:r>
        <w:rPr>
          <w:rFonts w:ascii="Arial" w:hAnsi="Arial" w:cs="Arial"/>
          <w:bCs/>
          <w:noProof/>
          <w:lang w:val="en-GB"/>
        </w:rPr>
        <w:t>a regulatory order containing provisions on the installation of wind turbines which must be complied with when administrative consent is granted for the installation and operation of such installations comes within the notion of ‘plans and programmes’ under the Strategic Environmental Assessment Directive</w:t>
      </w:r>
      <w:r>
        <w:rPr>
          <w:rFonts w:ascii="Arial" w:hAnsi="Arial" w:cs="Arial"/>
          <w:noProof/>
          <w:lang w:val="en-GB"/>
        </w:rPr>
        <w:t>;</w:t>
      </w:r>
      <w:r>
        <w:rPr>
          <w:rStyle w:val="FootnoteReference"/>
          <w:rFonts w:ascii="Arial" w:hAnsi="Arial" w:cs="Arial"/>
          <w:noProof/>
          <w:lang w:val="en-GB"/>
        </w:rPr>
        <w:footnoteReference w:id="164"/>
      </w:r>
    </w:p>
    <w:p>
      <w:pPr>
        <w:pStyle w:val="Lijstje2"/>
        <w:numPr>
          <w:ilvl w:val="0"/>
          <w:numId w:val="107"/>
        </w:numPr>
        <w:tabs>
          <w:tab w:val="left" w:pos="2127"/>
        </w:tabs>
        <w:ind w:left="1276" w:hanging="426"/>
        <w:rPr>
          <w:rFonts w:ascii="Arial" w:hAnsi="Arial" w:cs="Arial"/>
          <w:bCs/>
          <w:noProof/>
          <w:lang w:val="en-GB"/>
        </w:rPr>
      </w:pPr>
      <w:r>
        <w:rPr>
          <w:rFonts w:ascii="Arial" w:hAnsi="Arial"/>
          <w:i/>
          <w:noProof/>
          <w:lang w:val="en-GB"/>
        </w:rPr>
        <w:t>Germany</w:t>
      </w:r>
      <w:r>
        <w:rPr>
          <w:rFonts w:ascii="Arial" w:hAnsi="Arial" w:cs="Arial"/>
          <w:noProof/>
          <w:lang w:val="en-GB"/>
        </w:rPr>
        <w:t>: when a plan or project not directly connected with the management of a nature site was authorised following a study not meeting the requirements of the Habitats Directive, and before the inclusion of this site in the list of sites of Community importance, a subsequent review of its effects is required if that is the only appropriate step to prevent significant deterioration or disturbance of the habitat due to implementation of the respective plan or project. A review of the effects of a plan or project put in hand after the inclusion of a site in the list of sites of Community importance must meet the requirements of the Habitats Directive and take into account all factors existing at the date of that inclusion, as well as all implications arising from the implementation of the plan or project after that date;</w:t>
      </w:r>
      <w:r>
        <w:rPr>
          <w:rStyle w:val="FootnoteReference"/>
          <w:bCs/>
          <w:noProof/>
          <w:lang w:val="en-GB"/>
        </w:rPr>
        <w:footnoteReference w:id="165"/>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Germany</w:t>
      </w:r>
      <w:r>
        <w:rPr>
          <w:rFonts w:ascii="Arial" w:hAnsi="Arial" w:cs="Arial"/>
          <w:noProof/>
          <w:lang w:val="en-GB"/>
        </w:rPr>
        <w:t>: a road development project which concerns a stretch of road under 10 km in length is not, solely because of its nature, among the projects subject to a systematic environmental impact assessment, even though it consists in the widening or development of an existing road with four or more lanes. ‘Express roads’ are roads complying with the technical characteristics set out in Annex II to the European Agreement on Main International Traffic Arteries, even if those roads do not form part of the network of main international traffic arteries or are located in urban areas. The concept of ‘construction’ covers the carrying-out of works not previously existing or the physical alteration of existing installations;</w:t>
      </w:r>
      <w:r>
        <w:rPr>
          <w:rStyle w:val="FootnoteReference"/>
          <w:rFonts w:ascii="Arial" w:hAnsi="Arial" w:cs="Arial"/>
          <w:noProof/>
          <w:lang w:val="en-GB"/>
        </w:rPr>
        <w:footnoteReference w:id="166"/>
      </w:r>
    </w:p>
    <w:p>
      <w:pPr>
        <w:pStyle w:val="Lijstje2"/>
        <w:numPr>
          <w:ilvl w:val="0"/>
          <w:numId w:val="107"/>
        </w:numPr>
        <w:tabs>
          <w:tab w:val="left" w:pos="2127"/>
        </w:tabs>
        <w:ind w:left="1276" w:hanging="426"/>
        <w:rPr>
          <w:rFonts w:cs="Arial"/>
          <w:i/>
          <w:noProof/>
          <w:lang w:val="en-GB"/>
        </w:rPr>
      </w:pPr>
      <w:r>
        <w:rPr>
          <w:rFonts w:ascii="Arial" w:hAnsi="Arial" w:cs="Arial"/>
          <w:i/>
          <w:noProof/>
          <w:lang w:val="en-GB"/>
        </w:rPr>
        <w:t>France</w:t>
      </w:r>
      <w:r>
        <w:rPr>
          <w:rFonts w:ascii="Arial" w:hAnsi="Arial" w:cs="Arial"/>
          <w:noProof/>
          <w:lang w:val="en-GB"/>
        </w:rPr>
        <w:t xml:space="preserve">: </w:t>
      </w:r>
      <w:r>
        <w:rPr>
          <w:rFonts w:ascii="Arial" w:hAnsi="Arial" w:cs="Arial"/>
          <w:bCs/>
          <w:noProof/>
          <w:lang w:val="en-GB"/>
        </w:rPr>
        <w:t xml:space="preserve">roll cores in the form of rolls, tubes or cylinders, around which flexible material is wound and sold to consumers, constitute ‘packaging’ under </w:t>
      </w:r>
      <w:r>
        <w:rPr>
          <w:rFonts w:ascii="Arial" w:hAnsi="Arial" w:cs="Arial"/>
          <w:noProof/>
          <w:lang w:val="en-GB"/>
        </w:rPr>
        <w:t>the Packaging Directive;</w:t>
      </w:r>
      <w:r>
        <w:rPr>
          <w:rStyle w:val="FootnoteReference"/>
          <w:rFonts w:ascii="Arial" w:hAnsi="Arial" w:cs="Arial"/>
          <w:noProof/>
          <w:lang w:val="en-GB"/>
        </w:rPr>
        <w:footnoteReference w:id="167"/>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France</w:t>
      </w:r>
      <w:r>
        <w:rPr>
          <w:rFonts w:ascii="Arial" w:hAnsi="Arial" w:cs="Arial"/>
          <w:noProof/>
          <w:lang w:val="en-GB"/>
        </w:rPr>
        <w:t xml:space="preserve">: a national court may, exceptionally and on a case-by-case basis, limit in time the effects of a declaration of the illegality of a national provision adopted in disregard of the </w:t>
      </w:r>
      <w:r>
        <w:rPr>
          <w:rFonts w:ascii="Arial" w:hAnsi="Arial" w:cs="Arial"/>
          <w:bCs/>
          <w:noProof/>
          <w:lang w:val="en-GB"/>
        </w:rPr>
        <w:t>Strategic Environmental Assessment Directive,</w:t>
      </w:r>
      <w:r>
        <w:rPr>
          <w:rFonts w:ascii="Arial" w:hAnsi="Arial" w:cs="Arial"/>
          <w:noProof/>
          <w:lang w:val="en-GB"/>
        </w:rPr>
        <w:t xml:space="preserve"> provided that such a limitation is dictated by an overriding consideration linked to environmental protection and having regard to the specific circumstances of the case. However, this power may be exercised only if the following conditions are </w:t>
      </w:r>
      <w:r>
        <w:rPr>
          <w:rFonts w:ascii="Arial" w:hAnsi="Arial" w:cs="Arial"/>
          <w:bCs/>
          <w:noProof/>
          <w:lang w:val="en-GB"/>
        </w:rPr>
        <w:t xml:space="preserve">satisfied: </w:t>
      </w:r>
    </w:p>
    <w:p>
      <w:pPr>
        <w:pStyle w:val="Lijstje2"/>
        <w:numPr>
          <w:ilvl w:val="0"/>
          <w:numId w:val="144"/>
        </w:numPr>
        <w:tabs>
          <w:tab w:val="left" w:pos="2127"/>
        </w:tabs>
        <w:rPr>
          <w:rFonts w:ascii="Arial" w:hAnsi="Arial" w:cs="Arial"/>
          <w:i/>
          <w:noProof/>
          <w:lang w:val="en-GB"/>
        </w:rPr>
      </w:pPr>
      <w:r>
        <w:rPr>
          <w:rFonts w:ascii="Arial" w:hAnsi="Arial" w:cs="Arial"/>
          <w:bCs/>
          <w:noProof/>
          <w:lang w:val="en-GB"/>
        </w:rPr>
        <w:t xml:space="preserve">the contested national provision is a measure correctly transposing EU environmental law; </w:t>
      </w:r>
    </w:p>
    <w:p>
      <w:pPr>
        <w:pStyle w:val="Lijstje2"/>
        <w:numPr>
          <w:ilvl w:val="0"/>
          <w:numId w:val="144"/>
        </w:numPr>
        <w:tabs>
          <w:tab w:val="left" w:pos="2127"/>
        </w:tabs>
        <w:rPr>
          <w:rFonts w:ascii="Arial" w:hAnsi="Arial" w:cs="Arial"/>
          <w:i/>
          <w:noProof/>
          <w:lang w:val="en-GB"/>
        </w:rPr>
      </w:pPr>
      <w:r>
        <w:rPr>
          <w:rFonts w:ascii="Arial" w:hAnsi="Arial" w:cs="Arial"/>
          <w:bCs/>
          <w:noProof/>
          <w:lang w:val="en-GB"/>
        </w:rPr>
        <w:t xml:space="preserve">a new national provision would not avoid damage to the environment arising from annulment of the contested provision; </w:t>
      </w:r>
    </w:p>
    <w:p>
      <w:pPr>
        <w:pStyle w:val="Lijstje2"/>
        <w:numPr>
          <w:ilvl w:val="0"/>
          <w:numId w:val="144"/>
        </w:numPr>
        <w:tabs>
          <w:tab w:val="left" w:pos="2127"/>
        </w:tabs>
        <w:rPr>
          <w:rFonts w:ascii="Arial" w:hAnsi="Arial" w:cs="Arial"/>
          <w:i/>
          <w:noProof/>
          <w:lang w:val="en-GB"/>
        </w:rPr>
      </w:pPr>
      <w:r>
        <w:rPr>
          <w:rFonts w:ascii="Arial" w:hAnsi="Arial" w:cs="Arial"/>
          <w:bCs/>
          <w:noProof/>
          <w:lang w:val="en-GB"/>
        </w:rPr>
        <w:t xml:space="preserve">annulment of the contested provision would create a legal vacuum in the transposition of EU environmental law which would be more damaging to the environment; and, </w:t>
      </w:r>
    </w:p>
    <w:p>
      <w:pPr>
        <w:pStyle w:val="Lijstje2"/>
        <w:numPr>
          <w:ilvl w:val="0"/>
          <w:numId w:val="144"/>
        </w:numPr>
        <w:tabs>
          <w:tab w:val="left" w:pos="2127"/>
        </w:tabs>
        <w:rPr>
          <w:rFonts w:ascii="Arial" w:hAnsi="Arial" w:cs="Arial"/>
          <w:i/>
          <w:noProof/>
          <w:lang w:val="en-GB"/>
        </w:rPr>
      </w:pPr>
      <w:r>
        <w:rPr>
          <w:rFonts w:ascii="Arial" w:hAnsi="Arial" w:cs="Arial"/>
          <w:bCs/>
          <w:noProof/>
          <w:lang w:val="en-GB"/>
        </w:rPr>
        <w:t>the effects of the contested provision are maintained only for the period strictly necessary to adopt the measures remedying the irregularity</w:t>
      </w:r>
      <w:r>
        <w:rPr>
          <w:rFonts w:ascii="Arial" w:hAnsi="Arial" w:cs="Arial"/>
          <w:noProof/>
          <w:lang w:val="en-GB"/>
        </w:rPr>
        <w:t>;</w:t>
      </w:r>
      <w:r>
        <w:rPr>
          <w:rStyle w:val="FootnoteReference"/>
          <w:rFonts w:ascii="Arial" w:hAnsi="Arial" w:cs="Arial"/>
          <w:noProof/>
          <w:lang w:val="en-GB"/>
        </w:rPr>
        <w:footnoteReference w:id="168"/>
      </w:r>
    </w:p>
    <w:p>
      <w:pPr>
        <w:pStyle w:val="Lijstje2"/>
        <w:numPr>
          <w:ilvl w:val="0"/>
          <w:numId w:val="107"/>
        </w:numPr>
        <w:tabs>
          <w:tab w:val="left" w:pos="2127"/>
        </w:tabs>
        <w:ind w:left="1276" w:hanging="426"/>
        <w:rPr>
          <w:rFonts w:cs="Arial"/>
          <w:noProof/>
          <w:lang w:val="en-GB"/>
        </w:rPr>
      </w:pPr>
      <w:r>
        <w:rPr>
          <w:rFonts w:ascii="Arial" w:hAnsi="Arial" w:cs="Arial"/>
          <w:i/>
          <w:noProof/>
          <w:lang w:val="en-GB"/>
        </w:rPr>
        <w:t>Croatia</w:t>
      </w:r>
      <w:r>
        <w:rPr>
          <w:rFonts w:ascii="Arial" w:hAnsi="Arial" w:cs="Arial"/>
          <w:noProof/>
          <w:lang w:val="en-GB"/>
        </w:rPr>
        <w:t xml:space="preserve">: </w:t>
      </w:r>
      <w:r>
        <w:rPr>
          <w:rFonts w:ascii="Arial" w:hAnsi="Arial" w:cs="Arial"/>
          <w:bCs/>
          <w:noProof/>
          <w:lang w:val="en-GB"/>
        </w:rPr>
        <w:t xml:space="preserve">a national legislation which provides that the price of water services invoiced to the consumer includes not only a variable component calculated according to the volume of water actually consumed by the person concerned, but also a fixed component not connected with that volume, </w:t>
      </w:r>
      <w:r>
        <w:rPr>
          <w:rFonts w:ascii="Arial" w:hAnsi="Arial" w:cs="Arial"/>
          <w:noProof/>
          <w:lang w:val="en-GB"/>
        </w:rPr>
        <w:t xml:space="preserve">is compatible with the </w:t>
      </w:r>
      <w:r>
        <w:rPr>
          <w:rFonts w:ascii="Arial" w:hAnsi="Arial" w:cs="Arial"/>
          <w:bCs/>
          <w:noProof/>
          <w:lang w:val="en-GB"/>
        </w:rPr>
        <w:t>Water Framework Directive;</w:t>
      </w:r>
      <w:r>
        <w:rPr>
          <w:rStyle w:val="FootnoteReference"/>
          <w:rFonts w:ascii="Arial" w:hAnsi="Arial" w:cs="Arial"/>
          <w:bCs/>
          <w:noProof/>
          <w:lang w:val="en-GB"/>
        </w:rPr>
        <w:footnoteReference w:id="169"/>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Italy</w:t>
      </w:r>
      <w:r>
        <w:rPr>
          <w:rFonts w:ascii="Arial" w:hAnsi="Arial" w:cs="Arial"/>
          <w:noProof/>
          <w:lang w:val="en-GB"/>
        </w:rPr>
        <w:t>:</w:t>
      </w:r>
      <w:r>
        <w:rPr>
          <w:rFonts w:ascii="Arial" w:hAnsi="Arial" w:cs="Arial"/>
          <w:i/>
          <w:noProof/>
          <w:lang w:val="en-GB"/>
        </w:rPr>
        <w:t xml:space="preserve"> </w:t>
      </w:r>
      <w:r>
        <w:rPr>
          <w:rFonts w:ascii="Arial" w:hAnsi="Arial" w:cs="Arial"/>
          <w:noProof/>
          <w:lang w:val="en-GB"/>
        </w:rPr>
        <w:t xml:space="preserve">the Mining Waste Directive does not have the effect of making subject to the requirements of the Landfill Directive an operation which entails the backfilling of a quarry with waste other than extractive waste, if </w:t>
      </w:r>
      <w:r>
        <w:rPr>
          <w:rFonts w:ascii="Arial" w:hAnsi="Arial" w:cs="Arial"/>
          <w:bCs/>
          <w:noProof/>
          <w:lang w:val="en-GB"/>
        </w:rPr>
        <w:t>that operation does not amount to a disposal but to a recovery of waste</w:t>
      </w:r>
      <w:r>
        <w:rPr>
          <w:rFonts w:ascii="Arial" w:hAnsi="Arial" w:cs="Arial"/>
          <w:noProof/>
          <w:lang w:val="en-GB"/>
        </w:rPr>
        <w:t>;</w:t>
      </w:r>
      <w:r>
        <w:rPr>
          <w:rStyle w:val="FootnoteReference"/>
          <w:rFonts w:ascii="Arial" w:hAnsi="Arial" w:cs="Arial"/>
          <w:noProof/>
          <w:lang w:val="en-GB"/>
        </w:rPr>
        <w:footnoteReference w:id="170"/>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Italy</w:t>
      </w:r>
      <w:r>
        <w:rPr>
          <w:rFonts w:ascii="Arial" w:hAnsi="Arial" w:cs="Arial"/>
          <w:noProof/>
          <w:lang w:val="en-GB"/>
        </w:rPr>
        <w:t xml:space="preserve">: the term ‘small areas at local level’, under the </w:t>
      </w:r>
      <w:r>
        <w:rPr>
          <w:rFonts w:ascii="Arial" w:hAnsi="Arial" w:cs="Arial"/>
          <w:bCs/>
          <w:noProof/>
          <w:lang w:val="en-GB"/>
        </w:rPr>
        <w:t>Strategic Environmental Assessment Directive, refers to areas under</w:t>
      </w:r>
      <w:r>
        <w:rPr>
          <w:rFonts w:ascii="Arial" w:hAnsi="Arial" w:cs="Arial"/>
          <w:noProof/>
          <w:lang w:val="en-GB"/>
        </w:rPr>
        <w:t xml:space="preserve"> the territorial jurisdiction of the local authority preparing and/or adopting the plan or programme concerned, and which </w:t>
      </w:r>
      <w:r>
        <w:rPr>
          <w:rFonts w:ascii="Arial" w:hAnsi="Arial" w:cs="Arial"/>
          <w:bCs/>
          <w:noProof/>
          <w:lang w:val="en-GB"/>
        </w:rPr>
        <w:t>are small in size relative to that territorial jurisdiction</w:t>
      </w:r>
      <w:r>
        <w:rPr>
          <w:rFonts w:ascii="Arial" w:hAnsi="Arial" w:cs="Arial"/>
          <w:noProof/>
          <w:lang w:val="en-GB"/>
        </w:rPr>
        <w:t>;</w:t>
      </w:r>
      <w:r>
        <w:rPr>
          <w:rStyle w:val="FootnoteReference"/>
          <w:rFonts w:ascii="Arial" w:hAnsi="Arial" w:cs="Arial"/>
          <w:noProof/>
          <w:lang w:val="en-GB"/>
        </w:rPr>
        <w:footnoteReference w:id="171"/>
      </w:r>
    </w:p>
    <w:p>
      <w:pPr>
        <w:pStyle w:val="Lijstje2"/>
        <w:numPr>
          <w:ilvl w:val="0"/>
          <w:numId w:val="107"/>
        </w:numPr>
        <w:tabs>
          <w:tab w:val="left" w:pos="2127"/>
        </w:tabs>
        <w:ind w:left="1276" w:hanging="426"/>
        <w:rPr>
          <w:rFonts w:ascii="Arial" w:hAnsi="Arial" w:cs="Arial"/>
          <w:noProof/>
          <w:lang w:val="en-GB"/>
        </w:rPr>
      </w:pPr>
      <w:r>
        <w:rPr>
          <w:rFonts w:ascii="Arial" w:hAnsi="Arial" w:cs="Arial"/>
          <w:i/>
          <w:noProof/>
          <w:lang w:val="en-GB"/>
        </w:rPr>
        <w:t>Hungary</w:t>
      </w:r>
      <w:r>
        <w:rPr>
          <w:rFonts w:ascii="Arial" w:hAnsi="Arial" w:cs="Arial"/>
          <w:noProof/>
          <w:lang w:val="en-GB"/>
        </w:rPr>
        <w:t>: shipments of waste intended for recovery must be considered illegal, under the Waste Shipment Regulation, when the shipment document contains incorrect or inconsistent information about the importer/consignee, the recovery facility and the countries/states concerned. This is the case irrespective of whether the error is made intentionally, that information is correct in other documents available to the competent authorities or procedures for taking back illegal shipments are being implemented. The fine</w:t>
      </w:r>
      <w:r>
        <w:rPr>
          <w:rFonts w:ascii="Arial" w:eastAsia="Times New Roman" w:hAnsi="Arial"/>
          <w:noProof/>
          <w:kern w:val="0"/>
          <w:sz w:val="22"/>
          <w:lang w:val="en-GB"/>
        </w:rPr>
        <w:t xml:space="preserve"> </w:t>
      </w:r>
      <w:r>
        <w:rPr>
          <w:rFonts w:ascii="Arial" w:hAnsi="Arial" w:cs="Arial"/>
          <w:noProof/>
          <w:lang w:val="en-GB"/>
        </w:rPr>
        <w:t>for such an illegal shipment may, in principle, be the same as that imposed for infringements of the obligation to complete the respective document. However, in reviewing the proportionality of the penalty, account must be taken of the potential risks to the protection of the environment and human health;</w:t>
      </w:r>
      <w:r>
        <w:rPr>
          <w:rStyle w:val="FootnoteReference"/>
          <w:rFonts w:ascii="Arial" w:hAnsi="Arial" w:cs="Arial"/>
          <w:noProof/>
          <w:lang w:val="en-GB"/>
        </w:rPr>
        <w:footnoteReference w:id="172"/>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Netherlands</w:t>
      </w:r>
      <w:r>
        <w:rPr>
          <w:rFonts w:ascii="Arial" w:hAnsi="Arial" w:cs="Arial"/>
          <w:noProof/>
          <w:lang w:val="en-GB"/>
        </w:rPr>
        <w:t xml:space="preserve">: </w:t>
      </w:r>
      <w:r>
        <w:rPr>
          <w:rFonts w:ascii="Arial" w:hAnsi="Arial" w:cs="Arial"/>
          <w:bCs/>
          <w:noProof/>
          <w:lang w:val="en-GB"/>
        </w:rPr>
        <w:t xml:space="preserve">the concept of ‘emissions into the environment’ includes the release into the environment of products or substances, such as plant protection products or biocides or active substances contained in those products, to the extent that the release is actual or foreseeable under normal or realistic conditions of use of the product or substance. The concept of ‘information on emissions into the environment’ covers not only emissions as such (the nature, composition, quantity, date and place of those emissions), but also information enabling the public to check whether the assessment of actual or foreseeable emissions is correct, as well as data relating to the medium- or long-term effects of those emissions on the environment. </w:t>
      </w:r>
      <w:r>
        <w:rPr>
          <w:rFonts w:ascii="Arial" w:hAnsi="Arial" w:cs="Arial"/>
          <w:bCs/>
          <w:iCs/>
          <w:noProof/>
          <w:lang w:val="en-GB"/>
        </w:rPr>
        <w:t>The confidentiality of commercial and industrial information may not be invoked to preclude the disclosure of ‘information on emissions into the environment’;</w:t>
      </w:r>
      <w:r>
        <w:rPr>
          <w:rStyle w:val="FootnoteReference"/>
          <w:rFonts w:ascii="Arial" w:hAnsi="Arial" w:cs="Arial"/>
          <w:noProof/>
          <w:lang w:val="en-GB"/>
        </w:rPr>
        <w:footnoteReference w:id="173"/>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Austria</w:t>
      </w:r>
      <w:r>
        <w:rPr>
          <w:rFonts w:ascii="Arial" w:hAnsi="Arial" w:cs="Arial"/>
          <w:noProof/>
          <w:lang w:val="en-GB"/>
        </w:rPr>
        <w:t>: the Environmental Impact Assessment Directive does not apply to a project covered by</w:t>
      </w:r>
      <w:r>
        <w:rPr>
          <w:rFonts w:ascii="Arial" w:hAnsi="Arial" w:cs="Arial"/>
          <w:bCs/>
          <w:noProof/>
          <w:lang w:val="en-GB"/>
        </w:rPr>
        <w:t xml:space="preserve"> a legislative provision according to which a project which has been the subject of a decision taken in breach of the obligation to assess its effects on the environment, for which the time limit for an action for annulment has expired, must be regarded as lawfully authorised. However, EU law precludes such a legislative provision insofar as it provides that a prior impact assessment is deemed to have been carried out for the project</w:t>
      </w:r>
      <w:r>
        <w:rPr>
          <w:rFonts w:ascii="Arial" w:hAnsi="Arial" w:cs="Arial"/>
          <w:noProof/>
          <w:lang w:val="en-GB"/>
        </w:rPr>
        <w:t>;</w:t>
      </w:r>
      <w:r>
        <w:rPr>
          <w:rStyle w:val="FootnoteReference"/>
          <w:rFonts w:ascii="Arial" w:hAnsi="Arial" w:cs="Arial"/>
          <w:noProof/>
          <w:lang w:val="en-GB"/>
        </w:rPr>
        <w:footnoteReference w:id="174"/>
      </w:r>
    </w:p>
    <w:p>
      <w:pPr>
        <w:pStyle w:val="Lijstje2"/>
        <w:numPr>
          <w:ilvl w:val="0"/>
          <w:numId w:val="107"/>
        </w:numPr>
        <w:tabs>
          <w:tab w:val="left" w:pos="2127"/>
        </w:tabs>
        <w:ind w:left="1276" w:hanging="426"/>
        <w:rPr>
          <w:rFonts w:ascii="Arial" w:hAnsi="Arial" w:cs="Arial"/>
          <w:i/>
          <w:noProof/>
          <w:lang w:val="en-GB"/>
        </w:rPr>
      </w:pPr>
      <w:r>
        <w:rPr>
          <w:rFonts w:ascii="Arial" w:hAnsi="Arial" w:cs="Arial"/>
          <w:i/>
          <w:noProof/>
          <w:lang w:val="en-GB"/>
        </w:rPr>
        <w:t>Slovakia</w:t>
      </w:r>
      <w:r>
        <w:rPr>
          <w:rFonts w:ascii="Arial" w:hAnsi="Arial" w:cs="Arial"/>
          <w:noProof/>
          <w:lang w:val="en-GB"/>
        </w:rPr>
        <w:t xml:space="preserve">: when an </w:t>
      </w:r>
      <w:r>
        <w:rPr>
          <w:rFonts w:ascii="Arial" w:hAnsi="Arial" w:cs="Arial"/>
          <w:bCs/>
          <w:noProof/>
          <w:lang w:val="en-GB"/>
        </w:rPr>
        <w:t>environmental organisation</w:t>
      </w:r>
      <w:r>
        <w:rPr>
          <w:rFonts w:ascii="Arial" w:hAnsi="Arial" w:cs="Arial"/>
          <w:b/>
          <w:bCs/>
          <w:noProof/>
          <w:lang w:val="en-GB"/>
        </w:rPr>
        <w:t xml:space="preserve"> </w:t>
      </w:r>
      <w:r>
        <w:rPr>
          <w:rFonts w:ascii="Arial" w:hAnsi="Arial" w:cs="Arial"/>
          <w:bCs/>
          <w:noProof/>
          <w:lang w:val="en-GB"/>
        </w:rPr>
        <w:t>is refused the status of party to a procedure for the authorisation of a project to be carried out on a site protected under the Habitats Directive, EU law precludes national rules which do not request the examination in the course of the authorisation procedure of an action against that refusal decision, do not prevent the conclusion of the authorisation procedure in the absence of a definitive judicial decision on the status of party and consider the action automatically dismissed as soon as the project is authorised</w:t>
      </w:r>
      <w:r>
        <w:rPr>
          <w:rFonts w:ascii="Arial" w:hAnsi="Arial" w:cs="Arial"/>
          <w:noProof/>
          <w:lang w:val="en-GB"/>
        </w:rPr>
        <w:t>.</w:t>
      </w:r>
      <w:r>
        <w:rPr>
          <w:rStyle w:val="FootnoteReference"/>
          <w:rFonts w:ascii="Arial" w:hAnsi="Arial" w:cs="Arial"/>
          <w:noProof/>
          <w:lang w:val="en-GB"/>
        </w:rPr>
        <w:footnoteReference w:id="175"/>
      </w:r>
    </w:p>
    <w:p>
      <w:pPr>
        <w:pStyle w:val="Title1"/>
        <w:spacing w:after="120"/>
        <w:ind w:left="714" w:hanging="357"/>
        <w:rPr>
          <w:noProof/>
        </w:rPr>
      </w:pPr>
      <w:r>
        <w:rPr>
          <w:noProof/>
        </w:rPr>
        <w:t>Outlook</w:t>
      </w:r>
    </w:p>
    <w:p>
      <w:pPr>
        <w:pStyle w:val="Subtitle"/>
        <w:rPr>
          <w:noProof/>
        </w:rPr>
      </w:pPr>
      <w:r>
        <w:rPr>
          <w:noProof/>
        </w:rPr>
        <w:t>Important implementation work in 2017 includes:</w:t>
      </w:r>
    </w:p>
    <w:p>
      <w:pPr>
        <w:pStyle w:val="ListParagraph"/>
        <w:numPr>
          <w:ilvl w:val="0"/>
          <w:numId w:val="27"/>
        </w:numPr>
        <w:ind w:left="1276"/>
        <w:rPr>
          <w:rFonts w:cs="Arial"/>
          <w:noProof/>
          <w:sz w:val="20"/>
        </w:rPr>
      </w:pPr>
      <w:r>
        <w:rPr>
          <w:rFonts w:cs="Arial"/>
          <w:noProof/>
          <w:sz w:val="20"/>
        </w:rPr>
        <w:t>pursuing legal action against Member States which have failed to transpose the Directive on</w:t>
      </w:r>
      <w:r>
        <w:rPr>
          <w:rFonts w:ascii="Times New Roman" w:eastAsia="MS Mincho" w:hAnsi="Times New Roman"/>
          <w:noProof/>
          <w:sz w:val="24"/>
          <w:szCs w:val="24"/>
          <w:lang w:eastAsia="ja-JP"/>
        </w:rPr>
        <w:t xml:space="preserve"> </w:t>
      </w:r>
      <w:r>
        <w:rPr>
          <w:rFonts w:cs="Arial"/>
          <w:noProof/>
          <w:sz w:val="20"/>
        </w:rPr>
        <w:t>reducing the consumption of lightweight plastic carrier bags;</w:t>
      </w:r>
      <w:r>
        <w:rPr>
          <w:rStyle w:val="FootnoteReference"/>
          <w:rFonts w:cs="Arial"/>
          <w:noProof/>
          <w:sz w:val="20"/>
        </w:rPr>
        <w:footnoteReference w:id="176"/>
      </w:r>
    </w:p>
    <w:p>
      <w:pPr>
        <w:pStyle w:val="ListParagraph"/>
        <w:numPr>
          <w:ilvl w:val="0"/>
          <w:numId w:val="27"/>
        </w:numPr>
        <w:ind w:left="1276"/>
        <w:rPr>
          <w:rFonts w:cs="Arial"/>
          <w:noProof/>
          <w:sz w:val="20"/>
        </w:rPr>
      </w:pPr>
      <w:r>
        <w:rPr>
          <w:rFonts w:cs="Arial"/>
          <w:noProof/>
          <w:sz w:val="20"/>
        </w:rPr>
        <w:t>carrying out a comprehensive check on Member States’ compliance with EU waste targets and key obligations;</w:t>
      </w:r>
    </w:p>
    <w:p>
      <w:pPr>
        <w:pStyle w:val="ListParagraph"/>
        <w:numPr>
          <w:ilvl w:val="0"/>
          <w:numId w:val="27"/>
        </w:numPr>
        <w:ind w:left="1276"/>
        <w:rPr>
          <w:rFonts w:cs="Arial"/>
          <w:noProof/>
          <w:sz w:val="20"/>
        </w:rPr>
      </w:pPr>
      <w:r>
        <w:rPr>
          <w:rFonts w:cs="Arial"/>
          <w:noProof/>
          <w:sz w:val="20"/>
        </w:rPr>
        <w:t>pursuing legal action against Member States that have failed to fulfil their obligations under the Habitats Directive regarding the completion of the Natura 2000 network and the designation and conservation of special areas of conservation;</w:t>
      </w:r>
      <w:r>
        <w:rPr>
          <w:rStyle w:val="FootnoteReference"/>
          <w:rFonts w:cs="Arial"/>
          <w:noProof/>
          <w:sz w:val="20"/>
        </w:rPr>
        <w:footnoteReference w:id="177"/>
      </w:r>
    </w:p>
    <w:p>
      <w:pPr>
        <w:pStyle w:val="ListParagraph"/>
        <w:numPr>
          <w:ilvl w:val="0"/>
          <w:numId w:val="27"/>
        </w:numPr>
        <w:ind w:left="1276"/>
        <w:rPr>
          <w:rFonts w:cs="Arial"/>
          <w:noProof/>
          <w:sz w:val="20"/>
        </w:rPr>
      </w:pPr>
      <w:r>
        <w:rPr>
          <w:rFonts w:cs="Arial"/>
          <w:noProof/>
          <w:sz w:val="20"/>
        </w:rPr>
        <w:t>following up on the timely transposition by Member States of the Directive</w:t>
      </w:r>
      <w:r>
        <w:rPr>
          <w:rStyle w:val="FootnoteReference"/>
          <w:rFonts w:cs="Arial"/>
          <w:noProof/>
          <w:sz w:val="20"/>
        </w:rPr>
        <w:footnoteReference w:id="178"/>
      </w:r>
      <w:r>
        <w:rPr>
          <w:rFonts w:cs="Arial"/>
          <w:noProof/>
          <w:sz w:val="20"/>
        </w:rPr>
        <w:t xml:space="preserve"> amending the Environmental Impact Assessment Directive</w:t>
      </w:r>
      <w:r>
        <w:rPr>
          <w:rStyle w:val="FootnoteReference"/>
          <w:rFonts w:cs="Arial"/>
          <w:noProof/>
          <w:sz w:val="20"/>
        </w:rPr>
        <w:footnoteReference w:id="179"/>
      </w:r>
      <w:r>
        <w:rPr>
          <w:rFonts w:cs="Arial"/>
          <w:noProof/>
          <w:sz w:val="20"/>
        </w:rPr>
        <w:t xml:space="preserve"> and issuing new guidance on the screening, scoping and the environmental report; </w:t>
      </w:r>
    </w:p>
    <w:p>
      <w:pPr>
        <w:pStyle w:val="ListParagraph"/>
        <w:numPr>
          <w:ilvl w:val="0"/>
          <w:numId w:val="27"/>
        </w:numPr>
        <w:ind w:left="1276"/>
        <w:rPr>
          <w:rFonts w:cs="Arial"/>
          <w:noProof/>
          <w:sz w:val="20"/>
        </w:rPr>
      </w:pPr>
      <w:r>
        <w:rPr>
          <w:rFonts w:cs="Arial"/>
          <w:noProof/>
          <w:sz w:val="20"/>
        </w:rPr>
        <w:t>following closely the notifications submitted by Member States on exemptions from the assessment procedure under the Environmental Impact Assessment Directive;</w:t>
      </w:r>
      <w:r>
        <w:rPr>
          <w:rStyle w:val="FootnoteReference"/>
          <w:rFonts w:cs="Arial"/>
          <w:noProof/>
          <w:sz w:val="20"/>
        </w:rPr>
        <w:footnoteReference w:id="180"/>
      </w:r>
    </w:p>
    <w:p>
      <w:pPr>
        <w:pStyle w:val="ListParagraph"/>
        <w:numPr>
          <w:ilvl w:val="0"/>
          <w:numId w:val="27"/>
        </w:numPr>
        <w:ind w:left="1276"/>
        <w:rPr>
          <w:rFonts w:cs="Arial"/>
          <w:noProof/>
          <w:sz w:val="20"/>
        </w:rPr>
      </w:pPr>
      <w:r>
        <w:rPr>
          <w:rFonts w:cs="Arial"/>
          <w:noProof/>
          <w:sz w:val="20"/>
        </w:rPr>
        <w:t>presenting to the European Parliament and the Council the second report on the application and effectiveness of the Strategic Environmental Assessment Directive, as well as launching work on its REFIT evaluation;</w:t>
      </w:r>
      <w:r>
        <w:rPr>
          <w:rStyle w:val="FootnoteReference"/>
          <w:rFonts w:cs="Arial"/>
          <w:noProof/>
          <w:sz w:val="20"/>
        </w:rPr>
        <w:footnoteReference w:id="181"/>
      </w:r>
    </w:p>
    <w:p>
      <w:pPr>
        <w:pStyle w:val="ListParagraph"/>
        <w:numPr>
          <w:ilvl w:val="0"/>
          <w:numId w:val="27"/>
        </w:numPr>
        <w:ind w:left="1276"/>
        <w:rPr>
          <w:rFonts w:cs="Arial"/>
          <w:noProof/>
          <w:sz w:val="20"/>
        </w:rPr>
      </w:pPr>
      <w:r>
        <w:rPr>
          <w:rFonts w:cs="Arial"/>
          <w:noProof/>
          <w:sz w:val="20"/>
        </w:rPr>
        <w:t>enforcing the adoption of the second round of river basin management plans required under the Water Framework Directive and assessing compliance of these plans with EU requirements;</w:t>
      </w:r>
      <w:r>
        <w:rPr>
          <w:rStyle w:val="FootnoteReference"/>
          <w:rFonts w:cs="Arial"/>
          <w:noProof/>
          <w:sz w:val="20"/>
        </w:rPr>
        <w:footnoteReference w:id="182"/>
      </w:r>
    </w:p>
    <w:p>
      <w:pPr>
        <w:pStyle w:val="ListParagraph"/>
        <w:numPr>
          <w:ilvl w:val="0"/>
          <w:numId w:val="27"/>
        </w:numPr>
        <w:ind w:left="1276"/>
        <w:rPr>
          <w:rFonts w:cs="Arial"/>
          <w:noProof/>
          <w:sz w:val="20"/>
        </w:rPr>
      </w:pPr>
      <w:r>
        <w:rPr>
          <w:rFonts w:cs="Arial"/>
          <w:noProof/>
          <w:sz w:val="20"/>
        </w:rPr>
        <w:t>following up on situations of inadequate treatment of urban waste water;</w:t>
      </w:r>
    </w:p>
    <w:p>
      <w:pPr>
        <w:pStyle w:val="ListParagraph"/>
        <w:numPr>
          <w:ilvl w:val="0"/>
          <w:numId w:val="27"/>
        </w:numPr>
        <w:ind w:left="1276"/>
        <w:rPr>
          <w:rFonts w:cs="Arial"/>
          <w:noProof/>
          <w:sz w:val="20"/>
        </w:rPr>
      </w:pPr>
      <w:r>
        <w:rPr>
          <w:rFonts w:cs="Arial"/>
          <w:noProof/>
          <w:sz w:val="20"/>
        </w:rPr>
        <w:t>pursuing legal action against Member States not respecting the PM</w:t>
      </w:r>
      <w:r>
        <w:rPr>
          <w:rFonts w:cs="Arial"/>
          <w:noProof/>
          <w:sz w:val="20"/>
          <w:vertAlign w:val="subscript"/>
        </w:rPr>
        <w:t>10</w:t>
      </w:r>
      <w:r>
        <w:rPr>
          <w:rStyle w:val="FootnoteReference"/>
          <w:rFonts w:cs="Arial"/>
          <w:noProof/>
          <w:sz w:val="20"/>
        </w:rPr>
        <w:footnoteReference w:id="183"/>
      </w:r>
      <w:r>
        <w:rPr>
          <w:rFonts w:cs="Arial"/>
          <w:noProof/>
          <w:sz w:val="20"/>
        </w:rPr>
        <w:t xml:space="preserve"> and NO</w:t>
      </w:r>
      <w:r>
        <w:rPr>
          <w:rFonts w:cs="Arial"/>
          <w:noProof/>
          <w:sz w:val="20"/>
          <w:vertAlign w:val="subscript"/>
        </w:rPr>
        <w:t>2 </w:t>
      </w:r>
      <w:r>
        <w:rPr>
          <w:rFonts w:cs="Arial"/>
          <w:noProof/>
          <w:sz w:val="20"/>
        </w:rPr>
        <w:t xml:space="preserve"> limit values in the Air Quality Directive;</w:t>
      </w:r>
      <w:r>
        <w:rPr>
          <w:rStyle w:val="FootnoteReference"/>
          <w:rFonts w:cs="Arial"/>
          <w:noProof/>
          <w:sz w:val="20"/>
        </w:rPr>
        <w:footnoteReference w:id="184"/>
      </w:r>
    </w:p>
    <w:p>
      <w:pPr>
        <w:pStyle w:val="ListParagraph"/>
        <w:numPr>
          <w:ilvl w:val="0"/>
          <w:numId w:val="27"/>
        </w:numPr>
        <w:ind w:left="1276"/>
        <w:rPr>
          <w:i/>
          <w:noProof/>
        </w:rPr>
      </w:pPr>
      <w:r>
        <w:rPr>
          <w:rFonts w:cs="Arial"/>
          <w:noProof/>
          <w:sz w:val="20"/>
        </w:rPr>
        <w:t>pursuing legal action against Member States which have failed to establish noise maps and action plans required under the Environmental Noise Directive;</w:t>
      </w:r>
      <w:r>
        <w:rPr>
          <w:rStyle w:val="FootnoteReference"/>
          <w:rFonts w:cs="Arial"/>
          <w:noProof/>
          <w:sz w:val="20"/>
        </w:rPr>
        <w:footnoteReference w:id="185"/>
      </w:r>
    </w:p>
    <w:p>
      <w:pPr>
        <w:pStyle w:val="ListParagraph"/>
        <w:numPr>
          <w:ilvl w:val="0"/>
          <w:numId w:val="27"/>
        </w:numPr>
        <w:ind w:left="1276"/>
        <w:rPr>
          <w:i/>
          <w:noProof/>
        </w:rPr>
      </w:pPr>
      <w:r>
        <w:rPr>
          <w:rFonts w:cs="Arial"/>
          <w:noProof/>
          <w:sz w:val="20"/>
        </w:rPr>
        <w:t>continue checking compliance of national measures with the Industrial Emissions Directive;</w:t>
      </w:r>
      <w:r>
        <w:rPr>
          <w:rStyle w:val="FootnoteReference"/>
          <w:rFonts w:cs="Arial"/>
          <w:noProof/>
          <w:sz w:val="20"/>
        </w:rPr>
        <w:footnoteReference w:id="186"/>
      </w:r>
    </w:p>
    <w:p>
      <w:pPr>
        <w:pStyle w:val="ListParagraph"/>
        <w:numPr>
          <w:ilvl w:val="0"/>
          <w:numId w:val="27"/>
        </w:numPr>
        <w:ind w:left="1276"/>
        <w:rPr>
          <w:i/>
          <w:noProof/>
        </w:rPr>
      </w:pPr>
      <w:r>
        <w:rPr>
          <w:rFonts w:cs="Arial"/>
          <w:noProof/>
          <w:sz w:val="20"/>
        </w:rPr>
        <w:t>following up on the second implementation report and on the REFIT evaluation of the Environmental Liability Directive.</w:t>
      </w:r>
      <w:r>
        <w:rPr>
          <w:rStyle w:val="FootnoteReference"/>
          <w:rFonts w:cs="Arial"/>
          <w:noProof/>
          <w:sz w:val="20"/>
        </w:rPr>
        <w:footnoteReference w:id="187"/>
      </w:r>
    </w:p>
    <w:p>
      <w:pPr>
        <w:rPr>
          <w:i/>
          <w:noProof/>
        </w:rPr>
        <w:sectPr>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49" w:name="_Toc443057939"/>
      <w:bookmarkStart w:id="50" w:name="_Toc475524735"/>
      <w:bookmarkStart w:id="51" w:name="_Toc475529502"/>
      <w:bookmarkStart w:id="52" w:name="_Toc475529541"/>
      <w:bookmarkStart w:id="53" w:name="_Toc475529869"/>
      <w:bookmarkStart w:id="54" w:name="_Toc475550834"/>
      <w:bookmarkStart w:id="55" w:name="_Toc475551374"/>
      <w:bookmarkStart w:id="56" w:name="_Toc484622463"/>
      <w:r>
        <w:rPr>
          <w:noProof/>
        </w:rPr>
        <w:t>Financial stability, financial services and capital markets union</w:t>
      </w:r>
      <w:bookmarkEnd w:id="49"/>
      <w:bookmarkEnd w:id="50"/>
      <w:bookmarkEnd w:id="51"/>
      <w:bookmarkEnd w:id="52"/>
      <w:bookmarkEnd w:id="53"/>
      <w:bookmarkEnd w:id="54"/>
      <w:bookmarkEnd w:id="55"/>
      <w:bookmarkEnd w:id="56"/>
    </w:p>
    <w:p>
      <w:pPr>
        <w:rPr>
          <w:i/>
          <w:noProof/>
        </w:rPr>
      </w:pPr>
      <w:r>
        <w:rPr>
          <w:i/>
          <w:iCs/>
          <w:noProof/>
        </w:rPr>
        <w:t>In 2016 the Commission received 88 complaints in the area of financial stability, financial services and capital markets union, well down on the 139 seen the previous year. It opened 12 new EU Pilot files, less than a third the level of 2015. Infringement cases pending at the end of 2015 totalled 230, up from 172 a year earlier. The number of new infringement procedures for late transposition opened during the year was 116, against 125 launched in 2015.</w:t>
      </w:r>
      <w:r>
        <w:rPr>
          <w:rStyle w:val="FootnoteReference"/>
          <w:i/>
          <w:iCs/>
          <w:noProof/>
        </w:rPr>
        <w:footnoteReference w:id="188"/>
      </w:r>
    </w:p>
    <w:p>
      <w:pPr>
        <w:pStyle w:val="Title1"/>
        <w:numPr>
          <w:ilvl w:val="0"/>
          <w:numId w:val="38"/>
        </w:numPr>
        <w:rPr>
          <w:noProof/>
        </w:rPr>
      </w:pPr>
      <w:r>
        <w:rPr>
          <w:noProof/>
        </w:rPr>
        <w:t>COMPLAINTS</w:t>
      </w:r>
    </w:p>
    <w:p>
      <w:pPr>
        <w:numPr>
          <w:ilvl w:val="0"/>
          <w:numId w:val="72"/>
        </w:numPr>
        <w:spacing w:after="60"/>
        <w:jc w:val="left"/>
        <w:outlineLvl w:val="1"/>
        <w:rPr>
          <w:noProof/>
          <w:color w:val="002060"/>
          <w:szCs w:val="22"/>
        </w:rPr>
      </w:pPr>
      <w:r>
        <w:rPr>
          <w:noProof/>
          <w:color w:val="002060"/>
          <w:szCs w:val="22"/>
        </w:rPr>
        <w:t>New complaints received from members of the public in 2016</w:t>
      </w:r>
    </w:p>
    <w:p>
      <w:pPr>
        <w:ind w:left="720"/>
        <w:rPr>
          <w:noProof/>
        </w:rPr>
      </w:pPr>
      <w:r>
        <w:rPr>
          <w:noProof/>
          <w:sz w:val="20"/>
        </w:rPr>
        <w:t>The Commission received 88 complaints from members of the public in 2016 in this area (139 new complaints were submitted in 2015).</w:t>
      </w:r>
    </w:p>
    <w:p>
      <w:pPr>
        <w:numPr>
          <w:ilvl w:val="0"/>
          <w:numId w:val="72"/>
        </w:numPr>
        <w:spacing w:after="60"/>
        <w:jc w:val="left"/>
        <w:outlineLvl w:val="1"/>
        <w:rPr>
          <w:noProof/>
          <w:color w:val="002060"/>
          <w:szCs w:val="22"/>
        </w:rPr>
      </w:pPr>
      <w:r>
        <w:rPr>
          <w:noProof/>
          <w:color w:val="002060"/>
          <w:szCs w:val="22"/>
        </w:rPr>
        <w:t>Public complaints open at year-end</w:t>
      </w:r>
    </w:p>
    <w:tbl>
      <w:tblPr>
        <w:tblStyle w:val="Style1"/>
        <w:tblW w:w="0" w:type="auto"/>
        <w:jc w:val="center"/>
        <w:tblInd w:w="421" w:type="dxa"/>
        <w:tblLook w:val="04A0" w:firstRow="1" w:lastRow="0" w:firstColumn="1" w:lastColumn="0" w:noHBand="0" w:noVBand="1"/>
      </w:tblPr>
      <w:tblGrid>
        <w:gridCol w:w="1821"/>
        <w:gridCol w:w="345"/>
        <w:gridCol w:w="5310"/>
      </w:tblGrid>
      <w:tr>
        <w:trPr>
          <w:trHeight w:val="403"/>
          <w:jc w:val="center"/>
        </w:trPr>
        <w:tc>
          <w:tcPr>
            <w:tcW w:w="1821" w:type="dxa"/>
            <w:vAlign w:val="center"/>
          </w:tcPr>
          <w:p>
            <w:pPr>
              <w:spacing w:after="0"/>
              <w:jc w:val="right"/>
              <w:rPr>
                <w:rFonts w:cs="Arial"/>
                <w:noProof/>
                <w:color w:val="548DD4" w:themeColor="text2" w:themeTint="99"/>
                <w:szCs w:val="28"/>
              </w:rPr>
            </w:pPr>
            <w:r>
              <w:rPr>
                <w:rFonts w:cs="Arial"/>
                <w:noProof/>
                <w:color w:val="548DD4" w:themeColor="text2" w:themeTint="99"/>
                <w:szCs w:val="28"/>
              </w:rPr>
              <w:t>158</w:t>
            </w:r>
          </w:p>
        </w:tc>
        <w:tc>
          <w:tcPr>
            <w:tcW w:w="336"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821" w:type="dxa"/>
            <w:vAlign w:val="center"/>
          </w:tcPr>
          <w:p>
            <w:pPr>
              <w:spacing w:after="0"/>
              <w:jc w:val="right"/>
              <w:rPr>
                <w:rFonts w:cs="Arial"/>
                <w:noProof/>
                <w:color w:val="548DD4" w:themeColor="text2" w:themeTint="99"/>
                <w:szCs w:val="28"/>
              </w:rPr>
            </w:pPr>
            <w:r>
              <w:rPr>
                <w:rFonts w:cs="Arial"/>
                <w:noProof/>
                <w:color w:val="548DD4" w:themeColor="text2" w:themeTint="99"/>
                <w:szCs w:val="28"/>
              </w:rPr>
              <w:t>88</w:t>
            </w:r>
          </w:p>
        </w:tc>
        <w:tc>
          <w:tcPr>
            <w:tcW w:w="336"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821"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189</w:t>
            </w:r>
          </w:p>
        </w:tc>
        <w:tc>
          <w:tcPr>
            <w:tcW w:w="336"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821"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57</w:t>
            </w:r>
          </w:p>
        </w:tc>
        <w:tc>
          <w:tcPr>
            <w:tcW w:w="336"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72"/>
        </w:numPr>
        <w:spacing w:after="60"/>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354580"/>
            <wp:effectExtent l="0" t="0" r="22860" b="26670"/>
            <wp:docPr id="18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numPr>
          <w:ilvl w:val="0"/>
          <w:numId w:val="30"/>
        </w:numPr>
        <w:rPr>
          <w:caps/>
          <w:noProof/>
          <w:color w:val="4F81BD"/>
          <w:sz w:val="24"/>
          <w:szCs w:val="24"/>
        </w:rPr>
      </w:pPr>
      <w:r>
        <w:rPr>
          <w:caps/>
          <w:noProof/>
          <w:color w:val="4F81BD"/>
          <w:sz w:val="24"/>
          <w:szCs w:val="24"/>
        </w:rPr>
        <w:t>EU PILOT</w:t>
      </w:r>
    </w:p>
    <w:p>
      <w:pPr>
        <w:numPr>
          <w:ilvl w:val="0"/>
          <w:numId w:val="73"/>
        </w:numPr>
        <w:spacing w:after="60"/>
        <w:jc w:val="left"/>
        <w:outlineLvl w:val="1"/>
        <w:rPr>
          <w:noProof/>
          <w:color w:val="002060"/>
          <w:szCs w:val="22"/>
        </w:rPr>
      </w:pPr>
      <w:r>
        <w:rPr>
          <w:noProof/>
          <w:color w:val="002060"/>
          <w:szCs w:val="22"/>
        </w:rPr>
        <w:t>New EU Pilot files (2015-2016)</w:t>
      </w:r>
    </w:p>
    <w:p>
      <w:pPr>
        <w:ind w:left="720"/>
        <w:rPr>
          <w:noProof/>
          <w:color w:val="002060"/>
          <w:szCs w:val="22"/>
        </w:rPr>
      </w:pPr>
      <w:r>
        <w:rPr>
          <w:noProof/>
          <w:sz w:val="20"/>
        </w:rPr>
        <w:t>The Commission opened 12 new EU Pilot files in this area. In 2015, there were 42 new EU Pilot files.</w:t>
      </w:r>
    </w:p>
    <w:p>
      <w:pPr>
        <w:numPr>
          <w:ilvl w:val="0"/>
          <w:numId w:val="73"/>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There were 21 EU Pilot files open at end-2016.</w:t>
      </w:r>
    </w:p>
    <w:p>
      <w:pPr>
        <w:spacing w:after="0"/>
        <w:jc w:val="left"/>
        <w:rPr>
          <w:noProof/>
          <w:color w:val="002060"/>
          <w:szCs w:val="22"/>
        </w:rPr>
      </w:pPr>
      <w:r>
        <w:rPr>
          <w:noProof/>
          <w:color w:val="002060"/>
          <w:szCs w:val="22"/>
        </w:rPr>
        <w:br w:type="page"/>
      </w:r>
    </w:p>
    <w:p>
      <w:pPr>
        <w:numPr>
          <w:ilvl w:val="0"/>
          <w:numId w:val="73"/>
        </w:numPr>
        <w:spacing w:after="60"/>
        <w:jc w:val="left"/>
        <w:outlineLvl w:val="1"/>
        <w:rPr>
          <w:noProof/>
          <w:color w:val="002060"/>
          <w:szCs w:val="22"/>
        </w:rPr>
      </w:pPr>
      <w:r>
        <w:rPr>
          <w:noProof/>
          <w:color w:val="002060"/>
          <w:szCs w:val="22"/>
        </w:rPr>
        <w:t>New EU Pilot files opened in 2016: main policy sectors</w:t>
      </w:r>
    </w:p>
    <w:p>
      <w:pPr>
        <w:ind w:left="720"/>
        <w:rPr>
          <w:noProof/>
          <w:color w:val="002060"/>
          <w:szCs w:val="22"/>
        </w:rPr>
      </w:pPr>
      <w:r>
        <w:rPr>
          <w:rFonts w:ascii="Verdana" w:hAnsi="Verdana"/>
          <w:noProof/>
          <w:sz w:val="20"/>
          <w:lang w:val="en-US"/>
        </w:rPr>
        <w:drawing>
          <wp:anchor distT="0" distB="0" distL="114300" distR="114300" simplePos="0" relativeHeight="251658240" behindDoc="0" locked="0" layoutInCell="1" allowOverlap="1">
            <wp:simplePos x="0" y="0"/>
            <wp:positionH relativeFrom="column">
              <wp:posOffset>457200</wp:posOffset>
            </wp:positionH>
            <wp:positionV relativeFrom="paragraph">
              <wp:posOffset>22225</wp:posOffset>
            </wp:positionV>
            <wp:extent cx="4602480" cy="2415540"/>
            <wp:effectExtent l="0" t="0" r="26670" b="22860"/>
            <wp:wrapSquare wrapText="bothSides"/>
            <wp:docPr id="18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p>
    <w:p>
      <w:pPr>
        <w:numPr>
          <w:ilvl w:val="0"/>
          <w:numId w:val="73"/>
        </w:numPr>
        <w:spacing w:after="60"/>
        <w:jc w:val="left"/>
        <w:outlineLvl w:val="1"/>
        <w:rPr>
          <w:noProof/>
          <w:color w:val="002060"/>
          <w:szCs w:val="22"/>
        </w:rPr>
      </w:pPr>
      <w:r>
        <w:rPr>
          <w:noProof/>
          <w:color w:val="002060"/>
          <w:szCs w:val="22"/>
        </w:rPr>
        <w:t xml:space="preserve">EU Pilot files: </w:t>
      </w:r>
      <w:r>
        <w:rPr>
          <w:noProof/>
        </w:rPr>
        <w:t>policies’ combined resolution rate in 2015-2016</w:t>
      </w:r>
    </w:p>
    <w:p>
      <w:pPr>
        <w:ind w:left="709"/>
        <w:rPr>
          <w:rFonts w:cs="Arial"/>
          <w:noProof/>
          <w:sz w:val="20"/>
        </w:rPr>
      </w:pPr>
      <w:r>
        <w:rPr>
          <w:rFonts w:cs="Arial"/>
          <w:noProof/>
          <w:sz w:val="20"/>
        </w:rPr>
        <w:t>The combined resolution rate for financial stability, financial services and capital markets union in 2016 was 54 %. The general rate for all policy areas was 72 %.</w:t>
      </w:r>
    </w:p>
    <w:p>
      <w:pPr>
        <w:numPr>
          <w:ilvl w:val="0"/>
          <w:numId w:val="30"/>
        </w:numPr>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 in 2016</w:t>
      </w:r>
    </w:p>
    <w:p>
      <w:pPr>
        <w:pStyle w:val="Basis"/>
        <w:rPr>
          <w:rFonts w:ascii="Arial" w:hAnsi="Arial" w:cs="Arial"/>
          <w:noProof/>
          <w:lang w:val="en-GB"/>
        </w:rPr>
      </w:pPr>
      <w:r>
        <w:rPr>
          <w:rFonts w:ascii="Arial" w:hAnsi="Arial" w:cs="Arial"/>
          <w:noProof/>
          <w:lang w:val="en-GB"/>
        </w:rPr>
        <w:t>The Commission did not open any own-initiative infringement cases in this area in 2016.</w:t>
      </w:r>
    </w:p>
    <w:p>
      <w:pPr>
        <w:numPr>
          <w:ilvl w:val="0"/>
          <w:numId w:val="30"/>
        </w:numPr>
        <w:rPr>
          <w:caps/>
          <w:noProof/>
          <w:color w:val="4F81BD"/>
          <w:sz w:val="24"/>
          <w:szCs w:val="24"/>
        </w:rPr>
      </w:pPr>
      <w:r>
        <w:rPr>
          <w:caps/>
          <w:noProof/>
          <w:color w:val="4F81BD"/>
          <w:sz w:val="24"/>
          <w:szCs w:val="24"/>
        </w:rPr>
        <w:t>INFRINGEMENT CASES</w:t>
      </w:r>
    </w:p>
    <w:p>
      <w:pPr>
        <w:numPr>
          <w:ilvl w:val="0"/>
          <w:numId w:val="74"/>
        </w:numPr>
        <w:spacing w:after="60"/>
        <w:jc w:val="left"/>
        <w:outlineLvl w:val="1"/>
        <w:rPr>
          <w:noProof/>
          <w:color w:val="002060"/>
          <w:sz w:val="20"/>
          <w:szCs w:val="22"/>
        </w:rPr>
      </w:pPr>
      <w:r>
        <w:rPr>
          <w:noProof/>
          <w:color w:val="002060"/>
          <w:szCs w:val="22"/>
        </w:rPr>
        <w:t>Infringement cases open on 31 December (2015-2016)</w:t>
      </w:r>
    </w:p>
    <w:p>
      <w:pPr>
        <w:spacing w:after="120"/>
        <w:ind w:left="709"/>
        <w:rPr>
          <w:noProof/>
          <w:sz w:val="20"/>
        </w:rPr>
      </w:pPr>
      <w:r>
        <w:rPr>
          <w:noProof/>
          <w:sz w:val="20"/>
        </w:rPr>
        <w:t>There were 230 infringement cases open on 31 December 2016 in this area.</w:t>
      </w:r>
    </w:p>
    <w:p>
      <w:pPr>
        <w:numPr>
          <w:ilvl w:val="0"/>
          <w:numId w:val="74"/>
        </w:numPr>
        <w:spacing w:after="60"/>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63140"/>
            <wp:effectExtent l="0" t="0" r="22860" b="22860"/>
            <wp:docPr id="18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spacing w:after="0"/>
        <w:jc w:val="left"/>
        <w:rPr>
          <w:noProof/>
          <w:color w:val="002060"/>
          <w:szCs w:val="22"/>
        </w:rPr>
      </w:pPr>
      <w:r>
        <w:rPr>
          <w:noProof/>
          <w:color w:val="002060"/>
          <w:szCs w:val="22"/>
        </w:rPr>
        <w:br w:type="page"/>
      </w:r>
    </w:p>
    <w:p>
      <w:pPr>
        <w:numPr>
          <w:ilvl w:val="0"/>
          <w:numId w:val="74"/>
        </w:numPr>
        <w:spacing w:after="60"/>
        <w:jc w:val="left"/>
        <w:outlineLvl w:val="1"/>
        <w:rPr>
          <w:noProof/>
          <w:color w:val="002060"/>
          <w:szCs w:val="22"/>
        </w:rPr>
      </w:pPr>
      <w:r>
        <w:rPr>
          <w:noProof/>
          <w:color w:val="002060"/>
          <w:szCs w:val="22"/>
        </w:rPr>
        <w:t>New infringement cases opened in 2016: main policy sectors</w:t>
      </w:r>
    </w:p>
    <w:p>
      <w:pPr>
        <w:ind w:left="720"/>
        <w:rPr>
          <w:noProof/>
          <w:color w:val="002060"/>
          <w:szCs w:val="22"/>
        </w:rPr>
      </w:pPr>
      <w:r>
        <w:rPr>
          <w:rFonts w:ascii="Verdana" w:hAnsi="Verdana"/>
          <w:noProof/>
          <w:sz w:val="20"/>
          <w:lang w:val="en-US"/>
        </w:rPr>
        <w:drawing>
          <wp:inline distT="0" distB="0" distL="0" distR="0">
            <wp:extent cx="4587240" cy="2270760"/>
            <wp:effectExtent l="0" t="0" r="22860" b="15240"/>
            <wp:docPr id="19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numPr>
          <w:ilvl w:val="0"/>
          <w:numId w:val="74"/>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3"/>
        </w:numPr>
        <w:spacing w:after="120"/>
        <w:ind w:hanging="426"/>
        <w:rPr>
          <w:rFonts w:ascii="Arial" w:hAnsi="Arial" w:cs="Arial"/>
          <w:noProof/>
          <w:lang w:val="en-GB"/>
        </w:rPr>
      </w:pPr>
      <w:r>
        <w:rPr>
          <w:rFonts w:ascii="Arial" w:hAnsi="Arial" w:cs="Arial"/>
          <w:noProof/>
          <w:lang w:val="en-GB"/>
        </w:rPr>
        <w:t>The Commission opened 120 new infringement cases in 2016. These, and other major ongoing infringement cases, include the following:</w:t>
      </w:r>
    </w:p>
    <w:p>
      <w:pPr>
        <w:pStyle w:val="Lijstje2"/>
        <w:ind w:left="1843"/>
        <w:rPr>
          <w:rFonts w:ascii="Arial" w:hAnsi="Arial" w:cs="Arial"/>
          <w:i/>
          <w:noProof/>
          <w:lang w:val="en-GB"/>
        </w:rPr>
      </w:pPr>
      <w:r>
        <w:rPr>
          <w:rFonts w:ascii="Arial" w:hAnsi="Arial" w:cs="Arial"/>
          <w:i/>
          <w:noProof/>
          <w:lang w:val="en-GB"/>
        </w:rPr>
        <w:t>Belgium and Slovenia:</w:t>
      </w:r>
      <w:r>
        <w:rPr>
          <w:rFonts w:ascii="Arial" w:hAnsi="Arial" w:cs="Arial"/>
          <w:noProof/>
          <w:lang w:val="en-GB"/>
        </w:rPr>
        <w:t xml:space="preserve"> failure to communicate all national measures transposing the Bank Recovery and Resolution Directive.</w:t>
      </w:r>
      <w:r>
        <w:rPr>
          <w:rStyle w:val="FootnoteReference"/>
          <w:rFonts w:cs="Arial"/>
          <w:noProof/>
          <w:lang w:val="en-GB"/>
        </w:rPr>
        <w:footnoteReference w:id="189"/>
      </w:r>
    </w:p>
    <w:p>
      <w:pPr>
        <w:pStyle w:val="Lijstje2"/>
        <w:ind w:left="1843"/>
        <w:rPr>
          <w:rFonts w:ascii="Arial" w:hAnsi="Arial" w:cs="Arial"/>
          <w:noProof/>
          <w:lang w:val="en-GB"/>
        </w:rPr>
      </w:pPr>
      <w:r>
        <w:rPr>
          <w:rFonts w:ascii="Arial" w:hAnsi="Arial" w:cs="Arial"/>
          <w:i/>
          <w:noProof/>
          <w:lang w:val="en-GB"/>
        </w:rPr>
        <w:t xml:space="preserve">Belgium, Latvia, Netherlands and Slovakia: </w:t>
      </w:r>
      <w:r>
        <w:rPr>
          <w:rFonts w:ascii="Arial" w:hAnsi="Arial" w:cs="Arial"/>
          <w:noProof/>
          <w:lang w:val="en-GB"/>
        </w:rPr>
        <w:t>failure to communicate all national measures transposing the Capital Requirements Directive.</w:t>
      </w:r>
      <w:r>
        <w:rPr>
          <w:rStyle w:val="FootnoteReference"/>
          <w:noProof/>
          <w:lang w:val="en-GB"/>
        </w:rPr>
        <w:footnoteReference w:id="190"/>
      </w:r>
    </w:p>
    <w:p>
      <w:pPr>
        <w:pStyle w:val="Lijstje2"/>
        <w:ind w:left="1843"/>
        <w:rPr>
          <w:rFonts w:ascii="Arial" w:hAnsi="Arial" w:cs="Arial"/>
          <w:noProof/>
          <w:lang w:val="en-GB"/>
        </w:rPr>
      </w:pPr>
      <w:r>
        <w:rPr>
          <w:rFonts w:ascii="Arial" w:hAnsi="Arial" w:cs="Arial"/>
          <w:i/>
          <w:noProof/>
          <w:lang w:val="en-GB"/>
        </w:rPr>
        <w:t>Bulgaria, Ireland and Cyprus</w:t>
      </w:r>
      <w:r>
        <w:rPr>
          <w:rFonts w:ascii="Arial" w:hAnsi="Arial" w:cs="Arial"/>
          <w:noProof/>
          <w:lang w:val="en-GB"/>
        </w:rPr>
        <w:t>: failure to communicate all national measures transposing the Accounting Directive.</w:t>
      </w:r>
      <w:r>
        <w:rPr>
          <w:rStyle w:val="FootnoteReference"/>
          <w:rFonts w:cs="Arial"/>
          <w:noProof/>
          <w:lang w:val="en-GB"/>
        </w:rPr>
        <w:footnoteReference w:id="191"/>
      </w:r>
    </w:p>
    <w:p>
      <w:pPr>
        <w:pStyle w:val="Lijstje2"/>
        <w:ind w:left="1843"/>
        <w:rPr>
          <w:rFonts w:ascii="Arial" w:hAnsi="Arial" w:cs="Arial"/>
          <w:noProof/>
          <w:lang w:val="en-GB"/>
        </w:rPr>
      </w:pPr>
      <w:r>
        <w:rPr>
          <w:rFonts w:ascii="Arial" w:hAnsi="Arial" w:cs="Arial"/>
          <w:i/>
          <w:noProof/>
          <w:lang w:val="en-GB"/>
        </w:rPr>
        <w:t xml:space="preserve">Bulgaria, Latvia, Lithuania Hungary and Slovakia: </w:t>
      </w: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192"/>
      </w:r>
    </w:p>
    <w:p>
      <w:pPr>
        <w:pStyle w:val="Lijstje2"/>
        <w:ind w:left="1843"/>
        <w:rPr>
          <w:rFonts w:ascii="Arial" w:hAnsi="Arial" w:cs="Arial"/>
          <w:noProof/>
          <w:lang w:val="en-GB"/>
        </w:rPr>
      </w:pPr>
      <w:r>
        <w:rPr>
          <w:rFonts w:ascii="Arial" w:hAnsi="Arial" w:cs="Arial"/>
          <w:i/>
          <w:noProof/>
          <w:lang w:val="en-GB"/>
        </w:rPr>
        <w:t>Ireland, Spain, Latvia, Portugal and Romania</w:t>
      </w:r>
      <w:r>
        <w:rPr>
          <w:rFonts w:ascii="Arial" w:hAnsi="Arial" w:cs="Arial"/>
          <w:noProof/>
          <w:lang w:val="en-GB"/>
        </w:rPr>
        <w:t>: failure to communicate all national measures transposing the Transparency Directive.</w:t>
      </w:r>
      <w:r>
        <w:rPr>
          <w:rStyle w:val="FootnoteReference"/>
          <w:rFonts w:ascii="Arial" w:hAnsi="Arial" w:cs="Arial"/>
          <w:noProof/>
          <w:lang w:val="en-GB"/>
        </w:rPr>
        <w:footnoteReference w:id="193"/>
      </w:r>
    </w:p>
    <w:p>
      <w:pPr>
        <w:pStyle w:val="Lijstje2"/>
        <w:ind w:left="1843"/>
        <w:rPr>
          <w:rFonts w:ascii="Arial" w:hAnsi="Arial" w:cs="Arial"/>
          <w:noProof/>
          <w:lang w:val="en-GB"/>
        </w:rPr>
      </w:pPr>
      <w:r>
        <w:rPr>
          <w:rFonts w:ascii="Arial" w:hAnsi="Arial" w:cs="Arial"/>
          <w:i/>
          <w:noProof/>
          <w:lang w:val="en-GB"/>
        </w:rPr>
        <w:t>Greece:</w:t>
      </w:r>
      <w:r>
        <w:rPr>
          <w:rFonts w:ascii="Arial" w:hAnsi="Arial"/>
          <w:i/>
          <w:noProof/>
          <w:lang w:val="en-GB"/>
        </w:rPr>
        <w:t xml:space="preserve"> </w:t>
      </w:r>
      <w:r>
        <w:rPr>
          <w:rFonts w:ascii="Arial" w:hAnsi="Arial" w:cs="Arial"/>
          <w:noProof/>
          <w:lang w:val="en-GB"/>
        </w:rPr>
        <w:t>failure to communicate all national measures transposing the Audit Directive.</w:t>
      </w:r>
      <w:r>
        <w:rPr>
          <w:rStyle w:val="FootnoteReference"/>
          <w:rFonts w:cs="Arial"/>
          <w:noProof/>
          <w:lang w:val="en-GB"/>
        </w:rPr>
        <w:footnoteReference w:id="194"/>
      </w:r>
    </w:p>
    <w:p>
      <w:pPr>
        <w:pStyle w:val="Lijstje2"/>
        <w:ind w:left="1843"/>
        <w:rPr>
          <w:rFonts w:ascii="Arial" w:hAnsi="Arial" w:cs="Arial"/>
          <w:noProof/>
          <w:lang w:val="en-GB"/>
        </w:rPr>
      </w:pPr>
      <w:r>
        <w:rPr>
          <w:rFonts w:ascii="Arial" w:hAnsi="Arial" w:cs="Arial"/>
          <w:i/>
          <w:noProof/>
          <w:lang w:val="en-GB"/>
        </w:rPr>
        <w:t>Greece, Spain, Croatia, Cyprus, Luxembourg, Poland, Portugal, Slovenia, Finland and Sweden</w:t>
      </w:r>
      <w:r>
        <w:rPr>
          <w:rFonts w:ascii="Arial" w:hAnsi="Arial" w:cs="Arial"/>
          <w:noProof/>
          <w:lang w:val="en-GB"/>
        </w:rPr>
        <w:t>: failure to communicate all national measures transposing the Mortgage Credit Directive.</w:t>
      </w:r>
      <w:r>
        <w:rPr>
          <w:rStyle w:val="FootnoteReference"/>
          <w:rFonts w:ascii="Arial" w:hAnsi="Arial" w:cs="Arial"/>
          <w:noProof/>
          <w:lang w:val="en-GB"/>
        </w:rPr>
        <w:footnoteReference w:id="195"/>
      </w:r>
    </w:p>
    <w:p>
      <w:pPr>
        <w:pStyle w:val="Lijstje2"/>
        <w:ind w:left="1843"/>
        <w:rPr>
          <w:rFonts w:ascii="Arial" w:hAnsi="Arial" w:cs="Arial"/>
          <w:noProof/>
          <w:lang w:val="en-GB"/>
        </w:rPr>
      </w:pPr>
      <w:r>
        <w:rPr>
          <w:rFonts w:ascii="Arial" w:hAnsi="Arial" w:cs="Arial"/>
          <w:i/>
          <w:noProof/>
          <w:lang w:val="en-GB"/>
        </w:rPr>
        <w:t>Croatia:</w:t>
      </w:r>
      <w:r>
        <w:rPr>
          <w:rFonts w:ascii="Arial" w:hAnsi="Arial"/>
          <w:i/>
          <w:noProof/>
          <w:lang w:val="en-GB"/>
        </w:rPr>
        <w:t xml:space="preserve"> </w:t>
      </w:r>
      <w:r>
        <w:rPr>
          <w:rFonts w:ascii="Arial" w:hAnsi="Arial" w:cs="Arial"/>
          <w:noProof/>
          <w:lang w:val="en-GB"/>
        </w:rPr>
        <w:t>the special powers reserved for the state in the main energy company, INA (Industrija Nafte d.d.), following its privatisation. These may restrict the free movement of capital and freedom of establishment under the TFEU;</w:t>
      </w:r>
      <w:r>
        <w:rPr>
          <w:rStyle w:val="FootnoteReference"/>
          <w:noProof/>
          <w:lang w:val="en-GB"/>
        </w:rPr>
        <w:footnoteReference w:id="196"/>
      </w:r>
    </w:p>
    <w:p>
      <w:pPr>
        <w:pStyle w:val="Lijstje2"/>
        <w:ind w:left="1843"/>
        <w:rPr>
          <w:rFonts w:ascii="Arial" w:hAnsi="Arial" w:cs="Arial"/>
          <w:noProof/>
          <w:lang w:val="en-GB"/>
        </w:rPr>
      </w:pPr>
      <w:r>
        <w:rPr>
          <w:rFonts w:ascii="Arial" w:hAnsi="Arial" w:cs="Arial"/>
          <w:i/>
          <w:noProof/>
          <w:lang w:val="en-GB"/>
        </w:rPr>
        <w:t>Netherlands, Austria, Romania, Slovakia and Sweden:</w:t>
      </w:r>
      <w:r>
        <w:rPr>
          <w:rFonts w:ascii="Arial" w:hAnsi="Arial" w:cs="Arial"/>
          <w:noProof/>
          <w:lang w:val="en-GB"/>
        </w:rPr>
        <w:t xml:space="preserve"> bilateral investment treaties signed before all state parties became members of the EU and which now overlap and conflict with the EU single market on cross-border investments.</w:t>
      </w:r>
      <w:r>
        <w:rPr>
          <w:rStyle w:val="FootnoteReference"/>
          <w:noProof/>
          <w:lang w:val="en-GB"/>
        </w:rPr>
        <w:footnoteReference w:id="197"/>
      </w:r>
    </w:p>
    <w:p>
      <w:pPr>
        <w:pStyle w:val="Lijstje"/>
        <w:numPr>
          <w:ilvl w:val="0"/>
          <w:numId w:val="113"/>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numPr>
          <w:ilvl w:val="0"/>
          <w:numId w:val="113"/>
        </w:numPr>
        <w:spacing w:after="0"/>
        <w:ind w:hanging="426"/>
        <w:rPr>
          <w:rFonts w:eastAsia="Calibri" w:cs="Arial"/>
          <w:noProof/>
          <w:kern w:val="20"/>
          <w:sz w:val="20"/>
        </w:rPr>
      </w:pPr>
      <w:r>
        <w:rPr>
          <w:rFonts w:eastAsia="Calibri" w:cs="Arial"/>
          <w:noProof/>
          <w:kern w:val="20"/>
          <w:sz w:val="20"/>
        </w:rPr>
        <w:t>The Commission did not refer any cases to the Court under Article 260(2) TFEU.</w:t>
      </w:r>
    </w:p>
    <w:p>
      <w:pPr>
        <w:spacing w:after="200"/>
        <w:ind w:left="1706"/>
        <w:contextualSpacing/>
        <w:rPr>
          <w:rFonts w:eastAsia="Calibri" w:cs="Arial"/>
          <w:noProof/>
          <w:kern w:val="20"/>
          <w:sz w:val="20"/>
        </w:rPr>
      </w:pPr>
    </w:p>
    <w:p>
      <w:pPr>
        <w:numPr>
          <w:ilvl w:val="0"/>
          <w:numId w:val="30"/>
        </w:numPr>
        <w:spacing w:after="120"/>
        <w:ind w:left="714" w:hanging="357"/>
        <w:rPr>
          <w:caps/>
          <w:noProof/>
          <w:color w:val="4F81BD"/>
          <w:sz w:val="24"/>
          <w:szCs w:val="24"/>
        </w:rPr>
      </w:pPr>
      <w:r>
        <w:rPr>
          <w:caps/>
          <w:noProof/>
          <w:color w:val="4F81BD"/>
          <w:sz w:val="24"/>
          <w:szCs w:val="24"/>
        </w:rPr>
        <w:t>TRANSPOSITION OF DIRECTIVES</w:t>
      </w:r>
    </w:p>
    <w:p>
      <w:pPr>
        <w:numPr>
          <w:ilvl w:val="0"/>
          <w:numId w:val="75"/>
        </w:numPr>
        <w:spacing w:after="60"/>
        <w:jc w:val="left"/>
        <w:outlineLvl w:val="1"/>
        <w:rPr>
          <w:noProof/>
          <w:color w:val="002060"/>
          <w:szCs w:val="22"/>
        </w:rPr>
      </w:pPr>
      <w:r>
        <w:rPr>
          <w:noProof/>
          <w:color w:val="002060"/>
          <w:szCs w:val="22"/>
        </w:rPr>
        <w:t>New late transposition infringement cases (2015- 2016)</w:t>
      </w:r>
    </w:p>
    <w:p>
      <w:pPr>
        <w:ind w:firstLine="720"/>
        <w:rPr>
          <w:rFonts w:ascii="Verdana" w:hAnsi="Verdana"/>
          <w:noProof/>
          <w:sz w:val="20"/>
        </w:rPr>
      </w:pPr>
      <w:r>
        <w:rPr>
          <w:noProof/>
          <w:sz w:val="20"/>
        </w:rPr>
        <w:t>The Commission opened 116 new late transposition infringement cases in 2016.</w:t>
      </w:r>
    </w:p>
    <w:p>
      <w:pPr>
        <w:numPr>
          <w:ilvl w:val="0"/>
          <w:numId w:val="75"/>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30780"/>
            <wp:effectExtent l="0" t="0" r="22860" b="26670"/>
            <wp:docPr id="320"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numPr>
          <w:ilvl w:val="0"/>
          <w:numId w:val="75"/>
        </w:numPr>
        <w:spacing w:after="60"/>
        <w:jc w:val="left"/>
        <w:outlineLvl w:val="1"/>
        <w:rPr>
          <w:noProof/>
          <w:color w:val="002060"/>
          <w:szCs w:val="22"/>
        </w:rPr>
      </w:pPr>
      <w:r>
        <w:rPr>
          <w:noProof/>
          <w:color w:val="002060"/>
          <w:szCs w:val="22"/>
        </w:rPr>
        <w:t>Key infringement cases and referrals to the Court</w:t>
      </w:r>
    </w:p>
    <w:p>
      <w:pPr>
        <w:numPr>
          <w:ilvl w:val="0"/>
          <w:numId w:val="133"/>
        </w:numPr>
        <w:spacing w:after="120"/>
        <w:ind w:hanging="426"/>
        <w:rPr>
          <w:rFonts w:eastAsia="Calibri" w:cs="Arial"/>
          <w:noProof/>
          <w:kern w:val="20"/>
          <w:sz w:val="20"/>
        </w:rPr>
      </w:pPr>
      <w:r>
        <w:rPr>
          <w:rFonts w:eastAsia="Calibri" w:cs="Arial"/>
          <w:noProof/>
          <w:kern w:val="20"/>
          <w:sz w:val="20"/>
        </w:rPr>
        <w:t>The Commission opened 116 cases for late transposition in 2016. Most concern:</w:t>
      </w:r>
    </w:p>
    <w:p>
      <w:pPr>
        <w:pStyle w:val="ListParagraph"/>
        <w:numPr>
          <w:ilvl w:val="0"/>
          <w:numId w:val="146"/>
        </w:numPr>
        <w:spacing w:line="276" w:lineRule="auto"/>
        <w:rPr>
          <w:rFonts w:eastAsia="Calibri" w:cs="Arial"/>
          <w:noProof/>
          <w:kern w:val="20"/>
          <w:sz w:val="20"/>
        </w:rPr>
      </w:pPr>
      <w:r>
        <w:rPr>
          <w:rFonts w:eastAsia="Calibri" w:cs="Arial"/>
          <w:noProof/>
          <w:kern w:val="20"/>
          <w:sz w:val="20"/>
        </w:rPr>
        <w:t>the Directive modifying the rules on harmonisation of transparency requirements in relation to information about issuers whose securities are admitted to trading on a regulated market (Transparency Directive);</w:t>
      </w:r>
      <w:r>
        <w:rPr>
          <w:rFonts w:eastAsia="Calibri" w:cs="Arial"/>
          <w:noProof/>
          <w:sz w:val="20"/>
          <w:vertAlign w:val="superscript"/>
        </w:rPr>
        <w:footnoteReference w:id="198"/>
      </w:r>
    </w:p>
    <w:p>
      <w:pPr>
        <w:pStyle w:val="ListParagraph"/>
        <w:numPr>
          <w:ilvl w:val="0"/>
          <w:numId w:val="146"/>
        </w:numPr>
        <w:spacing w:line="276" w:lineRule="auto"/>
        <w:rPr>
          <w:rFonts w:eastAsia="Calibri" w:cs="Arial"/>
          <w:noProof/>
          <w:kern w:val="20"/>
          <w:sz w:val="20"/>
        </w:rPr>
      </w:pPr>
      <w:r>
        <w:rPr>
          <w:rFonts w:eastAsia="Calibri" w:cs="Arial"/>
          <w:noProof/>
          <w:kern w:val="20"/>
          <w:sz w:val="20"/>
        </w:rPr>
        <w:t>the Directive modifying the rules on undertakings for collective investment in transferable securities as regards depositary functions, remuneration policies and sanctions;</w:t>
      </w:r>
      <w:r>
        <w:rPr>
          <w:rStyle w:val="FootnoteReference"/>
          <w:rFonts w:cs="Arial"/>
          <w:noProof/>
          <w:sz w:val="20"/>
        </w:rPr>
        <w:footnoteReference w:id="199"/>
      </w:r>
    </w:p>
    <w:p>
      <w:pPr>
        <w:pStyle w:val="ListParagraph"/>
        <w:numPr>
          <w:ilvl w:val="0"/>
          <w:numId w:val="146"/>
        </w:numPr>
        <w:spacing w:line="276" w:lineRule="auto"/>
        <w:rPr>
          <w:rFonts w:eastAsia="Calibri" w:cs="Arial"/>
          <w:noProof/>
          <w:kern w:val="20"/>
          <w:sz w:val="20"/>
        </w:rPr>
      </w:pPr>
      <w:r>
        <w:rPr>
          <w:rFonts w:eastAsia="Calibri" w:cs="Arial"/>
          <w:noProof/>
          <w:kern w:val="20"/>
          <w:sz w:val="20"/>
        </w:rPr>
        <w:t>the Directive on credit agreements for consumers relating to residential immovable property (Mortgage Credit Directive);</w:t>
      </w:r>
      <w:r>
        <w:rPr>
          <w:rStyle w:val="FootnoteReference"/>
          <w:rFonts w:cs="Arial"/>
          <w:noProof/>
          <w:sz w:val="20"/>
        </w:rPr>
        <w:footnoteReference w:id="200"/>
      </w:r>
      <w:r>
        <w:rPr>
          <w:rFonts w:cs="Arial"/>
          <w:noProof/>
          <w:sz w:val="20"/>
        </w:rPr>
        <w:t xml:space="preserve"> </w:t>
      </w:r>
      <w:r>
        <w:rPr>
          <w:rFonts w:eastAsia="Calibri" w:cs="Arial"/>
          <w:noProof/>
          <w:kern w:val="20"/>
          <w:sz w:val="20"/>
        </w:rPr>
        <w:t>and</w:t>
      </w:r>
    </w:p>
    <w:p>
      <w:pPr>
        <w:pStyle w:val="ListParagraph"/>
        <w:numPr>
          <w:ilvl w:val="0"/>
          <w:numId w:val="146"/>
        </w:numPr>
        <w:spacing w:line="276" w:lineRule="auto"/>
        <w:rPr>
          <w:rFonts w:eastAsia="Calibri" w:cs="Arial"/>
          <w:noProof/>
          <w:kern w:val="20"/>
          <w:sz w:val="20"/>
        </w:rPr>
      </w:pPr>
      <w:r>
        <w:rPr>
          <w:rFonts w:eastAsia="Calibri" w:cs="Arial"/>
          <w:noProof/>
          <w:kern w:val="20"/>
          <w:sz w:val="20"/>
        </w:rPr>
        <w:t>the Directive amending EU rules on statutory audits of annual accounts and consolidated accounts (Audit Directive)</w:t>
      </w:r>
      <w:r>
        <w:rPr>
          <w:rStyle w:val="FootnoteReference"/>
          <w:rFonts w:cs="Arial"/>
          <w:noProof/>
          <w:sz w:val="20"/>
        </w:rPr>
        <w:footnoteReference w:id="201"/>
      </w:r>
      <w:r>
        <w:rPr>
          <w:rFonts w:eastAsia="Calibri" w:cs="Arial"/>
          <w:noProof/>
          <w:kern w:val="20"/>
          <w:sz w:val="20"/>
        </w:rPr>
        <w:t xml:space="preserve">; and </w:t>
      </w:r>
    </w:p>
    <w:p>
      <w:pPr>
        <w:pStyle w:val="ListParagraph"/>
        <w:numPr>
          <w:ilvl w:val="0"/>
          <w:numId w:val="146"/>
        </w:numPr>
        <w:spacing w:line="276" w:lineRule="auto"/>
        <w:rPr>
          <w:rFonts w:eastAsia="Calibri" w:cs="Arial"/>
          <w:noProof/>
          <w:kern w:val="20"/>
          <w:sz w:val="20"/>
        </w:rPr>
      </w:pPr>
      <w:r>
        <w:rPr>
          <w:rFonts w:eastAsia="Calibri" w:cs="Arial"/>
          <w:noProof/>
          <w:kern w:val="20"/>
          <w:sz w:val="20"/>
        </w:rPr>
        <w:t>the Directive on the comparability of fees related to payment accounts, payment account switching and access to payment accounts with basic features (Payment Accounts Directive)</w:t>
      </w:r>
      <w:r>
        <w:rPr>
          <w:rFonts w:eastAsia="Calibri" w:cs="Arial"/>
          <w:bCs/>
          <w:noProof/>
          <w:sz w:val="20"/>
          <w:vertAlign w:val="superscript"/>
          <w:lang w:val="en"/>
        </w:rPr>
        <w:footnoteReference w:id="202"/>
      </w:r>
      <w:r>
        <w:rPr>
          <w:rFonts w:eastAsia="Calibri" w:cs="Arial"/>
          <w:noProof/>
          <w:kern w:val="20"/>
          <w:sz w:val="20"/>
        </w:rPr>
        <w:t>.</w:t>
      </w:r>
    </w:p>
    <w:p>
      <w:pPr>
        <w:numPr>
          <w:ilvl w:val="0"/>
          <w:numId w:val="133"/>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ind w:left="720"/>
        <w:rPr>
          <w:rFonts w:cs="Arial"/>
          <w:noProof/>
          <w:sz w:val="20"/>
        </w:rPr>
      </w:pPr>
      <w:r>
        <w:rPr>
          <w:rFonts w:cs="Arial"/>
          <w:noProof/>
          <w:sz w:val="20"/>
        </w:rPr>
        <w:t>These concerned:</w:t>
      </w:r>
    </w:p>
    <w:p>
      <w:pPr>
        <w:numPr>
          <w:ilvl w:val="0"/>
          <w:numId w:val="25"/>
        </w:numPr>
        <w:spacing w:after="200"/>
        <w:ind w:left="1276"/>
        <w:contextualSpacing/>
        <w:rPr>
          <w:rFonts w:eastAsia="Calibri" w:cs="Arial"/>
          <w:noProof/>
          <w:kern w:val="20"/>
          <w:sz w:val="20"/>
        </w:rPr>
      </w:pPr>
      <w:r>
        <w:rPr>
          <w:rFonts w:eastAsia="Calibri" w:cs="Arial"/>
          <w:i/>
          <w:noProof/>
          <w:kern w:val="20"/>
          <w:sz w:val="20"/>
        </w:rPr>
        <w:t>Bulgaria, Estonia, Ireland, France, Italy, Lithuania, Luxembourg, Malta, Portugal, Slovakia, Finland, Sweden and United Kingdom</w:t>
      </w:r>
      <w:r>
        <w:rPr>
          <w:rFonts w:eastAsia="Calibri" w:cs="Arial"/>
          <w:noProof/>
          <w:kern w:val="20"/>
          <w:sz w:val="20"/>
        </w:rPr>
        <w:t>: completing the notification of all national measures necessary to transpose the Capital Requirements Directive;</w:t>
      </w:r>
      <w:r>
        <w:rPr>
          <w:rStyle w:val="FootnoteReference"/>
          <w:rFonts w:ascii="Verdana" w:hAnsi="Verdana"/>
          <w:noProof/>
        </w:rPr>
        <w:footnoteReference w:id="203"/>
      </w:r>
    </w:p>
    <w:p>
      <w:pPr>
        <w:numPr>
          <w:ilvl w:val="0"/>
          <w:numId w:val="25"/>
        </w:numPr>
        <w:spacing w:after="200"/>
        <w:ind w:left="1276"/>
        <w:contextualSpacing/>
        <w:rPr>
          <w:rFonts w:eastAsia="Calibri" w:cs="Arial"/>
          <w:noProof/>
          <w:kern w:val="20"/>
          <w:sz w:val="20"/>
        </w:rPr>
      </w:pPr>
      <w:r>
        <w:rPr>
          <w:rFonts w:eastAsia="Calibri" w:cs="Arial"/>
          <w:i/>
          <w:noProof/>
          <w:kern w:val="20"/>
          <w:sz w:val="20"/>
        </w:rPr>
        <w:t xml:space="preserve">Bulgaria, the Czech Republic, Estonia, Ireland, Greece, Spain, France, Croatia, Latvia, Luxembourg, Hungary, Malta, Portugal, Romania, Slovakia and Finland,: </w:t>
      </w:r>
      <w:r>
        <w:rPr>
          <w:rFonts w:eastAsia="Calibri" w:cs="Arial"/>
          <w:noProof/>
          <w:kern w:val="20"/>
          <w:sz w:val="20"/>
        </w:rPr>
        <w:t>notification of all national measures necessary to transpose the Bank Resolution and Recovery Directive;</w:t>
      </w:r>
      <w:r>
        <w:rPr>
          <w:rStyle w:val="FootnoteReference"/>
          <w:rFonts w:ascii="Verdana" w:hAnsi="Verdana"/>
          <w:noProof/>
        </w:rPr>
        <w:footnoteReference w:id="204"/>
      </w:r>
    </w:p>
    <w:p>
      <w:pPr>
        <w:numPr>
          <w:ilvl w:val="0"/>
          <w:numId w:val="25"/>
        </w:numPr>
        <w:spacing w:after="200"/>
        <w:ind w:left="1276" w:hanging="357"/>
        <w:rPr>
          <w:rFonts w:eastAsia="Calibri" w:cs="Arial"/>
          <w:noProof/>
          <w:kern w:val="20"/>
          <w:sz w:val="20"/>
        </w:rPr>
      </w:pPr>
      <w:r>
        <w:rPr>
          <w:rFonts w:eastAsia="Calibri" w:cs="Arial"/>
          <w:i/>
          <w:noProof/>
          <w:kern w:val="20"/>
          <w:sz w:val="20"/>
        </w:rPr>
        <w:t>Czech Republic, Estonia, Ireland, Greece, Spain France, Luxembourg, Netherlands, Romania and Slovakia:</w:t>
      </w:r>
      <w:r>
        <w:rPr>
          <w:rFonts w:eastAsia="Calibri" w:cs="Arial"/>
          <w:noProof/>
          <w:kern w:val="20"/>
          <w:sz w:val="20"/>
        </w:rPr>
        <w:t xml:space="preserve"> completing the notification of all national measures necessary to transpose the Deposit Guarantee Schemes Directive.</w:t>
      </w:r>
      <w:r>
        <w:rPr>
          <w:rStyle w:val="FootnoteReference"/>
          <w:rFonts w:ascii="Verdana" w:hAnsi="Verdana"/>
          <w:noProof/>
        </w:rPr>
        <w:footnoteReference w:id="205"/>
      </w:r>
    </w:p>
    <w:p>
      <w:pPr>
        <w:numPr>
          <w:ilvl w:val="0"/>
          <w:numId w:val="30"/>
        </w:numPr>
        <w:rPr>
          <w:caps/>
          <w:noProof/>
          <w:color w:val="4F81BD"/>
          <w:sz w:val="24"/>
          <w:szCs w:val="24"/>
        </w:rPr>
      </w:pPr>
      <w:r>
        <w:rPr>
          <w:caps/>
          <w:noProof/>
          <w:color w:val="4F81BD"/>
          <w:sz w:val="24"/>
          <w:szCs w:val="24"/>
        </w:rPr>
        <w:t>IMPORTANT JUDGMENTS</w:t>
      </w:r>
    </w:p>
    <w:p>
      <w:pPr>
        <w:numPr>
          <w:ilvl w:val="0"/>
          <w:numId w:val="76"/>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206"/>
      </w:r>
    </w:p>
    <w:p>
      <w:pPr>
        <w:ind w:left="720"/>
        <w:rPr>
          <w:rFonts w:cs="Arial"/>
          <w:noProof/>
          <w:sz w:val="20"/>
        </w:rPr>
      </w:pPr>
      <w:r>
        <w:rPr>
          <w:rFonts w:cs="Arial"/>
          <w:noProof/>
          <w:sz w:val="20"/>
        </w:rPr>
        <w:t>There were no major Court rulings in 2016 in this area.</w:t>
      </w:r>
    </w:p>
    <w:p>
      <w:pPr>
        <w:numPr>
          <w:ilvl w:val="0"/>
          <w:numId w:val="76"/>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numPr>
          <w:ilvl w:val="0"/>
          <w:numId w:val="25"/>
        </w:numPr>
        <w:spacing w:after="200"/>
        <w:ind w:left="1276" w:hanging="357"/>
        <w:rPr>
          <w:rFonts w:eastAsia="Calibri"/>
          <w:i/>
          <w:noProof/>
          <w:kern w:val="20"/>
          <w:sz w:val="20"/>
        </w:rPr>
      </w:pPr>
      <w:r>
        <w:rPr>
          <w:rFonts w:eastAsia="Calibri" w:cs="Arial"/>
          <w:i/>
          <w:noProof/>
          <w:kern w:val="20"/>
          <w:sz w:val="20"/>
        </w:rPr>
        <w:t xml:space="preserve">Latvia: </w:t>
      </w:r>
      <w:r>
        <w:rPr>
          <w:rFonts w:eastAsia="Calibri" w:cs="Arial"/>
          <w:noProof/>
          <w:kern w:val="20"/>
          <w:sz w:val="20"/>
        </w:rPr>
        <w:t>monies deposited in the current account that are pledged to the bank as financial collateral to cover all the account holder’s debts fall within the scope of the Directive</w:t>
      </w:r>
      <w:r>
        <w:rPr>
          <w:rStyle w:val="FootnoteReference"/>
          <w:rFonts w:ascii="Verdana" w:hAnsi="Verdana"/>
          <w:noProof/>
        </w:rPr>
        <w:footnoteReference w:id="207"/>
      </w:r>
      <w:r>
        <w:rPr>
          <w:rFonts w:eastAsia="Calibri" w:cs="Arial"/>
          <w:noProof/>
          <w:kern w:val="20"/>
          <w:sz w:val="20"/>
        </w:rPr>
        <w:t xml:space="preserve"> on financial collateral arrangements, if those monies have been ‘provided’ to the bank. That is to say, the collateral provider must be prevented from disposing of such monies lodged in the ordinary bank account. The Court also confirmed that the collateral does not normally fall within the scope of the Directive if it was provided after the launch of an insolvency procedure, but can be enforceable in exceptional circumstances.</w:t>
      </w:r>
      <w:r>
        <w:rPr>
          <w:rStyle w:val="FootnoteReference"/>
          <w:rFonts w:ascii="Verdana" w:hAnsi="Verdana"/>
          <w:noProof/>
        </w:rPr>
        <w:footnoteReference w:id="208"/>
      </w:r>
    </w:p>
    <w:p>
      <w:pPr>
        <w:numPr>
          <w:ilvl w:val="0"/>
          <w:numId w:val="30"/>
        </w:numPr>
        <w:spacing w:after="120"/>
        <w:ind w:left="714" w:hanging="357"/>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2017 includes:</w:t>
      </w:r>
    </w:p>
    <w:p>
      <w:pPr>
        <w:numPr>
          <w:ilvl w:val="0"/>
          <w:numId w:val="27"/>
        </w:numPr>
        <w:ind w:left="1276"/>
        <w:contextualSpacing/>
        <w:rPr>
          <w:rFonts w:eastAsia="Calibri"/>
          <w:noProof/>
          <w:sz w:val="20"/>
        </w:rPr>
      </w:pPr>
      <w:r>
        <w:rPr>
          <w:rFonts w:cs="Arial"/>
          <w:noProof/>
          <w:sz w:val="20"/>
        </w:rPr>
        <w:t>focusing on the transposition of the financial regulatory framework. This includes following up on Member States’ measures transposing directives whose deadline expired in 2016:</w:t>
      </w:r>
    </w:p>
    <w:p>
      <w:pPr>
        <w:numPr>
          <w:ilvl w:val="0"/>
          <w:numId w:val="27"/>
        </w:numPr>
        <w:contextualSpacing/>
        <w:rPr>
          <w:rFonts w:cs="Arial"/>
          <w:noProof/>
          <w:sz w:val="20"/>
        </w:rPr>
      </w:pPr>
      <w:r>
        <w:rPr>
          <w:rFonts w:cs="Arial"/>
          <w:noProof/>
          <w:sz w:val="20"/>
        </w:rPr>
        <w:t>the Directive modifying the rules on undertakings for collective investment in transferable securities as regards depositary functions, remuneration policies and sanctions;</w:t>
      </w:r>
      <w:r>
        <w:rPr>
          <w:rStyle w:val="FootnoteReference"/>
          <w:noProof/>
        </w:rPr>
        <w:footnoteReference w:id="209"/>
      </w:r>
    </w:p>
    <w:p>
      <w:pPr>
        <w:numPr>
          <w:ilvl w:val="0"/>
          <w:numId w:val="27"/>
        </w:numPr>
        <w:contextualSpacing/>
        <w:rPr>
          <w:rFonts w:cs="Arial"/>
          <w:noProof/>
          <w:sz w:val="20"/>
        </w:rPr>
      </w:pPr>
      <w:r>
        <w:rPr>
          <w:rFonts w:cs="Arial"/>
          <w:noProof/>
          <w:sz w:val="20"/>
        </w:rPr>
        <w:t>the Directive on credit agreements for consumers relating to residential immovable property (Mortgage Credit Directive);</w:t>
      </w:r>
      <w:r>
        <w:rPr>
          <w:rStyle w:val="FootnoteReference"/>
          <w:noProof/>
        </w:rPr>
        <w:footnoteReference w:id="210"/>
      </w:r>
    </w:p>
    <w:p>
      <w:pPr>
        <w:numPr>
          <w:ilvl w:val="0"/>
          <w:numId w:val="27"/>
        </w:numPr>
        <w:contextualSpacing/>
        <w:rPr>
          <w:rFonts w:cs="Arial"/>
          <w:noProof/>
          <w:sz w:val="20"/>
        </w:rPr>
      </w:pPr>
      <w:r>
        <w:rPr>
          <w:rFonts w:cs="Arial"/>
          <w:noProof/>
          <w:sz w:val="20"/>
        </w:rPr>
        <w:t>the Payment Accounts Directive;</w:t>
      </w:r>
      <w:r>
        <w:rPr>
          <w:rStyle w:val="FootnoteReference"/>
          <w:rFonts w:cs="Arial"/>
          <w:noProof/>
          <w:sz w:val="20"/>
        </w:rPr>
        <w:footnoteReference w:id="211"/>
      </w:r>
    </w:p>
    <w:p>
      <w:pPr>
        <w:numPr>
          <w:ilvl w:val="0"/>
          <w:numId w:val="27"/>
        </w:numPr>
        <w:contextualSpacing/>
        <w:rPr>
          <w:rFonts w:cs="Arial"/>
          <w:noProof/>
          <w:sz w:val="20"/>
        </w:rPr>
      </w:pPr>
      <w:r>
        <w:rPr>
          <w:rFonts w:cs="Arial"/>
          <w:noProof/>
          <w:sz w:val="20"/>
        </w:rPr>
        <w:t>the Directive amending EU rules on statutory audits of annual accounts and consolidated accounts (Audit Directive);</w:t>
      </w:r>
      <w:r>
        <w:rPr>
          <w:rStyle w:val="FootnoteReference"/>
          <w:noProof/>
        </w:rPr>
        <w:footnoteReference w:id="212"/>
      </w:r>
    </w:p>
    <w:p>
      <w:pPr>
        <w:numPr>
          <w:ilvl w:val="0"/>
          <w:numId w:val="27"/>
        </w:numPr>
        <w:contextualSpacing/>
        <w:rPr>
          <w:rFonts w:cs="Arial"/>
          <w:noProof/>
          <w:sz w:val="20"/>
        </w:rPr>
      </w:pPr>
      <w:r>
        <w:rPr>
          <w:rFonts w:cs="Arial"/>
          <w:noProof/>
          <w:sz w:val="20"/>
        </w:rPr>
        <w:t>certain provisions of the Deposit Guarantee Schemes Directive;</w:t>
      </w:r>
      <w:r>
        <w:rPr>
          <w:rStyle w:val="FootnoteReference"/>
          <w:rFonts w:cs="Arial"/>
          <w:noProof/>
          <w:sz w:val="20"/>
        </w:rPr>
        <w:footnoteReference w:id="213"/>
      </w:r>
      <w:r>
        <w:rPr>
          <w:rFonts w:cs="Arial"/>
          <w:noProof/>
          <w:sz w:val="20"/>
        </w:rPr>
        <w:t xml:space="preserve"> </w:t>
      </w:r>
    </w:p>
    <w:p>
      <w:pPr>
        <w:numPr>
          <w:ilvl w:val="0"/>
          <w:numId w:val="27"/>
        </w:numPr>
        <w:spacing w:after="0"/>
        <w:ind w:left="2154" w:hanging="357"/>
        <w:contextualSpacing/>
        <w:rPr>
          <w:rFonts w:cs="Arial"/>
          <w:noProof/>
          <w:sz w:val="20"/>
        </w:rPr>
      </w:pPr>
      <w:r>
        <w:rPr>
          <w:rFonts w:cs="Arial"/>
          <w:noProof/>
          <w:sz w:val="20"/>
        </w:rPr>
        <w:t>the Directive amending EU rules as regards disclosure of non-financial and diversity information by certain large undertakings and groups.</w:t>
      </w:r>
      <w:r>
        <w:rPr>
          <w:rStyle w:val="FootnoteReference"/>
          <w:rFonts w:cs="Arial"/>
          <w:noProof/>
          <w:sz w:val="20"/>
        </w:rPr>
        <w:footnoteReference w:id="214"/>
      </w:r>
    </w:p>
    <w:p>
      <w:pPr>
        <w:rPr>
          <w:rFonts w:cs="Arial"/>
          <w:noProof/>
          <w:sz w:val="20"/>
        </w:rPr>
        <w:sectPr>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pgSz w:w="11907" w:h="16839" w:code="9"/>
          <w:pgMar w:top="1985" w:right="1275" w:bottom="737" w:left="1418" w:header="567" w:footer="352" w:gutter="0"/>
          <w:cols w:space="720"/>
          <w:titlePg/>
          <w:docGrid w:linePitch="326"/>
        </w:sectPr>
      </w:pPr>
    </w:p>
    <w:p>
      <w:pPr>
        <w:pStyle w:val="Heading1"/>
        <w:ind w:left="0"/>
        <w:rPr>
          <w:noProof/>
        </w:rPr>
      </w:pPr>
      <w:bookmarkStart w:id="57" w:name="_Toc443057940"/>
      <w:bookmarkStart w:id="58" w:name="_Toc475524736"/>
      <w:bookmarkStart w:id="59" w:name="_Toc475529503"/>
      <w:bookmarkStart w:id="60" w:name="_Toc475529542"/>
      <w:bookmarkStart w:id="61" w:name="_Toc475529870"/>
      <w:bookmarkStart w:id="62" w:name="_Toc475550835"/>
      <w:bookmarkStart w:id="63" w:name="_Toc475551375"/>
      <w:bookmarkStart w:id="64" w:name="_Toc484622464"/>
      <w:r>
        <w:rPr>
          <w:noProof/>
        </w:rPr>
        <w:t>Health and food safety</w:t>
      </w:r>
      <w:bookmarkEnd w:id="57"/>
      <w:bookmarkEnd w:id="58"/>
      <w:bookmarkEnd w:id="59"/>
      <w:bookmarkEnd w:id="60"/>
      <w:bookmarkEnd w:id="61"/>
      <w:bookmarkEnd w:id="62"/>
      <w:bookmarkEnd w:id="63"/>
      <w:bookmarkEnd w:id="64"/>
    </w:p>
    <w:p>
      <w:pPr>
        <w:rPr>
          <w:i/>
          <w:noProof/>
          <w:szCs w:val="22"/>
        </w:rPr>
      </w:pPr>
      <w:r>
        <w:rPr>
          <w:i/>
          <w:noProof/>
          <w:szCs w:val="22"/>
        </w:rPr>
        <w:t>New complaints in the area of health and food safety rose in 2016 after falling for 4 years. Both the number of infringement cases pending at the end of the year and new late transposition cases jumped to five-year highs. By contrast, new EU Pilot files fell further to their lowest level ever.</w:t>
      </w:r>
    </w:p>
    <w:p>
      <w:pPr>
        <w:pStyle w:val="Title1"/>
        <w:numPr>
          <w:ilvl w:val="0"/>
          <w:numId w:val="39"/>
        </w:numPr>
        <w:rPr>
          <w:noProof/>
        </w:rPr>
      </w:pPr>
      <w:r>
        <w:rPr>
          <w:noProof/>
        </w:rPr>
        <w:t>COMPLAINTS</w:t>
      </w:r>
    </w:p>
    <w:p>
      <w:pPr>
        <w:numPr>
          <w:ilvl w:val="0"/>
          <w:numId w:val="77"/>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562475" cy="1933575"/>
            <wp:effectExtent l="0" t="0" r="9525" b="9525"/>
            <wp:docPr id="3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numPr>
          <w:ilvl w:val="0"/>
          <w:numId w:val="77"/>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81"/>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66</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94</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68</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92</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77"/>
        </w:numPr>
        <w:spacing w:after="60"/>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23160"/>
            <wp:effectExtent l="0" t="0" r="22860" b="15240"/>
            <wp:docPr id="34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spacing w:after="0"/>
        <w:jc w:val="left"/>
        <w:rPr>
          <w:caps/>
          <w:noProof/>
          <w:color w:val="4F81BD"/>
          <w:sz w:val="24"/>
          <w:szCs w:val="24"/>
        </w:rPr>
      </w:pPr>
      <w:r>
        <w:rPr>
          <w:noProof/>
          <w:sz w:val="20"/>
        </w:rPr>
        <w:br w:type="page"/>
      </w:r>
    </w:p>
    <w:p>
      <w:pPr>
        <w:numPr>
          <w:ilvl w:val="0"/>
          <w:numId w:val="30"/>
        </w:numPr>
        <w:spacing w:after="120"/>
        <w:ind w:left="714" w:hanging="357"/>
        <w:rPr>
          <w:caps/>
          <w:noProof/>
          <w:color w:val="4F81BD"/>
          <w:sz w:val="24"/>
          <w:szCs w:val="24"/>
        </w:rPr>
      </w:pPr>
      <w:r>
        <w:rPr>
          <w:caps/>
          <w:noProof/>
          <w:color w:val="4F81BD"/>
          <w:sz w:val="24"/>
          <w:szCs w:val="24"/>
        </w:rPr>
        <w:t>EU PILOT</w:t>
      </w:r>
    </w:p>
    <w:p>
      <w:pPr>
        <w:numPr>
          <w:ilvl w:val="0"/>
          <w:numId w:val="78"/>
        </w:numPr>
        <w:spacing w:after="60"/>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43425" cy="2105025"/>
            <wp:effectExtent l="0" t="0" r="9525" b="9525"/>
            <wp:docPr id="35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numPr>
          <w:ilvl w:val="0"/>
          <w:numId w:val="78"/>
        </w:numPr>
        <w:spacing w:after="60"/>
        <w:jc w:val="left"/>
        <w:outlineLvl w:val="1"/>
        <w:rPr>
          <w:noProof/>
          <w:color w:val="002060"/>
          <w:szCs w:val="22"/>
        </w:rPr>
      </w:pPr>
      <w:r>
        <w:rPr>
          <w:noProof/>
          <w:color w:val="002060"/>
          <w:szCs w:val="22"/>
        </w:rPr>
        <w:t>EU Pilot open at year-end</w:t>
      </w:r>
    </w:p>
    <w:p>
      <w:pPr>
        <w:pStyle w:val="ListParagraph"/>
        <w:rPr>
          <w:noProof/>
          <w:sz w:val="20"/>
        </w:rPr>
      </w:pPr>
      <w:r>
        <w:rPr>
          <w:noProof/>
          <w:sz w:val="20"/>
        </w:rPr>
        <w:t>At the end of 2016, 31 EU Pilot files remained open.</w:t>
      </w:r>
    </w:p>
    <w:p>
      <w:pPr>
        <w:numPr>
          <w:ilvl w:val="0"/>
          <w:numId w:val="78"/>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423160"/>
            <wp:effectExtent l="0" t="0" r="26670" b="15240"/>
            <wp:docPr id="35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numPr>
          <w:ilvl w:val="0"/>
          <w:numId w:val="78"/>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sz w:val="20"/>
          <w:lang w:val="en-US"/>
        </w:rPr>
        <w:drawing>
          <wp:inline distT="0" distB="0" distL="0" distR="0">
            <wp:extent cx="4610100" cy="2495550"/>
            <wp:effectExtent l="0" t="0" r="19050" b="19050"/>
            <wp:docPr id="35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spacing w:after="120"/>
        <w:ind w:left="714" w:hanging="357"/>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public health</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food safety</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plant health.</w:t>
      </w:r>
    </w:p>
    <w:p>
      <w:pPr>
        <w:numPr>
          <w:ilvl w:val="0"/>
          <w:numId w:val="30"/>
        </w:numPr>
        <w:spacing w:after="120"/>
        <w:ind w:left="714" w:hanging="357"/>
        <w:rPr>
          <w:caps/>
          <w:noProof/>
          <w:color w:val="4F81BD"/>
          <w:sz w:val="24"/>
          <w:szCs w:val="24"/>
        </w:rPr>
      </w:pPr>
      <w:r>
        <w:rPr>
          <w:caps/>
          <w:noProof/>
          <w:color w:val="4F81BD"/>
          <w:sz w:val="24"/>
          <w:szCs w:val="24"/>
        </w:rPr>
        <w:t>INFRINGEMENT CASES</w:t>
      </w:r>
    </w:p>
    <w:p>
      <w:pPr>
        <w:numPr>
          <w:ilvl w:val="0"/>
          <w:numId w:val="79"/>
        </w:numPr>
        <w:spacing w:after="60"/>
        <w:jc w:val="left"/>
        <w:outlineLvl w:val="1"/>
        <w:rPr>
          <w:noProof/>
          <w:color w:val="002060"/>
          <w:szCs w:val="22"/>
        </w:rPr>
      </w:pPr>
      <w:r>
        <w:rPr>
          <w:noProof/>
          <w:color w:val="002060"/>
          <w:szCs w:val="22"/>
        </w:rPr>
        <w:t>Infringement cases open on 31 December (2012-2016)</w:t>
      </w:r>
    </w:p>
    <w:p>
      <w:pPr>
        <w:ind w:left="720"/>
        <w:rPr>
          <w:rFonts w:cs="Arial"/>
          <w:noProof/>
          <w:sz w:val="20"/>
        </w:rPr>
      </w:pPr>
      <w:r>
        <w:rPr>
          <w:rFonts w:ascii="Verdana" w:hAnsi="Verdana"/>
          <w:noProof/>
          <w:sz w:val="20"/>
          <w:lang w:val="en-US"/>
        </w:rPr>
        <w:drawing>
          <wp:inline distT="0" distB="0" distL="0" distR="0">
            <wp:extent cx="4600575" cy="2143125"/>
            <wp:effectExtent l="0" t="0" r="9525" b="9525"/>
            <wp:docPr id="35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numPr>
          <w:ilvl w:val="0"/>
          <w:numId w:val="79"/>
        </w:numPr>
        <w:spacing w:after="60"/>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133600"/>
            <wp:effectExtent l="0" t="0" r="22860" b="19050"/>
            <wp:docPr id="35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numPr>
          <w:ilvl w:val="0"/>
          <w:numId w:val="79"/>
        </w:numPr>
        <w:spacing w:after="60"/>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55520"/>
            <wp:effectExtent l="0" t="0" r="22860" b="11430"/>
            <wp:docPr id="35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numPr>
          <w:ilvl w:val="0"/>
          <w:numId w:val="79"/>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4"/>
        </w:numPr>
        <w:spacing w:after="120"/>
        <w:ind w:hanging="426"/>
        <w:rPr>
          <w:rFonts w:ascii="Arial" w:hAnsi="Arial" w:cs="Arial"/>
          <w:noProof/>
          <w:lang w:val="en-GB"/>
        </w:rPr>
      </w:pPr>
      <w:r>
        <w:rPr>
          <w:rFonts w:ascii="Arial" w:hAnsi="Arial" w:cs="Arial"/>
          <w:noProof/>
          <w:lang w:val="en-GB"/>
        </w:rPr>
        <w:t>The Commission opened 148 new infringement cases in 2016. These, and other major ongoing infringement cases, include the following:</w:t>
      </w:r>
    </w:p>
    <w:p>
      <w:pPr>
        <w:pStyle w:val="Lijstje2"/>
        <w:ind w:left="1843" w:hanging="424"/>
        <w:rPr>
          <w:noProof/>
          <w:lang w:val="en-GB"/>
        </w:rPr>
      </w:pPr>
      <w:r>
        <w:rPr>
          <w:rFonts w:ascii="Arial" w:hAnsi="Arial" w:cs="Arial"/>
          <w:i/>
          <w:noProof/>
          <w:lang w:val="en-GB"/>
        </w:rPr>
        <w:t xml:space="preserve">Ireland: </w:t>
      </w:r>
      <w:r>
        <w:rPr>
          <w:rFonts w:ascii="Arial" w:hAnsi="Arial" w:cs="Arial"/>
          <w:noProof/>
          <w:lang w:val="en-GB"/>
        </w:rPr>
        <w:t>non-compliance of the national food safety control system as regards the production and marketing of live bivalve molluscs with the EU health standards;</w:t>
      </w:r>
      <w:r>
        <w:rPr>
          <w:rStyle w:val="FootnoteReference"/>
          <w:rFonts w:ascii="Arial" w:hAnsi="Arial" w:cs="Arial"/>
          <w:noProof/>
          <w:lang w:val="en-GB"/>
        </w:rPr>
        <w:footnoteReference w:id="215"/>
      </w:r>
    </w:p>
    <w:p>
      <w:pPr>
        <w:pStyle w:val="Lijstje2"/>
        <w:ind w:left="1843" w:hanging="424"/>
        <w:rPr>
          <w:noProof/>
          <w:lang w:val="en-GB"/>
        </w:rPr>
      </w:pPr>
      <w:r>
        <w:rPr>
          <w:rFonts w:ascii="Arial" w:hAnsi="Arial" w:cs="Arial"/>
          <w:i/>
          <w:noProof/>
          <w:lang w:val="en-GB"/>
        </w:rPr>
        <w:t xml:space="preserve">Spain, Croatia, Cyprus, Luxembourg, Slovenia and Sweden: </w:t>
      </w:r>
      <w:r>
        <w:rPr>
          <w:rFonts w:ascii="Arial" w:hAnsi="Arial" w:cs="Arial"/>
          <w:noProof/>
          <w:lang w:val="en-GB"/>
        </w:rPr>
        <w:t xml:space="preserve">failure to notify transposition measures for the Tobacco Directive; </w:t>
      </w:r>
      <w:r>
        <w:rPr>
          <w:rStyle w:val="FootnoteReference"/>
          <w:rFonts w:ascii="Arial" w:hAnsi="Arial" w:cs="Arial"/>
          <w:noProof/>
          <w:lang w:val="en-GB"/>
        </w:rPr>
        <w:footnoteReference w:id="216"/>
      </w:r>
    </w:p>
    <w:p>
      <w:pPr>
        <w:pStyle w:val="Lijstje2"/>
        <w:ind w:left="1843" w:hanging="424"/>
        <w:rPr>
          <w:noProof/>
          <w:lang w:val="en-GB"/>
        </w:rPr>
      </w:pPr>
      <w:r>
        <w:rPr>
          <w:rFonts w:ascii="Arial" w:hAnsi="Arial" w:cs="Arial"/>
          <w:i/>
          <w:noProof/>
          <w:lang w:val="en-GB"/>
        </w:rPr>
        <w:t>Italy:</w:t>
      </w:r>
      <w:r>
        <w:rPr>
          <w:rFonts w:ascii="Arial" w:hAnsi="Arial" w:cs="Arial"/>
          <w:noProof/>
          <w:lang w:val="en-GB"/>
        </w:rPr>
        <w:t xml:space="preserve"> non-compliance with the </w:t>
      </w:r>
      <w:r>
        <w:rPr>
          <w:rFonts w:ascii="Arial" w:hAnsi="Arial"/>
          <w:noProof/>
          <w:lang w:val="en-GB"/>
        </w:rPr>
        <w:t xml:space="preserve">Commission’s </w:t>
      </w:r>
      <w:r>
        <w:rPr>
          <w:rFonts w:ascii="Arial" w:hAnsi="Arial" w:cs="Arial"/>
          <w:noProof/>
          <w:lang w:val="en-GB"/>
        </w:rPr>
        <w:t>Decision</w:t>
      </w:r>
      <w:r>
        <w:rPr>
          <w:rStyle w:val="FootnoteReference"/>
          <w:rFonts w:ascii="Arial" w:hAnsi="Arial" w:cs="Arial"/>
          <w:noProof/>
          <w:lang w:val="en-GB"/>
        </w:rPr>
        <w:footnoteReference w:id="217"/>
      </w:r>
      <w:r>
        <w:rPr>
          <w:rFonts w:ascii="Arial" w:hAnsi="Arial" w:cs="Arial"/>
          <w:noProof/>
          <w:lang w:val="en-GB"/>
        </w:rPr>
        <w:t xml:space="preserve"> </w:t>
      </w:r>
      <w:r>
        <w:rPr>
          <w:rFonts w:ascii="Arial" w:hAnsi="Arial"/>
          <w:noProof/>
          <w:lang w:val="en-GB"/>
        </w:rPr>
        <w:t xml:space="preserve">on </w:t>
      </w:r>
      <w:r>
        <w:rPr>
          <w:rFonts w:ascii="Arial" w:hAnsi="Arial" w:cs="Arial"/>
          <w:noProof/>
          <w:lang w:val="en-GB"/>
        </w:rPr>
        <w:t xml:space="preserve">measures to prevent the introduction into and the spread within the EU of the plant bacterium </w:t>
      </w:r>
      <w:r>
        <w:rPr>
          <w:rFonts w:ascii="Arial" w:hAnsi="Arial" w:cs="Arial"/>
          <w:i/>
          <w:noProof/>
          <w:lang w:val="en-GB"/>
        </w:rPr>
        <w:t>Xylella fastidiosa</w:t>
      </w:r>
      <w:r>
        <w:rPr>
          <w:rFonts w:ascii="Arial" w:hAnsi="Arial" w:cs="Arial"/>
          <w:noProof/>
          <w:lang w:val="en-GB"/>
        </w:rPr>
        <w:t>;</w:t>
      </w:r>
      <w:r>
        <w:rPr>
          <w:rStyle w:val="FootnoteReference"/>
          <w:rFonts w:ascii="Arial" w:hAnsi="Arial" w:cs="Arial"/>
          <w:noProof/>
          <w:lang w:val="en-GB"/>
        </w:rPr>
        <w:footnoteReference w:id="218"/>
      </w:r>
    </w:p>
    <w:p>
      <w:pPr>
        <w:pStyle w:val="Lijstje2"/>
        <w:ind w:left="1843"/>
        <w:rPr>
          <w:rFonts w:ascii="Arial" w:hAnsi="Arial" w:cs="Arial"/>
          <w:noProof/>
          <w:lang w:val="en-GB"/>
        </w:rPr>
      </w:pPr>
      <w:r>
        <w:rPr>
          <w:rFonts w:ascii="Arial" w:hAnsi="Arial" w:cs="Arial"/>
          <w:i/>
          <w:noProof/>
          <w:lang w:val="en-GB"/>
        </w:rPr>
        <w:t>Finland:</w:t>
      </w:r>
      <w:r>
        <w:rPr>
          <w:noProof/>
          <w:lang w:val="en-GB"/>
        </w:rPr>
        <w:t xml:space="preserve"> </w:t>
      </w:r>
      <w:r>
        <w:rPr>
          <w:rFonts w:ascii="Arial" w:hAnsi="Arial" w:cs="Arial"/>
          <w:noProof/>
          <w:lang w:val="en-GB"/>
        </w:rPr>
        <w:t>non-conformity of national legislation with the Directive on patients’ rights in cross-border healthcare. The cases relates to the level of costs reimbursed by the Member State of affiliation to an insured person who receives cross-border healthcare.</w:t>
      </w:r>
      <w:r>
        <w:rPr>
          <w:rStyle w:val="FootnoteReference"/>
          <w:rFonts w:ascii="Arial" w:hAnsi="Arial" w:cs="Arial"/>
          <w:noProof/>
          <w:lang w:val="en-GB"/>
        </w:rPr>
        <w:footnoteReference w:id="219"/>
      </w:r>
    </w:p>
    <w:p>
      <w:pPr>
        <w:pStyle w:val="Lijstje"/>
        <w:numPr>
          <w:ilvl w:val="0"/>
          <w:numId w:val="114"/>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114"/>
        </w:numPr>
        <w:spacing w:after="120"/>
        <w:ind w:hanging="426"/>
        <w:rPr>
          <w:rFonts w:ascii="Arial" w:hAnsi="Arial" w:cs="Arial"/>
          <w:noProof/>
          <w:lang w:val="en-GB"/>
        </w:rPr>
      </w:pPr>
      <w:r>
        <w:rPr>
          <w:rFonts w:ascii="Arial" w:hAnsi="Arial" w:cs="Arial"/>
          <w:noProof/>
          <w:lang w:val="en-GB"/>
        </w:rPr>
        <w:t>The Commission did not refer any cases to the Court under Article 260(2) TFEU.</w:t>
      </w:r>
    </w:p>
    <w:p>
      <w:pPr>
        <w:numPr>
          <w:ilvl w:val="0"/>
          <w:numId w:val="30"/>
        </w:numPr>
        <w:spacing w:after="120"/>
        <w:ind w:left="714" w:hanging="357"/>
        <w:rPr>
          <w:caps/>
          <w:noProof/>
          <w:color w:val="4F81BD"/>
          <w:sz w:val="24"/>
          <w:szCs w:val="24"/>
        </w:rPr>
      </w:pPr>
      <w:r>
        <w:rPr>
          <w:caps/>
          <w:noProof/>
          <w:color w:val="4F81BD"/>
          <w:sz w:val="24"/>
          <w:szCs w:val="24"/>
        </w:rPr>
        <w:t>TRANSPOSITION OF DIRECTIVES</w:t>
      </w:r>
    </w:p>
    <w:p>
      <w:pPr>
        <w:numPr>
          <w:ilvl w:val="0"/>
          <w:numId w:val="80"/>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602480" cy="2080260"/>
            <wp:effectExtent l="0" t="0" r="26670" b="15240"/>
            <wp:docPr id="35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spacing w:after="0"/>
        <w:jc w:val="left"/>
        <w:rPr>
          <w:noProof/>
          <w:color w:val="002060"/>
          <w:szCs w:val="22"/>
        </w:rPr>
      </w:pPr>
      <w:r>
        <w:rPr>
          <w:noProof/>
          <w:color w:val="002060"/>
          <w:szCs w:val="22"/>
        </w:rPr>
        <w:br w:type="page"/>
      </w:r>
    </w:p>
    <w:p>
      <w:pPr>
        <w:numPr>
          <w:ilvl w:val="0"/>
          <w:numId w:val="80"/>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noProof/>
          <w:sz w:val="20"/>
        </w:rPr>
      </w:pPr>
      <w:r>
        <w:rPr>
          <w:rFonts w:ascii="Verdana" w:hAnsi="Verdana"/>
          <w:noProof/>
          <w:sz w:val="20"/>
          <w:lang w:val="en-US"/>
        </w:rPr>
        <w:drawing>
          <wp:inline distT="0" distB="0" distL="0" distR="0">
            <wp:extent cx="4587240" cy="2293620"/>
            <wp:effectExtent l="0" t="0" r="22860" b="11430"/>
            <wp:docPr id="3"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numPr>
          <w:ilvl w:val="0"/>
          <w:numId w:val="80"/>
        </w:numPr>
        <w:spacing w:after="60"/>
        <w:jc w:val="left"/>
        <w:outlineLvl w:val="1"/>
        <w:rPr>
          <w:noProof/>
          <w:color w:val="002060"/>
          <w:szCs w:val="22"/>
        </w:rPr>
      </w:pPr>
      <w:r>
        <w:rPr>
          <w:noProof/>
          <w:color w:val="002060"/>
          <w:szCs w:val="22"/>
        </w:rPr>
        <w:t>Key infringement cases and referrals to the Court</w:t>
      </w:r>
    </w:p>
    <w:p>
      <w:pPr>
        <w:numPr>
          <w:ilvl w:val="0"/>
          <w:numId w:val="126"/>
        </w:numPr>
        <w:spacing w:after="120"/>
        <w:ind w:hanging="426"/>
        <w:rPr>
          <w:rFonts w:eastAsia="Calibri" w:cs="Arial"/>
          <w:noProof/>
          <w:kern w:val="20"/>
          <w:sz w:val="20"/>
        </w:rPr>
      </w:pPr>
      <w:r>
        <w:rPr>
          <w:rFonts w:eastAsia="Calibri" w:cs="Arial"/>
          <w:noProof/>
          <w:kern w:val="20"/>
          <w:sz w:val="20"/>
        </w:rPr>
        <w:t>The Commission opened 147 cases for late transposition in 2016. Most concern:</w:t>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Directives on the quality and safety of imported human tissues and cells (52 cases);</w:t>
      </w:r>
      <w:r>
        <w:rPr>
          <w:rStyle w:val="FootnoteReference"/>
          <w:rFonts w:eastAsia="Calibri" w:cs="Arial"/>
          <w:noProof/>
          <w:kern w:val="20"/>
          <w:sz w:val="20"/>
        </w:rPr>
        <w:footnoteReference w:id="220"/>
      </w:r>
    </w:p>
    <w:p>
      <w:pPr>
        <w:numPr>
          <w:ilvl w:val="0"/>
          <w:numId w:val="25"/>
        </w:numPr>
        <w:spacing w:after="120"/>
        <w:ind w:left="2132" w:hanging="425"/>
        <w:rPr>
          <w:rFonts w:eastAsia="Calibri" w:cs="Arial"/>
          <w:noProof/>
          <w:kern w:val="20"/>
          <w:sz w:val="20"/>
        </w:rPr>
      </w:pPr>
      <w:r>
        <w:rPr>
          <w:rFonts w:eastAsia="Calibri" w:cs="Arial"/>
          <w:noProof/>
          <w:kern w:val="20"/>
          <w:sz w:val="20"/>
        </w:rPr>
        <w:t>the Tobacco Products Directives (31 cases).</w:t>
      </w:r>
      <w:r>
        <w:rPr>
          <w:rStyle w:val="FootnoteReference"/>
          <w:rFonts w:eastAsia="Calibri" w:cs="Arial"/>
          <w:noProof/>
          <w:kern w:val="20"/>
          <w:sz w:val="20"/>
        </w:rPr>
        <w:footnoteReference w:id="221"/>
      </w:r>
    </w:p>
    <w:p>
      <w:pPr>
        <w:numPr>
          <w:ilvl w:val="0"/>
          <w:numId w:val="126"/>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ind w:left="720"/>
        <w:rPr>
          <w:rFonts w:cs="Arial"/>
          <w:noProof/>
          <w:sz w:val="20"/>
        </w:rPr>
      </w:pPr>
      <w:r>
        <w:rPr>
          <w:rFonts w:cs="Arial"/>
          <w:noProof/>
          <w:sz w:val="20"/>
        </w:rPr>
        <w:t>These concerned:</w:t>
      </w:r>
    </w:p>
    <w:p>
      <w:pPr>
        <w:numPr>
          <w:ilvl w:val="0"/>
          <w:numId w:val="25"/>
        </w:numPr>
        <w:spacing w:after="200"/>
        <w:ind w:left="1418"/>
        <w:contextualSpacing/>
        <w:rPr>
          <w:rFonts w:eastAsia="Calibri" w:cs="Arial"/>
          <w:noProof/>
          <w:kern w:val="20"/>
          <w:sz w:val="20"/>
        </w:rPr>
      </w:pPr>
      <w:r>
        <w:rPr>
          <w:rFonts w:eastAsia="Calibri" w:cs="Arial"/>
          <w:i/>
          <w:noProof/>
          <w:kern w:val="20"/>
          <w:sz w:val="20"/>
        </w:rPr>
        <w:t>Poland</w:t>
      </w:r>
      <w:r>
        <w:rPr>
          <w:rFonts w:eastAsia="Calibri" w:cs="Arial"/>
          <w:noProof/>
          <w:kern w:val="20"/>
          <w:sz w:val="20"/>
        </w:rPr>
        <w:t xml:space="preserve">: non-conformity of national legislation with the Directive on the </w:t>
      </w:r>
      <w:r>
        <w:rPr>
          <w:noProof/>
          <w:sz w:val="20"/>
        </w:rPr>
        <w:t>quality and safety of blood and blood components</w:t>
      </w:r>
      <w:r>
        <w:rPr>
          <w:rFonts w:eastAsia="Calibri" w:cs="Arial"/>
          <w:noProof/>
          <w:kern w:val="20"/>
          <w:sz w:val="20"/>
        </w:rPr>
        <w:t>;</w:t>
      </w:r>
      <w:r>
        <w:rPr>
          <w:rStyle w:val="FootnoteReference"/>
          <w:rFonts w:eastAsia="Calibri" w:cs="Arial"/>
          <w:noProof/>
          <w:kern w:val="20"/>
          <w:sz w:val="20"/>
        </w:rPr>
        <w:footnoteReference w:id="222"/>
      </w:r>
    </w:p>
    <w:p>
      <w:pPr>
        <w:numPr>
          <w:ilvl w:val="0"/>
          <w:numId w:val="25"/>
        </w:numPr>
        <w:spacing w:after="200"/>
        <w:ind w:left="1418"/>
        <w:contextualSpacing/>
        <w:rPr>
          <w:rFonts w:eastAsia="Calibri" w:cs="Arial"/>
          <w:noProof/>
          <w:kern w:val="20"/>
          <w:sz w:val="20"/>
        </w:rPr>
      </w:pPr>
      <w:r>
        <w:rPr>
          <w:i/>
          <w:noProof/>
          <w:sz w:val="20"/>
        </w:rPr>
        <w:t xml:space="preserve">Portugal and Finland: </w:t>
      </w:r>
      <w:r>
        <w:rPr>
          <w:noProof/>
          <w:sz w:val="20"/>
        </w:rPr>
        <w:t>failure to apply correctly the Directive on the protection of pigs as regards group housing of sows.</w:t>
      </w:r>
      <w:r>
        <w:rPr>
          <w:rStyle w:val="FootnoteReference"/>
          <w:noProof/>
        </w:rPr>
        <w:footnoteReference w:id="223"/>
      </w:r>
    </w:p>
    <w:p>
      <w:pPr>
        <w:spacing w:after="200"/>
        <w:ind w:left="2132"/>
        <w:contextualSpacing/>
        <w:rPr>
          <w:rFonts w:eastAsia="Calibri" w:cs="Arial"/>
          <w:noProof/>
          <w:kern w:val="20"/>
          <w:sz w:val="20"/>
        </w:rPr>
      </w:pPr>
    </w:p>
    <w:p>
      <w:pPr>
        <w:numPr>
          <w:ilvl w:val="0"/>
          <w:numId w:val="30"/>
        </w:numPr>
        <w:spacing w:after="120"/>
        <w:ind w:left="714" w:hanging="357"/>
        <w:rPr>
          <w:caps/>
          <w:noProof/>
          <w:color w:val="4F81BD"/>
          <w:sz w:val="24"/>
          <w:szCs w:val="24"/>
        </w:rPr>
      </w:pPr>
      <w:r>
        <w:rPr>
          <w:caps/>
          <w:noProof/>
          <w:color w:val="4F81BD"/>
          <w:sz w:val="24"/>
          <w:szCs w:val="24"/>
        </w:rPr>
        <w:t>IMPORTANT JUDGMENTS</w:t>
      </w:r>
    </w:p>
    <w:p>
      <w:pPr>
        <w:numPr>
          <w:ilvl w:val="0"/>
          <w:numId w:val="81"/>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224"/>
      </w:r>
    </w:p>
    <w:p>
      <w:pPr>
        <w:pStyle w:val="Lijstje2"/>
        <w:numPr>
          <w:ilvl w:val="0"/>
          <w:numId w:val="0"/>
        </w:numPr>
        <w:ind w:left="1166" w:hanging="360"/>
        <w:rPr>
          <w:rFonts w:ascii="Arial" w:eastAsia="Times New Roman" w:hAnsi="Arial" w:cs="Arial"/>
          <w:noProof/>
          <w:kern w:val="0"/>
          <w:lang w:val="en-GB"/>
        </w:rPr>
      </w:pPr>
      <w:r>
        <w:rPr>
          <w:rFonts w:ascii="Arial" w:eastAsia="Times New Roman" w:hAnsi="Arial" w:cs="Arial"/>
          <w:noProof/>
          <w:kern w:val="0"/>
          <w:lang w:val="en-GB"/>
        </w:rPr>
        <w:t>There were no major Court rulings in 2016</w:t>
      </w:r>
      <w:r>
        <w:rPr>
          <w:rFonts w:ascii="Arial" w:hAnsi="Arial" w:cs="Arial"/>
          <w:noProof/>
          <w:lang w:val="en-GB"/>
        </w:rPr>
        <w:t xml:space="preserve"> in this area</w:t>
      </w:r>
      <w:r>
        <w:rPr>
          <w:rFonts w:ascii="Arial" w:eastAsia="Times New Roman" w:hAnsi="Arial" w:cs="Arial"/>
          <w:noProof/>
          <w:kern w:val="0"/>
          <w:lang w:val="en-GB"/>
        </w:rPr>
        <w:t>.</w:t>
      </w:r>
    </w:p>
    <w:p>
      <w:pPr>
        <w:numPr>
          <w:ilvl w:val="0"/>
          <w:numId w:val="81"/>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pStyle w:val="Lijstje2"/>
        <w:ind w:left="1418"/>
        <w:rPr>
          <w:rFonts w:eastAsia="Times New Roman"/>
          <w:noProof/>
          <w:kern w:val="0"/>
          <w:sz w:val="22"/>
          <w:lang w:val="en-GB"/>
        </w:rPr>
      </w:pPr>
      <w:r>
        <w:rPr>
          <w:rFonts w:ascii="Arial" w:hAnsi="Arial" w:cs="Arial"/>
          <w:i/>
          <w:noProof/>
          <w:lang w:val="en-GB"/>
        </w:rPr>
        <w:t>Italy:</w:t>
      </w:r>
      <w:r>
        <w:rPr>
          <w:rFonts w:ascii="Arial" w:hAnsi="Arial" w:cs="Arial"/>
          <w:noProof/>
          <w:lang w:val="en-GB"/>
        </w:rPr>
        <w:t xml:space="preserve"> The</w:t>
      </w:r>
      <w:r>
        <w:rPr>
          <w:noProof/>
          <w:lang w:val="en-GB"/>
        </w:rPr>
        <w:t xml:space="preserve"> </w:t>
      </w:r>
      <w:r>
        <w:rPr>
          <w:rFonts w:ascii="Arial" w:hAnsi="Arial" w:cs="Arial"/>
          <w:noProof/>
          <w:lang w:val="en-GB"/>
        </w:rPr>
        <w:t xml:space="preserve">Commission may require Member States to remove all plants capable of being infected by the </w:t>
      </w:r>
      <w:r>
        <w:rPr>
          <w:rFonts w:ascii="Arial" w:hAnsi="Arial" w:cs="Arial"/>
          <w:i/>
          <w:noProof/>
          <w:lang w:val="en-GB"/>
        </w:rPr>
        <w:t>Xylella fastidiosa</w:t>
      </w:r>
      <w:r>
        <w:rPr>
          <w:rFonts w:ascii="Arial" w:hAnsi="Arial" w:cs="Arial"/>
          <w:noProof/>
          <w:lang w:val="en-GB"/>
        </w:rPr>
        <w:t xml:space="preserve"> bacterium, even when there are no symptoms of infection, when such plants are in the vicinity of plants already affected by the bacterium. This measure is proportionate to the objective of protecting plant health in the EU and is justified by the precautionary principle, taking into consideration the scientific evidence available to the Commission when the measure was adopted</w:t>
      </w:r>
      <w:r>
        <w:rPr>
          <w:rStyle w:val="FootnoteReference"/>
          <w:rFonts w:ascii="Arial" w:hAnsi="Arial" w:cs="Arial"/>
          <w:noProof/>
          <w:lang w:val="en-GB"/>
        </w:rPr>
        <w:footnoteReference w:id="225"/>
      </w:r>
      <w:r>
        <w:rPr>
          <w:rFonts w:ascii="Arial" w:hAnsi="Arial" w:cs="Arial"/>
          <w:noProof/>
          <w:lang w:val="en-GB"/>
        </w:rPr>
        <w:t>;</w:t>
      </w:r>
    </w:p>
    <w:p>
      <w:pPr>
        <w:pStyle w:val="Lijstje2"/>
        <w:numPr>
          <w:ilvl w:val="0"/>
          <w:numId w:val="147"/>
        </w:numPr>
        <w:rPr>
          <w:rFonts w:ascii="Arial" w:hAnsi="Arial" w:cs="Arial"/>
          <w:noProof/>
          <w:lang w:val="en-GB"/>
        </w:rPr>
      </w:pPr>
      <w:r>
        <w:rPr>
          <w:rFonts w:ascii="Arial" w:hAnsi="Arial" w:cs="Arial"/>
          <w:i/>
          <w:noProof/>
          <w:lang w:val="en-GB"/>
        </w:rPr>
        <w:t xml:space="preserve">Germany: </w:t>
      </w:r>
      <w:r>
        <w:rPr>
          <w:rFonts w:ascii="Arial" w:hAnsi="Arial" w:cs="Arial"/>
          <w:noProof/>
          <w:lang w:val="en-GB"/>
        </w:rPr>
        <w:t>The labelling, presentation and advertising of foodstuffs Directive</w:t>
      </w:r>
      <w:r>
        <w:rPr>
          <w:rFonts w:ascii="Arial" w:hAnsi="Arial" w:cs="Arial"/>
          <w:noProof/>
          <w:vertAlign w:val="superscript"/>
        </w:rPr>
        <w:footnoteReference w:id="226"/>
      </w:r>
      <w:r>
        <w:rPr>
          <w:rFonts w:ascii="Arial" w:hAnsi="Arial" w:cs="Arial"/>
          <w:noProof/>
          <w:lang w:val="en-GB"/>
        </w:rPr>
        <w:t xml:space="preserve"> must be interpreted as meaning that each of the individual portions of honey presented in the form of portion-cups closed by an aluminium seal and packed in cartons supplied to mass caterers constitutes a ‘pre-packaged foodstuff’ where the mass caterers sell those portions separately or offer them for sale to the ultimate consumer as part of pre-prepared meals for an all-inclusive price</w:t>
      </w:r>
      <w:r>
        <w:rPr>
          <w:rFonts w:ascii="Arial" w:hAnsi="Arial" w:cs="Arial"/>
          <w:noProof/>
          <w:vertAlign w:val="superscript"/>
        </w:rPr>
        <w:footnoteReference w:id="227"/>
      </w:r>
      <w:r>
        <w:rPr>
          <w:rFonts w:ascii="Arial" w:hAnsi="Arial" w:cs="Arial"/>
          <w:noProof/>
          <w:lang w:val="en-GB"/>
        </w:rPr>
        <w:t>; and</w:t>
      </w:r>
    </w:p>
    <w:p>
      <w:pPr>
        <w:pStyle w:val="Lijstje2"/>
        <w:numPr>
          <w:ilvl w:val="0"/>
          <w:numId w:val="147"/>
        </w:numPr>
        <w:rPr>
          <w:rFonts w:ascii="Arial" w:hAnsi="Arial" w:cs="Arial"/>
          <w:noProof/>
          <w:lang w:val="en-GB"/>
        </w:rPr>
      </w:pPr>
      <w:r>
        <w:rPr>
          <w:rFonts w:ascii="Arial" w:hAnsi="Arial" w:cs="Arial"/>
          <w:i/>
          <w:noProof/>
          <w:lang w:val="en-GB"/>
        </w:rPr>
        <w:t xml:space="preserve">Germany: </w:t>
      </w:r>
      <w:r>
        <w:rPr>
          <w:rFonts w:ascii="Arial" w:hAnsi="Arial" w:cs="Arial"/>
          <w:noProof/>
          <w:lang w:val="en-GB"/>
        </w:rPr>
        <w:t>Regulation (EC) No 258/97 concerning novel foods and novel food ingredients, must be interpreted as meaning that the expression ‘new primary molecular structure’ relates to foods or food ingredients which were not used for human consumption in the territory of the European Union before 15 May 1997.</w:t>
      </w:r>
      <w:r>
        <w:rPr>
          <w:rFonts w:ascii="Arial" w:hAnsi="Arial" w:cs="Arial"/>
          <w:noProof/>
          <w:vertAlign w:val="superscript"/>
        </w:rPr>
        <w:footnoteReference w:id="228"/>
      </w:r>
    </w:p>
    <w:p>
      <w:pPr>
        <w:numPr>
          <w:ilvl w:val="0"/>
          <w:numId w:val="30"/>
        </w:numPr>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2017 includes:</w:t>
      </w:r>
    </w:p>
    <w:p>
      <w:pPr>
        <w:numPr>
          <w:ilvl w:val="0"/>
          <w:numId w:val="27"/>
        </w:numPr>
        <w:ind w:left="1276"/>
        <w:contextualSpacing/>
        <w:rPr>
          <w:rFonts w:eastAsia="Calibri" w:cs="Arial"/>
          <w:noProof/>
          <w:color w:val="000000"/>
          <w:kern w:val="20"/>
          <w:sz w:val="20"/>
          <w:lang w:eastAsia="en-GB"/>
        </w:rPr>
      </w:pPr>
      <w:r>
        <w:rPr>
          <w:rFonts w:eastAsia="Calibri" w:cs="Arial"/>
          <w:noProof/>
          <w:kern w:val="20"/>
          <w:sz w:val="20"/>
        </w:rPr>
        <w:t xml:space="preserve">checking the compliance of national transposition measures with the Cross-Border Healthcare and </w:t>
      </w:r>
      <w:r>
        <w:rPr>
          <w:rFonts w:cs="Arial"/>
          <w:noProof/>
          <w:sz w:val="20"/>
        </w:rPr>
        <w:t>Tobacco Products Directive</w:t>
      </w:r>
      <w:r>
        <w:rPr>
          <w:rFonts w:eastAsia="Calibri" w:cs="Arial"/>
          <w:noProof/>
          <w:kern w:val="20"/>
          <w:sz w:val="20"/>
        </w:rPr>
        <w:t>s</w:t>
      </w:r>
      <w:r>
        <w:rPr>
          <w:rFonts w:cs="Arial"/>
          <w:noProof/>
          <w:sz w:val="20"/>
        </w:rPr>
        <w:t>;</w:t>
      </w:r>
      <w:r>
        <w:rPr>
          <w:rStyle w:val="FootnoteReference"/>
          <w:rFonts w:cs="Arial"/>
          <w:noProof/>
          <w:sz w:val="20"/>
        </w:rPr>
        <w:footnoteReference w:id="229"/>
      </w:r>
    </w:p>
    <w:p>
      <w:pPr>
        <w:numPr>
          <w:ilvl w:val="0"/>
          <w:numId w:val="27"/>
        </w:numPr>
        <w:ind w:left="1276"/>
        <w:contextualSpacing/>
        <w:rPr>
          <w:rFonts w:eastAsia="Calibri" w:cs="Arial"/>
          <w:noProof/>
          <w:color w:val="000000"/>
          <w:kern w:val="20"/>
          <w:sz w:val="20"/>
          <w:lang w:eastAsia="en-GB"/>
        </w:rPr>
      </w:pPr>
      <w:r>
        <w:rPr>
          <w:rFonts w:cs="Arial"/>
          <w:noProof/>
          <w:sz w:val="20"/>
        </w:rPr>
        <w:t>continuing to monitor plant health-related cases, in particular</w:t>
      </w:r>
      <w:r>
        <w:rPr>
          <w:rFonts w:cs="Arial"/>
          <w:i/>
          <w:noProof/>
          <w:sz w:val="20"/>
        </w:rPr>
        <w:t xml:space="preserve"> Xylella fastidiosa </w:t>
      </w:r>
      <w:r>
        <w:rPr>
          <w:rFonts w:cs="Arial"/>
          <w:noProof/>
          <w:sz w:val="20"/>
        </w:rPr>
        <w:t xml:space="preserve">in Italy and the </w:t>
      </w:r>
      <w:r>
        <w:rPr>
          <w:rFonts w:cs="Arial"/>
          <w:i/>
          <w:noProof/>
          <w:sz w:val="20"/>
        </w:rPr>
        <w:t>Pinewood Nematode</w:t>
      </w:r>
      <w:r>
        <w:rPr>
          <w:rFonts w:cs="Arial"/>
          <w:noProof/>
          <w:sz w:val="20"/>
        </w:rPr>
        <w:t xml:space="preserve"> in Portugal</w:t>
      </w:r>
      <w:r>
        <w:rPr>
          <w:rFonts w:eastAsia="Calibri" w:cs="Arial"/>
          <w:noProof/>
          <w:kern w:val="20"/>
          <w:sz w:val="20"/>
        </w:rPr>
        <w:t>.</w:t>
      </w:r>
    </w:p>
    <w:p>
      <w:pPr>
        <w:ind w:left="1276"/>
        <w:contextualSpacing/>
        <w:rPr>
          <w:rFonts w:eastAsia="Calibri" w:cs="Arial"/>
          <w:noProof/>
          <w:color w:val="000000"/>
          <w:kern w:val="20"/>
          <w:sz w:val="20"/>
          <w:lang w:eastAsia="en-GB"/>
        </w:rPr>
      </w:pPr>
    </w:p>
    <w:p>
      <w:pPr>
        <w:rPr>
          <w:rFonts w:cs="Arial"/>
          <w:noProof/>
          <w:sz w:val="20"/>
        </w:rPr>
        <w:sectPr>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65" w:name="_Toc443057941"/>
      <w:bookmarkStart w:id="66" w:name="_Toc475524737"/>
      <w:bookmarkStart w:id="67" w:name="_Toc475529504"/>
      <w:bookmarkStart w:id="68" w:name="_Toc475529543"/>
      <w:bookmarkStart w:id="69" w:name="_Toc475529871"/>
      <w:bookmarkStart w:id="70" w:name="_Toc475550836"/>
      <w:bookmarkStart w:id="71" w:name="_Toc475551376"/>
      <w:bookmarkStart w:id="72" w:name="_Toc484622465"/>
      <w:r>
        <w:rPr>
          <w:noProof/>
        </w:rPr>
        <w:t>Internal market, industry, entrepreneurship and SMES</w:t>
      </w:r>
      <w:bookmarkEnd w:id="65"/>
      <w:bookmarkEnd w:id="66"/>
      <w:bookmarkEnd w:id="67"/>
      <w:bookmarkEnd w:id="68"/>
      <w:bookmarkEnd w:id="69"/>
      <w:bookmarkEnd w:id="70"/>
      <w:bookmarkEnd w:id="71"/>
      <w:bookmarkEnd w:id="72"/>
    </w:p>
    <w:p>
      <w:pPr>
        <w:rPr>
          <w:i/>
          <w:noProof/>
          <w:szCs w:val="22"/>
        </w:rPr>
      </w:pPr>
      <w:r>
        <w:rPr>
          <w:i/>
          <w:noProof/>
          <w:szCs w:val="22"/>
        </w:rPr>
        <w:t>In 2016 new complaints received in the area of internal market, industry entrepreneurship and SMEs fell, while the number of new EU Pilot files was broadly stable. Infringement cases pending at the end of 2016 were more than double the level of a year earlier, with a parallel increase in new infringement procedures opened for late transposition of directives.</w:t>
      </w:r>
      <w:r>
        <w:rPr>
          <w:rStyle w:val="FootnoteReference"/>
          <w:i/>
          <w:noProof/>
          <w:szCs w:val="22"/>
        </w:rPr>
        <w:footnoteReference w:id="230"/>
      </w:r>
    </w:p>
    <w:p>
      <w:pPr>
        <w:pStyle w:val="Title1"/>
        <w:numPr>
          <w:ilvl w:val="0"/>
          <w:numId w:val="46"/>
        </w:numPr>
        <w:spacing w:after="120"/>
        <w:ind w:left="714" w:hanging="357"/>
        <w:rPr>
          <w:noProof/>
        </w:rPr>
      </w:pPr>
      <w:r>
        <w:rPr>
          <w:noProof/>
        </w:rPr>
        <w:t>COMPLAINTS</w:t>
      </w:r>
    </w:p>
    <w:p>
      <w:pPr>
        <w:numPr>
          <w:ilvl w:val="0"/>
          <w:numId w:val="82"/>
        </w:numPr>
        <w:spacing w:after="60"/>
        <w:jc w:val="left"/>
        <w:outlineLvl w:val="1"/>
        <w:rPr>
          <w:noProof/>
          <w:color w:val="002060"/>
          <w:szCs w:val="22"/>
        </w:rPr>
      </w:pPr>
      <w:r>
        <w:rPr>
          <w:noProof/>
          <w:color w:val="002060"/>
          <w:szCs w:val="22"/>
        </w:rPr>
        <w:t>New complaints received from members of the public (2015-2016)</w:t>
      </w:r>
    </w:p>
    <w:p>
      <w:pPr>
        <w:ind w:left="720"/>
        <w:rPr>
          <w:noProof/>
        </w:rPr>
      </w:pPr>
      <w:r>
        <w:rPr>
          <w:noProof/>
          <w:sz w:val="20"/>
        </w:rPr>
        <w:t>The Commission received 483 complaints from the members of the public in the area of internal market, industry, entrepreneurship and SMEs.</w:t>
      </w:r>
    </w:p>
    <w:p>
      <w:pPr>
        <w:numPr>
          <w:ilvl w:val="0"/>
          <w:numId w:val="82"/>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431"/>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527</w:t>
            </w:r>
          </w:p>
        </w:tc>
        <w:tc>
          <w:tcPr>
            <w:tcW w:w="43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483</w:t>
            </w:r>
          </w:p>
        </w:tc>
        <w:tc>
          <w:tcPr>
            <w:tcW w:w="43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379</w:t>
            </w:r>
          </w:p>
        </w:tc>
        <w:tc>
          <w:tcPr>
            <w:tcW w:w="43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FF0000"/>
                <w:szCs w:val="28"/>
              </w:rPr>
              <w:t>631</w:t>
            </w:r>
          </w:p>
        </w:tc>
        <w:tc>
          <w:tcPr>
            <w:tcW w:w="43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rPr>
          <w:rFonts w:ascii="Verdana" w:hAnsi="Verdana"/>
          <w:noProof/>
          <w:sz w:val="18"/>
        </w:rPr>
      </w:pPr>
    </w:p>
    <w:p>
      <w:pPr>
        <w:numPr>
          <w:ilvl w:val="0"/>
          <w:numId w:val="82"/>
        </w:numPr>
        <w:spacing w:after="120"/>
        <w:ind w:left="714" w:hanging="357"/>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53640"/>
            <wp:effectExtent l="0" t="0" r="22860" b="22860"/>
            <wp:docPr id="5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Title1"/>
        <w:numPr>
          <w:ilvl w:val="0"/>
          <w:numId w:val="46"/>
        </w:numPr>
        <w:rPr>
          <w:noProof/>
        </w:rPr>
      </w:pPr>
      <w:r>
        <w:rPr>
          <w:noProof/>
        </w:rPr>
        <w:t>EU PILOT</w:t>
      </w:r>
    </w:p>
    <w:p>
      <w:pPr>
        <w:numPr>
          <w:ilvl w:val="0"/>
          <w:numId w:val="83"/>
        </w:numPr>
        <w:spacing w:after="60"/>
        <w:jc w:val="left"/>
        <w:outlineLvl w:val="1"/>
        <w:rPr>
          <w:noProof/>
          <w:color w:val="002060"/>
          <w:szCs w:val="22"/>
        </w:rPr>
      </w:pPr>
      <w:r>
        <w:rPr>
          <w:noProof/>
          <w:color w:val="002060"/>
          <w:szCs w:val="22"/>
        </w:rPr>
        <w:t>New EU Pilot files (2015-2016)</w:t>
      </w:r>
    </w:p>
    <w:p>
      <w:pPr>
        <w:ind w:left="360"/>
        <w:rPr>
          <w:noProof/>
          <w:sz w:val="20"/>
        </w:rPr>
      </w:pPr>
      <w:r>
        <w:rPr>
          <w:noProof/>
          <w:sz w:val="20"/>
        </w:rPr>
        <w:t>In 2016 the Commission opened 111 new EU Pilot files in this area, against 107 in 2015.</w:t>
      </w:r>
    </w:p>
    <w:p>
      <w:pPr>
        <w:numPr>
          <w:ilvl w:val="0"/>
          <w:numId w:val="83"/>
        </w:numPr>
        <w:spacing w:after="60"/>
        <w:jc w:val="left"/>
        <w:outlineLvl w:val="1"/>
        <w:rPr>
          <w:noProof/>
          <w:color w:val="002060"/>
          <w:szCs w:val="22"/>
        </w:rPr>
      </w:pPr>
      <w:r>
        <w:rPr>
          <w:noProof/>
          <w:color w:val="002060"/>
          <w:szCs w:val="22"/>
        </w:rPr>
        <w:t>EU Pilot files open at year-end</w:t>
      </w:r>
      <w:r>
        <w:rPr>
          <w:rStyle w:val="FootnoteReference"/>
          <w:noProof/>
          <w:color w:val="002060"/>
          <w:szCs w:val="22"/>
        </w:rPr>
        <w:footnoteReference w:id="231"/>
      </w:r>
    </w:p>
    <w:p>
      <w:pPr>
        <w:ind w:firstLine="360"/>
        <w:rPr>
          <w:noProof/>
          <w:color w:val="002060"/>
          <w:sz w:val="20"/>
        </w:rPr>
      </w:pPr>
      <w:r>
        <w:rPr>
          <w:noProof/>
          <w:sz w:val="20"/>
        </w:rPr>
        <w:t>At the end of 2016, 143 EU Pilot files remained open.</w:t>
      </w:r>
    </w:p>
    <w:p>
      <w:pPr>
        <w:spacing w:after="0"/>
        <w:jc w:val="left"/>
        <w:rPr>
          <w:noProof/>
          <w:color w:val="002060"/>
          <w:szCs w:val="22"/>
        </w:rPr>
      </w:pPr>
      <w:r>
        <w:rPr>
          <w:noProof/>
          <w:color w:val="002060"/>
          <w:szCs w:val="22"/>
        </w:rPr>
        <w:br w:type="page"/>
      </w:r>
    </w:p>
    <w:p>
      <w:pPr>
        <w:numPr>
          <w:ilvl w:val="0"/>
          <w:numId w:val="83"/>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339340"/>
            <wp:effectExtent l="0" t="0" r="26670" b="22860"/>
            <wp:docPr id="5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numPr>
          <w:ilvl w:val="0"/>
          <w:numId w:val="83"/>
        </w:numPr>
        <w:spacing w:after="60"/>
        <w:jc w:val="left"/>
        <w:outlineLvl w:val="1"/>
        <w:rPr>
          <w:noProof/>
        </w:rPr>
      </w:pPr>
      <w:r>
        <w:rPr>
          <w:noProof/>
        </w:rPr>
        <w:t>EU Pilot files: resolution rate for policies (2015-2016)</w:t>
      </w:r>
    </w:p>
    <w:p>
      <w:pPr>
        <w:ind w:left="720"/>
        <w:rPr>
          <w:noProof/>
          <w:sz w:val="20"/>
        </w:rPr>
      </w:pPr>
      <w:r>
        <w:rPr>
          <w:noProof/>
          <w:sz w:val="20"/>
        </w:rPr>
        <w:t>The combined resolution rate for internal market, industry, entrepreneurship and SMEs in 2016 was 62 %. The general rate for all policy areas was 72 %.</w:t>
      </w:r>
    </w:p>
    <w:p>
      <w:pPr>
        <w:pStyle w:val="Title1"/>
        <w:numPr>
          <w:ilvl w:val="0"/>
          <w:numId w:val="46"/>
        </w:numPr>
        <w:rPr>
          <w:noProof/>
        </w:rPr>
      </w:pPr>
      <w:r>
        <w:rPr>
          <w:noProof/>
        </w:rPr>
        <w:t>OWN-INITIATIVE CASES</w:t>
      </w:r>
    </w:p>
    <w:p>
      <w:pPr>
        <w:spacing w:after="60"/>
        <w:ind w:left="360"/>
        <w:jc w:val="left"/>
        <w:outlineLvl w:val="1"/>
        <w:rPr>
          <w:noProof/>
          <w:color w:val="002060"/>
          <w:szCs w:val="22"/>
        </w:rPr>
      </w:pPr>
      <w:r>
        <w:rPr>
          <w:noProof/>
          <w:color w:val="002060"/>
          <w:szCs w:val="22"/>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0"/>
        <w:ind w:left="1417" w:hanging="357"/>
        <w:rPr>
          <w:rFonts w:ascii="Arial" w:hAnsi="Arial" w:cs="Arial"/>
          <w:noProof/>
          <w:lang w:val="en-GB"/>
        </w:rPr>
      </w:pPr>
      <w:r>
        <w:rPr>
          <w:rFonts w:ascii="Arial" w:hAnsi="Arial" w:cs="Arial"/>
          <w:noProof/>
          <w:lang w:val="en-GB"/>
        </w:rPr>
        <w:t>the automotive and mobility industries (7 cases);</w:t>
      </w:r>
      <w:r>
        <w:rPr>
          <w:rStyle w:val="FootnoteReference"/>
          <w:rFonts w:ascii="Arial" w:hAnsi="Arial" w:cs="Arial"/>
          <w:noProof/>
          <w:lang w:val="en-GB"/>
        </w:rPr>
        <w:footnoteReference w:id="232"/>
      </w:r>
    </w:p>
    <w:p>
      <w:pPr>
        <w:pStyle w:val="Basis"/>
        <w:numPr>
          <w:ilvl w:val="0"/>
          <w:numId w:val="33"/>
        </w:numPr>
        <w:ind w:left="1418"/>
        <w:rPr>
          <w:rFonts w:ascii="Arial" w:hAnsi="Arial" w:cs="Arial"/>
          <w:noProof/>
          <w:lang w:val="en-GB"/>
        </w:rPr>
      </w:pPr>
      <w:r>
        <w:rPr>
          <w:rFonts w:ascii="Arial" w:hAnsi="Arial" w:cs="Arial"/>
          <w:noProof/>
          <w:lang w:val="en-GB"/>
        </w:rPr>
        <w:t>horizontal legislation for goods and non-harmonised sectors on mutual recognition and surveillance (1 case).</w:t>
      </w:r>
    </w:p>
    <w:p>
      <w:pPr>
        <w:pStyle w:val="Title1"/>
        <w:numPr>
          <w:ilvl w:val="0"/>
          <w:numId w:val="46"/>
        </w:numPr>
        <w:rPr>
          <w:noProof/>
        </w:rPr>
      </w:pPr>
      <w:r>
        <w:rPr>
          <w:noProof/>
        </w:rPr>
        <w:t>INFRINGEMENT CASES</w:t>
      </w:r>
    </w:p>
    <w:p>
      <w:pPr>
        <w:numPr>
          <w:ilvl w:val="0"/>
          <w:numId w:val="84"/>
        </w:numPr>
        <w:spacing w:after="60"/>
        <w:jc w:val="left"/>
        <w:outlineLvl w:val="1"/>
        <w:rPr>
          <w:noProof/>
          <w:color w:val="002060"/>
          <w:szCs w:val="22"/>
        </w:rPr>
      </w:pPr>
      <w:r>
        <w:rPr>
          <w:noProof/>
          <w:color w:val="002060"/>
          <w:szCs w:val="22"/>
        </w:rPr>
        <w:t>Infringement cases open on 31 December (2015-2016)</w:t>
      </w:r>
    </w:p>
    <w:p>
      <w:pPr>
        <w:spacing w:after="120"/>
        <w:ind w:left="720"/>
        <w:rPr>
          <w:noProof/>
          <w:sz w:val="20"/>
        </w:rPr>
      </w:pPr>
      <w:r>
        <w:rPr>
          <w:noProof/>
          <w:sz w:val="20"/>
        </w:rPr>
        <w:t>There were 270 infringement cases open on 31 December 2016 in this area.</w:t>
      </w:r>
    </w:p>
    <w:p>
      <w:pPr>
        <w:numPr>
          <w:ilvl w:val="0"/>
          <w:numId w:val="84"/>
        </w:numPr>
        <w:spacing w:after="60"/>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53640"/>
            <wp:effectExtent l="0" t="0" r="22860" b="22860"/>
            <wp:docPr id="5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spacing w:after="60"/>
        <w:ind w:left="720"/>
        <w:jc w:val="left"/>
        <w:outlineLvl w:val="1"/>
        <w:rPr>
          <w:noProof/>
          <w:color w:val="002060"/>
          <w:szCs w:val="22"/>
        </w:rPr>
      </w:pPr>
    </w:p>
    <w:p>
      <w:pPr>
        <w:numPr>
          <w:ilvl w:val="0"/>
          <w:numId w:val="84"/>
        </w:numPr>
        <w:spacing w:after="60"/>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40580" cy="2255520"/>
            <wp:effectExtent l="0" t="0" r="26670" b="11430"/>
            <wp:docPr id="6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numPr>
          <w:ilvl w:val="0"/>
          <w:numId w:val="84"/>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5"/>
        </w:numPr>
        <w:spacing w:after="120"/>
        <w:ind w:hanging="426"/>
        <w:rPr>
          <w:rFonts w:ascii="Arial" w:hAnsi="Arial" w:cs="Arial"/>
          <w:noProof/>
          <w:lang w:val="en-GB"/>
        </w:rPr>
      </w:pPr>
      <w:r>
        <w:rPr>
          <w:rFonts w:ascii="Arial" w:hAnsi="Arial" w:cs="Arial"/>
          <w:noProof/>
          <w:lang w:val="en-GB"/>
        </w:rPr>
        <w:t>The Commission opened 292 new infringement cases in 2016. These, and other major ongoing infringement cases, include the following:</w:t>
      </w:r>
    </w:p>
    <w:p>
      <w:pPr>
        <w:pStyle w:val="Lijstje2"/>
        <w:ind w:left="2127"/>
        <w:rPr>
          <w:rFonts w:ascii="Arial" w:hAnsi="Arial" w:cs="Arial"/>
          <w:noProof/>
          <w:lang w:val="en-GB"/>
        </w:rPr>
      </w:pPr>
      <w:r>
        <w:rPr>
          <w:rFonts w:ascii="Arial" w:hAnsi="Arial" w:cs="Arial"/>
          <w:i/>
          <w:noProof/>
          <w:lang w:val="en-GB"/>
        </w:rPr>
        <w:t>Belgium, Denmark, Germany, Greece, Spain, Italy, Cyprus, Lithuania, Hungary, Austria, Poland: e</w:t>
      </w:r>
      <w:r>
        <w:rPr>
          <w:rFonts w:ascii="Arial" w:hAnsi="Arial" w:cs="Arial"/>
          <w:noProof/>
          <w:lang w:val="en-GB"/>
        </w:rPr>
        <w:t>xcessive and unjustified obstacles in the area of professional services that run counter to the Services Directive;</w:t>
      </w:r>
      <w:r>
        <w:rPr>
          <w:rStyle w:val="FootnoteReference"/>
          <w:noProof/>
          <w:lang w:val="en-GB"/>
        </w:rPr>
        <w:footnoteReference w:id="233"/>
      </w:r>
    </w:p>
    <w:p>
      <w:pPr>
        <w:pStyle w:val="Lijstje2"/>
        <w:ind w:left="2127"/>
        <w:rPr>
          <w:rFonts w:ascii="Arial" w:hAnsi="Arial" w:cs="Arial"/>
          <w:noProof/>
          <w:lang w:val="en-GB"/>
        </w:rPr>
      </w:pPr>
      <w:r>
        <w:rPr>
          <w:rFonts w:ascii="Arial" w:hAnsi="Arial" w:cs="Arial"/>
          <w:i/>
          <w:noProof/>
          <w:lang w:val="en-GB"/>
        </w:rPr>
        <w:t xml:space="preserve">Belgium, Bulgaria, the Czech Republic, Estonia, Spain, Ireland, Greece,, Croatia, Cyprus, Latvia, Lithuania, Luxembourg, Malta, Netherlands, Austria, Poland, Portugal, Romania, Slovenia, Finland, Sweden: </w:t>
      </w:r>
      <w:r>
        <w:rPr>
          <w:rFonts w:ascii="Arial" w:hAnsi="Arial" w:cs="Arial"/>
          <w:noProof/>
          <w:lang w:val="en-GB"/>
        </w:rPr>
        <w:t>failure to transpose in full one or more of the three Directives on public procurement and concessions;</w:t>
      </w:r>
      <w:r>
        <w:rPr>
          <w:rStyle w:val="FootnoteReference"/>
          <w:rFonts w:ascii="Arial" w:hAnsi="Arial" w:cs="Arial"/>
          <w:i/>
          <w:noProof/>
          <w:lang w:val="en-GB"/>
        </w:rPr>
        <w:footnoteReference w:id="234"/>
      </w:r>
    </w:p>
    <w:p>
      <w:pPr>
        <w:pStyle w:val="Lijstje2"/>
        <w:ind w:left="2127"/>
        <w:rPr>
          <w:rFonts w:ascii="Arial" w:hAnsi="Arial" w:cs="Arial"/>
          <w:noProof/>
          <w:lang w:val="en-GB"/>
        </w:rPr>
      </w:pPr>
      <w:r>
        <w:rPr>
          <w:rFonts w:ascii="Arial" w:hAnsi="Arial" w:cs="Arial"/>
          <w:i/>
          <w:noProof/>
          <w:lang w:val="en-GB"/>
        </w:rPr>
        <w:t xml:space="preserve">Czech Republic, Germany, Greece, Spain, Lithuania, Luxembourg, United Kingdom: </w:t>
      </w: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235"/>
      </w:r>
    </w:p>
    <w:p>
      <w:pPr>
        <w:pStyle w:val="Lijstje2"/>
        <w:ind w:left="2127"/>
        <w:rPr>
          <w:rFonts w:ascii="Arial" w:hAnsi="Arial" w:cs="Arial"/>
          <w:noProof/>
          <w:lang w:val="en-GB"/>
        </w:rPr>
      </w:pPr>
      <w:r>
        <w:rPr>
          <w:rFonts w:ascii="Arial" w:hAnsi="Arial" w:cs="Arial"/>
          <w:i/>
          <w:noProof/>
          <w:lang w:val="en-GB"/>
        </w:rPr>
        <w:t xml:space="preserve">Germany: </w:t>
      </w:r>
      <w:r>
        <w:rPr>
          <w:rFonts w:ascii="Arial" w:hAnsi="Arial" w:cs="Arial"/>
          <w:noProof/>
          <w:lang w:val="en-GB"/>
        </w:rPr>
        <w:t>limitation of approving certain motor vehicles to two specific technical testing centres, contrary to the Services Directive;</w:t>
      </w:r>
      <w:r>
        <w:rPr>
          <w:rStyle w:val="FootnoteReference"/>
          <w:rFonts w:ascii="Arial" w:hAnsi="Arial" w:cs="Arial"/>
          <w:noProof/>
          <w:lang w:val="en-GB"/>
        </w:rPr>
        <w:footnoteReference w:id="236"/>
      </w:r>
    </w:p>
    <w:p>
      <w:pPr>
        <w:pStyle w:val="Lijstje2"/>
        <w:ind w:left="2127"/>
        <w:rPr>
          <w:rFonts w:ascii="Arial" w:hAnsi="Arial" w:cs="Arial"/>
          <w:noProof/>
          <w:lang w:val="en-GB"/>
        </w:rPr>
      </w:pPr>
      <w:r>
        <w:rPr>
          <w:rFonts w:ascii="Arial" w:hAnsi="Arial" w:cs="Arial"/>
          <w:i/>
          <w:noProof/>
          <w:lang w:val="en-GB"/>
        </w:rPr>
        <w:t xml:space="preserve">Greece: </w:t>
      </w:r>
      <w:r>
        <w:rPr>
          <w:rFonts w:ascii="Arial" w:hAnsi="Arial" w:cs="Arial"/>
          <w:noProof/>
          <w:lang w:val="en-GB"/>
        </w:rPr>
        <w:t>excessive delays in the examination of applications for recognition of qualifications from other Member States;</w:t>
      </w:r>
      <w:r>
        <w:rPr>
          <w:rStyle w:val="FootnoteReference"/>
          <w:rFonts w:ascii="Arial" w:hAnsi="Arial" w:cs="Arial"/>
          <w:noProof/>
          <w:lang w:val="en-GB"/>
        </w:rPr>
        <w:footnoteReference w:id="237"/>
      </w:r>
    </w:p>
    <w:p>
      <w:pPr>
        <w:pStyle w:val="Lijstje2"/>
        <w:ind w:left="2127"/>
        <w:rPr>
          <w:rFonts w:ascii="Arial" w:hAnsi="Arial" w:cs="Arial"/>
          <w:noProof/>
          <w:lang w:val="en-GB"/>
        </w:rPr>
      </w:pPr>
      <w:r>
        <w:rPr>
          <w:rFonts w:ascii="Arial" w:hAnsi="Arial" w:cs="Arial"/>
          <w:i/>
          <w:noProof/>
          <w:lang w:val="en-GB"/>
        </w:rPr>
        <w:t>Croatia</w:t>
      </w:r>
      <w:r>
        <w:rPr>
          <w:rFonts w:ascii="Arial" w:hAnsi="Arial" w:cs="Arial"/>
          <w:noProof/>
          <w:lang w:val="en-GB"/>
        </w:rPr>
        <w:t>: discriminatory framework for the purchase of sport fishing licences to the disadvantage of non-residents, in breach of the Services Directive;</w:t>
      </w:r>
      <w:r>
        <w:rPr>
          <w:rStyle w:val="FootnoteReference"/>
          <w:rFonts w:ascii="Arial" w:hAnsi="Arial" w:cs="Arial"/>
          <w:noProof/>
          <w:lang w:val="en-GB"/>
        </w:rPr>
        <w:footnoteReference w:id="238"/>
      </w:r>
    </w:p>
    <w:p>
      <w:pPr>
        <w:pStyle w:val="Lijstje2"/>
        <w:ind w:left="2127"/>
        <w:rPr>
          <w:rFonts w:ascii="Arial" w:hAnsi="Arial" w:cs="Arial"/>
          <w:noProof/>
          <w:lang w:val="en-GB"/>
        </w:rPr>
      </w:pPr>
      <w:r>
        <w:rPr>
          <w:rFonts w:ascii="Arial" w:hAnsi="Arial" w:cs="Arial"/>
          <w:i/>
          <w:noProof/>
          <w:lang w:val="en-GB"/>
        </w:rPr>
        <w:t>Slovakia</w:t>
      </w:r>
      <w:r>
        <w:rPr>
          <w:rFonts w:ascii="Arial" w:hAnsi="Arial" w:cs="Arial"/>
          <w:noProof/>
          <w:lang w:val="en-GB"/>
        </w:rPr>
        <w:t>: incorrect implementation of the Remedies Directive.</w:t>
      </w:r>
      <w:r>
        <w:rPr>
          <w:rStyle w:val="FootnoteReference"/>
          <w:rFonts w:ascii="Arial" w:hAnsi="Arial" w:cs="Arial"/>
          <w:noProof/>
          <w:lang w:val="en-GB"/>
        </w:rPr>
        <w:footnoteReference w:id="239"/>
      </w:r>
    </w:p>
    <w:p>
      <w:pPr>
        <w:pStyle w:val="Lijstje"/>
        <w:numPr>
          <w:ilvl w:val="0"/>
          <w:numId w:val="115"/>
        </w:numPr>
        <w:spacing w:after="120"/>
        <w:ind w:left="1412" w:hanging="426"/>
        <w:rPr>
          <w:rFonts w:ascii="Arial" w:hAnsi="Arial"/>
          <w:noProof/>
          <w:lang w:val="en-GB"/>
        </w:rPr>
      </w:pPr>
      <w:r>
        <w:rPr>
          <w:rFonts w:ascii="Arial" w:hAnsi="Arial"/>
          <w:noProof/>
          <w:lang w:val="en-GB"/>
        </w:rPr>
        <w:t>The Commission referred two cases to the Court under Article 258 TFEU. They concern:</w:t>
      </w:r>
    </w:p>
    <w:p>
      <w:pPr>
        <w:pStyle w:val="Lijstje2"/>
        <w:ind w:left="2127"/>
        <w:rPr>
          <w:rFonts w:ascii="Arial" w:hAnsi="Arial" w:cs="Arial"/>
          <w:noProof/>
          <w:lang w:val="en-GB"/>
        </w:rPr>
      </w:pPr>
      <w:r>
        <w:rPr>
          <w:rFonts w:ascii="Arial" w:hAnsi="Arial" w:cs="Arial"/>
          <w:i/>
          <w:noProof/>
          <w:lang w:val="en-GB"/>
        </w:rPr>
        <w:t xml:space="preserve">Czech Republic: </w:t>
      </w:r>
      <w:r>
        <w:rPr>
          <w:rFonts w:ascii="Arial" w:hAnsi="Arial" w:cs="Arial"/>
          <w:noProof/>
          <w:lang w:val="en-GB"/>
        </w:rPr>
        <w:t>the condition of nationality laid down for the exercise of the profession of notary in the Czech legal system is discriminatory and constitutes a disproportionate restriction of the freedom of establishment</w:t>
      </w:r>
      <w:r>
        <w:rPr>
          <w:rFonts w:ascii="Arial" w:hAnsi="Arial" w:cs="Arial"/>
          <w:i/>
          <w:noProof/>
          <w:lang w:val="en-GB"/>
        </w:rPr>
        <w:t>.</w:t>
      </w:r>
      <w:r>
        <w:rPr>
          <w:rStyle w:val="FootnoteReference"/>
          <w:rFonts w:ascii="Arial" w:hAnsi="Arial" w:cs="Arial"/>
          <w:noProof/>
          <w:lang w:val="en-GB"/>
        </w:rPr>
        <w:footnoteReference w:id="240"/>
      </w:r>
    </w:p>
    <w:p>
      <w:pPr>
        <w:pStyle w:val="Lijstje2"/>
        <w:ind w:left="2127"/>
        <w:rPr>
          <w:rFonts w:ascii="Arial" w:hAnsi="Arial" w:cs="Arial"/>
          <w:noProof/>
          <w:lang w:val="en-GB"/>
        </w:rPr>
      </w:pPr>
      <w:r>
        <w:rPr>
          <w:rFonts w:ascii="Arial" w:hAnsi="Arial" w:cs="Arial"/>
          <w:i/>
          <w:noProof/>
          <w:lang w:val="en-GB"/>
        </w:rPr>
        <w:t>Austria</w:t>
      </w:r>
      <w:r>
        <w:rPr>
          <w:rFonts w:ascii="Arial" w:hAnsi="Arial" w:cs="Arial"/>
          <w:noProof/>
          <w:lang w:val="en-GB"/>
        </w:rPr>
        <w:t>: direct award of the security printing of official documents (such as passports, ID-cards, residence permits, driving licences) to the Austrian State Printing Office (Österreichische Staatsdruckerei AG). This is in breach of public procurement legislation.</w:t>
      </w:r>
      <w:r>
        <w:rPr>
          <w:rStyle w:val="FootnoteReference"/>
          <w:rFonts w:ascii="Arial" w:hAnsi="Arial" w:cs="Arial"/>
          <w:noProof/>
          <w:lang w:val="en-GB"/>
        </w:rPr>
        <w:footnoteReference w:id="241"/>
      </w:r>
    </w:p>
    <w:p>
      <w:pPr>
        <w:pStyle w:val="Lijstje2"/>
        <w:numPr>
          <w:ilvl w:val="0"/>
          <w:numId w:val="0"/>
        </w:numPr>
        <w:spacing w:after="120"/>
        <w:ind w:left="2132"/>
        <w:rPr>
          <w:rFonts w:cs="Arial"/>
          <w:noProof/>
          <w:lang w:val="en-GB"/>
        </w:rPr>
      </w:pPr>
    </w:p>
    <w:p>
      <w:pPr>
        <w:numPr>
          <w:ilvl w:val="0"/>
          <w:numId w:val="115"/>
        </w:numPr>
        <w:spacing w:after="200"/>
        <w:ind w:left="1417" w:hanging="425"/>
        <w:rPr>
          <w:rFonts w:eastAsia="Calibri" w:cs="Arial"/>
          <w:noProof/>
          <w:kern w:val="20"/>
          <w:sz w:val="20"/>
        </w:rPr>
      </w:pPr>
      <w:r>
        <w:rPr>
          <w:rFonts w:eastAsia="Calibri" w:cs="Arial"/>
          <w:noProof/>
          <w:kern w:val="20"/>
          <w:sz w:val="20"/>
        </w:rPr>
        <w:t>The Commission did not refer any cases to the Court under Article 260(2) TFEU.</w:t>
      </w:r>
    </w:p>
    <w:p>
      <w:pPr>
        <w:pStyle w:val="Title1"/>
        <w:numPr>
          <w:ilvl w:val="0"/>
          <w:numId w:val="46"/>
        </w:numPr>
        <w:rPr>
          <w:noProof/>
        </w:rPr>
      </w:pPr>
      <w:r>
        <w:rPr>
          <w:noProof/>
        </w:rPr>
        <w:t>TRANSPOSITION OF DIRECTIVES</w:t>
      </w:r>
    </w:p>
    <w:p>
      <w:pPr>
        <w:numPr>
          <w:ilvl w:val="0"/>
          <w:numId w:val="85"/>
        </w:numPr>
        <w:spacing w:after="60"/>
        <w:jc w:val="left"/>
        <w:outlineLvl w:val="1"/>
        <w:rPr>
          <w:noProof/>
          <w:color w:val="002060"/>
          <w:szCs w:val="22"/>
        </w:rPr>
      </w:pPr>
      <w:r>
        <w:rPr>
          <w:noProof/>
          <w:color w:val="002060"/>
          <w:szCs w:val="22"/>
        </w:rPr>
        <w:t>New late transposition infringement cases (2015- 2016)</w:t>
      </w:r>
    </w:p>
    <w:p>
      <w:pPr>
        <w:ind w:left="720"/>
        <w:rPr>
          <w:rFonts w:eastAsia="Calibri"/>
          <w:noProof/>
          <w:kern w:val="20"/>
          <w:sz w:val="20"/>
        </w:rPr>
      </w:pPr>
      <w:r>
        <w:rPr>
          <w:rFonts w:eastAsia="Calibri"/>
          <w:noProof/>
          <w:kern w:val="20"/>
          <w:sz w:val="20"/>
        </w:rPr>
        <w:t>There were 267 new late transposition infringement cases opened in 2016.</w:t>
      </w:r>
    </w:p>
    <w:p>
      <w:pPr>
        <w:numPr>
          <w:ilvl w:val="0"/>
          <w:numId w:val="85"/>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93620"/>
            <wp:effectExtent l="0" t="0" r="22860" b="11430"/>
            <wp:docPr id="77"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numPr>
          <w:ilvl w:val="0"/>
          <w:numId w:val="85"/>
        </w:numPr>
        <w:spacing w:after="60"/>
        <w:jc w:val="left"/>
        <w:outlineLvl w:val="1"/>
        <w:rPr>
          <w:noProof/>
          <w:color w:val="002060"/>
          <w:szCs w:val="22"/>
        </w:rPr>
      </w:pPr>
      <w:r>
        <w:rPr>
          <w:noProof/>
          <w:color w:val="002060"/>
          <w:szCs w:val="22"/>
        </w:rPr>
        <w:t>Key infringement cases and referrals to the Court</w:t>
      </w:r>
    </w:p>
    <w:p>
      <w:pPr>
        <w:numPr>
          <w:ilvl w:val="0"/>
          <w:numId w:val="127"/>
        </w:numPr>
        <w:spacing w:after="120"/>
        <w:ind w:hanging="426"/>
        <w:rPr>
          <w:rFonts w:eastAsia="Calibri" w:cs="Arial"/>
          <w:noProof/>
          <w:kern w:val="20"/>
          <w:sz w:val="20"/>
        </w:rPr>
      </w:pPr>
      <w:r>
        <w:rPr>
          <w:rFonts w:eastAsia="Calibri" w:cs="Arial"/>
          <w:noProof/>
          <w:kern w:val="20"/>
          <w:sz w:val="20"/>
        </w:rPr>
        <w:t>The Commission opened 267 cases for late transposition in 2016. Most concern:</w:t>
      </w:r>
    </w:p>
    <w:p>
      <w:pPr>
        <w:numPr>
          <w:ilvl w:val="0"/>
          <w:numId w:val="25"/>
        </w:numPr>
        <w:spacing w:after="200"/>
        <w:ind w:left="2132" w:hanging="426"/>
        <w:contextualSpacing/>
        <w:rPr>
          <w:rFonts w:eastAsia="Calibri" w:cs="Arial"/>
          <w:noProof/>
          <w:kern w:val="20"/>
          <w:sz w:val="20"/>
        </w:rPr>
      </w:pPr>
      <w:r>
        <w:rPr>
          <w:noProof/>
          <w:sz w:val="20"/>
        </w:rPr>
        <w:t>the three Directives on public procurement and concessions;</w:t>
      </w:r>
      <w:r>
        <w:rPr>
          <w:rStyle w:val="FootnoteReference"/>
          <w:rFonts w:cs="Arial"/>
          <w:i/>
          <w:noProof/>
          <w:sz w:val="20"/>
        </w:rPr>
        <w:footnoteReference w:id="242"/>
      </w:r>
    </w:p>
    <w:p>
      <w:pPr>
        <w:numPr>
          <w:ilvl w:val="0"/>
          <w:numId w:val="25"/>
        </w:numPr>
        <w:spacing w:after="200"/>
        <w:ind w:left="2132" w:hanging="426"/>
        <w:contextualSpacing/>
        <w:rPr>
          <w:rFonts w:eastAsia="Calibri" w:cs="Arial"/>
          <w:noProof/>
          <w:sz w:val="20"/>
        </w:rPr>
      </w:pPr>
      <w:r>
        <w:rPr>
          <w:rFonts w:cs="Arial"/>
          <w:noProof/>
          <w:sz w:val="20"/>
        </w:rPr>
        <w:t>legal metrology Directives</w:t>
      </w:r>
      <w:r>
        <w:rPr>
          <w:rFonts w:eastAsia="Calibri" w:cs="Arial"/>
          <w:noProof/>
          <w:sz w:val="20"/>
        </w:rPr>
        <w:t>;</w:t>
      </w:r>
      <w:r>
        <w:rPr>
          <w:rStyle w:val="FootnoteReference"/>
          <w:rFonts w:eastAsia="Calibri" w:cs="Arial"/>
          <w:noProof/>
          <w:sz w:val="20"/>
        </w:rPr>
        <w:footnoteReference w:id="243"/>
      </w:r>
    </w:p>
    <w:p>
      <w:pPr>
        <w:numPr>
          <w:ilvl w:val="0"/>
          <w:numId w:val="25"/>
        </w:numPr>
        <w:spacing w:after="200"/>
        <w:ind w:left="2132" w:hanging="426"/>
        <w:contextualSpacing/>
        <w:rPr>
          <w:rFonts w:eastAsia="Calibri" w:cs="Arial"/>
          <w:noProof/>
          <w:kern w:val="20"/>
          <w:sz w:val="20"/>
        </w:rPr>
      </w:pPr>
      <w:r>
        <w:rPr>
          <w:noProof/>
          <w:sz w:val="20"/>
        </w:rPr>
        <w:t>EU legislation on advanced engineering and manufacturing systems</w:t>
      </w:r>
      <w:r>
        <w:rPr>
          <w:rFonts w:eastAsia="Calibri" w:cs="Arial"/>
          <w:noProof/>
          <w:kern w:val="20"/>
          <w:sz w:val="20"/>
        </w:rPr>
        <w:t>;</w:t>
      </w:r>
      <w:r>
        <w:rPr>
          <w:rStyle w:val="FootnoteReference"/>
          <w:rFonts w:eastAsia="Calibri" w:cs="Arial"/>
          <w:noProof/>
          <w:kern w:val="20"/>
          <w:sz w:val="20"/>
        </w:rPr>
        <w:footnoteReference w:id="244"/>
      </w:r>
    </w:p>
    <w:p>
      <w:pPr>
        <w:numPr>
          <w:ilvl w:val="0"/>
          <w:numId w:val="25"/>
        </w:numPr>
        <w:spacing w:after="200"/>
        <w:ind w:left="2132" w:hanging="426"/>
        <w:contextualSpacing/>
        <w:rPr>
          <w:rFonts w:eastAsia="Calibri" w:cs="Arial"/>
          <w:noProof/>
          <w:kern w:val="20"/>
          <w:sz w:val="20"/>
        </w:rPr>
      </w:pPr>
      <w:r>
        <w:rPr>
          <w:noProof/>
          <w:sz w:val="20"/>
        </w:rPr>
        <w:t>EU legislation on explosives for civil use and defence-related products</w:t>
      </w:r>
      <w:r>
        <w:rPr>
          <w:rFonts w:eastAsia="Calibri" w:cs="Arial"/>
          <w:noProof/>
          <w:kern w:val="20"/>
          <w:sz w:val="20"/>
        </w:rPr>
        <w:t>;</w:t>
      </w:r>
      <w:r>
        <w:rPr>
          <w:rStyle w:val="FootnoteReference"/>
          <w:rFonts w:eastAsia="Calibri" w:cs="Arial"/>
          <w:noProof/>
          <w:kern w:val="20"/>
          <w:sz w:val="20"/>
        </w:rPr>
        <w:footnoteReference w:id="245"/>
      </w:r>
    </w:p>
    <w:p>
      <w:pPr>
        <w:numPr>
          <w:ilvl w:val="0"/>
          <w:numId w:val="25"/>
        </w:numPr>
        <w:spacing w:after="200"/>
        <w:ind w:left="2132" w:hanging="426"/>
        <w:contextualSpacing/>
        <w:rPr>
          <w:rFonts w:eastAsia="Calibri"/>
          <w:noProof/>
        </w:rPr>
      </w:pPr>
      <w:r>
        <w:rPr>
          <w:noProof/>
          <w:sz w:val="20"/>
        </w:rPr>
        <w:t>the Directive amending EU legislation on the recognition of professional qualifications and the Internal Market Information System</w:t>
      </w:r>
      <w:r>
        <w:rPr>
          <w:rFonts w:eastAsia="Calibri"/>
          <w:noProof/>
          <w:sz w:val="20"/>
        </w:rPr>
        <w:t>.</w:t>
      </w:r>
      <w:r>
        <w:rPr>
          <w:rStyle w:val="FootnoteReference"/>
          <w:rFonts w:eastAsia="Calibri" w:cs="Arial"/>
          <w:noProof/>
          <w:kern w:val="20"/>
          <w:sz w:val="20"/>
        </w:rPr>
        <w:footnoteReference w:id="246"/>
      </w:r>
    </w:p>
    <w:p>
      <w:pPr>
        <w:numPr>
          <w:ilvl w:val="0"/>
          <w:numId w:val="127"/>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pStyle w:val="Title1"/>
        <w:numPr>
          <w:ilvl w:val="0"/>
          <w:numId w:val="46"/>
        </w:numPr>
        <w:rPr>
          <w:noProof/>
        </w:rPr>
      </w:pPr>
      <w:r>
        <w:rPr>
          <w:noProof/>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pStyle w:val="Lijstje2"/>
        <w:numPr>
          <w:ilvl w:val="0"/>
          <w:numId w:val="0"/>
        </w:numPr>
        <w:ind w:left="1166" w:hanging="360"/>
        <w:rPr>
          <w:rFonts w:ascii="Arial" w:hAnsi="Arial" w:cs="Arial"/>
          <w:caps/>
          <w:noProof/>
          <w:color w:val="4F81BD"/>
          <w:sz w:val="24"/>
          <w:szCs w:val="24"/>
          <w:lang w:val="en-GB"/>
        </w:rPr>
      </w:pPr>
      <w:r>
        <w:rPr>
          <w:rFonts w:ascii="Arial" w:hAnsi="Arial" w:cs="Arial"/>
          <w:noProof/>
          <w:lang w:val="en-GB"/>
        </w:rPr>
        <w:t>The Commission did not close any major infringement cases in 2016 in this area.</w:t>
      </w:r>
    </w:p>
    <w:p>
      <w:pPr>
        <w:spacing w:after="0"/>
        <w:jc w:val="left"/>
        <w:rPr>
          <w:caps/>
          <w:noProof/>
          <w:color w:val="4F81BD"/>
          <w:sz w:val="24"/>
          <w:szCs w:val="24"/>
        </w:rPr>
      </w:pPr>
      <w:r>
        <w:rPr>
          <w:noProof/>
        </w:rPr>
        <w:br w:type="page"/>
      </w:r>
    </w:p>
    <w:p>
      <w:pPr>
        <w:pStyle w:val="Title1"/>
        <w:numPr>
          <w:ilvl w:val="0"/>
          <w:numId w:val="46"/>
        </w:numPr>
        <w:rPr>
          <w:noProof/>
        </w:rPr>
      </w:pPr>
      <w:r>
        <w:rPr>
          <w:noProof/>
        </w:rPr>
        <w:t>IMPORTANT JUDGMENTS</w:t>
      </w:r>
    </w:p>
    <w:p>
      <w:pPr>
        <w:numPr>
          <w:ilvl w:val="0"/>
          <w:numId w:val="86"/>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247"/>
      </w:r>
    </w:p>
    <w:p>
      <w:pPr>
        <w:spacing w:after="120"/>
        <w:ind w:left="720"/>
        <w:rPr>
          <w:noProof/>
        </w:rPr>
      </w:pPr>
      <w:r>
        <w:rPr>
          <w:rFonts w:cs="Arial"/>
          <w:noProof/>
          <w:sz w:val="20"/>
        </w:rPr>
        <w:t>The Court ruled that:</w:t>
      </w:r>
    </w:p>
    <w:p>
      <w:pPr>
        <w:pStyle w:val="Lijstje2"/>
        <w:rPr>
          <w:rFonts w:ascii="Arial" w:hAnsi="Arial" w:cs="Arial"/>
          <w:noProof/>
          <w:lang w:val="en-GB"/>
        </w:rPr>
      </w:pPr>
      <w:r>
        <w:rPr>
          <w:rFonts w:ascii="Arial" w:hAnsi="Arial" w:cs="Arial"/>
          <w:i/>
          <w:noProof/>
          <w:lang w:val="en-GB"/>
        </w:rPr>
        <w:t>Czech Republic</w:t>
      </w:r>
      <w:r>
        <w:rPr>
          <w:rFonts w:ascii="Arial" w:hAnsi="Arial" w:cs="Arial"/>
          <w:noProof/>
          <w:lang w:val="en-GB"/>
        </w:rPr>
        <w:t xml:space="preserve"> failed to fulfil its obligations concerning the free movement of goods by refusing to recognise the hallmarks of Waarborg Holland, the Netherlands’ independent assay office for precious metals. Although in some cases the Member State is entitled not to recognise hallmarks affixed outside the EU by that assay office, a general and systematic refusal to recognise any of that office’s hallmarks is a disproportionate measure;</w:t>
      </w:r>
      <w:r>
        <w:rPr>
          <w:rStyle w:val="FootnoteReference"/>
          <w:rFonts w:ascii="Arial" w:hAnsi="Arial" w:cs="Arial"/>
          <w:noProof/>
          <w:lang w:val="en-GB"/>
        </w:rPr>
        <w:footnoteReference w:id="248"/>
      </w:r>
    </w:p>
    <w:p>
      <w:pPr>
        <w:pStyle w:val="Lijstje2"/>
        <w:rPr>
          <w:rFonts w:ascii="Arial" w:hAnsi="Arial" w:cs="Arial"/>
          <w:noProof/>
          <w:lang w:val="en-GB"/>
        </w:rPr>
      </w:pPr>
      <w:r>
        <w:rPr>
          <w:rFonts w:ascii="Arial" w:hAnsi="Arial" w:cs="Arial"/>
          <w:i/>
          <w:noProof/>
          <w:lang w:val="en-GB"/>
        </w:rPr>
        <w:t xml:space="preserve">Germany </w:t>
      </w:r>
      <w:r>
        <w:rPr>
          <w:rFonts w:ascii="Arial" w:hAnsi="Arial" w:cs="Arial"/>
          <w:noProof/>
          <w:lang w:val="en-GB"/>
        </w:rPr>
        <w:t>failed to fulfil its obligations under the Directive on the placing on the market of pyrotechnic articles.</w:t>
      </w:r>
      <w:r>
        <w:rPr>
          <w:rStyle w:val="FootnoteReference"/>
          <w:rFonts w:ascii="Arial" w:hAnsi="Arial" w:cs="Arial"/>
          <w:noProof/>
          <w:lang w:val="en-GB"/>
        </w:rPr>
        <w:footnoteReference w:id="249"/>
      </w:r>
      <w:r>
        <w:rPr>
          <w:rFonts w:ascii="Arial" w:hAnsi="Arial" w:cs="Arial"/>
          <w:noProof/>
          <w:lang w:val="en-GB"/>
        </w:rPr>
        <w:t xml:space="preserve"> This was because Germany provided, over and above the requirements of the Directive and notwithstanding a previous conformity assessment of pyrotechnic articles, that (i) those articles are to be subject to a specific national procedure (‘the SprengV’) before being placed on the market; and that (ii) pursuant to the SprengV, a national body is to have the power to review and, where required, to modify their instructions for use;</w:t>
      </w:r>
      <w:r>
        <w:rPr>
          <w:rStyle w:val="FootnoteReference"/>
          <w:rFonts w:ascii="Arial" w:hAnsi="Arial" w:cs="Arial"/>
          <w:noProof/>
          <w:lang w:val="en-GB"/>
        </w:rPr>
        <w:footnoteReference w:id="250"/>
      </w:r>
    </w:p>
    <w:p>
      <w:pPr>
        <w:pStyle w:val="Lijstje2"/>
        <w:rPr>
          <w:rFonts w:ascii="Arial" w:hAnsi="Arial" w:cs="Arial"/>
          <w:noProof/>
          <w:lang w:val="en-GB"/>
        </w:rPr>
      </w:pPr>
      <w:r>
        <w:rPr>
          <w:rFonts w:ascii="Arial" w:hAnsi="Arial" w:cs="Arial"/>
          <w:i/>
          <w:noProof/>
          <w:lang w:val="en-GB"/>
        </w:rPr>
        <w:t xml:space="preserve">Hungary: </w:t>
      </w:r>
      <w:r>
        <w:rPr>
          <w:rFonts w:ascii="Arial" w:hAnsi="Arial" w:cs="Arial"/>
          <w:noProof/>
          <w:lang w:val="en-GB"/>
        </w:rPr>
        <w:t>the fact that the revenue generated by the holder of a public or private monopoly providing services is the source of funding for social programmes does not justify a restriction on freedom of establishment and freedom to provide services. Member States are not free to establish a services monopoly in the context of their tax and wages policies, as Member States must exercise their competence in the area of direct taxation consistently with EU law and, in particular, with the fundamental freedoms. National legislation reserving the activity of issuing leisure cards only to banks or financial institutions infringes the Services Directive,</w:t>
      </w:r>
      <w:r>
        <w:rPr>
          <w:rStyle w:val="FootnoteReference"/>
          <w:rFonts w:ascii="Arial" w:hAnsi="Arial" w:cs="Arial"/>
          <w:noProof/>
          <w:lang w:val="en-GB"/>
        </w:rPr>
        <w:footnoteReference w:id="251"/>
      </w:r>
      <w:r>
        <w:rPr>
          <w:rFonts w:ascii="Arial" w:hAnsi="Arial" w:cs="Arial"/>
          <w:noProof/>
          <w:lang w:val="en-GB"/>
        </w:rPr>
        <w:t xml:space="preserve"> unless the measure satisfies the cumulative conditions of non-discrimination, necessity and proportionality.</w:t>
      </w:r>
      <w:r>
        <w:rPr>
          <w:rStyle w:val="FootnoteReference"/>
          <w:rFonts w:ascii="Arial" w:hAnsi="Arial" w:cs="Arial"/>
          <w:noProof/>
          <w:lang w:val="en-GB"/>
        </w:rPr>
        <w:footnoteReference w:id="252"/>
      </w:r>
    </w:p>
    <w:p>
      <w:pPr>
        <w:numPr>
          <w:ilvl w:val="0"/>
          <w:numId w:val="86"/>
        </w:numPr>
        <w:spacing w:after="60"/>
        <w:jc w:val="left"/>
        <w:outlineLvl w:val="1"/>
        <w:rPr>
          <w:noProof/>
          <w:color w:val="002060"/>
          <w:szCs w:val="22"/>
        </w:rPr>
      </w:pPr>
      <w:r>
        <w:rPr>
          <w:noProof/>
          <w:color w:val="002060"/>
          <w:szCs w:val="22"/>
        </w:rPr>
        <w:t>Preliminary rulings</w:t>
      </w:r>
    </w:p>
    <w:p>
      <w:pPr>
        <w:spacing w:after="120"/>
        <w:ind w:left="720"/>
        <w:rPr>
          <w:rFonts w:cs="Arial"/>
          <w:noProof/>
          <w:sz w:val="20"/>
        </w:rPr>
      </w:pPr>
      <w:r>
        <w:rPr>
          <w:rFonts w:cs="Arial"/>
          <w:noProof/>
          <w:sz w:val="20"/>
        </w:rPr>
        <w:t>In preliminary rulings, the Court held that:</w:t>
      </w:r>
    </w:p>
    <w:p>
      <w:pPr>
        <w:pStyle w:val="Lijstje2"/>
        <w:rPr>
          <w:rFonts w:ascii="Arial" w:hAnsi="Arial" w:cs="Arial"/>
          <w:noProof/>
          <w:lang w:val="en-GB"/>
        </w:rPr>
      </w:pPr>
      <w:r>
        <w:rPr>
          <w:rFonts w:ascii="Arial" w:hAnsi="Arial" w:cs="Arial"/>
          <w:i/>
          <w:noProof/>
          <w:lang w:val="en-GB"/>
        </w:rPr>
        <w:t>Belgium</w:t>
      </w:r>
      <w:r>
        <w:rPr>
          <w:rFonts w:ascii="Arial" w:hAnsi="Arial" w:cs="Arial"/>
          <w:noProof/>
          <w:lang w:val="en-GB"/>
        </w:rPr>
        <w:t>: national legislation which prohibits retailers from selling tobacco products at a unit price lower than the price indicated by the manufacturer or importer on the revenue stamp affixed to those products, in so far as that price has been freely determined by the importer, is compatible with EU law;</w:t>
      </w:r>
      <w:r>
        <w:rPr>
          <w:rStyle w:val="FootnoteReference"/>
          <w:rFonts w:ascii="Arial" w:hAnsi="Arial" w:cs="Arial"/>
          <w:noProof/>
          <w:lang w:val="en-GB"/>
        </w:rPr>
        <w:footnoteReference w:id="253"/>
      </w:r>
    </w:p>
    <w:p>
      <w:pPr>
        <w:pStyle w:val="Lijstje2"/>
        <w:rPr>
          <w:rFonts w:ascii="Arial" w:hAnsi="Arial" w:cs="Arial"/>
          <w:noProof/>
          <w:lang w:val="en-GB"/>
        </w:rPr>
      </w:pPr>
      <w:r>
        <w:rPr>
          <w:rFonts w:ascii="Arial" w:hAnsi="Arial" w:cs="Arial"/>
          <w:i/>
          <w:noProof/>
          <w:lang w:val="en-GB"/>
        </w:rPr>
        <w:t xml:space="preserve">Belgium: </w:t>
      </w:r>
      <w:r>
        <w:rPr>
          <w:rFonts w:ascii="Arial" w:hAnsi="Arial" w:cs="Arial"/>
          <w:noProof/>
          <w:lang w:val="en-GB"/>
        </w:rPr>
        <w:t>national legislation by a federated entity of a Member State is incompatible with EU law if it requires every undertaking established within the territory of that entity to draw up all the details on invoices relating to cross-border transactions exclusively in the official language of that entity, failing which those invoices are to be declared null and void by the national courts of their own motion.</w:t>
      </w:r>
      <w:r>
        <w:rPr>
          <w:rStyle w:val="FootnoteReference"/>
          <w:rFonts w:ascii="Arial" w:hAnsi="Arial" w:cs="Arial"/>
          <w:noProof/>
          <w:lang w:val="en-GB"/>
        </w:rPr>
        <w:footnoteReference w:id="254"/>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imposing fixed prices for the sale by pharmacies of prescription-only medicines restricts the free movement of goods because of its greater impact on pharmacies established in other Member States. Imposing such price-fixing on foreign pharmacies is thus incompatible with EU law on the free movement of goods. It is not justified as it could not be proven to be an appropriate means to achieve the objective of protecting human health and life by ensuring a safe and high-quality supply of medicinal products;</w:t>
      </w:r>
      <w:r>
        <w:rPr>
          <w:rStyle w:val="FootnoteReference"/>
          <w:rFonts w:ascii="Arial" w:hAnsi="Arial" w:cs="Arial"/>
          <w:noProof/>
          <w:lang w:val="en-GB"/>
        </w:rPr>
        <w:footnoteReference w:id="255"/>
      </w:r>
    </w:p>
    <w:p>
      <w:pPr>
        <w:pStyle w:val="Lijstje2"/>
        <w:rPr>
          <w:rFonts w:ascii="Arial" w:hAnsi="Arial" w:cs="Arial"/>
          <w:noProof/>
          <w:lang w:val="en-GB"/>
        </w:rPr>
      </w:pPr>
      <w:r>
        <w:rPr>
          <w:rFonts w:ascii="Arial" w:hAnsi="Arial" w:cs="Arial"/>
          <w:i/>
          <w:noProof/>
          <w:lang w:val="en-GB"/>
        </w:rPr>
        <w:t>Greece</w:t>
      </w:r>
      <w:r>
        <w:rPr>
          <w:rFonts w:ascii="Arial" w:hAnsi="Arial" w:cs="Arial"/>
          <w:noProof/>
          <w:lang w:val="en-GB"/>
        </w:rPr>
        <w:t>: in principle, EU law allows national authorities to prohibit collective redundancies. However, these rules must strike a fair balance between the protection of workers and employers’ freedom to conduct a business. The legal criteria on the basis of which the authorities may oppose planned collective redundancies must therefore be formulated in specific and precise terms. Thus a national authorisation regime for collective redundancies would be incompatible with the Collective Redundancies Directive</w:t>
      </w:r>
      <w:r>
        <w:rPr>
          <w:rStyle w:val="FootnoteReference"/>
          <w:rFonts w:ascii="Arial" w:hAnsi="Arial" w:cs="Arial"/>
          <w:noProof/>
          <w:lang w:val="en-GB"/>
        </w:rPr>
        <w:footnoteReference w:id="256"/>
      </w:r>
      <w:r>
        <w:rPr>
          <w:rFonts w:ascii="Arial" w:hAnsi="Arial" w:cs="Arial"/>
          <w:noProof/>
          <w:lang w:val="en-GB"/>
        </w:rPr>
        <w:t xml:space="preserve"> if it deprived the Directive of its practical effect;</w:t>
      </w:r>
      <w:r>
        <w:rPr>
          <w:rStyle w:val="FootnoteReference"/>
          <w:rFonts w:ascii="Arial" w:hAnsi="Arial" w:cs="Arial"/>
          <w:noProof/>
          <w:lang w:val="en-GB"/>
        </w:rPr>
        <w:footnoteReference w:id="257"/>
      </w:r>
    </w:p>
    <w:p>
      <w:pPr>
        <w:pStyle w:val="Lijstje2"/>
        <w:rPr>
          <w:rFonts w:ascii="Arial" w:hAnsi="Arial" w:cs="Arial"/>
          <w:noProof/>
          <w:lang w:val="en-GB"/>
        </w:rPr>
      </w:pPr>
      <w:r>
        <w:rPr>
          <w:rFonts w:ascii="Arial" w:hAnsi="Arial" w:cs="Arial"/>
          <w:i/>
          <w:noProof/>
          <w:lang w:val="en-GB"/>
        </w:rPr>
        <w:t>Italy</w:t>
      </w:r>
      <w:r>
        <w:rPr>
          <w:rFonts w:ascii="Arial" w:hAnsi="Arial" w:cs="Arial"/>
          <w:noProof/>
          <w:lang w:val="en-GB"/>
        </w:rPr>
        <w:t>: the Services Directive</w:t>
      </w:r>
      <w:r>
        <w:rPr>
          <w:rStyle w:val="FootnoteReference"/>
          <w:rFonts w:ascii="Arial" w:hAnsi="Arial" w:cs="Arial"/>
          <w:noProof/>
          <w:lang w:val="en-GB"/>
        </w:rPr>
        <w:footnoteReference w:id="258"/>
      </w:r>
      <w:r>
        <w:rPr>
          <w:rFonts w:ascii="Arial" w:hAnsi="Arial" w:cs="Arial"/>
          <w:noProof/>
          <w:lang w:val="en-GB"/>
        </w:rPr>
        <w:t xml:space="preserve"> also applies to maritime concessions;</w:t>
      </w:r>
      <w:r>
        <w:rPr>
          <w:rStyle w:val="FootnoteReference"/>
          <w:rFonts w:ascii="Arial" w:hAnsi="Arial" w:cs="Arial"/>
          <w:noProof/>
          <w:lang w:val="en-GB"/>
        </w:rPr>
        <w:footnoteReference w:id="259"/>
      </w:r>
    </w:p>
    <w:p>
      <w:pPr>
        <w:pStyle w:val="Lijstje2"/>
        <w:rPr>
          <w:rFonts w:ascii="Arial" w:hAnsi="Arial" w:cs="Arial"/>
          <w:noProof/>
          <w:lang w:val="en-GB"/>
        </w:rPr>
      </w:pPr>
      <w:r>
        <w:rPr>
          <w:rFonts w:ascii="Arial" w:hAnsi="Arial" w:cs="Arial"/>
          <w:i/>
          <w:noProof/>
          <w:lang w:val="en-GB"/>
        </w:rPr>
        <w:t>Austria</w:t>
      </w:r>
      <w:r>
        <w:rPr>
          <w:rFonts w:ascii="Arial" w:hAnsi="Arial" w:cs="Arial"/>
          <w:noProof/>
          <w:lang w:val="en-GB"/>
        </w:rPr>
        <w:t>: all postal operators may have imposed on them a number of obligations, ranging from a contribution to the financing of the national regulatory authority, to the respect of working conditions and requirements on quality, availability and performance;</w:t>
      </w:r>
      <w:r>
        <w:rPr>
          <w:rStyle w:val="FootnoteReference"/>
          <w:rFonts w:ascii="Arial" w:hAnsi="Arial" w:cs="Arial"/>
          <w:noProof/>
          <w:lang w:val="en-GB"/>
        </w:rPr>
        <w:footnoteReference w:id="260"/>
      </w:r>
    </w:p>
    <w:p>
      <w:pPr>
        <w:pStyle w:val="Lijstje2"/>
        <w:rPr>
          <w:rFonts w:ascii="Arial" w:hAnsi="Arial" w:cs="Arial"/>
          <w:noProof/>
          <w:lang w:val="en-GB"/>
        </w:rPr>
      </w:pPr>
      <w:r>
        <w:rPr>
          <w:rFonts w:ascii="Arial" w:hAnsi="Arial" w:cs="Arial"/>
          <w:i/>
          <w:noProof/>
          <w:lang w:val="en-GB"/>
        </w:rPr>
        <w:t>Poland</w:t>
      </w:r>
      <w:r>
        <w:rPr>
          <w:rFonts w:ascii="Arial" w:hAnsi="Arial" w:cs="Arial"/>
          <w:noProof/>
          <w:lang w:val="en-GB"/>
        </w:rPr>
        <w:t>: subjecting the organisation of games of chance and gaming on machines to the requirement to hold a licence to operate a gaming casino does not fall within the concept of ‘technical regulation’ under the Single Market Transparency Directive;</w:t>
      </w:r>
      <w:r>
        <w:rPr>
          <w:rStyle w:val="FootnoteReference"/>
          <w:rFonts w:ascii="Arial" w:hAnsi="Arial" w:cs="Arial"/>
          <w:noProof/>
          <w:lang w:val="en-GB"/>
        </w:rPr>
        <w:footnoteReference w:id="261"/>
      </w:r>
    </w:p>
    <w:p>
      <w:pPr>
        <w:pStyle w:val="Lijstje2"/>
        <w:rPr>
          <w:rFonts w:ascii="Arial" w:hAnsi="Arial" w:cs="Arial"/>
          <w:noProof/>
          <w:lang w:val="en-GB"/>
        </w:rPr>
      </w:pPr>
      <w:r>
        <w:rPr>
          <w:rFonts w:ascii="Arial" w:hAnsi="Arial" w:cs="Arial"/>
          <w:i/>
          <w:noProof/>
          <w:lang w:val="en-GB"/>
        </w:rPr>
        <w:t>Slovenia</w:t>
      </w:r>
      <w:r>
        <w:rPr>
          <w:rFonts w:ascii="Arial" w:hAnsi="Arial" w:cs="Arial"/>
          <w:noProof/>
          <w:lang w:val="en-GB"/>
        </w:rPr>
        <w:t>: when defining the concept of ‘undertaking’ under the Late Payment Directive</w:t>
      </w:r>
      <w:r>
        <w:rPr>
          <w:rStyle w:val="FootnoteReference"/>
          <w:rFonts w:ascii="Arial" w:hAnsi="Arial" w:cs="Arial"/>
          <w:noProof/>
          <w:lang w:val="en-GB"/>
        </w:rPr>
        <w:footnoteReference w:id="262"/>
      </w:r>
      <w:r>
        <w:rPr>
          <w:rFonts w:ascii="Arial" w:hAnsi="Arial" w:cs="Arial"/>
          <w:noProof/>
          <w:lang w:val="en-GB"/>
        </w:rPr>
        <w:t xml:space="preserve"> all circumstances must be taken into account where a transaction forms part of the exercise of an independent economic or professional activity that is carried out in a structured and stable way. Therefore a natural person can be regarded as an undertaking and the transactions concluded are also to be considered as ‘commercial transactions’ under the Directive. Also, as the Directive lays down only a ‘minimum harmonisation framework’, it is lawful for a Member State to introduce and maintain national provisions capping the accrual of interests;</w:t>
      </w:r>
      <w:r>
        <w:rPr>
          <w:rStyle w:val="FootnoteReference"/>
          <w:rFonts w:ascii="Arial" w:hAnsi="Arial" w:cs="Arial"/>
          <w:noProof/>
          <w:lang w:val="en-GB"/>
        </w:rPr>
        <w:footnoteReference w:id="263"/>
      </w:r>
    </w:p>
    <w:p>
      <w:pPr>
        <w:pStyle w:val="Lijstje2"/>
        <w:rPr>
          <w:rFonts w:ascii="Arial" w:hAnsi="Arial" w:cs="Arial"/>
          <w:noProof/>
          <w:lang w:val="en-GB"/>
        </w:rPr>
      </w:pPr>
      <w:r>
        <w:rPr>
          <w:rFonts w:ascii="Arial" w:hAnsi="Arial" w:cs="Arial"/>
          <w:i/>
          <w:noProof/>
          <w:lang w:val="en-GB"/>
        </w:rPr>
        <w:t>United Kingdom</w:t>
      </w:r>
      <w:r>
        <w:rPr>
          <w:rFonts w:ascii="Arial" w:hAnsi="Arial" w:cs="Arial"/>
          <w:noProof/>
          <w:lang w:val="en-GB"/>
        </w:rPr>
        <w:t>: the fee demanded for services licences was too high and did not correspond to the real cost of authorisation procedures. The national legislation on granting the licences was therefore judged non-compliant with the Services Directive;</w:t>
      </w:r>
      <w:r>
        <w:rPr>
          <w:rStyle w:val="FootnoteReference"/>
          <w:rFonts w:ascii="Arial" w:hAnsi="Arial" w:cs="Arial"/>
          <w:noProof/>
          <w:lang w:val="en-GB"/>
        </w:rPr>
        <w:footnoteReference w:id="264"/>
      </w:r>
    </w:p>
    <w:p>
      <w:pPr>
        <w:pStyle w:val="Lijstje2"/>
        <w:rPr>
          <w:rFonts w:ascii="Arial" w:hAnsi="Arial" w:cs="Arial"/>
          <w:noProof/>
          <w:lang w:val="en-GB"/>
        </w:rPr>
      </w:pPr>
      <w:r>
        <w:rPr>
          <w:rFonts w:ascii="Arial" w:hAnsi="Arial" w:cs="Arial"/>
          <w:i/>
          <w:noProof/>
          <w:lang w:val="en-GB"/>
        </w:rPr>
        <w:t>United Kingdom</w:t>
      </w:r>
      <w:r>
        <w:rPr>
          <w:rFonts w:ascii="Arial" w:hAnsi="Arial" w:cs="Arial"/>
          <w:noProof/>
          <w:lang w:val="en-GB"/>
        </w:rPr>
        <w:t>: the placing on the EU market of cosmetic products containing some ingredients that have been tested on animals outside the EU in order to market those products in third countries may be prohibited if the data resulting from that testing is used to prove the safety of the products concerned for the purposes of placing them on the EU market.</w:t>
      </w:r>
      <w:r>
        <w:rPr>
          <w:rStyle w:val="FootnoteReference"/>
          <w:rFonts w:ascii="Arial" w:hAnsi="Arial" w:cs="Arial"/>
          <w:noProof/>
          <w:lang w:val="en-GB"/>
        </w:rPr>
        <w:footnoteReference w:id="265"/>
      </w:r>
    </w:p>
    <w:p>
      <w:pPr>
        <w:pStyle w:val="Title1"/>
        <w:numPr>
          <w:ilvl w:val="0"/>
          <w:numId w:val="46"/>
        </w:numPr>
        <w:rPr>
          <w:noProof/>
        </w:rPr>
      </w:pPr>
      <w:r>
        <w:rPr>
          <w:noProof/>
        </w:rPr>
        <w:t>Outlook</w:t>
      </w:r>
    </w:p>
    <w:p>
      <w:pPr>
        <w:spacing w:after="60"/>
        <w:ind w:left="360"/>
        <w:jc w:val="left"/>
        <w:outlineLvl w:val="1"/>
        <w:rPr>
          <w:noProof/>
          <w:color w:val="002060"/>
          <w:szCs w:val="22"/>
        </w:rPr>
      </w:pPr>
      <w:r>
        <w:rPr>
          <w:noProof/>
          <w:color w:val="002060"/>
          <w:szCs w:val="22"/>
        </w:rPr>
        <w:t>Important implementation work in 2017 includes:</w:t>
      </w:r>
    </w:p>
    <w:p>
      <w:pPr>
        <w:numPr>
          <w:ilvl w:val="0"/>
          <w:numId w:val="27"/>
        </w:numPr>
        <w:ind w:left="1276"/>
        <w:contextualSpacing/>
        <w:rPr>
          <w:rFonts w:eastAsia="Calibri" w:cs="Arial"/>
          <w:noProof/>
          <w:color w:val="000000"/>
          <w:kern w:val="20"/>
          <w:sz w:val="20"/>
          <w:lang w:eastAsia="en-GB"/>
        </w:rPr>
      </w:pPr>
      <w:r>
        <w:rPr>
          <w:rFonts w:cs="Arial"/>
          <w:noProof/>
          <w:sz w:val="20"/>
        </w:rPr>
        <w:t>monitoring the transposition of important Directives:</w:t>
      </w:r>
    </w:p>
    <w:p>
      <w:pPr>
        <w:numPr>
          <w:ilvl w:val="1"/>
          <w:numId w:val="140"/>
        </w:numPr>
        <w:ind w:left="2268"/>
        <w:contextualSpacing/>
        <w:rPr>
          <w:rFonts w:eastAsia="Calibri" w:cs="Arial"/>
          <w:noProof/>
          <w:color w:val="000000"/>
          <w:kern w:val="20"/>
          <w:sz w:val="20"/>
          <w:lang w:eastAsia="en-GB"/>
        </w:rPr>
      </w:pPr>
      <w:r>
        <w:rPr>
          <w:noProof/>
          <w:sz w:val="20"/>
        </w:rPr>
        <w:t>on the safety of toys, as regards formamide,</w:t>
      </w:r>
      <w:r>
        <w:rPr>
          <w:rStyle w:val="FootnoteReference"/>
          <w:noProof/>
          <w:sz w:val="20"/>
        </w:rPr>
        <w:footnoteReference w:id="266"/>
      </w:r>
      <w:r>
        <w:rPr>
          <w:noProof/>
          <w:sz w:val="20"/>
        </w:rPr>
        <w:t xml:space="preserve"> benzisothiazolinone,</w:t>
      </w:r>
      <w:r>
        <w:rPr>
          <w:rStyle w:val="FootnoteReference"/>
          <w:noProof/>
          <w:sz w:val="20"/>
        </w:rPr>
        <w:footnoteReference w:id="267"/>
      </w:r>
      <w:r>
        <w:rPr>
          <w:noProof/>
          <w:sz w:val="20"/>
        </w:rPr>
        <w:t xml:space="preserve"> and </w:t>
      </w:r>
      <w:r>
        <w:rPr>
          <w:rFonts w:eastAsia="Calibri" w:cs="Arial"/>
          <w:noProof/>
          <w:color w:val="000000"/>
          <w:kern w:val="20"/>
          <w:sz w:val="20"/>
          <w:lang w:eastAsia="en-GB"/>
        </w:rPr>
        <w:t>chloromethylisothiazolinone and methylisothiazolinone;</w:t>
      </w:r>
      <w:r>
        <w:rPr>
          <w:rStyle w:val="FootnoteReference"/>
          <w:rFonts w:eastAsia="Calibri" w:cs="Arial"/>
          <w:noProof/>
          <w:color w:val="000000"/>
          <w:kern w:val="20"/>
          <w:sz w:val="20"/>
          <w:lang w:eastAsia="en-GB"/>
        </w:rPr>
        <w:footnoteReference w:id="268"/>
      </w:r>
    </w:p>
    <w:p>
      <w:pPr>
        <w:numPr>
          <w:ilvl w:val="1"/>
          <w:numId w:val="140"/>
        </w:numPr>
        <w:ind w:left="2268"/>
        <w:contextualSpacing/>
        <w:rPr>
          <w:rFonts w:eastAsia="Calibri" w:cs="Arial"/>
          <w:noProof/>
          <w:color w:val="000000"/>
          <w:kern w:val="20"/>
          <w:sz w:val="20"/>
          <w:lang w:eastAsia="en-GB"/>
        </w:rPr>
      </w:pPr>
      <w:r>
        <w:rPr>
          <w:rFonts w:cs="Arial"/>
          <w:noProof/>
          <w:sz w:val="20"/>
        </w:rPr>
        <w:t>on the maximum allowable pressure of aerosol dispensers;</w:t>
      </w:r>
      <w:r>
        <w:rPr>
          <w:rStyle w:val="FootnoteReference"/>
          <w:rFonts w:cs="Arial"/>
          <w:noProof/>
          <w:sz w:val="20"/>
        </w:rPr>
        <w:footnoteReference w:id="269"/>
      </w:r>
    </w:p>
    <w:p>
      <w:pPr>
        <w:numPr>
          <w:ilvl w:val="0"/>
          <w:numId w:val="27"/>
        </w:numPr>
        <w:ind w:left="1276"/>
        <w:contextualSpacing/>
        <w:rPr>
          <w:rFonts w:eastAsia="Calibri" w:cs="Arial"/>
          <w:noProof/>
          <w:color w:val="000000"/>
          <w:kern w:val="20"/>
          <w:sz w:val="20"/>
          <w:lang w:eastAsia="en-GB"/>
        </w:rPr>
      </w:pPr>
      <w:r>
        <w:rPr>
          <w:rFonts w:cs="Arial"/>
          <w:noProof/>
          <w:sz w:val="20"/>
        </w:rPr>
        <w:t>following up expected Court judgments on the Late Payment Directive;</w:t>
      </w:r>
      <w:r>
        <w:rPr>
          <w:rStyle w:val="FootnoteReference"/>
          <w:rFonts w:cs="Arial"/>
          <w:noProof/>
          <w:sz w:val="20"/>
        </w:rPr>
        <w:footnoteReference w:id="270"/>
      </w:r>
    </w:p>
    <w:p>
      <w:pPr>
        <w:numPr>
          <w:ilvl w:val="0"/>
          <w:numId w:val="27"/>
        </w:numPr>
        <w:ind w:left="1276"/>
        <w:contextualSpacing/>
        <w:rPr>
          <w:rFonts w:ascii="Verdana" w:hAnsi="Verdana"/>
          <w:noProof/>
          <w:sz w:val="20"/>
        </w:rPr>
      </w:pPr>
      <w:r>
        <w:rPr>
          <w:rFonts w:cs="Arial"/>
          <w:noProof/>
          <w:sz w:val="20"/>
        </w:rPr>
        <w:t>continuing to follow very closely national authorities’ enforcement of currently applicable EU rules in the automobile sector</w:t>
      </w:r>
      <w:r>
        <w:rPr>
          <w:rFonts w:eastAsia="Calibri"/>
          <w:noProof/>
          <w:sz w:val="20"/>
        </w:rPr>
        <w:t>.</w:t>
      </w:r>
    </w:p>
    <w:p>
      <w:pPr>
        <w:rPr>
          <w:noProof/>
        </w:rPr>
        <w:sectPr>
          <w:headerReference w:type="even" r:id="rId131"/>
          <w:headerReference w:type="default" r:id="rId132"/>
          <w:footerReference w:type="even" r:id="rId133"/>
          <w:footerReference w:type="default" r:id="rId134"/>
          <w:headerReference w:type="first" r:id="rId135"/>
          <w:footerReference w:type="first" r:id="rId136"/>
          <w:footnotePr>
            <w:numRestart w:val="eachSect"/>
          </w:footnotePr>
          <w:pgSz w:w="11907" w:h="16839" w:code="9"/>
          <w:pgMar w:top="1843" w:right="1275" w:bottom="737" w:left="1418" w:header="567" w:footer="352" w:gutter="0"/>
          <w:cols w:space="720"/>
          <w:titlePg/>
          <w:docGrid w:linePitch="326"/>
        </w:sectPr>
      </w:pPr>
    </w:p>
    <w:p>
      <w:pPr>
        <w:pStyle w:val="Heading1"/>
        <w:ind w:left="0"/>
        <w:rPr>
          <w:noProof/>
        </w:rPr>
      </w:pPr>
      <w:bookmarkStart w:id="73" w:name="_Toc443057942"/>
      <w:bookmarkStart w:id="74" w:name="_Toc475524738"/>
      <w:bookmarkStart w:id="75" w:name="_Toc475529505"/>
      <w:bookmarkStart w:id="76" w:name="_Toc475529544"/>
      <w:bookmarkStart w:id="77" w:name="_Toc475529872"/>
      <w:bookmarkStart w:id="78" w:name="_Toc475550837"/>
      <w:bookmarkStart w:id="79" w:name="_Toc475551377"/>
      <w:bookmarkStart w:id="80" w:name="_Toc484622466"/>
      <w:r>
        <w:rPr>
          <w:noProof/>
        </w:rPr>
        <w:t>Justice and consumers</w:t>
      </w:r>
      <w:bookmarkEnd w:id="73"/>
      <w:bookmarkEnd w:id="74"/>
      <w:bookmarkEnd w:id="75"/>
      <w:bookmarkEnd w:id="76"/>
      <w:bookmarkEnd w:id="77"/>
      <w:bookmarkEnd w:id="78"/>
      <w:bookmarkEnd w:id="79"/>
      <w:bookmarkEnd w:id="80"/>
    </w:p>
    <w:p>
      <w:pPr>
        <w:rPr>
          <w:i/>
          <w:noProof/>
        </w:rPr>
      </w:pPr>
      <w:r>
        <w:rPr>
          <w:i/>
          <w:noProof/>
        </w:rPr>
        <w:t>In 2016 complaints in the area of justice and consumers jumped to their highest level ever. Infringement cases pending at the end of the year and new late transposition cases rose again after easing back in 2015. By contrast, new EU Pilot files fell by more than half to their lowest level in 5 years.</w:t>
      </w:r>
    </w:p>
    <w:p>
      <w:pPr>
        <w:pStyle w:val="Title1"/>
        <w:numPr>
          <w:ilvl w:val="0"/>
          <w:numId w:val="40"/>
        </w:numPr>
        <w:rPr>
          <w:noProof/>
        </w:rPr>
      </w:pPr>
      <w:r>
        <w:rPr>
          <w:noProof/>
        </w:rPr>
        <w:t>COMPLAINTS</w:t>
      </w:r>
    </w:p>
    <w:p>
      <w:pPr>
        <w:numPr>
          <w:ilvl w:val="0"/>
          <w:numId w:val="87"/>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600575" cy="2276475"/>
            <wp:effectExtent l="0" t="0" r="9525" b="9525"/>
            <wp:docPr id="41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numPr>
          <w:ilvl w:val="0"/>
          <w:numId w:val="87"/>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81"/>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557</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919</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754</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722</w:t>
            </w:r>
          </w:p>
        </w:tc>
        <w:tc>
          <w:tcPr>
            <w:tcW w:w="381"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87"/>
        </w:numPr>
        <w:spacing w:after="120"/>
        <w:ind w:left="714" w:hanging="357"/>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84120"/>
            <wp:effectExtent l="0" t="0" r="22860" b="11430"/>
            <wp:docPr id="41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88"/>
        </w:numPr>
        <w:spacing w:after="120"/>
        <w:ind w:left="714" w:hanging="357"/>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87240" cy="1973580"/>
            <wp:effectExtent l="0" t="0" r="22860" b="26670"/>
            <wp:docPr id="41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numPr>
          <w:ilvl w:val="0"/>
          <w:numId w:val="88"/>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157 EU Pilot files remained open.</w:t>
      </w:r>
    </w:p>
    <w:p>
      <w:pPr>
        <w:numPr>
          <w:ilvl w:val="0"/>
          <w:numId w:val="88"/>
        </w:numPr>
        <w:spacing w:after="120"/>
        <w:ind w:left="714" w:hanging="357"/>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446020"/>
            <wp:effectExtent l="0" t="0" r="26670" b="11430"/>
            <wp:docPr id="41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numPr>
          <w:ilvl w:val="0"/>
          <w:numId w:val="88"/>
        </w:numPr>
        <w:spacing w:after="120"/>
        <w:ind w:left="714" w:hanging="357"/>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sz w:val="20"/>
          <w:lang w:val="en-US"/>
        </w:rPr>
        <w:drawing>
          <wp:inline distT="0" distB="0" distL="0" distR="0">
            <wp:extent cx="4572000" cy="2247900"/>
            <wp:effectExtent l="0" t="0" r="19050" b="19050"/>
            <wp:docPr id="4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ind w:left="714" w:hanging="357"/>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incomplete or incorrect transposition of the Unfair Commercial Practices Directive,</w:t>
      </w:r>
      <w:r>
        <w:rPr>
          <w:rStyle w:val="FootnoteReference"/>
          <w:rFonts w:ascii="Arial" w:hAnsi="Arial" w:cs="Arial"/>
          <w:noProof/>
          <w:lang w:val="en-GB"/>
        </w:rPr>
        <w:footnoteReference w:id="271"/>
      </w:r>
      <w:r>
        <w:rPr>
          <w:rFonts w:ascii="Arial" w:hAnsi="Arial" w:cs="Arial"/>
          <w:noProof/>
          <w:lang w:val="en-GB"/>
        </w:rPr>
        <w:t xml:space="preserve"> the Consumer Rights Directive</w:t>
      </w:r>
      <w:r>
        <w:rPr>
          <w:rStyle w:val="FootnoteReference"/>
          <w:rFonts w:ascii="Arial" w:hAnsi="Arial" w:cs="Arial"/>
          <w:noProof/>
          <w:lang w:val="en-GB"/>
        </w:rPr>
        <w:footnoteReference w:id="272"/>
      </w:r>
      <w:r>
        <w:rPr>
          <w:rFonts w:ascii="Arial" w:hAnsi="Arial" w:cs="Arial"/>
          <w:noProof/>
          <w:lang w:val="en-GB"/>
        </w:rPr>
        <w:t xml:space="preserve"> and the Directive on alternative dispute settlement in consumer cases;</w:t>
      </w:r>
      <w:r>
        <w:rPr>
          <w:rStyle w:val="FootnoteReference"/>
          <w:rFonts w:ascii="Arial" w:hAnsi="Arial" w:cs="Arial"/>
          <w:noProof/>
          <w:lang w:val="en-GB"/>
        </w:rPr>
        <w:footnoteReference w:id="273"/>
      </w:r>
    </w:p>
    <w:p>
      <w:pPr>
        <w:pStyle w:val="Basis"/>
        <w:numPr>
          <w:ilvl w:val="0"/>
          <w:numId w:val="33"/>
        </w:numPr>
        <w:ind w:left="1418"/>
        <w:contextualSpacing/>
        <w:rPr>
          <w:rFonts w:ascii="Arial" w:hAnsi="Arial" w:cs="Arial"/>
          <w:noProof/>
          <w:lang w:val="en-GB"/>
        </w:rPr>
      </w:pPr>
      <w:r>
        <w:rPr>
          <w:rFonts w:ascii="Arial" w:hAnsi="Arial" w:cs="Arial"/>
          <w:noProof/>
          <w:lang w:val="en-GB"/>
        </w:rPr>
        <w:t>discrimination against Roma children in education.</w:t>
      </w:r>
    </w:p>
    <w:p>
      <w:pPr>
        <w:numPr>
          <w:ilvl w:val="0"/>
          <w:numId w:val="30"/>
        </w:numPr>
        <w:ind w:left="714" w:hanging="357"/>
        <w:rPr>
          <w:caps/>
          <w:noProof/>
          <w:color w:val="4F81BD"/>
          <w:sz w:val="24"/>
          <w:szCs w:val="24"/>
        </w:rPr>
      </w:pPr>
      <w:r>
        <w:rPr>
          <w:caps/>
          <w:noProof/>
          <w:color w:val="4F81BD"/>
          <w:sz w:val="24"/>
          <w:szCs w:val="24"/>
        </w:rPr>
        <w:t>INFRINGEMENT CASES</w:t>
      </w:r>
    </w:p>
    <w:p>
      <w:pPr>
        <w:numPr>
          <w:ilvl w:val="0"/>
          <w:numId w:val="89"/>
        </w:numPr>
        <w:spacing w:after="120"/>
        <w:ind w:left="714" w:hanging="357"/>
        <w:jc w:val="left"/>
        <w:outlineLvl w:val="1"/>
        <w:rPr>
          <w:noProof/>
          <w:color w:val="002060"/>
          <w:szCs w:val="22"/>
        </w:rPr>
      </w:pPr>
      <w:r>
        <w:rPr>
          <w:noProof/>
          <w:color w:val="002060"/>
          <w:szCs w:val="22"/>
        </w:rPr>
        <w:t>Infringement cases open on 31 December (2012-2016)</w:t>
      </w:r>
    </w:p>
    <w:p>
      <w:pPr>
        <w:ind w:left="720"/>
        <w:rPr>
          <w:rFonts w:ascii="Verdana" w:hAnsi="Verdana"/>
          <w:noProof/>
          <w:sz w:val="20"/>
          <w:u w:val="single"/>
        </w:rPr>
      </w:pPr>
      <w:r>
        <w:rPr>
          <w:rFonts w:ascii="Verdana" w:hAnsi="Verdana"/>
          <w:noProof/>
          <w:sz w:val="20"/>
          <w:lang w:val="en-US"/>
        </w:rPr>
        <w:drawing>
          <wp:inline distT="0" distB="0" distL="0" distR="0">
            <wp:extent cx="4549140" cy="2110740"/>
            <wp:effectExtent l="0" t="0" r="22860" b="22860"/>
            <wp:docPr id="41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numPr>
          <w:ilvl w:val="0"/>
          <w:numId w:val="89"/>
        </w:numPr>
        <w:spacing w:after="120"/>
        <w:ind w:left="714" w:hanging="357"/>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49140" cy="2346960"/>
            <wp:effectExtent l="0" t="0" r="22860" b="15240"/>
            <wp:docPr id="42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spacing w:after="0"/>
        <w:jc w:val="left"/>
        <w:rPr>
          <w:noProof/>
          <w:color w:val="002060"/>
          <w:szCs w:val="22"/>
        </w:rPr>
      </w:pPr>
      <w:r>
        <w:rPr>
          <w:noProof/>
          <w:color w:val="002060"/>
          <w:szCs w:val="22"/>
        </w:rPr>
        <w:br w:type="page"/>
      </w:r>
    </w:p>
    <w:p>
      <w:pPr>
        <w:numPr>
          <w:ilvl w:val="0"/>
          <w:numId w:val="89"/>
        </w:numPr>
        <w:spacing w:after="120"/>
        <w:ind w:left="714" w:hanging="357"/>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11040" cy="2202180"/>
            <wp:effectExtent l="0" t="0" r="22860" b="26670"/>
            <wp:docPr id="42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numPr>
          <w:ilvl w:val="0"/>
          <w:numId w:val="89"/>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6"/>
        </w:numPr>
        <w:spacing w:after="120"/>
        <w:ind w:hanging="426"/>
        <w:rPr>
          <w:rFonts w:ascii="Arial" w:hAnsi="Arial" w:cs="Arial"/>
          <w:noProof/>
          <w:lang w:val="en-GB"/>
        </w:rPr>
      </w:pPr>
      <w:r>
        <w:rPr>
          <w:rFonts w:ascii="Arial" w:hAnsi="Arial" w:cs="Arial"/>
          <w:noProof/>
          <w:lang w:val="en-GB"/>
        </w:rPr>
        <w:t>The Commission opened 38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Belgium:</w:t>
      </w:r>
      <w:r>
        <w:rPr>
          <w:rFonts w:ascii="Arial" w:hAnsi="Arial" w:cs="Arial"/>
          <w:noProof/>
          <w:lang w:val="en-GB"/>
        </w:rPr>
        <w:t xml:space="preserve"> non-communication of national measures transposing the European Protection Order Directive;</w:t>
      </w:r>
      <w:r>
        <w:rPr>
          <w:rStyle w:val="FootnoteReference"/>
          <w:rFonts w:ascii="Arial" w:hAnsi="Arial" w:cs="Arial"/>
          <w:noProof/>
          <w:lang w:val="en-GB"/>
        </w:rPr>
        <w:footnoteReference w:id="274"/>
      </w:r>
    </w:p>
    <w:p>
      <w:pPr>
        <w:pStyle w:val="Lijstje2"/>
        <w:spacing w:after="120"/>
        <w:ind w:left="1843" w:hanging="357"/>
        <w:rPr>
          <w:rFonts w:ascii="Arial" w:hAnsi="Arial" w:cs="Arial"/>
          <w:noProof/>
          <w:lang w:val="en-GB"/>
        </w:rPr>
      </w:pPr>
      <w:r>
        <w:rPr>
          <w:rFonts w:ascii="Arial" w:hAnsi="Arial" w:cs="Arial"/>
          <w:i/>
          <w:noProof/>
          <w:lang w:val="en-GB"/>
        </w:rPr>
        <w:t xml:space="preserve">Spain: </w:t>
      </w:r>
      <w:r>
        <w:rPr>
          <w:rFonts w:ascii="Arial" w:hAnsi="Arial" w:cs="Arial"/>
          <w:noProof/>
          <w:lang w:val="en-GB"/>
        </w:rPr>
        <w:t>non-compliance of the</w:t>
      </w:r>
      <w:r>
        <w:rPr>
          <w:rFonts w:ascii="Arial" w:hAnsi="Arial" w:cs="Arial"/>
          <w:i/>
          <w:noProof/>
          <w:lang w:val="en-GB"/>
        </w:rPr>
        <w:t xml:space="preserve"> </w:t>
      </w:r>
      <w:r>
        <w:rPr>
          <w:rFonts w:ascii="Arial" w:hAnsi="Arial" w:cs="Arial"/>
          <w:noProof/>
          <w:lang w:val="en-GB"/>
        </w:rPr>
        <w:t>national rules and the case law of the Spanish Supreme Court on mortgage enforcement with the Directive on unfair terms in consumer contracts;</w:t>
      </w:r>
      <w:r>
        <w:rPr>
          <w:rStyle w:val="FootnoteReference"/>
          <w:rFonts w:ascii="Arial" w:hAnsi="Arial" w:cs="Arial"/>
          <w:noProof/>
          <w:lang w:val="en-GB"/>
        </w:rPr>
        <w:footnoteReference w:id="275"/>
      </w:r>
    </w:p>
    <w:p>
      <w:pPr>
        <w:pStyle w:val="Lijstje2"/>
        <w:ind w:left="1843"/>
        <w:rPr>
          <w:rFonts w:ascii="Arial" w:hAnsi="Arial" w:cs="Arial"/>
          <w:noProof/>
          <w:lang w:val="en-GB"/>
        </w:rPr>
      </w:pPr>
      <w:r>
        <w:rPr>
          <w:rFonts w:ascii="Arial" w:hAnsi="Arial" w:cs="Arial"/>
          <w:i/>
          <w:noProof/>
          <w:lang w:val="en-GB"/>
        </w:rPr>
        <w:t>Italy:</w:t>
      </w:r>
      <w:r>
        <w:rPr>
          <w:rFonts w:ascii="Arial" w:hAnsi="Arial" w:cs="Arial"/>
          <w:noProof/>
          <w:lang w:val="en-GB"/>
        </w:rPr>
        <w:t xml:space="preserve"> non-conformity with the Directive on equal treatment for men and women;</w:t>
      </w:r>
      <w:r>
        <w:rPr>
          <w:rStyle w:val="FootnoteReference"/>
          <w:rFonts w:ascii="Arial" w:hAnsi="Arial" w:cs="Arial"/>
          <w:noProof/>
          <w:lang w:val="en-GB"/>
        </w:rPr>
        <w:footnoteReference w:id="276"/>
      </w:r>
      <w:r>
        <w:rPr>
          <w:rFonts w:ascii="Arial" w:hAnsi="Arial" w:cs="Arial"/>
          <w:noProof/>
          <w:lang w:val="en-GB"/>
        </w:rPr>
        <w:t xml:space="preserve"> the national legislation provides for ‘early retirement’ after a number of years of financial contributions, which differ depending on the sex of the worker; </w:t>
      </w:r>
    </w:p>
    <w:p>
      <w:pPr>
        <w:pStyle w:val="Lijstje2"/>
        <w:ind w:left="1843"/>
        <w:rPr>
          <w:rFonts w:ascii="Arial" w:hAnsi="Arial" w:cs="Arial"/>
          <w:noProof/>
          <w:lang w:val="en-GB"/>
        </w:rPr>
      </w:pPr>
      <w:r>
        <w:rPr>
          <w:rFonts w:ascii="Arial" w:hAnsi="Arial" w:cs="Arial"/>
          <w:i/>
          <w:noProof/>
          <w:lang w:val="en-GB"/>
        </w:rPr>
        <w:t>Lithuania:</w:t>
      </w:r>
      <w:r>
        <w:rPr>
          <w:rFonts w:ascii="Arial" w:hAnsi="Arial" w:cs="Arial"/>
          <w:noProof/>
          <w:lang w:val="en-GB"/>
        </w:rPr>
        <w:t xml:space="preserve"> non-communication of national measures transposing the Directive on interpretation and translation during criminal proceedings;</w:t>
      </w:r>
      <w:r>
        <w:rPr>
          <w:rStyle w:val="FootnoteReference"/>
          <w:rFonts w:ascii="Arial" w:hAnsi="Arial" w:cs="Arial"/>
          <w:noProof/>
          <w:lang w:val="en-GB"/>
        </w:rPr>
        <w:footnoteReference w:id="277"/>
      </w:r>
    </w:p>
    <w:p>
      <w:pPr>
        <w:pStyle w:val="Lijstje2"/>
        <w:ind w:left="1843"/>
        <w:rPr>
          <w:rFonts w:ascii="Arial" w:hAnsi="Arial" w:cs="Arial"/>
          <w:noProof/>
          <w:lang w:val="en-GB"/>
        </w:rPr>
      </w:pPr>
      <w:r>
        <w:rPr>
          <w:rFonts w:ascii="Arial" w:hAnsi="Arial" w:cs="Arial"/>
          <w:i/>
          <w:noProof/>
          <w:lang w:val="en-GB"/>
        </w:rPr>
        <w:t>Hungary:</w:t>
      </w:r>
      <w:r>
        <w:rPr>
          <w:rFonts w:ascii="Arial" w:hAnsi="Arial" w:cs="Arial"/>
          <w:noProof/>
          <w:lang w:val="en-GB"/>
        </w:rPr>
        <w:t xml:space="preserve"> discrimination against Roma children in education.</w:t>
      </w:r>
      <w:r>
        <w:rPr>
          <w:rStyle w:val="FootnoteReference"/>
          <w:rFonts w:ascii="Arial" w:hAnsi="Arial" w:cs="Arial"/>
          <w:noProof/>
          <w:lang w:val="en-GB"/>
        </w:rPr>
        <w:footnoteReference w:id="278"/>
      </w:r>
    </w:p>
    <w:p>
      <w:pPr>
        <w:pStyle w:val="Lijstje"/>
        <w:numPr>
          <w:ilvl w:val="0"/>
          <w:numId w:val="116"/>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numPr>
          <w:ilvl w:val="0"/>
          <w:numId w:val="116"/>
        </w:numPr>
        <w:spacing w:after="200"/>
        <w:ind w:left="1417" w:hanging="425"/>
        <w:rPr>
          <w:rFonts w:eastAsia="Calibri" w:cs="Arial"/>
          <w:noProof/>
          <w:kern w:val="20"/>
          <w:sz w:val="20"/>
        </w:rPr>
      </w:pPr>
      <w:r>
        <w:rPr>
          <w:rFonts w:eastAsia="Calibri" w:cs="Arial"/>
          <w:noProof/>
          <w:kern w:val="20"/>
          <w:sz w:val="20"/>
        </w:rPr>
        <w:t xml:space="preserve"> The Commission did not refer any cases to the Court under Article 260(2) TFEU.</w:t>
      </w:r>
    </w:p>
    <w:p>
      <w:pPr>
        <w:numPr>
          <w:ilvl w:val="0"/>
          <w:numId w:val="30"/>
        </w:numPr>
        <w:spacing w:after="120"/>
        <w:ind w:left="714" w:hanging="357"/>
        <w:rPr>
          <w:caps/>
          <w:noProof/>
          <w:color w:val="4F81BD"/>
          <w:sz w:val="24"/>
          <w:szCs w:val="24"/>
        </w:rPr>
      </w:pPr>
      <w:r>
        <w:rPr>
          <w:caps/>
          <w:noProof/>
          <w:color w:val="4F81BD"/>
          <w:sz w:val="24"/>
          <w:szCs w:val="24"/>
        </w:rPr>
        <w:t>TRANSPOSITION OF DIRECTIVES</w:t>
      </w:r>
    </w:p>
    <w:p>
      <w:pPr>
        <w:numPr>
          <w:ilvl w:val="0"/>
          <w:numId w:val="90"/>
        </w:numPr>
        <w:spacing w:after="60"/>
        <w:ind w:left="714" w:hanging="357"/>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610100" cy="1882140"/>
            <wp:effectExtent l="0" t="0" r="19050" b="22860"/>
            <wp:docPr id="422"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numPr>
          <w:ilvl w:val="0"/>
          <w:numId w:val="90"/>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cs="Arial"/>
          <w:noProof/>
          <w:sz w:val="20"/>
        </w:rPr>
      </w:pPr>
      <w:r>
        <w:rPr>
          <w:rFonts w:cs="Arial"/>
          <w:noProof/>
          <w:sz w:val="20"/>
        </w:rPr>
        <w:t>All 34 new late transposition cases were opened in criminal law and procedures sector.</w:t>
      </w:r>
    </w:p>
    <w:p>
      <w:pPr>
        <w:numPr>
          <w:ilvl w:val="0"/>
          <w:numId w:val="90"/>
        </w:numPr>
        <w:spacing w:after="60"/>
        <w:jc w:val="left"/>
        <w:outlineLvl w:val="1"/>
        <w:rPr>
          <w:noProof/>
          <w:color w:val="002060"/>
          <w:szCs w:val="22"/>
        </w:rPr>
      </w:pPr>
      <w:r>
        <w:rPr>
          <w:noProof/>
          <w:color w:val="002060"/>
          <w:szCs w:val="22"/>
        </w:rPr>
        <w:t>Key infringement cases and referrals to the Court</w:t>
      </w:r>
    </w:p>
    <w:p>
      <w:pPr>
        <w:numPr>
          <w:ilvl w:val="0"/>
          <w:numId w:val="128"/>
        </w:numPr>
        <w:spacing w:after="120"/>
        <w:ind w:hanging="426"/>
        <w:rPr>
          <w:rFonts w:eastAsia="Calibri" w:cs="Arial"/>
          <w:noProof/>
          <w:kern w:val="20"/>
          <w:sz w:val="20"/>
        </w:rPr>
      </w:pPr>
      <w:r>
        <w:rPr>
          <w:rFonts w:eastAsia="Calibri" w:cs="Arial"/>
          <w:noProof/>
          <w:kern w:val="20"/>
          <w:sz w:val="20"/>
        </w:rPr>
        <w:t>The Commission opened 34 cases for late transposition in 2016. They concern:</w:t>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Directive on sanctions for market abuse (18 cases);</w:t>
      </w:r>
      <w:r>
        <w:rPr>
          <w:rStyle w:val="FootnoteReference"/>
          <w:rFonts w:eastAsia="Calibri" w:cs="Arial"/>
          <w:noProof/>
          <w:kern w:val="20"/>
          <w:sz w:val="20"/>
        </w:rPr>
        <w:footnoteReference w:id="279"/>
      </w:r>
    </w:p>
    <w:p>
      <w:pPr>
        <w:numPr>
          <w:ilvl w:val="0"/>
          <w:numId w:val="25"/>
        </w:numPr>
        <w:spacing w:after="200"/>
        <w:ind w:left="2132" w:hanging="426"/>
        <w:contextualSpacing/>
        <w:rPr>
          <w:rFonts w:eastAsia="Calibri" w:cs="Arial"/>
          <w:noProof/>
          <w:kern w:val="20"/>
          <w:sz w:val="20"/>
        </w:rPr>
      </w:pPr>
      <w:r>
        <w:rPr>
          <w:rFonts w:eastAsia="Calibri" w:cs="Arial"/>
          <w:noProof/>
          <w:kern w:val="20"/>
          <w:sz w:val="20"/>
        </w:rPr>
        <w:t>the Victims’ Rights Directive (16 cases).</w:t>
      </w:r>
      <w:r>
        <w:rPr>
          <w:rStyle w:val="FootnoteReference"/>
          <w:rFonts w:eastAsia="Calibri" w:cs="Arial"/>
          <w:noProof/>
          <w:kern w:val="20"/>
          <w:sz w:val="20"/>
        </w:rPr>
        <w:footnoteReference w:id="280"/>
      </w:r>
    </w:p>
    <w:p>
      <w:pPr>
        <w:numPr>
          <w:ilvl w:val="0"/>
          <w:numId w:val="128"/>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ind w:left="720"/>
        <w:rPr>
          <w:rFonts w:cs="Arial"/>
          <w:noProof/>
          <w:sz w:val="20"/>
        </w:rPr>
      </w:pPr>
      <w:r>
        <w:rPr>
          <w:rFonts w:cs="Arial"/>
          <w:noProof/>
          <w:sz w:val="20"/>
        </w:rPr>
        <w:t>These concerned:</w:t>
      </w:r>
    </w:p>
    <w:p>
      <w:pPr>
        <w:numPr>
          <w:ilvl w:val="0"/>
          <w:numId w:val="25"/>
        </w:numPr>
        <w:spacing w:after="200"/>
        <w:ind w:left="1276" w:hanging="425"/>
        <w:contextualSpacing/>
        <w:rPr>
          <w:rFonts w:eastAsia="Calibri" w:cs="Arial"/>
          <w:noProof/>
          <w:kern w:val="20"/>
          <w:sz w:val="20"/>
        </w:rPr>
      </w:pPr>
      <w:r>
        <w:rPr>
          <w:rFonts w:eastAsia="Calibri" w:cs="Arial"/>
          <w:i/>
          <w:noProof/>
          <w:kern w:val="20"/>
          <w:sz w:val="20"/>
        </w:rPr>
        <w:t xml:space="preserve">Belgium: </w:t>
      </w:r>
      <w:r>
        <w:rPr>
          <w:rFonts w:eastAsia="Calibri" w:cs="Arial"/>
          <w:noProof/>
          <w:kern w:val="20"/>
          <w:sz w:val="20"/>
        </w:rPr>
        <w:t>refusal to register the double surname for children born to a parent of Belgian nationality and a parent with another EU nationality;</w:t>
      </w:r>
    </w:p>
    <w:p>
      <w:pPr>
        <w:numPr>
          <w:ilvl w:val="0"/>
          <w:numId w:val="25"/>
        </w:numPr>
        <w:spacing w:after="200"/>
        <w:ind w:left="1276" w:hanging="425"/>
        <w:contextualSpacing/>
        <w:rPr>
          <w:rFonts w:eastAsia="Calibri" w:cs="Arial"/>
          <w:noProof/>
          <w:kern w:val="20"/>
          <w:sz w:val="20"/>
        </w:rPr>
      </w:pPr>
      <w:r>
        <w:rPr>
          <w:rFonts w:eastAsia="Calibri" w:cs="Arial"/>
          <w:i/>
          <w:noProof/>
          <w:kern w:val="20"/>
          <w:sz w:val="20"/>
        </w:rPr>
        <w:t>Malta</w:t>
      </w:r>
      <w:r>
        <w:rPr>
          <w:rFonts w:eastAsia="Calibri" w:cs="Arial"/>
          <w:noProof/>
          <w:kern w:val="20"/>
          <w:sz w:val="20"/>
        </w:rPr>
        <w:t>: discriminatory application of water and energy tariffs;</w:t>
      </w:r>
    </w:p>
    <w:p>
      <w:pPr>
        <w:numPr>
          <w:ilvl w:val="0"/>
          <w:numId w:val="25"/>
        </w:numPr>
        <w:spacing w:after="200"/>
        <w:ind w:left="1276" w:hanging="425"/>
        <w:contextualSpacing/>
        <w:rPr>
          <w:rFonts w:eastAsia="Calibri" w:cs="Arial"/>
          <w:noProof/>
          <w:kern w:val="20"/>
          <w:sz w:val="20"/>
        </w:rPr>
      </w:pPr>
      <w:r>
        <w:rPr>
          <w:rFonts w:eastAsia="Calibri" w:cs="Arial"/>
          <w:i/>
          <w:noProof/>
          <w:kern w:val="20"/>
          <w:sz w:val="20"/>
        </w:rPr>
        <w:t>Slovenia</w:t>
      </w:r>
      <w:r>
        <w:rPr>
          <w:rFonts w:eastAsia="Calibri" w:cs="Arial"/>
          <w:noProof/>
          <w:kern w:val="20"/>
          <w:sz w:val="20"/>
        </w:rPr>
        <w:t>: the independence of the national equality body;</w:t>
      </w:r>
      <w:r>
        <w:rPr>
          <w:rStyle w:val="FootnoteReference"/>
          <w:rFonts w:eastAsia="Calibri" w:cs="Arial"/>
          <w:noProof/>
          <w:kern w:val="20"/>
          <w:sz w:val="20"/>
        </w:rPr>
        <w:footnoteReference w:id="281"/>
      </w:r>
    </w:p>
    <w:p>
      <w:pPr>
        <w:numPr>
          <w:ilvl w:val="0"/>
          <w:numId w:val="25"/>
        </w:numPr>
        <w:spacing w:after="200"/>
        <w:ind w:left="1276" w:hanging="425"/>
        <w:rPr>
          <w:rFonts w:eastAsia="Calibri" w:cs="Arial"/>
          <w:noProof/>
          <w:kern w:val="20"/>
          <w:sz w:val="20"/>
        </w:rPr>
      </w:pPr>
      <w:r>
        <w:rPr>
          <w:rFonts w:eastAsia="Calibri" w:cs="Arial"/>
          <w:i/>
          <w:noProof/>
          <w:kern w:val="20"/>
          <w:sz w:val="20"/>
        </w:rPr>
        <w:t>Slovakia</w:t>
      </w:r>
      <w:r>
        <w:rPr>
          <w:rFonts w:eastAsia="Calibri" w:cs="Arial"/>
          <w:noProof/>
          <w:kern w:val="20"/>
          <w:sz w:val="20"/>
        </w:rPr>
        <w:t xml:space="preserve"> and </w:t>
      </w:r>
      <w:r>
        <w:rPr>
          <w:rFonts w:eastAsia="Calibri" w:cs="Arial"/>
          <w:i/>
          <w:noProof/>
          <w:kern w:val="20"/>
          <w:sz w:val="20"/>
        </w:rPr>
        <w:t>Spain</w:t>
      </w:r>
      <w:r>
        <w:rPr>
          <w:rFonts w:eastAsia="Calibri" w:cs="Arial"/>
          <w:noProof/>
          <w:kern w:val="20"/>
          <w:sz w:val="20"/>
        </w:rPr>
        <w:t>: breach of EU citizens’ right to stand as candidates in local and European elections in the Member State of residence due to restrictions on their involvement in political parties.</w:t>
      </w:r>
    </w:p>
    <w:p>
      <w:pPr>
        <w:numPr>
          <w:ilvl w:val="0"/>
          <w:numId w:val="30"/>
        </w:numPr>
        <w:rPr>
          <w:caps/>
          <w:noProof/>
          <w:color w:val="4F81BD"/>
          <w:sz w:val="24"/>
          <w:szCs w:val="24"/>
        </w:rPr>
      </w:pPr>
      <w:r>
        <w:rPr>
          <w:caps/>
          <w:noProof/>
          <w:color w:val="4F81BD"/>
          <w:sz w:val="24"/>
          <w:szCs w:val="24"/>
        </w:rPr>
        <w:t>IMPORTANT JUDGMENTS</w:t>
      </w:r>
    </w:p>
    <w:p>
      <w:pPr>
        <w:numPr>
          <w:ilvl w:val="0"/>
          <w:numId w:val="91"/>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282"/>
      </w:r>
    </w:p>
    <w:p>
      <w:pPr>
        <w:spacing w:after="120"/>
        <w:ind w:left="720"/>
        <w:rPr>
          <w:noProof/>
        </w:rPr>
      </w:pPr>
      <w:r>
        <w:rPr>
          <w:rFonts w:cs="Arial"/>
          <w:noProof/>
          <w:sz w:val="20"/>
        </w:rPr>
        <w:t>The Court ruled that:</w:t>
      </w:r>
    </w:p>
    <w:p>
      <w:pPr>
        <w:numPr>
          <w:ilvl w:val="0"/>
          <w:numId w:val="27"/>
        </w:numPr>
        <w:ind w:left="1276" w:hanging="357"/>
        <w:rPr>
          <w:rFonts w:cs="Arial"/>
          <w:noProof/>
          <w:sz w:val="20"/>
        </w:rPr>
      </w:pPr>
      <w:r>
        <w:rPr>
          <w:rFonts w:cs="Arial"/>
          <w:i/>
          <w:noProof/>
          <w:sz w:val="20"/>
        </w:rPr>
        <w:t>Italy</w:t>
      </w:r>
      <w:r>
        <w:rPr>
          <w:rFonts w:cs="Arial"/>
          <w:noProof/>
          <w:sz w:val="20"/>
        </w:rPr>
        <w:t xml:space="preserve"> has failed to fulfil its obligations under EU law by failing to guarantee just and appropriate compensation for victims of all violent intentional crimes committed in cross-border situations. The Directive on compensation to victims of crime</w:t>
      </w:r>
      <w:r>
        <w:rPr>
          <w:rStyle w:val="FootnoteReference"/>
          <w:rFonts w:cs="Arial"/>
          <w:noProof/>
          <w:sz w:val="20"/>
        </w:rPr>
        <w:footnoteReference w:id="283"/>
      </w:r>
      <w:r>
        <w:rPr>
          <w:rFonts w:cs="Arial"/>
          <w:noProof/>
          <w:sz w:val="20"/>
        </w:rPr>
        <w:t xml:space="preserve"> requires that all violent intentional crimes, as defined in the national legislation of each Member State, should give access to compensation from the state. Member States may not limit the scope of the compensation scheme for victims to only certain violent intentional crimes. The Court also confirmed that the principle of the prohibition of discrimination on the basis of nationality should be observed as regards access to compensation for the victims of crime in cross-border situations.</w:t>
      </w:r>
      <w:r>
        <w:rPr>
          <w:rStyle w:val="FootnoteReference"/>
          <w:rFonts w:cs="Arial"/>
          <w:noProof/>
          <w:sz w:val="20"/>
        </w:rPr>
        <w:footnoteReference w:id="284"/>
      </w:r>
    </w:p>
    <w:p>
      <w:pPr>
        <w:numPr>
          <w:ilvl w:val="0"/>
          <w:numId w:val="91"/>
        </w:numPr>
        <w:tabs>
          <w:tab w:val="left" w:pos="993"/>
        </w:tabs>
        <w:spacing w:after="60"/>
        <w:jc w:val="left"/>
        <w:outlineLvl w:val="1"/>
        <w:rPr>
          <w:noProof/>
          <w:color w:val="002060"/>
          <w:szCs w:val="22"/>
        </w:rPr>
      </w:pPr>
      <w:r>
        <w:rPr>
          <w:noProof/>
          <w:color w:val="002060"/>
          <w:szCs w:val="22"/>
        </w:rPr>
        <w:t xml:space="preserve"> Preliminary rulings</w:t>
      </w:r>
    </w:p>
    <w:p>
      <w:pPr>
        <w:ind w:left="720"/>
        <w:rPr>
          <w:rFonts w:cs="Arial"/>
          <w:noProof/>
          <w:sz w:val="20"/>
        </w:rPr>
      </w:pPr>
      <w:r>
        <w:rPr>
          <w:rFonts w:cs="Arial"/>
          <w:noProof/>
          <w:sz w:val="20"/>
        </w:rPr>
        <w:t>In preliminary rulings, the Court held that:</w:t>
      </w:r>
    </w:p>
    <w:p>
      <w:pPr>
        <w:pStyle w:val="Lijstje2"/>
        <w:rPr>
          <w:rFonts w:ascii="Arial" w:hAnsi="Arial" w:cs="Arial"/>
          <w:noProof/>
          <w:lang w:val="en-GB"/>
        </w:rPr>
      </w:pPr>
      <w:r>
        <w:rPr>
          <w:rFonts w:ascii="Arial" w:hAnsi="Arial" w:cs="Arial"/>
          <w:i/>
          <w:noProof/>
          <w:lang w:val="en-GB"/>
        </w:rPr>
        <w:t xml:space="preserve">Belgium: </w:t>
      </w:r>
      <w:r>
        <w:rPr>
          <w:rFonts w:ascii="Arial" w:hAnsi="Arial" w:cs="Arial"/>
          <w:noProof/>
          <w:lang w:val="en-GB"/>
        </w:rPr>
        <w:t>under the Consumer Sales Directive,</w:t>
      </w:r>
      <w:r>
        <w:rPr>
          <w:rStyle w:val="FootnoteReference"/>
          <w:rFonts w:ascii="Arial" w:hAnsi="Arial" w:cs="Arial"/>
          <w:noProof/>
          <w:lang w:val="en-GB"/>
        </w:rPr>
        <w:footnoteReference w:id="285"/>
      </w:r>
      <w:r>
        <w:rPr>
          <w:rFonts w:ascii="Arial" w:hAnsi="Arial" w:cs="Arial"/>
          <w:noProof/>
          <w:lang w:val="en-GB"/>
        </w:rPr>
        <w:t xml:space="preserve"> the concept of ‘seller’ also covers a trader acting as an intermediary on behalf of a private individual if the trader has not duly informed the consumer of the fact that the owner of the goods sold is a private individual. The Court's clarifications on intermediaries seem relevant for other areas of consumer law as well;</w:t>
      </w:r>
      <w:r>
        <w:rPr>
          <w:rStyle w:val="FootnoteReference"/>
          <w:rFonts w:ascii="Arial" w:hAnsi="Arial" w:cs="Arial"/>
          <w:noProof/>
          <w:lang w:val="en-GB"/>
        </w:rPr>
        <w:footnoteReference w:id="286"/>
      </w:r>
    </w:p>
    <w:p>
      <w:pPr>
        <w:pStyle w:val="Lijstje2"/>
        <w:rPr>
          <w:rFonts w:ascii="Arial" w:hAnsi="Arial" w:cs="Arial"/>
          <w:noProof/>
          <w:lang w:val="en-GB"/>
        </w:rPr>
      </w:pPr>
      <w:r>
        <w:rPr>
          <w:rFonts w:ascii="Arial" w:hAnsi="Arial" w:cs="Arial"/>
          <w:i/>
          <w:noProof/>
          <w:lang w:val="en-GB"/>
        </w:rPr>
        <w:t>Bulgaria:</w:t>
      </w:r>
      <w:r>
        <w:rPr>
          <w:rFonts w:ascii="Arial" w:hAnsi="Arial" w:cs="Arial"/>
          <w:noProof/>
          <w:lang w:val="en-GB"/>
        </w:rPr>
        <w:t xml:space="preserve"> the custodial sentence of a prisoner may not be reduced, when he is transferred from one Member State to another, by reason of time spent working in prison in the first Member State if that Member State has not, under its national law, granted such a reduction in sentence;</w:t>
      </w:r>
      <w:r>
        <w:rPr>
          <w:rStyle w:val="FootnoteReference"/>
          <w:rFonts w:ascii="Arial" w:hAnsi="Arial" w:cs="Arial"/>
          <w:noProof/>
          <w:lang w:val="en-GB"/>
        </w:rPr>
        <w:footnoteReference w:id="287"/>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xml:space="preserve"> Member States may exclude nationals of other Member States from social assistance during the first 3 months of residence. Such a refusal does not presuppose an assessment of the individual situation of the person concerned;</w:t>
      </w:r>
      <w:r>
        <w:rPr>
          <w:rStyle w:val="FootnoteReference"/>
          <w:rFonts w:ascii="Arial" w:hAnsi="Arial" w:cs="Arial"/>
          <w:noProof/>
          <w:lang w:val="en-GB"/>
        </w:rPr>
        <w:footnoteReference w:id="288"/>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xml:space="preserve"> the recognition of freely chosen forenames and the surname (acquired legally in another Member State) may be refused in order to ensure equality before the law;</w:t>
      </w:r>
      <w:r>
        <w:rPr>
          <w:rStyle w:val="FootnoteReference"/>
          <w:rFonts w:ascii="Arial" w:hAnsi="Arial" w:cs="Arial"/>
          <w:noProof/>
          <w:lang w:val="en-GB"/>
        </w:rPr>
        <w:footnoteReference w:id="289"/>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xml:space="preserve"> the execution of a European arrest warrant must be deferred if there is a real risk of inhuman or degrading treatment because of the conditions of detention of the person concerned in the Member State where the warrant was issued;</w:t>
      </w:r>
      <w:r>
        <w:rPr>
          <w:rStyle w:val="FootnoteReference"/>
          <w:rFonts w:ascii="Arial" w:hAnsi="Arial" w:cs="Arial"/>
          <w:noProof/>
          <w:lang w:val="en-GB"/>
        </w:rPr>
        <w:footnoteReference w:id="290"/>
      </w:r>
    </w:p>
    <w:p>
      <w:pPr>
        <w:pStyle w:val="Lijstje2"/>
        <w:rPr>
          <w:rFonts w:ascii="Arial" w:hAnsi="Arial" w:cs="Arial"/>
          <w:noProof/>
          <w:lang w:val="en-GB"/>
        </w:rPr>
      </w:pPr>
      <w:r>
        <w:rPr>
          <w:rFonts w:ascii="Arial" w:hAnsi="Arial" w:cs="Arial"/>
          <w:i/>
          <w:noProof/>
          <w:lang w:val="en-GB"/>
        </w:rPr>
        <w:t xml:space="preserve">Spain: </w:t>
      </w:r>
      <w:r>
        <w:rPr>
          <w:rFonts w:ascii="Arial" w:hAnsi="Arial" w:cs="Arial"/>
          <w:noProof/>
          <w:lang w:val="en-GB"/>
        </w:rPr>
        <w:t>national case-law cannot temporally limit the restitutory effects connected with a finding of unfairness by a court, in respect of a clause contained in a contract concluded between a consumer and a seller or supplier, to amounts overpaid under such a clause after the delivery of the decision in which the finding of unfairness is made. The case concerned a decision by the Spanish Supreme Court of 2013 which had found so-called floor clauses in loan contracts concluded by consumers to be unfair, but had ruled that this finding would have effect only from the date of its judgment, thereby excluding restitution claims by consumers for overpayments made in the past;</w:t>
      </w:r>
      <w:r>
        <w:rPr>
          <w:rStyle w:val="FootnoteReference"/>
          <w:rFonts w:ascii="Arial" w:hAnsi="Arial" w:cs="Arial"/>
          <w:noProof/>
          <w:lang w:val="en-GB"/>
        </w:rPr>
        <w:footnoteReference w:id="291"/>
      </w:r>
    </w:p>
    <w:p>
      <w:pPr>
        <w:pStyle w:val="Lijstje2"/>
        <w:rPr>
          <w:noProof/>
          <w:lang w:val="en-GB"/>
        </w:rPr>
      </w:pPr>
      <w:r>
        <w:rPr>
          <w:rFonts w:ascii="Arial" w:hAnsi="Arial" w:cs="Arial"/>
          <w:i/>
          <w:noProof/>
          <w:lang w:val="en-GB"/>
        </w:rPr>
        <w:t>Spain:</w:t>
      </w:r>
      <w:r>
        <w:rPr>
          <w:noProof/>
          <w:lang w:val="en-GB"/>
        </w:rPr>
        <w:t xml:space="preserve"> </w:t>
      </w:r>
      <w:r>
        <w:rPr>
          <w:rFonts w:ascii="Arial" w:hAnsi="Arial" w:cs="Arial"/>
          <w:noProof/>
          <w:lang w:val="en-GB"/>
        </w:rPr>
        <w:t>Member States’ may adopt or retain in force stricter measures to prevent money laundering and terrorist financing than the rules laid down in the Directive on the prevention of the use of the financial system for money laundering and terrorist financing.</w:t>
      </w:r>
      <w:r>
        <w:rPr>
          <w:rStyle w:val="FootnoteReference"/>
          <w:rFonts w:ascii="Arial" w:hAnsi="Arial" w:cs="Arial"/>
          <w:noProof/>
          <w:lang w:val="en-GB"/>
        </w:rPr>
        <w:footnoteReference w:id="292"/>
      </w:r>
      <w:r>
        <w:rPr>
          <w:rFonts w:ascii="Arial" w:hAnsi="Arial" w:cs="Arial"/>
          <w:noProof/>
          <w:lang w:val="en-GB"/>
        </w:rPr>
        <w:t xml:space="preserve"> These measures, however, must be justified by the level of risk and must be proportionate;</w:t>
      </w:r>
      <w:r>
        <w:rPr>
          <w:rStyle w:val="FootnoteReference"/>
          <w:rFonts w:ascii="Arial" w:hAnsi="Arial" w:cs="Arial"/>
          <w:noProof/>
          <w:lang w:val="en-GB"/>
        </w:rPr>
        <w:footnoteReference w:id="293"/>
      </w:r>
    </w:p>
    <w:p>
      <w:pPr>
        <w:pStyle w:val="Lijstje2"/>
        <w:rPr>
          <w:rFonts w:eastAsia="Times New Roman"/>
          <w:noProof/>
          <w:kern w:val="0"/>
          <w:sz w:val="22"/>
          <w:lang w:val="en-GB"/>
        </w:rPr>
      </w:pPr>
      <w:r>
        <w:rPr>
          <w:rFonts w:ascii="Arial" w:hAnsi="Arial" w:cs="Arial"/>
          <w:i/>
          <w:noProof/>
          <w:lang w:val="en-GB"/>
        </w:rPr>
        <w:t>Spain and UK:</w:t>
      </w:r>
      <w:r>
        <w:rPr>
          <w:rFonts w:ascii="Arial" w:hAnsi="Arial" w:cs="Arial"/>
          <w:noProof/>
          <w:lang w:val="en-GB"/>
        </w:rPr>
        <w:t xml:space="preserve"> a national of a non-EU country who has the sole care of an EU citizen who is a minor cannot be automatically refused a residence permit or expelled from the territory of the European Union on the sole ground that he has a criminal record. To be capable of being adopted, an expulsion measure must be proportionate and founded on the personal conduct of the national of a non-EU country. Moreover, that conduct must constitute a genuine, present and sufficiently serious threat adversely affecting one of the fundamental interests of the society of the host Member State.</w:t>
      </w:r>
      <w:r>
        <w:rPr>
          <w:rStyle w:val="FootnoteReference"/>
          <w:rFonts w:ascii="Arial" w:hAnsi="Arial" w:cs="Arial"/>
          <w:noProof/>
          <w:lang w:val="en-GB"/>
        </w:rPr>
        <w:footnoteReference w:id="294"/>
      </w:r>
    </w:p>
    <w:p>
      <w:pPr>
        <w:pStyle w:val="Lijstje2"/>
        <w:rPr>
          <w:rFonts w:ascii="Arial" w:hAnsi="Arial" w:cs="Arial"/>
          <w:noProof/>
          <w:lang w:val="en-GB"/>
        </w:rPr>
      </w:pPr>
      <w:r>
        <w:rPr>
          <w:rFonts w:ascii="Arial" w:hAnsi="Arial" w:cs="Arial"/>
          <w:i/>
          <w:noProof/>
          <w:lang w:val="en-GB"/>
        </w:rPr>
        <w:t>Latvia:</w:t>
      </w:r>
      <w:r>
        <w:rPr>
          <w:rFonts w:ascii="Arial" w:hAnsi="Arial" w:cs="Arial"/>
          <w:noProof/>
          <w:lang w:val="en-GB"/>
        </w:rPr>
        <w:t xml:space="preserve"> a Member State is not required to grant every EU citizen who has moved within its territory the same protection against extradition as that granted to its own nationals. However, before extraditing the citizen, the Member State concerned must give priority to the exchange of information with the Member State of origin and allow that Member State to request the citizen’s surrender for the purposes of prosecution;</w:t>
      </w:r>
      <w:r>
        <w:rPr>
          <w:rStyle w:val="FootnoteReference"/>
          <w:rFonts w:ascii="Arial" w:hAnsi="Arial" w:cs="Arial"/>
          <w:noProof/>
          <w:lang w:val="en-GB"/>
        </w:rPr>
        <w:footnoteReference w:id="295"/>
      </w:r>
    </w:p>
    <w:p>
      <w:pPr>
        <w:pStyle w:val="Lijstje2"/>
        <w:rPr>
          <w:noProof/>
          <w:lang w:val="en-GB"/>
        </w:rPr>
      </w:pPr>
      <w:r>
        <w:rPr>
          <w:rFonts w:ascii="Arial" w:hAnsi="Arial" w:cs="Arial"/>
          <w:i/>
          <w:noProof/>
          <w:lang w:val="en-GB"/>
        </w:rPr>
        <w:t>Austria:</w:t>
      </w:r>
      <w:r>
        <w:rPr>
          <w:rFonts w:ascii="Arial" w:hAnsi="Arial" w:cs="Arial"/>
          <w:noProof/>
          <w:lang w:val="en-GB"/>
        </w:rPr>
        <w:t xml:space="preserve"> processing of personal data carried out by an undertaking engaged in electronic commerce is governed by the law of the Member State to which that undertaking directs its activities, if it is shown that the undertaking carries out the data processing in question in the context of the activities of an establishment situated in that Member State. It is for the national court to ascertain whether that is the case;</w:t>
      </w:r>
      <w:r>
        <w:rPr>
          <w:rStyle w:val="FootnoteReference"/>
          <w:rFonts w:ascii="Arial" w:hAnsi="Arial" w:cs="Arial"/>
          <w:noProof/>
          <w:lang w:val="en-GB"/>
        </w:rPr>
        <w:footnoteReference w:id="296"/>
      </w:r>
    </w:p>
    <w:p>
      <w:pPr>
        <w:pStyle w:val="Lijstje2"/>
        <w:rPr>
          <w:rFonts w:ascii="Arial" w:hAnsi="Arial" w:cs="Arial"/>
          <w:i/>
          <w:noProof/>
          <w:lang w:val="en-GB"/>
        </w:rPr>
      </w:pPr>
      <w:r>
        <w:rPr>
          <w:rFonts w:ascii="Arial" w:hAnsi="Arial" w:cs="Arial"/>
          <w:i/>
          <w:noProof/>
          <w:lang w:val="en-GB"/>
        </w:rPr>
        <w:t xml:space="preserve">Poland: </w:t>
      </w:r>
      <w:r>
        <w:rPr>
          <w:rFonts w:ascii="Arial" w:hAnsi="Arial" w:cs="Arial"/>
          <w:noProof/>
          <w:lang w:val="en-GB"/>
        </w:rPr>
        <w:t>the use of standard contract terms with content identical to that of terms which have been declared unlawful by a judicial decision having the force of law and which have been entered in a national register of unlawful standard contract terms can be regarded, in relation to another seller or supplier which was not a party to the proceedings culminating in the entry in that register, as an unlawful act, provided that that seller or supplier has an effective judicial remedy against the decision declaring the terms to be equivalent as well as against the decision fixing the amount of the fine imposed. Such a national register of unlawful standard contract terms must comply with the requirements of Directive 93/13/EEC</w:t>
      </w:r>
      <w:r>
        <w:rPr>
          <w:rStyle w:val="FootnoteReference"/>
          <w:rFonts w:ascii="Arial" w:hAnsi="Arial" w:cs="Arial"/>
          <w:noProof/>
          <w:lang w:val="en-GB"/>
        </w:rPr>
        <w:footnoteReference w:id="297"/>
      </w:r>
      <w:r>
        <w:rPr>
          <w:rFonts w:ascii="Arial" w:hAnsi="Arial" w:cs="Arial"/>
          <w:noProof/>
          <w:lang w:val="en-GB"/>
        </w:rPr>
        <w:t xml:space="preserve"> and of EU law more generally. It must in that regard be managed in a transparent manner in the interest not only of consumers but also of sellers or suppliers and kept up to date;</w:t>
      </w:r>
    </w:p>
    <w:p>
      <w:pPr>
        <w:pStyle w:val="Lijstje2"/>
        <w:ind w:left="1162" w:hanging="357"/>
        <w:contextualSpacing w:val="0"/>
        <w:rPr>
          <w:noProof/>
          <w:lang w:val="en-GB"/>
        </w:rPr>
      </w:pPr>
      <w:r>
        <w:rPr>
          <w:rFonts w:ascii="Arial" w:hAnsi="Arial"/>
          <w:i/>
          <w:noProof/>
          <w:lang w:val="en-GB"/>
        </w:rPr>
        <w:t>Slovakia</w:t>
      </w:r>
      <w:r>
        <w:rPr>
          <w:rFonts w:ascii="Arial" w:hAnsi="Arial"/>
          <w:noProof/>
          <w:lang w:val="en-GB"/>
        </w:rPr>
        <w:t>:</w:t>
      </w:r>
      <w:r>
        <w:rPr>
          <w:noProof/>
          <w:lang w:val="en-GB"/>
        </w:rPr>
        <w:t xml:space="preserve"> </w:t>
      </w:r>
      <w:r>
        <w:rPr>
          <w:rFonts w:ascii="Arial" w:hAnsi="Arial"/>
          <w:noProof/>
          <w:lang w:val="en-GB"/>
        </w:rPr>
        <w:t xml:space="preserve">a lender must include in a </w:t>
      </w:r>
      <w:r>
        <w:rPr>
          <w:rFonts w:ascii="Arial" w:hAnsi="Arial" w:cs="Arial"/>
          <w:noProof/>
          <w:lang w:val="en-GB"/>
        </w:rPr>
        <w:t xml:space="preserve">consumer </w:t>
      </w:r>
      <w:r>
        <w:rPr>
          <w:rFonts w:ascii="Arial" w:hAnsi="Arial"/>
          <w:noProof/>
          <w:lang w:val="en-GB"/>
        </w:rPr>
        <w:t>credit agreement all the information required under the Directive on consumer credit</w:t>
      </w:r>
      <w:r>
        <w:rPr>
          <w:rFonts w:ascii="Arial" w:hAnsi="Arial" w:cs="Arial"/>
          <w:noProof/>
          <w:lang w:val="en-GB"/>
        </w:rPr>
        <w:t>.</w:t>
      </w:r>
      <w:r>
        <w:rPr>
          <w:rStyle w:val="FootnoteReference"/>
          <w:rFonts w:ascii="Arial" w:hAnsi="Arial" w:cs="Arial"/>
          <w:noProof/>
          <w:lang w:val="en-GB"/>
        </w:rPr>
        <w:footnoteReference w:id="298"/>
      </w:r>
      <w:r>
        <w:rPr>
          <w:noProof/>
          <w:lang w:val="en-GB"/>
        </w:rPr>
        <w:t xml:space="preserve"> </w:t>
      </w:r>
      <w:r>
        <w:rPr>
          <w:rFonts w:ascii="Arial" w:hAnsi="Arial"/>
          <w:noProof/>
          <w:lang w:val="en-GB"/>
        </w:rPr>
        <w:t xml:space="preserve">Failure to do so may be penalised by Member States by </w:t>
      </w:r>
      <w:r>
        <w:rPr>
          <w:rFonts w:ascii="Arial" w:hAnsi="Arial" w:cs="Arial"/>
          <w:noProof/>
          <w:lang w:val="en-GB"/>
        </w:rPr>
        <w:t xml:space="preserve">depriving the lender of an </w:t>
      </w:r>
      <w:r>
        <w:rPr>
          <w:rFonts w:ascii="Arial" w:hAnsi="Arial"/>
          <w:noProof/>
          <w:lang w:val="en-GB"/>
        </w:rPr>
        <w:t>entitlement to interest and charges</w:t>
      </w:r>
      <w:r>
        <w:rPr>
          <w:rFonts w:ascii="Arial" w:hAnsi="Arial" w:cs="Arial"/>
          <w:noProof/>
          <w:lang w:val="en-GB"/>
        </w:rPr>
        <w:t>. Such a penalty is permitted where such information covers matters which, if not included, prevents the consumer from assessing the full extent of his contractual liability</w:t>
      </w:r>
      <w:r>
        <w:rPr>
          <w:rFonts w:ascii="Arial" w:hAnsi="Arial"/>
          <w:noProof/>
          <w:lang w:val="en-GB"/>
        </w:rPr>
        <w:t xml:space="preserve"> as the lack of such information may compromise the consumer's ability to assess the extent of his liability.</w:t>
      </w:r>
      <w:r>
        <w:rPr>
          <w:rStyle w:val="FootnoteReference"/>
          <w:rFonts w:ascii="Arial" w:eastAsia="Times New Roman" w:hAnsi="Arial" w:cs="Arial"/>
          <w:noProof/>
          <w:kern w:val="0"/>
          <w:lang w:val="en-GB"/>
        </w:rPr>
        <w:footnoteReference w:id="299"/>
      </w:r>
    </w:p>
    <w:p>
      <w:pPr>
        <w:pStyle w:val="Lijstje2"/>
        <w:numPr>
          <w:ilvl w:val="0"/>
          <w:numId w:val="30"/>
        </w:numPr>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2017 includes:</w:t>
      </w:r>
    </w:p>
    <w:p>
      <w:pPr>
        <w:numPr>
          <w:ilvl w:val="0"/>
          <w:numId w:val="27"/>
        </w:numPr>
        <w:ind w:left="1276"/>
        <w:contextualSpacing/>
        <w:rPr>
          <w:rFonts w:eastAsia="Calibri" w:cs="Arial"/>
          <w:noProof/>
          <w:color w:val="000000"/>
          <w:kern w:val="20"/>
          <w:sz w:val="20"/>
          <w:lang w:eastAsia="en-GB"/>
        </w:rPr>
      </w:pPr>
      <w:r>
        <w:rPr>
          <w:rFonts w:cs="Arial"/>
          <w:noProof/>
          <w:sz w:val="20"/>
        </w:rPr>
        <w:t>closely monitoring that Member States transpose on time:</w:t>
      </w:r>
    </w:p>
    <w:p>
      <w:pPr>
        <w:numPr>
          <w:ilvl w:val="1"/>
          <w:numId w:val="141"/>
        </w:numPr>
        <w:ind w:left="1985"/>
        <w:contextualSpacing/>
        <w:rPr>
          <w:rFonts w:eastAsia="Calibri" w:cs="Arial"/>
          <w:noProof/>
          <w:color w:val="000000"/>
          <w:kern w:val="20"/>
          <w:sz w:val="20"/>
          <w:lang w:eastAsia="en-GB"/>
        </w:rPr>
      </w:pPr>
      <w:r>
        <w:rPr>
          <w:rFonts w:eastAsia="Calibri" w:cs="Arial"/>
          <w:noProof/>
          <w:color w:val="000000"/>
          <w:kern w:val="20"/>
          <w:sz w:val="20"/>
          <w:lang w:eastAsia="en-GB"/>
        </w:rPr>
        <w:t xml:space="preserve">the Directive on the European Investigation Order in criminal matters; </w:t>
      </w:r>
      <w:r>
        <w:rPr>
          <w:rStyle w:val="FootnoteReference"/>
          <w:rFonts w:eastAsia="Calibri" w:cs="Arial"/>
          <w:noProof/>
          <w:color w:val="000000"/>
          <w:kern w:val="20"/>
          <w:sz w:val="20"/>
          <w:lang w:eastAsia="en-GB"/>
        </w:rPr>
        <w:footnoteReference w:id="300"/>
      </w:r>
    </w:p>
    <w:p>
      <w:pPr>
        <w:numPr>
          <w:ilvl w:val="1"/>
          <w:numId w:val="141"/>
        </w:numPr>
        <w:ind w:left="1985"/>
        <w:contextualSpacing/>
        <w:rPr>
          <w:rFonts w:eastAsia="Calibri" w:cs="Arial"/>
          <w:noProof/>
          <w:color w:val="000000"/>
          <w:kern w:val="20"/>
          <w:sz w:val="20"/>
          <w:lang w:eastAsia="en-GB"/>
        </w:rPr>
      </w:pPr>
      <w:r>
        <w:rPr>
          <w:rFonts w:eastAsia="Calibri" w:cs="Arial"/>
          <w:noProof/>
          <w:color w:val="000000"/>
          <w:kern w:val="20"/>
          <w:sz w:val="20"/>
          <w:lang w:eastAsia="en-GB"/>
        </w:rPr>
        <w:t xml:space="preserve">the Directive on the prevention of the use of the financial system for money laundering or terrorist financing; </w:t>
      </w:r>
      <w:r>
        <w:rPr>
          <w:rStyle w:val="FootnoteReference"/>
          <w:rFonts w:eastAsia="Calibri" w:cs="Arial"/>
          <w:noProof/>
          <w:color w:val="000000"/>
          <w:kern w:val="20"/>
          <w:sz w:val="20"/>
          <w:lang w:eastAsia="en-GB"/>
        </w:rPr>
        <w:footnoteReference w:id="301"/>
      </w:r>
    </w:p>
    <w:p>
      <w:pPr>
        <w:numPr>
          <w:ilvl w:val="0"/>
          <w:numId w:val="27"/>
        </w:numPr>
        <w:ind w:left="1276"/>
        <w:contextualSpacing/>
        <w:rPr>
          <w:rFonts w:eastAsia="Calibri" w:cs="Arial"/>
          <w:noProof/>
          <w:color w:val="000000"/>
          <w:kern w:val="20"/>
          <w:sz w:val="20"/>
          <w:lang w:eastAsia="en-GB"/>
        </w:rPr>
      </w:pPr>
      <w:r>
        <w:rPr>
          <w:rFonts w:cs="Arial"/>
          <w:noProof/>
          <w:sz w:val="20"/>
        </w:rPr>
        <w:t>checking that Member States correctly transpose:</w:t>
      </w:r>
    </w:p>
    <w:p>
      <w:pPr>
        <w:numPr>
          <w:ilvl w:val="1"/>
          <w:numId w:val="143"/>
        </w:numPr>
        <w:ind w:left="1985"/>
        <w:contextualSpacing/>
        <w:rPr>
          <w:rFonts w:eastAsia="Calibri" w:cs="Arial"/>
          <w:noProof/>
          <w:color w:val="000000"/>
          <w:kern w:val="20"/>
          <w:sz w:val="20"/>
          <w:lang w:eastAsia="en-GB"/>
        </w:rPr>
      </w:pPr>
      <w:r>
        <w:rPr>
          <w:rFonts w:cs="Arial"/>
          <w:noProof/>
          <w:sz w:val="20"/>
        </w:rPr>
        <w:t>the Victims’ Rights Directive;</w:t>
      </w:r>
      <w:r>
        <w:rPr>
          <w:rStyle w:val="FootnoteReference"/>
          <w:rFonts w:cs="Arial"/>
          <w:noProof/>
          <w:sz w:val="20"/>
        </w:rPr>
        <w:footnoteReference w:id="302"/>
      </w:r>
    </w:p>
    <w:p>
      <w:pPr>
        <w:numPr>
          <w:ilvl w:val="1"/>
          <w:numId w:val="143"/>
        </w:numPr>
        <w:ind w:left="1985"/>
        <w:contextualSpacing/>
        <w:rPr>
          <w:rFonts w:eastAsia="Calibri" w:cs="Arial"/>
          <w:noProof/>
          <w:color w:val="000000"/>
          <w:kern w:val="20"/>
          <w:sz w:val="20"/>
          <w:lang w:eastAsia="en-GB"/>
        </w:rPr>
      </w:pPr>
      <w:r>
        <w:rPr>
          <w:rFonts w:eastAsia="Calibri" w:cs="Arial"/>
          <w:noProof/>
          <w:color w:val="000000"/>
          <w:kern w:val="20"/>
          <w:sz w:val="20"/>
          <w:lang w:eastAsia="en-GB"/>
        </w:rPr>
        <w:t xml:space="preserve">the Framework Decision on the European arrest warrant; </w:t>
      </w:r>
      <w:r>
        <w:rPr>
          <w:rStyle w:val="FootnoteReference"/>
          <w:rFonts w:eastAsia="Calibri" w:cs="Arial"/>
          <w:noProof/>
          <w:color w:val="000000"/>
          <w:kern w:val="20"/>
          <w:sz w:val="20"/>
          <w:lang w:eastAsia="en-GB"/>
        </w:rPr>
        <w:footnoteReference w:id="303"/>
      </w:r>
    </w:p>
    <w:p>
      <w:pPr>
        <w:numPr>
          <w:ilvl w:val="1"/>
          <w:numId w:val="143"/>
        </w:numPr>
        <w:ind w:left="1985"/>
        <w:contextualSpacing/>
        <w:rPr>
          <w:rFonts w:eastAsia="Calibri" w:cs="Arial"/>
          <w:noProof/>
          <w:color w:val="000000"/>
          <w:kern w:val="20"/>
          <w:sz w:val="20"/>
          <w:lang w:eastAsia="en-GB"/>
        </w:rPr>
      </w:pPr>
      <w:r>
        <w:rPr>
          <w:rFonts w:eastAsia="Calibri" w:cs="Arial"/>
          <w:noProof/>
          <w:color w:val="000000"/>
          <w:kern w:val="20"/>
          <w:sz w:val="20"/>
          <w:lang w:eastAsia="en-GB"/>
        </w:rPr>
        <w:t>the Directive on payment accounts.</w:t>
      </w:r>
      <w:r>
        <w:rPr>
          <w:rStyle w:val="FootnoteReference"/>
          <w:rFonts w:eastAsia="Calibri" w:cs="Arial"/>
          <w:noProof/>
          <w:color w:val="000000"/>
          <w:kern w:val="20"/>
          <w:sz w:val="20"/>
          <w:lang w:eastAsia="en-GB"/>
        </w:rPr>
        <w:footnoteReference w:id="304"/>
      </w:r>
    </w:p>
    <w:p>
      <w:pPr>
        <w:rPr>
          <w:noProof/>
        </w:rPr>
      </w:pPr>
    </w:p>
    <w:p>
      <w:pPr>
        <w:rPr>
          <w:rFonts w:cs="Arial"/>
          <w:noProof/>
          <w:sz w:val="20"/>
        </w:rPr>
        <w:sectPr>
          <w:headerReference w:type="even" r:id="rId146"/>
          <w:headerReference w:type="default" r:id="rId147"/>
          <w:footerReference w:type="even" r:id="rId148"/>
          <w:footerReference w:type="default" r:id="rId149"/>
          <w:headerReference w:type="first" r:id="rId150"/>
          <w:footerReference w:type="first" r:id="rId151"/>
          <w:footnotePr>
            <w:numRestart w:val="eachSect"/>
          </w:footnotePr>
          <w:pgSz w:w="11907" w:h="16839" w:code="9"/>
          <w:pgMar w:top="1843" w:right="1275" w:bottom="737" w:left="1418" w:header="567" w:footer="352" w:gutter="0"/>
          <w:cols w:space="720"/>
          <w:titlePg/>
          <w:docGrid w:linePitch="326"/>
        </w:sectPr>
      </w:pPr>
    </w:p>
    <w:p>
      <w:pPr>
        <w:pStyle w:val="Heading1"/>
        <w:rPr>
          <w:noProof/>
          <w:szCs w:val="24"/>
        </w:rPr>
      </w:pPr>
      <w:bookmarkStart w:id="81" w:name="_Toc443057943"/>
      <w:bookmarkStart w:id="82" w:name="_Toc475524739"/>
      <w:bookmarkStart w:id="83" w:name="_Toc475529506"/>
      <w:bookmarkStart w:id="84" w:name="_Toc475529545"/>
      <w:bookmarkStart w:id="85" w:name="_Toc475529873"/>
      <w:bookmarkStart w:id="86" w:name="_Toc475550838"/>
      <w:bookmarkStart w:id="87" w:name="_Toc475551378"/>
      <w:bookmarkStart w:id="88" w:name="_Toc484622467"/>
      <w:r>
        <w:rPr>
          <w:noProof/>
        </w:rPr>
        <w:t>Maritime affairs and fisheries</w:t>
      </w:r>
      <w:bookmarkEnd w:id="81"/>
      <w:bookmarkEnd w:id="82"/>
      <w:bookmarkEnd w:id="83"/>
      <w:bookmarkEnd w:id="84"/>
      <w:bookmarkEnd w:id="85"/>
      <w:bookmarkEnd w:id="86"/>
      <w:bookmarkEnd w:id="87"/>
      <w:bookmarkEnd w:id="88"/>
    </w:p>
    <w:p>
      <w:pPr>
        <w:rPr>
          <w:rFonts w:ascii="Times New Roman" w:hAnsi="Times New Roman"/>
          <w:noProof/>
          <w:sz w:val="24"/>
        </w:rPr>
      </w:pPr>
      <w:r>
        <w:rPr>
          <w:i/>
          <w:noProof/>
        </w:rPr>
        <w:t>In 2016 new complaints in the area of maritime affairs and fisheries continued to drop. The number of new EU Pilot files was only marginally lower than their 2015 level. New infringement cases rose.</w:t>
      </w:r>
    </w:p>
    <w:p>
      <w:pPr>
        <w:pStyle w:val="kop2"/>
        <w:numPr>
          <w:ilvl w:val="0"/>
          <w:numId w:val="41"/>
        </w:numPr>
        <w:spacing w:after="120" w:line="276" w:lineRule="auto"/>
        <w:ind w:left="357" w:hanging="357"/>
        <w:jc w:val="left"/>
        <w:rPr>
          <w:noProof/>
          <w:color w:val="4F81BD"/>
          <w:sz w:val="24"/>
          <w:szCs w:val="24"/>
          <w:lang w:val="en-GB"/>
        </w:rPr>
      </w:pPr>
      <w:r>
        <w:rPr>
          <w:noProof/>
          <w:color w:val="4F81BD"/>
          <w:sz w:val="24"/>
          <w:szCs w:val="24"/>
          <w:lang w:val="en-GB"/>
        </w:rPr>
        <w:t>COMPLAINTS</w:t>
      </w:r>
    </w:p>
    <w:p>
      <w:pPr>
        <w:spacing w:after="60"/>
        <w:ind w:left="720" w:hanging="360"/>
        <w:jc w:val="left"/>
        <w:outlineLvl w:val="1"/>
        <w:rPr>
          <w:noProof/>
          <w:color w:val="002060"/>
          <w:szCs w:val="22"/>
        </w:rPr>
      </w:pPr>
      <w:r>
        <w:rPr>
          <w:noProof/>
          <w:color w:val="002060"/>
          <w:szCs w:val="22"/>
        </w:rPr>
        <w:t>1.</w:t>
      </w:r>
      <w:r>
        <w:rPr>
          <w:noProof/>
          <w:color w:val="002060"/>
          <w:szCs w:val="22"/>
        </w:rPr>
        <w:tab/>
        <w:t>New complaints received from members of the public (2012-2016)</w:t>
      </w:r>
    </w:p>
    <w:p>
      <w:pPr>
        <w:ind w:left="720"/>
        <w:rPr>
          <w:rFonts w:asciiTheme="minorHAnsi" w:eastAsiaTheme="minorHAnsi" w:hAnsiTheme="minorHAnsi" w:cstheme="minorBidi"/>
          <w:noProof/>
          <w:szCs w:val="22"/>
        </w:rPr>
      </w:pPr>
      <w:r>
        <w:rPr>
          <w:rFonts w:asciiTheme="minorHAnsi" w:eastAsiaTheme="minorHAnsi" w:hAnsiTheme="minorHAnsi" w:cstheme="minorBidi"/>
          <w:noProof/>
          <w:szCs w:val="22"/>
          <w:lang w:val="en-US"/>
        </w:rPr>
        <w:drawing>
          <wp:inline distT="0" distB="0" distL="0" distR="0">
            <wp:extent cx="4579620" cy="2019300"/>
            <wp:effectExtent l="0" t="0" r="11430" b="19050"/>
            <wp:docPr id="44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spacing w:after="60"/>
        <w:ind w:left="720" w:hanging="360"/>
        <w:jc w:val="left"/>
        <w:outlineLvl w:val="1"/>
        <w:rPr>
          <w:noProof/>
          <w:color w:val="002060"/>
          <w:szCs w:val="22"/>
        </w:rPr>
      </w:pPr>
      <w:r>
        <w:rPr>
          <w:noProof/>
          <w:color w:val="002060"/>
          <w:szCs w:val="22"/>
        </w:rPr>
        <w:t>2.</w:t>
      </w:r>
      <w:r>
        <w:rPr>
          <w:noProof/>
          <w:color w:val="002060"/>
          <w:szCs w:val="22"/>
        </w:rPr>
        <w:tab/>
        <w:t>Public complaints open at year-end</w:t>
      </w:r>
    </w:p>
    <w:tbl>
      <w:tblPr>
        <w:tblStyle w:val="Style12"/>
        <w:tblW w:w="0" w:type="auto"/>
        <w:jc w:val="center"/>
        <w:tblInd w:w="421" w:type="dxa"/>
        <w:tblLook w:val="04A0" w:firstRow="1" w:lastRow="0" w:firstColumn="1" w:lastColumn="0" w:noHBand="0" w:noVBand="1"/>
      </w:tblPr>
      <w:tblGrid>
        <w:gridCol w:w="1697"/>
        <w:gridCol w:w="345"/>
        <w:gridCol w:w="5310"/>
      </w:tblGrid>
      <w:tr>
        <w:trPr>
          <w:trHeight w:val="403"/>
          <w:jc w:val="center"/>
        </w:trPr>
        <w:tc>
          <w:tcPr>
            <w:tcW w:w="1697"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20</w:t>
            </w:r>
          </w:p>
        </w:tc>
        <w:tc>
          <w:tcPr>
            <w:tcW w:w="319"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&gt;</w:t>
            </w:r>
          </w:p>
        </w:tc>
        <w:tc>
          <w:tcPr>
            <w:tcW w:w="5310" w:type="dxa"/>
            <w:vAlign w:val="center"/>
          </w:tcPr>
          <w:p>
            <w:pPr>
              <w:spacing w:after="0"/>
              <w:jc w:val="left"/>
              <w:rPr>
                <w:rFonts w:cs="Arial"/>
                <w:noProof/>
                <w:color w:val="548DD4" w:themeColor="text2" w:themeTint="99"/>
                <w:szCs w:val="28"/>
                <w:lang w:eastAsia="en-GB"/>
              </w:rPr>
            </w:pPr>
            <w:r>
              <w:rPr>
                <w:rFonts w:cs="Arial"/>
                <w:noProof/>
                <w:color w:val="548DD4" w:themeColor="text2" w:themeTint="99"/>
                <w:szCs w:val="28"/>
                <w:lang w:eastAsia="en-GB"/>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6</w:t>
            </w:r>
          </w:p>
        </w:tc>
        <w:tc>
          <w:tcPr>
            <w:tcW w:w="319"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&gt;</w:t>
            </w:r>
          </w:p>
        </w:tc>
        <w:tc>
          <w:tcPr>
            <w:tcW w:w="5310" w:type="dxa"/>
            <w:vAlign w:val="center"/>
          </w:tcPr>
          <w:p>
            <w:pPr>
              <w:spacing w:after="0"/>
              <w:jc w:val="left"/>
              <w:rPr>
                <w:rFonts w:cs="Arial"/>
                <w:noProof/>
                <w:color w:val="548DD4" w:themeColor="text2" w:themeTint="99"/>
                <w:szCs w:val="28"/>
                <w:lang w:eastAsia="en-GB"/>
              </w:rPr>
            </w:pPr>
            <w:r>
              <w:rPr>
                <w:rFonts w:cs="Arial"/>
                <w:noProof/>
                <w:color w:val="548DD4" w:themeColor="text2" w:themeTint="99"/>
                <w:szCs w:val="28"/>
                <w:lang w:eastAsia="en-GB"/>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9</w:t>
            </w:r>
          </w:p>
        </w:tc>
        <w:tc>
          <w:tcPr>
            <w:tcW w:w="319"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&gt;</w:t>
            </w:r>
          </w:p>
        </w:tc>
        <w:tc>
          <w:tcPr>
            <w:tcW w:w="5310" w:type="dxa"/>
            <w:vAlign w:val="center"/>
          </w:tcPr>
          <w:p>
            <w:pPr>
              <w:spacing w:after="0"/>
              <w:jc w:val="left"/>
              <w:rPr>
                <w:rFonts w:cs="Arial"/>
                <w:noProof/>
                <w:color w:val="548DD4" w:themeColor="text2" w:themeTint="99"/>
                <w:szCs w:val="28"/>
                <w:lang w:eastAsia="en-GB"/>
              </w:rPr>
            </w:pPr>
            <w:r>
              <w:rPr>
                <w:rFonts w:cs="Arial"/>
                <w:noProof/>
                <w:color w:val="548DD4" w:themeColor="text2" w:themeTint="99"/>
                <w:szCs w:val="28"/>
                <w:lang w:eastAsia="en-GB"/>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lang w:eastAsia="en-GB"/>
              </w:rPr>
            </w:pPr>
            <w:r>
              <w:rPr>
                <w:rFonts w:cs="Arial"/>
                <w:noProof/>
                <w:color w:val="C00000"/>
                <w:szCs w:val="28"/>
                <w:lang w:eastAsia="en-GB"/>
              </w:rPr>
              <w:t>= 17</w:t>
            </w:r>
          </w:p>
        </w:tc>
        <w:tc>
          <w:tcPr>
            <w:tcW w:w="319" w:type="dxa"/>
            <w:vAlign w:val="center"/>
          </w:tcPr>
          <w:p>
            <w:pPr>
              <w:spacing w:after="0"/>
              <w:jc w:val="right"/>
              <w:rPr>
                <w:rFonts w:cs="Arial"/>
                <w:noProof/>
                <w:color w:val="548DD4" w:themeColor="text2" w:themeTint="99"/>
                <w:szCs w:val="28"/>
                <w:lang w:eastAsia="en-GB"/>
              </w:rPr>
            </w:pPr>
            <w:r>
              <w:rPr>
                <w:rFonts w:cs="Arial"/>
                <w:noProof/>
                <w:color w:val="548DD4" w:themeColor="text2" w:themeTint="99"/>
                <w:szCs w:val="28"/>
                <w:lang w:eastAsia="en-GB"/>
              </w:rPr>
              <w:t>&gt;</w:t>
            </w:r>
          </w:p>
        </w:tc>
        <w:tc>
          <w:tcPr>
            <w:tcW w:w="5310" w:type="dxa"/>
            <w:vAlign w:val="center"/>
          </w:tcPr>
          <w:p>
            <w:pPr>
              <w:spacing w:after="0"/>
              <w:jc w:val="left"/>
              <w:rPr>
                <w:rFonts w:cs="Arial"/>
                <w:noProof/>
                <w:color w:val="548DD4" w:themeColor="text2" w:themeTint="99"/>
                <w:szCs w:val="28"/>
                <w:lang w:eastAsia="en-GB"/>
              </w:rPr>
            </w:pPr>
            <w:r>
              <w:rPr>
                <w:rFonts w:cs="Arial"/>
                <w:noProof/>
                <w:color w:val="548DD4" w:themeColor="text2" w:themeTint="99"/>
                <w:szCs w:val="28"/>
                <w:lang w:eastAsia="en-GB"/>
              </w:rPr>
              <w:t>Complaints open at end-2016</w:t>
            </w:r>
          </w:p>
        </w:tc>
      </w:tr>
    </w:tbl>
    <w:p>
      <w:pPr>
        <w:numPr>
          <w:ilvl w:val="0"/>
          <w:numId w:val="31"/>
        </w:numPr>
        <w:spacing w:after="120" w:line="276" w:lineRule="auto"/>
        <w:ind w:left="714" w:hanging="357"/>
        <w:jc w:val="left"/>
        <w:rPr>
          <w:caps/>
          <w:noProof/>
          <w:color w:val="4F81BD"/>
          <w:sz w:val="24"/>
          <w:szCs w:val="24"/>
        </w:rPr>
      </w:pPr>
      <w:r>
        <w:rPr>
          <w:caps/>
          <w:noProof/>
          <w:color w:val="4F81BD"/>
          <w:sz w:val="24"/>
          <w:szCs w:val="24"/>
        </w:rPr>
        <w:t>EU PILOT</w:t>
      </w:r>
    </w:p>
    <w:p>
      <w:pPr>
        <w:spacing w:after="60"/>
        <w:ind w:left="720" w:hanging="360"/>
        <w:jc w:val="left"/>
        <w:outlineLvl w:val="1"/>
        <w:rPr>
          <w:noProof/>
          <w:color w:val="002060"/>
          <w:szCs w:val="22"/>
        </w:rPr>
      </w:pPr>
      <w:r>
        <w:rPr>
          <w:noProof/>
          <w:color w:val="002060"/>
          <w:szCs w:val="22"/>
        </w:rPr>
        <w:t>1.</w:t>
      </w:r>
      <w:r>
        <w:rPr>
          <w:noProof/>
          <w:color w:val="002060"/>
          <w:szCs w:val="22"/>
        </w:rPr>
        <w:tab/>
        <w:t>EU Pilot files open at year-end</w:t>
      </w:r>
    </w:p>
    <w:p>
      <w:pPr>
        <w:ind w:left="720"/>
        <w:rPr>
          <w:noProof/>
          <w:sz w:val="20"/>
        </w:rPr>
      </w:pPr>
      <w:r>
        <w:rPr>
          <w:noProof/>
          <w:sz w:val="20"/>
        </w:rPr>
        <w:t>There were 15 EU Pilot files registered in 2016, and 27 EU Pilot files remained open at end-2016.</w:t>
      </w:r>
    </w:p>
    <w:p>
      <w:pPr>
        <w:spacing w:after="60"/>
        <w:ind w:left="720" w:hanging="360"/>
        <w:jc w:val="left"/>
        <w:outlineLvl w:val="1"/>
        <w:rPr>
          <w:noProof/>
          <w:color w:val="002060"/>
          <w:szCs w:val="22"/>
        </w:rPr>
      </w:pPr>
      <w:r>
        <w:rPr>
          <w:noProof/>
          <w:color w:val="002060"/>
          <w:szCs w:val="22"/>
        </w:rPr>
        <w:t>2.</w:t>
      </w:r>
      <w:r>
        <w:rPr>
          <w:noProof/>
          <w:color w:val="002060"/>
          <w:szCs w:val="22"/>
        </w:rPr>
        <w:tab/>
        <w:t xml:space="preserve">EU Pilot files: </w:t>
      </w:r>
      <w:r>
        <w:rPr>
          <w:noProof/>
        </w:rPr>
        <w:t>policies’ combined resolution rate in 2012-2016</w:t>
      </w:r>
    </w:p>
    <w:p>
      <w:pPr>
        <w:ind w:left="720"/>
        <w:rPr>
          <w:rFonts w:ascii="Verdana" w:hAnsi="Verdana"/>
          <w:noProof/>
          <w:sz w:val="20"/>
        </w:rPr>
      </w:pPr>
      <w:r>
        <w:rPr>
          <w:rFonts w:asciiTheme="minorHAnsi" w:eastAsiaTheme="minorHAnsi" w:hAnsiTheme="minorHAnsi" w:cstheme="minorBidi"/>
          <w:noProof/>
          <w:szCs w:val="22"/>
          <w:lang w:val="en-US"/>
        </w:rPr>
        <w:drawing>
          <wp:inline distT="0" distB="0" distL="0" distR="0">
            <wp:extent cx="4587240" cy="2042160"/>
            <wp:effectExtent l="0" t="0" r="22860" b="15240"/>
            <wp:docPr id="44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1"/>
        </w:numPr>
        <w:spacing w:after="200" w:line="276" w:lineRule="auto"/>
        <w:ind w:left="720"/>
        <w:jc w:val="left"/>
        <w:rPr>
          <w:caps/>
          <w:noProof/>
          <w:color w:val="4F81BD"/>
          <w:sz w:val="24"/>
          <w:szCs w:val="24"/>
        </w:rPr>
      </w:pPr>
      <w:r>
        <w:rPr>
          <w:caps/>
          <w:noProof/>
          <w:color w:val="4F81BD"/>
          <w:sz w:val="24"/>
          <w:szCs w:val="24"/>
        </w:rPr>
        <w:t>OWN-INITIATIVE CASES</w:t>
      </w:r>
    </w:p>
    <w:p>
      <w:pPr>
        <w:spacing w:after="60"/>
        <w:ind w:left="720" w:hanging="360"/>
        <w:jc w:val="left"/>
        <w:outlineLvl w:val="1"/>
        <w:rPr>
          <w:noProof/>
          <w:color w:val="002060"/>
          <w:szCs w:val="22"/>
        </w:rPr>
      </w:pPr>
      <w:r>
        <w:rPr>
          <w:noProof/>
          <w:color w:val="002060"/>
          <w:szCs w:val="22"/>
        </w:rPr>
        <w:t>New own-initiative infringement cases in 2016</w:t>
      </w:r>
    </w:p>
    <w:p>
      <w:pPr>
        <w:pStyle w:val="Basis"/>
        <w:spacing w:after="200"/>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non-compliance with the fisheries control obligations, in particular the enforcement requirements for serious infringements of the common fisheries policy rules;</w:t>
      </w:r>
    </w:p>
    <w:p>
      <w:pPr>
        <w:pStyle w:val="Basis"/>
        <w:numPr>
          <w:ilvl w:val="0"/>
          <w:numId w:val="33"/>
        </w:numPr>
        <w:spacing w:after="120"/>
        <w:ind w:left="1417" w:hanging="357"/>
        <w:contextualSpacing/>
        <w:rPr>
          <w:rFonts w:ascii="Arial" w:hAnsi="Arial" w:cs="Arial"/>
          <w:noProof/>
          <w:lang w:val="en-GB"/>
        </w:rPr>
      </w:pPr>
      <w:r>
        <w:rPr>
          <w:rFonts w:ascii="Arial" w:hAnsi="Arial" w:cs="Arial"/>
          <w:noProof/>
          <w:lang w:val="en-GB"/>
        </w:rPr>
        <w:t>non-compliance with the obligations undertaken in the framework of international fisheries management organisations;</w:t>
      </w:r>
    </w:p>
    <w:p>
      <w:pPr>
        <w:pStyle w:val="Basis"/>
        <w:numPr>
          <w:ilvl w:val="0"/>
          <w:numId w:val="33"/>
        </w:numPr>
        <w:spacing w:after="120"/>
        <w:ind w:left="1418"/>
        <w:contextualSpacing/>
        <w:rPr>
          <w:rFonts w:ascii="Arial" w:hAnsi="Arial" w:cs="Arial"/>
          <w:noProof/>
          <w:lang w:val="en-GB"/>
        </w:rPr>
      </w:pPr>
      <w:r>
        <w:rPr>
          <w:rFonts w:ascii="Arial" w:hAnsi="Arial" w:cs="Arial"/>
          <w:noProof/>
          <w:lang w:val="en-GB"/>
        </w:rPr>
        <w:t>non-respect of the EU’s exclusive competence for the conservation of marine biological resources.</w:t>
      </w:r>
    </w:p>
    <w:p>
      <w:pPr>
        <w:numPr>
          <w:ilvl w:val="0"/>
          <w:numId w:val="31"/>
        </w:numPr>
        <w:spacing w:after="200" w:line="276" w:lineRule="auto"/>
        <w:ind w:left="720"/>
        <w:jc w:val="left"/>
        <w:rPr>
          <w:caps/>
          <w:noProof/>
          <w:color w:val="4F81BD"/>
          <w:sz w:val="24"/>
          <w:szCs w:val="24"/>
        </w:rPr>
      </w:pPr>
      <w:r>
        <w:rPr>
          <w:caps/>
          <w:noProof/>
          <w:color w:val="4F81BD"/>
          <w:sz w:val="24"/>
          <w:szCs w:val="24"/>
        </w:rPr>
        <w:t>INFRINGEMENT CASES</w:t>
      </w:r>
    </w:p>
    <w:p>
      <w:pPr>
        <w:spacing w:after="60"/>
        <w:ind w:left="720" w:hanging="360"/>
        <w:jc w:val="left"/>
        <w:outlineLvl w:val="1"/>
        <w:rPr>
          <w:noProof/>
          <w:color w:val="002060"/>
          <w:szCs w:val="22"/>
        </w:rPr>
      </w:pPr>
      <w:r>
        <w:rPr>
          <w:noProof/>
          <w:color w:val="002060"/>
          <w:szCs w:val="22"/>
        </w:rPr>
        <w:t>Key infringement cases and referrals to the Court</w:t>
      </w:r>
    </w:p>
    <w:p>
      <w:pPr>
        <w:pStyle w:val="Lijstje"/>
        <w:numPr>
          <w:ilvl w:val="0"/>
          <w:numId w:val="117"/>
        </w:numPr>
        <w:spacing w:after="120"/>
        <w:ind w:hanging="426"/>
        <w:rPr>
          <w:rFonts w:ascii="Arial" w:hAnsi="Arial" w:cs="Arial"/>
          <w:noProof/>
          <w:lang w:val="en-GB"/>
        </w:rPr>
      </w:pPr>
      <w:r>
        <w:rPr>
          <w:rFonts w:ascii="Arial" w:hAnsi="Arial" w:cs="Arial"/>
          <w:noProof/>
          <w:lang w:val="en-GB"/>
        </w:rPr>
        <w:t xml:space="preserve">The Commission opened nine new infringement cases in 2016. </w:t>
      </w:r>
      <w:r>
        <w:rPr>
          <w:rFonts w:ascii="Arial" w:hAnsi="Arial"/>
          <w:noProof/>
          <w:lang w:val="en-GB"/>
        </w:rPr>
        <w:t xml:space="preserve">These </w:t>
      </w:r>
      <w:r>
        <w:rPr>
          <w:rFonts w:ascii="Arial" w:hAnsi="Arial" w:cs="Arial"/>
          <w:noProof/>
          <w:lang w:val="en-GB"/>
        </w:rPr>
        <w:t>concern:</w:t>
      </w:r>
    </w:p>
    <w:p>
      <w:pPr>
        <w:pStyle w:val="Lijstje2"/>
        <w:ind w:left="1843"/>
        <w:rPr>
          <w:rFonts w:ascii="Arial" w:hAnsi="Arial" w:cs="Arial"/>
          <w:noProof/>
          <w:lang w:val="en-GB"/>
        </w:rPr>
      </w:pPr>
      <w:r>
        <w:rPr>
          <w:rFonts w:ascii="Arial" w:hAnsi="Arial" w:cs="Arial"/>
          <w:i/>
          <w:noProof/>
          <w:lang w:val="en-GB"/>
        </w:rPr>
        <w:t>Bulgaria, Greece, Spain, Croatia, Cyprus, France, Lithuania, Finland</w:t>
      </w:r>
      <w:r>
        <w:rPr>
          <w:rFonts w:ascii="Arial" w:hAnsi="Arial" w:cs="Arial"/>
          <w:noProof/>
          <w:lang w:val="en-GB"/>
        </w:rPr>
        <w:t>:</w:t>
      </w:r>
      <w:r>
        <w:rPr>
          <w:rFonts w:ascii="Arial" w:hAnsi="Arial"/>
          <w:noProof/>
          <w:lang w:val="en-GB"/>
        </w:rPr>
        <w:t xml:space="preserve"> </w:t>
      </w:r>
      <w:r>
        <w:rPr>
          <w:rFonts w:ascii="Arial" w:hAnsi="Arial" w:cs="Arial"/>
          <w:noProof/>
          <w:lang w:val="en-GB"/>
        </w:rPr>
        <w:t>non-communication of national measures transposing the Maritime Spatial Planning Directive.</w:t>
      </w:r>
      <w:r>
        <w:rPr>
          <w:rStyle w:val="FootnoteReference"/>
          <w:rFonts w:ascii="Arial" w:hAnsi="Arial" w:cs="Arial"/>
          <w:noProof/>
          <w:lang w:val="en-GB"/>
        </w:rPr>
        <w:footnoteReference w:id="305"/>
      </w:r>
    </w:p>
    <w:p>
      <w:pPr>
        <w:pStyle w:val="Lijstje2"/>
        <w:ind w:left="1843"/>
        <w:rPr>
          <w:rFonts w:ascii="Arial" w:hAnsi="Arial" w:cs="Arial"/>
          <w:noProof/>
          <w:lang w:val="en-GB"/>
        </w:rPr>
      </w:pPr>
      <w:r>
        <w:rPr>
          <w:rFonts w:ascii="Arial" w:hAnsi="Arial" w:cs="Arial"/>
          <w:i/>
          <w:noProof/>
          <w:lang w:val="en-GB"/>
        </w:rPr>
        <w:t>Italy</w:t>
      </w:r>
      <w:r>
        <w:rPr>
          <w:rFonts w:ascii="Arial" w:hAnsi="Arial" w:cs="Arial"/>
          <w:noProof/>
          <w:lang w:val="en-GB"/>
        </w:rPr>
        <w:t xml:space="preserve">: fishing activities of Italian-flagged vessels in the waters under the jurisdiction of Guinea-Bissau and The Gambia </w:t>
      </w:r>
      <w:r>
        <w:rPr>
          <w:rFonts w:ascii="Arial" w:hAnsi="Arial"/>
          <w:noProof/>
          <w:lang w:val="en-GB"/>
        </w:rPr>
        <w:t>in violation of EU provisions and the fisheries partnership agreements</w:t>
      </w:r>
      <w:r>
        <w:rPr>
          <w:rFonts w:ascii="Arial" w:hAnsi="Arial" w:cs="Arial"/>
          <w:noProof/>
          <w:lang w:val="en-GB"/>
        </w:rPr>
        <w:t>.</w:t>
      </w:r>
    </w:p>
    <w:p>
      <w:pPr>
        <w:pStyle w:val="Lijstje"/>
        <w:numPr>
          <w:ilvl w:val="0"/>
          <w:numId w:val="117"/>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numPr>
          <w:ilvl w:val="0"/>
          <w:numId w:val="117"/>
        </w:numPr>
        <w:spacing w:after="200"/>
        <w:ind w:left="1417" w:hanging="425"/>
        <w:rPr>
          <w:rFonts w:eastAsia="Calibri" w:cs="Arial"/>
          <w:noProof/>
          <w:kern w:val="20"/>
          <w:sz w:val="20"/>
        </w:rPr>
      </w:pPr>
      <w:r>
        <w:rPr>
          <w:rFonts w:eastAsia="Calibri" w:cs="Arial"/>
          <w:noProof/>
          <w:kern w:val="20"/>
          <w:sz w:val="20"/>
        </w:rPr>
        <w:t>The Commission did not refer any cases to the Court under Article 260(2)TFEU.</w:t>
      </w:r>
    </w:p>
    <w:p>
      <w:pPr>
        <w:numPr>
          <w:ilvl w:val="0"/>
          <w:numId w:val="31"/>
        </w:numPr>
        <w:spacing w:after="200" w:line="276" w:lineRule="auto"/>
        <w:ind w:left="720"/>
        <w:jc w:val="left"/>
        <w:rPr>
          <w:caps/>
          <w:noProof/>
          <w:color w:val="4F81BD"/>
          <w:sz w:val="24"/>
          <w:szCs w:val="24"/>
        </w:rPr>
      </w:pPr>
      <w:r>
        <w:rPr>
          <w:caps/>
          <w:noProof/>
          <w:color w:val="4F81BD"/>
          <w:sz w:val="24"/>
          <w:szCs w:val="24"/>
        </w:rPr>
        <w:t>EARLY RESOLUTION OF INFRINGEMENT CASES</w:t>
      </w:r>
    </w:p>
    <w:p>
      <w:pPr>
        <w:spacing w:after="60"/>
        <w:ind w:left="720" w:hanging="360"/>
        <w:jc w:val="left"/>
        <w:outlineLvl w:val="1"/>
        <w:rPr>
          <w:noProof/>
          <w:color w:val="002060"/>
          <w:szCs w:val="22"/>
        </w:rPr>
      </w:pPr>
      <w:r>
        <w:rPr>
          <w:noProof/>
          <w:color w:val="002060"/>
          <w:szCs w:val="22"/>
        </w:rPr>
        <w:t>Major cases closed without a Court judgment in 2016</w:t>
      </w:r>
    </w:p>
    <w:p>
      <w:pPr>
        <w:spacing w:after="200"/>
        <w:ind w:left="720"/>
        <w:rPr>
          <w:rFonts w:cs="Arial"/>
          <w:noProof/>
          <w:sz w:val="20"/>
        </w:rPr>
      </w:pPr>
      <w:r>
        <w:rPr>
          <w:noProof/>
          <w:sz w:val="20"/>
        </w:rPr>
        <w:t>This</w:t>
      </w:r>
      <w:r>
        <w:rPr>
          <w:rFonts w:cs="Arial"/>
          <w:noProof/>
          <w:sz w:val="20"/>
        </w:rPr>
        <w:t xml:space="preserve"> concerned:</w:t>
      </w:r>
    </w:p>
    <w:p>
      <w:pPr>
        <w:numPr>
          <w:ilvl w:val="0"/>
          <w:numId w:val="25"/>
        </w:numPr>
        <w:spacing w:after="200"/>
        <w:ind w:left="2132" w:hanging="357"/>
        <w:rPr>
          <w:rFonts w:eastAsia="Calibri" w:cs="Arial"/>
          <w:noProof/>
          <w:kern w:val="20"/>
          <w:sz w:val="20"/>
        </w:rPr>
      </w:pPr>
      <w:r>
        <w:rPr>
          <w:rFonts w:eastAsia="Calibri" w:cs="Arial"/>
          <w:i/>
          <w:noProof/>
          <w:kern w:val="20"/>
          <w:sz w:val="20"/>
        </w:rPr>
        <w:t>Spain</w:t>
      </w:r>
      <w:r>
        <w:rPr>
          <w:rFonts w:eastAsia="Calibri" w:cs="Arial"/>
          <w:noProof/>
          <w:kern w:val="20"/>
          <w:sz w:val="20"/>
        </w:rPr>
        <w:t>: non-compliance with the Mediterranean Regulation regarding the obligation to adopt management plans for fisheries conducted by dredges.</w:t>
      </w:r>
      <w:r>
        <w:rPr>
          <w:rStyle w:val="FootnoteReference"/>
          <w:rFonts w:eastAsia="Calibri" w:cs="Arial"/>
          <w:noProof/>
          <w:kern w:val="20"/>
          <w:sz w:val="20"/>
        </w:rPr>
        <w:footnoteReference w:id="306"/>
      </w:r>
    </w:p>
    <w:p>
      <w:pPr>
        <w:numPr>
          <w:ilvl w:val="0"/>
          <w:numId w:val="31"/>
        </w:numPr>
        <w:spacing w:after="200" w:line="276" w:lineRule="auto"/>
        <w:ind w:left="720"/>
        <w:jc w:val="left"/>
        <w:rPr>
          <w:caps/>
          <w:noProof/>
          <w:color w:val="4F81BD"/>
          <w:sz w:val="24"/>
          <w:szCs w:val="24"/>
        </w:rPr>
      </w:pPr>
      <w:r>
        <w:rPr>
          <w:caps/>
          <w:noProof/>
          <w:color w:val="4F81BD"/>
          <w:sz w:val="24"/>
          <w:szCs w:val="24"/>
        </w:rPr>
        <w:t>IMPORTANT JUDGMENTS</w:t>
      </w:r>
    </w:p>
    <w:p>
      <w:pPr>
        <w:pStyle w:val="kop3"/>
        <w:numPr>
          <w:ilvl w:val="0"/>
          <w:numId w:val="42"/>
        </w:numPr>
        <w:spacing w:line="276" w:lineRule="auto"/>
        <w:jc w:val="left"/>
        <w:rPr>
          <w:rFonts w:ascii="Arial" w:eastAsia="Times New Roman" w:hAnsi="Arial"/>
          <w:bCs w:val="0"/>
          <w:noProof/>
          <w:color w:val="002060"/>
          <w:kern w:val="0"/>
          <w:szCs w:val="22"/>
          <w:lang w:val="en-GB"/>
        </w:rPr>
      </w:pPr>
      <w:r>
        <w:rPr>
          <w:rFonts w:ascii="Arial" w:eastAsia="Times New Roman" w:hAnsi="Arial"/>
          <w:bCs w:val="0"/>
          <w:noProof/>
          <w:color w:val="002060"/>
          <w:kern w:val="0"/>
          <w:szCs w:val="22"/>
          <w:lang w:val="en-GB"/>
        </w:rPr>
        <w:t>Court rulings</w:t>
      </w:r>
      <w:r>
        <w:rPr>
          <w:rStyle w:val="FootnoteReference"/>
          <w:rFonts w:ascii="Arial" w:eastAsia="Times New Roman" w:hAnsi="Arial"/>
          <w:bCs w:val="0"/>
          <w:noProof/>
          <w:color w:val="002060"/>
          <w:kern w:val="0"/>
          <w:szCs w:val="22"/>
          <w:lang w:val="en-GB"/>
        </w:rPr>
        <w:footnoteReference w:id="307"/>
      </w:r>
    </w:p>
    <w:p>
      <w:pPr>
        <w:ind w:left="720"/>
        <w:rPr>
          <w:rFonts w:cs="Arial"/>
          <w:noProof/>
          <w:sz w:val="20"/>
        </w:rPr>
      </w:pPr>
      <w:r>
        <w:rPr>
          <w:rFonts w:cs="Arial"/>
          <w:noProof/>
          <w:sz w:val="20"/>
        </w:rPr>
        <w:t>There were no major Court rulings in 2016 in this area.</w:t>
      </w:r>
    </w:p>
    <w:p>
      <w:pPr>
        <w:pStyle w:val="kop3"/>
        <w:numPr>
          <w:ilvl w:val="0"/>
          <w:numId w:val="42"/>
        </w:numPr>
        <w:spacing w:line="276" w:lineRule="auto"/>
        <w:jc w:val="left"/>
        <w:rPr>
          <w:rFonts w:ascii="Arial" w:eastAsia="Times New Roman" w:hAnsi="Arial"/>
          <w:bCs w:val="0"/>
          <w:noProof/>
          <w:color w:val="002060"/>
          <w:kern w:val="0"/>
          <w:szCs w:val="22"/>
          <w:lang w:val="en-GB"/>
        </w:rPr>
      </w:pPr>
      <w:r>
        <w:rPr>
          <w:rFonts w:ascii="Arial" w:eastAsia="Times New Roman" w:hAnsi="Arial"/>
          <w:bCs w:val="0"/>
          <w:noProof/>
          <w:color w:val="002060"/>
          <w:kern w:val="0"/>
          <w:szCs w:val="22"/>
          <w:lang w:val="en-GB"/>
        </w:rPr>
        <w:t>Preliminary rulings</w:t>
      </w:r>
    </w:p>
    <w:p>
      <w:pPr>
        <w:ind w:left="720"/>
        <w:rPr>
          <w:rFonts w:cs="Arial"/>
          <w:noProof/>
          <w:sz w:val="20"/>
        </w:rPr>
      </w:pPr>
      <w:r>
        <w:rPr>
          <w:rFonts w:cs="Arial"/>
          <w:noProof/>
          <w:sz w:val="20"/>
        </w:rPr>
        <w:t>There were no major preliminary rulings in 2016 in this area.</w:t>
      </w:r>
    </w:p>
    <w:p>
      <w:pPr>
        <w:numPr>
          <w:ilvl w:val="0"/>
          <w:numId w:val="31"/>
        </w:numPr>
        <w:spacing w:after="200" w:line="276" w:lineRule="auto"/>
        <w:ind w:left="720"/>
        <w:jc w:val="left"/>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2016 includes:</w:t>
      </w:r>
    </w:p>
    <w:p>
      <w:pPr>
        <w:pStyle w:val="ListParagraph"/>
        <w:numPr>
          <w:ilvl w:val="0"/>
          <w:numId w:val="47"/>
        </w:numPr>
        <w:ind w:left="1276" w:hanging="425"/>
        <w:rPr>
          <w:noProof/>
          <w:sz w:val="20"/>
        </w:rPr>
      </w:pPr>
      <w:r>
        <w:rPr>
          <w:noProof/>
          <w:sz w:val="20"/>
        </w:rPr>
        <w:t>giving particular attention to the complete and correct transposition by the Member States of the Maritime Spatial Planning Directive;</w:t>
      </w:r>
      <w:r>
        <w:rPr>
          <w:rStyle w:val="FootnoteReference"/>
          <w:noProof/>
          <w:sz w:val="20"/>
        </w:rPr>
        <w:footnoteReference w:id="308"/>
      </w:r>
    </w:p>
    <w:p>
      <w:pPr>
        <w:pStyle w:val="ListParagraph"/>
        <w:numPr>
          <w:ilvl w:val="0"/>
          <w:numId w:val="47"/>
        </w:numPr>
        <w:ind w:left="1276" w:hanging="425"/>
        <w:rPr>
          <w:noProof/>
          <w:sz w:val="20"/>
        </w:rPr>
      </w:pPr>
      <w:r>
        <w:rPr>
          <w:noProof/>
          <w:sz w:val="20"/>
        </w:rPr>
        <w:t>continuing the evaluation of the impact of the Control Regulation, to determine to what extent this legal act has achieved its general objective;</w:t>
      </w:r>
      <w:r>
        <w:rPr>
          <w:rStyle w:val="FootnoteReference"/>
          <w:noProof/>
          <w:sz w:val="20"/>
        </w:rPr>
        <w:footnoteReference w:id="309"/>
      </w:r>
    </w:p>
    <w:p>
      <w:pPr>
        <w:pStyle w:val="ListParagraph"/>
        <w:numPr>
          <w:ilvl w:val="0"/>
          <w:numId w:val="47"/>
        </w:numPr>
        <w:ind w:left="1276" w:hanging="425"/>
        <w:rPr>
          <w:noProof/>
          <w:sz w:val="20"/>
        </w:rPr>
      </w:pPr>
      <w:r>
        <w:rPr>
          <w:noProof/>
          <w:sz w:val="20"/>
        </w:rPr>
        <w:t>ensuring appropriate follow-up to the recommendations formulated in the context of the assessment of the Member States’ sanctioning systems for contraventions to the common fisheries policy rules; particular focus will be put on how to improve the effectiveness of the sanctioning systems and how to prioritise investigations of the deficiencies found;</w:t>
      </w:r>
    </w:p>
    <w:p>
      <w:pPr>
        <w:pStyle w:val="ListParagraph"/>
        <w:numPr>
          <w:ilvl w:val="0"/>
          <w:numId w:val="47"/>
        </w:numPr>
        <w:ind w:left="1276" w:hanging="425"/>
        <w:rPr>
          <w:noProof/>
          <w:sz w:val="20"/>
        </w:rPr>
      </w:pPr>
      <w:r>
        <w:rPr>
          <w:noProof/>
          <w:sz w:val="20"/>
        </w:rPr>
        <w:t>where appropriate, addressing by means of action plans certain systemic irregularities in Member States’ fisheries control systems, in accordance with the Control Regulation;</w:t>
      </w:r>
      <w:r>
        <w:rPr>
          <w:rStyle w:val="FootnoteReference"/>
          <w:noProof/>
          <w:sz w:val="20"/>
        </w:rPr>
        <w:footnoteReference w:id="310"/>
      </w:r>
    </w:p>
    <w:p>
      <w:pPr>
        <w:pStyle w:val="ListParagraph"/>
        <w:numPr>
          <w:ilvl w:val="0"/>
          <w:numId w:val="47"/>
        </w:numPr>
        <w:ind w:left="1276" w:hanging="425"/>
        <w:rPr>
          <w:noProof/>
          <w:sz w:val="20"/>
        </w:rPr>
      </w:pPr>
      <w:r>
        <w:rPr>
          <w:noProof/>
          <w:sz w:val="20"/>
        </w:rPr>
        <w:t>giving particular attention to the implementation of the constituent components of the common fisheries policy and more specifically to the application of the landing obligation set out in the basic common fisheries policy Regulation.</w:t>
      </w:r>
      <w:r>
        <w:rPr>
          <w:rStyle w:val="FootnoteReference"/>
          <w:noProof/>
        </w:rPr>
        <w:footnoteReference w:id="311"/>
      </w:r>
    </w:p>
    <w:p>
      <w:pPr>
        <w:contextualSpacing/>
        <w:rPr>
          <w:rFonts w:ascii="Verdana" w:eastAsia="Calibri" w:hAnsi="Verdana"/>
          <w:noProof/>
          <w:kern w:val="20"/>
          <w:sz w:val="20"/>
        </w:rPr>
      </w:pPr>
    </w:p>
    <w:p>
      <w:pPr>
        <w:contextualSpacing/>
        <w:rPr>
          <w:rFonts w:ascii="Verdana" w:eastAsia="Calibri" w:hAnsi="Verdana"/>
          <w:noProof/>
          <w:kern w:val="20"/>
          <w:sz w:val="20"/>
        </w:rPr>
        <w:sectPr>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pgSz w:w="11907" w:h="16839" w:code="9"/>
          <w:pgMar w:top="1702" w:right="1276" w:bottom="737" w:left="1418" w:header="567" w:footer="461" w:gutter="0"/>
          <w:cols w:space="720"/>
          <w:titlePg/>
          <w:docGrid w:linePitch="326"/>
        </w:sectPr>
      </w:pPr>
    </w:p>
    <w:p>
      <w:pPr>
        <w:pStyle w:val="Heading1"/>
        <w:ind w:left="0"/>
        <w:rPr>
          <w:noProof/>
        </w:rPr>
      </w:pPr>
      <w:bookmarkStart w:id="89" w:name="_Toc443057944"/>
      <w:bookmarkStart w:id="90" w:name="_Toc475524740"/>
      <w:bookmarkStart w:id="91" w:name="_Toc475529507"/>
      <w:bookmarkStart w:id="92" w:name="_Toc475529546"/>
      <w:bookmarkStart w:id="93" w:name="_Toc475529874"/>
      <w:bookmarkStart w:id="94" w:name="_Toc475550839"/>
      <w:bookmarkStart w:id="95" w:name="_Toc475551379"/>
      <w:bookmarkStart w:id="96" w:name="_Toc484622468"/>
      <w:r>
        <w:rPr>
          <w:noProof/>
        </w:rPr>
        <w:t>Migration and home affairs</w:t>
      </w:r>
      <w:bookmarkEnd w:id="89"/>
      <w:bookmarkEnd w:id="90"/>
      <w:bookmarkEnd w:id="91"/>
      <w:bookmarkEnd w:id="92"/>
      <w:bookmarkEnd w:id="93"/>
      <w:bookmarkEnd w:id="94"/>
      <w:bookmarkEnd w:id="95"/>
      <w:bookmarkEnd w:id="96"/>
    </w:p>
    <w:p>
      <w:pPr>
        <w:rPr>
          <w:i/>
          <w:noProof/>
        </w:rPr>
      </w:pPr>
      <w:r>
        <w:rPr>
          <w:i/>
          <w:noProof/>
        </w:rPr>
        <w:t>In 2016 the numbers of new complaints and pending infringement cases in the area of migration and home affairs both rose quite steeply to their highest levels for 5 years. At the same time, new EU Pilot files dropped sharply and new late transposition cases slightly decreased.</w:t>
      </w:r>
    </w:p>
    <w:p>
      <w:pPr>
        <w:pStyle w:val="Title1"/>
        <w:numPr>
          <w:ilvl w:val="0"/>
          <w:numId w:val="43"/>
        </w:numPr>
        <w:rPr>
          <w:noProof/>
        </w:rPr>
      </w:pPr>
      <w:r>
        <w:rPr>
          <w:noProof/>
        </w:rPr>
        <w:t>COMPLAINTS</w:t>
      </w:r>
    </w:p>
    <w:p>
      <w:pPr>
        <w:numPr>
          <w:ilvl w:val="0"/>
          <w:numId w:val="92"/>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591050" cy="2209800"/>
            <wp:effectExtent l="0" t="0" r="19050" b="19050"/>
            <wp:docPr id="47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numPr>
          <w:ilvl w:val="0"/>
          <w:numId w:val="92"/>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45"/>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91</w:t>
            </w:r>
          </w:p>
        </w:tc>
        <w:tc>
          <w:tcPr>
            <w:tcW w:w="332"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137</w:t>
            </w:r>
          </w:p>
        </w:tc>
        <w:tc>
          <w:tcPr>
            <w:tcW w:w="332"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128</w:t>
            </w:r>
          </w:p>
        </w:tc>
        <w:tc>
          <w:tcPr>
            <w:tcW w:w="332"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100</w:t>
            </w:r>
          </w:p>
        </w:tc>
        <w:tc>
          <w:tcPr>
            <w:tcW w:w="332"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92"/>
        </w:numPr>
        <w:spacing w:after="120"/>
        <w:ind w:left="714" w:hanging="357"/>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49140" cy="2438400"/>
            <wp:effectExtent l="0" t="0" r="22860" b="19050"/>
            <wp:docPr id="47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93"/>
        </w:numPr>
        <w:spacing w:after="60"/>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72000" cy="2057400"/>
            <wp:effectExtent l="0" t="0" r="19050" b="19050"/>
            <wp:docPr id="47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numPr>
          <w:ilvl w:val="0"/>
          <w:numId w:val="93"/>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54 EU Pilot files remained open.</w:t>
      </w:r>
    </w:p>
    <w:p>
      <w:pPr>
        <w:numPr>
          <w:ilvl w:val="0"/>
          <w:numId w:val="93"/>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354580"/>
            <wp:effectExtent l="0" t="0" r="26670" b="26670"/>
            <wp:docPr id="47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numPr>
          <w:ilvl w:val="0"/>
          <w:numId w:val="93"/>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color w:val="00B050"/>
          <w:sz w:val="20"/>
          <w:lang w:val="en-US"/>
        </w:rPr>
        <w:drawing>
          <wp:inline distT="0" distB="0" distL="0" distR="0">
            <wp:extent cx="4587240" cy="2095500"/>
            <wp:effectExtent l="0" t="0" r="22860" b="19050"/>
            <wp:docPr id="4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OWN-INITIATIVE CASES</w:t>
      </w:r>
    </w:p>
    <w:p>
      <w:pPr>
        <w:spacing w:after="60"/>
        <w:ind w:left="360"/>
        <w:jc w:val="left"/>
        <w:outlineLvl w:val="1"/>
        <w:rPr>
          <w:noProof/>
          <w:color w:val="002060"/>
          <w:szCs w:val="22"/>
        </w:rPr>
      </w:pPr>
      <w:r>
        <w:rPr>
          <w:noProof/>
          <w:color w:val="002060"/>
          <w:szCs w:val="22"/>
        </w:rPr>
        <w:t>New own-initiative infringement cases</w:t>
      </w:r>
    </w:p>
    <w:p>
      <w:pPr>
        <w:pStyle w:val="Basis"/>
        <w:spacing w:after="120"/>
        <w:rPr>
          <w:rFonts w:ascii="Arial" w:hAnsi="Arial" w:cs="Arial"/>
          <w:noProof/>
          <w:lang w:val="en-GB"/>
        </w:rPr>
      </w:pPr>
      <w:r>
        <w:rPr>
          <w:rFonts w:ascii="Arial" w:hAnsi="Arial" w:cs="Arial"/>
          <w:noProof/>
          <w:lang w:val="en-GB"/>
        </w:rPr>
        <w:t>In 2016, the Commission opened own-initiative infringement cases over:</w:t>
      </w:r>
    </w:p>
    <w:p>
      <w:pPr>
        <w:pStyle w:val="Basis"/>
        <w:numPr>
          <w:ilvl w:val="0"/>
          <w:numId w:val="33"/>
        </w:numPr>
        <w:spacing w:after="120"/>
        <w:rPr>
          <w:rFonts w:ascii="Arial" w:hAnsi="Arial" w:cs="Arial"/>
          <w:noProof/>
          <w:lang w:val="en-GB"/>
        </w:rPr>
      </w:pPr>
      <w:r>
        <w:rPr>
          <w:rFonts w:ascii="Arial" w:hAnsi="Arial" w:cs="Arial"/>
          <w:noProof/>
          <w:lang w:val="en-GB"/>
        </w:rPr>
        <w:t>disproportionate charges levied for residence permits.</w:t>
      </w:r>
    </w:p>
    <w:p>
      <w:pPr>
        <w:numPr>
          <w:ilvl w:val="0"/>
          <w:numId w:val="30"/>
        </w:numPr>
        <w:spacing w:after="200"/>
        <w:ind w:left="714" w:hanging="357"/>
        <w:rPr>
          <w:caps/>
          <w:noProof/>
          <w:color w:val="4F81BD"/>
          <w:sz w:val="24"/>
          <w:szCs w:val="24"/>
        </w:rPr>
      </w:pPr>
      <w:r>
        <w:rPr>
          <w:caps/>
          <w:noProof/>
          <w:color w:val="4F81BD"/>
          <w:sz w:val="24"/>
          <w:szCs w:val="24"/>
        </w:rPr>
        <w:t>INFRINGEMENT CASES</w:t>
      </w:r>
    </w:p>
    <w:p>
      <w:pPr>
        <w:numPr>
          <w:ilvl w:val="0"/>
          <w:numId w:val="94"/>
        </w:numPr>
        <w:spacing w:after="60"/>
        <w:jc w:val="left"/>
        <w:outlineLvl w:val="1"/>
        <w:rPr>
          <w:noProof/>
          <w:color w:val="002060"/>
          <w:szCs w:val="22"/>
        </w:rPr>
      </w:pPr>
      <w:r>
        <w:rPr>
          <w:noProof/>
          <w:color w:val="002060"/>
          <w:szCs w:val="22"/>
        </w:rPr>
        <w:t>Infringement cases open on 31 December (2012-2016)</w:t>
      </w:r>
    </w:p>
    <w:p>
      <w:pPr>
        <w:ind w:left="720"/>
        <w:rPr>
          <w:rFonts w:ascii="Verdana" w:hAnsi="Verdana"/>
          <w:noProof/>
          <w:sz w:val="20"/>
          <w:u w:val="single"/>
        </w:rPr>
      </w:pPr>
      <w:r>
        <w:rPr>
          <w:rFonts w:ascii="Verdana" w:hAnsi="Verdana"/>
          <w:noProof/>
          <w:sz w:val="20"/>
          <w:lang w:val="en-US"/>
        </w:rPr>
        <w:drawing>
          <wp:inline distT="0" distB="0" distL="0" distR="0">
            <wp:extent cx="4602480" cy="2148840"/>
            <wp:effectExtent l="0" t="0" r="26670" b="22860"/>
            <wp:docPr id="478"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numPr>
          <w:ilvl w:val="0"/>
          <w:numId w:val="94"/>
        </w:numPr>
        <w:spacing w:after="60"/>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156460"/>
            <wp:effectExtent l="0" t="0" r="22860" b="15240"/>
            <wp:docPr id="47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numPr>
          <w:ilvl w:val="0"/>
          <w:numId w:val="94"/>
        </w:numPr>
        <w:spacing w:after="60"/>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02180"/>
            <wp:effectExtent l="0" t="0" r="22860" b="26670"/>
            <wp:docPr id="11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numPr>
          <w:ilvl w:val="0"/>
          <w:numId w:val="94"/>
        </w:numPr>
        <w:spacing w:after="60"/>
        <w:jc w:val="left"/>
        <w:outlineLvl w:val="1"/>
        <w:rPr>
          <w:noProof/>
          <w:color w:val="002060"/>
          <w:szCs w:val="22"/>
        </w:rPr>
      </w:pPr>
      <w:r>
        <w:rPr>
          <w:noProof/>
          <w:color w:val="002060"/>
          <w:szCs w:val="22"/>
        </w:rPr>
        <w:t>Key infringement cases and referrals to the Court</w:t>
      </w:r>
    </w:p>
    <w:p>
      <w:pPr>
        <w:pStyle w:val="Lijstje"/>
        <w:numPr>
          <w:ilvl w:val="0"/>
          <w:numId w:val="118"/>
        </w:numPr>
        <w:spacing w:after="120"/>
        <w:ind w:hanging="426"/>
        <w:rPr>
          <w:rFonts w:ascii="Arial" w:hAnsi="Arial" w:cs="Arial"/>
          <w:noProof/>
          <w:lang w:val="en-GB"/>
        </w:rPr>
      </w:pPr>
      <w:r>
        <w:rPr>
          <w:rFonts w:ascii="Arial" w:hAnsi="Arial" w:cs="Arial"/>
          <w:noProof/>
          <w:lang w:val="en-GB"/>
        </w:rPr>
        <w:t>The Commission opened 51 new infringement cases in 2016. These, and other major ongoing infringement cases, include the following:</w:t>
      </w:r>
    </w:p>
    <w:p>
      <w:pPr>
        <w:pStyle w:val="Lijstje2"/>
        <w:ind w:left="1843"/>
        <w:rPr>
          <w:rFonts w:ascii="Arial" w:hAnsi="Arial" w:cs="Arial"/>
          <w:noProof/>
          <w:lang w:val="en-GB"/>
        </w:rPr>
      </w:pPr>
      <w:r>
        <w:rPr>
          <w:rFonts w:ascii="Arial" w:hAnsi="Arial" w:cs="Arial"/>
          <w:i/>
          <w:noProof/>
          <w:lang w:val="en-GB"/>
        </w:rPr>
        <w:t xml:space="preserve">Belgium, Bulgaria and Ireland: </w:t>
      </w:r>
      <w:r>
        <w:rPr>
          <w:rFonts w:ascii="Arial" w:hAnsi="Arial" w:cs="Arial"/>
          <w:noProof/>
          <w:lang w:val="en-GB"/>
        </w:rPr>
        <w:t>incorrect implementation of the Directive on attacks against information systems;</w:t>
      </w:r>
      <w:r>
        <w:rPr>
          <w:rStyle w:val="FootnoteReference"/>
          <w:rFonts w:ascii="Arial" w:hAnsi="Arial" w:cs="Arial"/>
          <w:noProof/>
          <w:lang w:val="en-GB"/>
        </w:rPr>
        <w:footnoteReference w:id="312"/>
      </w:r>
    </w:p>
    <w:p>
      <w:pPr>
        <w:pStyle w:val="Lijstje2"/>
        <w:ind w:left="1843"/>
        <w:rPr>
          <w:rFonts w:ascii="Arial" w:hAnsi="Arial" w:cs="Arial"/>
          <w:noProof/>
          <w:lang w:val="en-GB"/>
        </w:rPr>
      </w:pPr>
      <w:r>
        <w:rPr>
          <w:rFonts w:ascii="Arial" w:hAnsi="Arial" w:cs="Arial"/>
          <w:i/>
          <w:noProof/>
          <w:lang w:val="en-GB"/>
        </w:rPr>
        <w:t>Bulgaria:</w:t>
      </w:r>
      <w:r>
        <w:rPr>
          <w:rFonts w:ascii="Arial" w:hAnsi="Arial" w:cs="Arial"/>
          <w:noProof/>
          <w:lang w:val="en-GB"/>
        </w:rPr>
        <w:t xml:space="preserve"> incorrect implementation of the Directive on the status of third-country nationals who are long-term residents by imposing disproportionate charges for resident permits;</w:t>
      </w:r>
      <w:r>
        <w:rPr>
          <w:rStyle w:val="FootnoteReference"/>
          <w:rFonts w:ascii="Arial" w:hAnsi="Arial" w:cs="Arial"/>
          <w:noProof/>
          <w:lang w:val="en-GB"/>
        </w:rPr>
        <w:footnoteReference w:id="313"/>
      </w:r>
    </w:p>
    <w:p>
      <w:pPr>
        <w:pStyle w:val="Lijstje2"/>
        <w:ind w:left="1843"/>
        <w:rPr>
          <w:rFonts w:ascii="Arial" w:hAnsi="Arial" w:cs="Arial"/>
          <w:noProof/>
          <w:lang w:val="en-GB"/>
        </w:rPr>
      </w:pPr>
      <w:r>
        <w:rPr>
          <w:rFonts w:ascii="Arial" w:hAnsi="Arial" w:cs="Arial"/>
          <w:i/>
          <w:noProof/>
          <w:lang w:val="en-GB"/>
        </w:rPr>
        <w:t xml:space="preserve">Germany and Greece: </w:t>
      </w:r>
      <w:r>
        <w:rPr>
          <w:rFonts w:ascii="Arial" w:hAnsi="Arial" w:cs="Arial"/>
          <w:noProof/>
          <w:lang w:val="en-GB"/>
        </w:rPr>
        <w:t>non-communication of national measures transposing the  Asylum Procedures and Reception Conditions Directives</w:t>
      </w:r>
      <w:r>
        <w:rPr>
          <w:rFonts w:ascii="Arial" w:hAnsi="Arial" w:cs="Arial"/>
          <w:i/>
          <w:noProof/>
          <w:lang w:val="en-GB"/>
        </w:rPr>
        <w:t>;</w:t>
      </w:r>
      <w:r>
        <w:rPr>
          <w:rStyle w:val="FootnoteReference"/>
          <w:rFonts w:ascii="Arial" w:hAnsi="Arial" w:cs="Arial"/>
          <w:i/>
          <w:noProof/>
          <w:lang w:val="en-GB"/>
        </w:rPr>
        <w:footnoteReference w:id="314"/>
      </w:r>
    </w:p>
    <w:p>
      <w:pPr>
        <w:pStyle w:val="Lijstje2"/>
        <w:ind w:left="1843"/>
        <w:rPr>
          <w:rFonts w:ascii="Arial" w:hAnsi="Arial" w:cs="Arial"/>
          <w:noProof/>
          <w:lang w:val="en-GB"/>
        </w:rPr>
      </w:pPr>
      <w:r>
        <w:rPr>
          <w:rFonts w:ascii="Arial" w:hAnsi="Arial" w:cs="Arial"/>
          <w:i/>
          <w:noProof/>
          <w:lang w:val="en-GB"/>
        </w:rPr>
        <w:t xml:space="preserve">Ireland, Greece, Croatia, Italy and Portugal: </w:t>
      </w: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315"/>
      </w:r>
    </w:p>
    <w:p>
      <w:pPr>
        <w:pStyle w:val="Lijstje2"/>
        <w:ind w:left="1843"/>
        <w:rPr>
          <w:rFonts w:ascii="Arial" w:hAnsi="Arial" w:cs="Arial"/>
          <w:noProof/>
          <w:lang w:val="en-GB"/>
        </w:rPr>
      </w:pPr>
      <w:r>
        <w:rPr>
          <w:rFonts w:ascii="Arial" w:hAnsi="Arial" w:cs="Arial"/>
          <w:i/>
          <w:noProof/>
          <w:lang w:val="en-GB"/>
        </w:rPr>
        <w:t xml:space="preserve">Spain, France, Cyprus, Luxembourg, Romania: </w:t>
      </w:r>
      <w:r>
        <w:rPr>
          <w:rFonts w:ascii="Arial" w:hAnsi="Arial" w:cs="Arial"/>
          <w:noProof/>
          <w:lang w:val="en-GB" w:eastAsia="en-GB"/>
        </w:rPr>
        <w:t>non-compliance with the Regulation on the marketing and use of explosives precursors;</w:t>
      </w:r>
      <w:r>
        <w:rPr>
          <w:rStyle w:val="FootnoteReference"/>
          <w:rFonts w:ascii="Arial" w:hAnsi="Arial" w:cs="Arial"/>
          <w:noProof/>
          <w:lang w:val="en-GB" w:eastAsia="en-GB"/>
        </w:rPr>
        <w:footnoteReference w:id="316"/>
      </w:r>
    </w:p>
    <w:p>
      <w:pPr>
        <w:pStyle w:val="Lijstje2"/>
        <w:ind w:left="1843"/>
        <w:rPr>
          <w:rFonts w:ascii="Arial" w:hAnsi="Arial" w:cs="Arial"/>
          <w:noProof/>
          <w:lang w:val="en-GB"/>
        </w:rPr>
      </w:pPr>
      <w:r>
        <w:rPr>
          <w:rFonts w:ascii="Arial" w:hAnsi="Arial" w:cs="Arial"/>
          <w:i/>
          <w:noProof/>
          <w:lang w:val="en-GB"/>
        </w:rPr>
        <w:t>Greece, Spain and Italy:</w:t>
      </w:r>
      <w:r>
        <w:rPr>
          <w:rFonts w:ascii="Arial" w:hAnsi="Arial" w:cs="Arial"/>
          <w:noProof/>
          <w:lang w:val="en-GB"/>
        </w:rPr>
        <w:t xml:space="preserve"> non-conformity of national legislation with the Return Directive;</w:t>
      </w:r>
      <w:r>
        <w:rPr>
          <w:rStyle w:val="FootnoteReference"/>
          <w:rFonts w:ascii="Arial" w:hAnsi="Arial" w:cs="Arial"/>
          <w:noProof/>
          <w:lang w:val="en-GB"/>
        </w:rPr>
        <w:footnoteReference w:id="317"/>
      </w:r>
    </w:p>
    <w:p>
      <w:pPr>
        <w:pStyle w:val="Lijstje2"/>
        <w:ind w:left="1843"/>
        <w:rPr>
          <w:rFonts w:ascii="Arial" w:hAnsi="Arial" w:cs="Arial"/>
          <w:noProof/>
          <w:lang w:val="en-GB"/>
        </w:rPr>
      </w:pPr>
      <w:r>
        <w:rPr>
          <w:rFonts w:ascii="Arial" w:hAnsi="Arial" w:cs="Arial"/>
          <w:i/>
          <w:noProof/>
          <w:lang w:val="en-GB"/>
        </w:rPr>
        <w:t>Italy:</w:t>
      </w:r>
      <w:r>
        <w:rPr>
          <w:rFonts w:ascii="Arial" w:hAnsi="Arial" w:cs="Arial"/>
          <w:noProof/>
          <w:lang w:val="en-GB"/>
        </w:rPr>
        <w:t xml:space="preserve"> non-communication of national measures transposing the Long-Term Residents Directive;</w:t>
      </w:r>
      <w:r>
        <w:rPr>
          <w:rStyle w:val="FootnoteReference"/>
          <w:rFonts w:ascii="Arial" w:hAnsi="Arial" w:cs="Arial"/>
          <w:noProof/>
          <w:lang w:val="en-GB"/>
        </w:rPr>
        <w:footnoteReference w:id="318"/>
      </w:r>
    </w:p>
    <w:p>
      <w:pPr>
        <w:pStyle w:val="Lijstje2"/>
        <w:ind w:left="1843"/>
        <w:rPr>
          <w:rFonts w:ascii="Arial" w:hAnsi="Arial" w:cs="Arial"/>
          <w:noProof/>
          <w:lang w:val="en-GB"/>
        </w:rPr>
      </w:pPr>
      <w:r>
        <w:rPr>
          <w:rFonts w:ascii="Arial" w:hAnsi="Arial" w:cs="Arial"/>
          <w:i/>
          <w:noProof/>
          <w:lang w:val="en-GB"/>
        </w:rPr>
        <w:t>Luxembourg:</w:t>
      </w:r>
      <w:r>
        <w:rPr>
          <w:rFonts w:ascii="Arial" w:hAnsi="Arial" w:cs="Arial"/>
          <w:noProof/>
          <w:lang w:val="en-GB"/>
        </w:rPr>
        <w:t xml:space="preserve"> non-communication of national measures transposing the Framework Decision on the ‘Swedish initiative’ on simplifying the exchange of information and intelligence between law enforcement authorities of EU Member States.</w:t>
      </w:r>
      <w:r>
        <w:rPr>
          <w:rStyle w:val="FootnoteReference"/>
          <w:rFonts w:ascii="Arial" w:hAnsi="Arial" w:cs="Arial"/>
          <w:noProof/>
          <w:lang w:val="en-GB"/>
        </w:rPr>
        <w:footnoteReference w:id="319"/>
      </w:r>
    </w:p>
    <w:p>
      <w:pPr>
        <w:pStyle w:val="Lijstje"/>
        <w:numPr>
          <w:ilvl w:val="0"/>
          <w:numId w:val="118"/>
        </w:numPr>
        <w:spacing w:after="120"/>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118"/>
        </w:numPr>
        <w:spacing w:after="120"/>
        <w:ind w:hanging="426"/>
        <w:rPr>
          <w:rFonts w:ascii="Arial" w:hAnsi="Arial" w:cs="Arial"/>
          <w:noProof/>
          <w:lang w:val="en-GB"/>
        </w:rPr>
      </w:pPr>
      <w:r>
        <w:rPr>
          <w:rFonts w:ascii="Arial" w:hAnsi="Arial" w:cs="Arial"/>
          <w:noProof/>
          <w:lang w:val="en-GB"/>
        </w:rPr>
        <w:t>The Commission did not refer any cases to the Court under Article 260(2)TFEU.</w:t>
      </w:r>
    </w:p>
    <w:p>
      <w:pPr>
        <w:numPr>
          <w:ilvl w:val="0"/>
          <w:numId w:val="30"/>
        </w:numPr>
        <w:rPr>
          <w:caps/>
          <w:noProof/>
          <w:color w:val="4F81BD"/>
          <w:sz w:val="24"/>
          <w:szCs w:val="24"/>
        </w:rPr>
      </w:pPr>
      <w:r>
        <w:rPr>
          <w:caps/>
          <w:noProof/>
          <w:color w:val="4F81BD"/>
          <w:sz w:val="24"/>
          <w:szCs w:val="24"/>
        </w:rPr>
        <w:t>TRANSPOSITION OF DIRECTIVES</w:t>
      </w:r>
    </w:p>
    <w:p>
      <w:pPr>
        <w:numPr>
          <w:ilvl w:val="0"/>
          <w:numId w:val="95"/>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18"/>
          <w:szCs w:val="18"/>
        </w:rPr>
      </w:pPr>
      <w:r>
        <w:rPr>
          <w:rFonts w:ascii="Verdana" w:hAnsi="Verdana"/>
          <w:noProof/>
          <w:sz w:val="18"/>
          <w:szCs w:val="18"/>
          <w:lang w:val="en-US"/>
        </w:rPr>
        <w:drawing>
          <wp:inline distT="0" distB="0" distL="0" distR="0">
            <wp:extent cx="4600575" cy="2257425"/>
            <wp:effectExtent l="0" t="0" r="9525" b="9525"/>
            <wp:docPr id="48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ind w:left="720"/>
        <w:rPr>
          <w:noProof/>
          <w:color w:val="002060"/>
          <w:szCs w:val="22"/>
        </w:rPr>
      </w:pPr>
      <w:r>
        <w:rPr>
          <w:noProof/>
          <w:color w:val="002060"/>
          <w:szCs w:val="22"/>
        </w:rPr>
        <w:br w:type="page"/>
      </w:r>
    </w:p>
    <w:p>
      <w:pPr>
        <w:numPr>
          <w:ilvl w:val="0"/>
          <w:numId w:val="95"/>
        </w:numPr>
        <w:spacing w:after="60"/>
        <w:jc w:val="left"/>
        <w:outlineLvl w:val="1"/>
        <w:rPr>
          <w:noProof/>
          <w:color w:val="002060"/>
          <w:szCs w:val="22"/>
        </w:rPr>
      </w:pPr>
      <w:r>
        <w:rPr>
          <w:noProof/>
          <w:color w:val="002060"/>
          <w:szCs w:val="22"/>
        </w:rPr>
        <w:t>New late transposition infringement cases opened in 2016: policy sectors</w:t>
      </w:r>
    </w:p>
    <w:p>
      <w:pPr>
        <w:ind w:left="720"/>
        <w:rPr>
          <w:rFonts w:ascii="Verdana" w:hAnsi="Verdana"/>
          <w:noProof/>
          <w:sz w:val="20"/>
        </w:rPr>
      </w:pPr>
      <w:r>
        <w:rPr>
          <w:rFonts w:ascii="Verdana" w:hAnsi="Verdana"/>
          <w:noProof/>
          <w:sz w:val="20"/>
          <w:lang w:val="en-US"/>
        </w:rPr>
        <w:drawing>
          <wp:inline distT="0" distB="0" distL="0" distR="0">
            <wp:extent cx="4587240" cy="2194560"/>
            <wp:effectExtent l="0" t="0" r="22860" b="15240"/>
            <wp:docPr id="482"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numPr>
          <w:ilvl w:val="0"/>
          <w:numId w:val="95"/>
        </w:numPr>
        <w:spacing w:after="60"/>
        <w:jc w:val="left"/>
        <w:outlineLvl w:val="1"/>
        <w:rPr>
          <w:noProof/>
          <w:color w:val="002060"/>
          <w:szCs w:val="22"/>
        </w:rPr>
      </w:pPr>
      <w:r>
        <w:rPr>
          <w:noProof/>
          <w:color w:val="002060"/>
          <w:szCs w:val="22"/>
        </w:rPr>
        <w:t>Key infringement cases and referrals to the Court</w:t>
      </w:r>
    </w:p>
    <w:p>
      <w:pPr>
        <w:numPr>
          <w:ilvl w:val="0"/>
          <w:numId w:val="129"/>
        </w:numPr>
        <w:spacing w:after="120"/>
        <w:ind w:hanging="426"/>
        <w:rPr>
          <w:rFonts w:eastAsia="Calibri" w:cs="Arial"/>
          <w:noProof/>
          <w:kern w:val="20"/>
          <w:sz w:val="20"/>
        </w:rPr>
      </w:pPr>
      <w:r>
        <w:rPr>
          <w:rFonts w:eastAsia="Calibri" w:cs="Arial"/>
          <w:noProof/>
          <w:kern w:val="20"/>
          <w:sz w:val="20"/>
        </w:rPr>
        <w:t>The Commission opened 39 cases for late transposition in 2016. Most concern:</w:t>
      </w:r>
    </w:p>
    <w:p>
      <w:pPr>
        <w:pStyle w:val="Lijstje2"/>
        <w:ind w:left="1701"/>
        <w:rPr>
          <w:rFonts w:ascii="Arial" w:hAnsi="Arial" w:cs="Arial"/>
          <w:noProof/>
          <w:lang w:val="en-GB"/>
        </w:rPr>
      </w:pPr>
      <w:r>
        <w:rPr>
          <w:rFonts w:ascii="Arial" w:hAnsi="Arial" w:cs="Arial"/>
          <w:noProof/>
          <w:lang w:val="en-GB"/>
        </w:rPr>
        <w:t>the Directive on the conditions of entry and stay of third-country nationals for the purpose of employment as seasonal workers (20 cases);</w:t>
      </w:r>
      <w:r>
        <w:rPr>
          <w:rStyle w:val="FootnoteReference"/>
          <w:rFonts w:ascii="Arial" w:hAnsi="Arial" w:cs="Arial"/>
          <w:noProof/>
          <w:lang w:val="en-GB"/>
        </w:rPr>
        <w:t xml:space="preserve"> </w:t>
      </w:r>
      <w:r>
        <w:rPr>
          <w:rStyle w:val="FootnoteReference"/>
          <w:rFonts w:ascii="Arial" w:hAnsi="Arial" w:cs="Arial"/>
          <w:noProof/>
          <w:lang w:val="en-GB"/>
        </w:rPr>
        <w:footnoteReference w:id="320"/>
      </w:r>
    </w:p>
    <w:p>
      <w:pPr>
        <w:pStyle w:val="Lijstje2"/>
        <w:ind w:left="1701"/>
        <w:rPr>
          <w:rFonts w:ascii="Arial" w:hAnsi="Arial" w:cs="Arial"/>
          <w:noProof/>
          <w:lang w:val="en-GB"/>
        </w:rPr>
      </w:pPr>
      <w:r>
        <w:rPr>
          <w:rFonts w:ascii="Arial" w:hAnsi="Arial" w:cs="Arial"/>
          <w:noProof/>
          <w:lang w:val="en-GB"/>
        </w:rPr>
        <w:t>the Directive on the freezing and confiscation of instrumentalities and proceeds of crime in the European Union (18 cases).</w:t>
      </w:r>
      <w:r>
        <w:rPr>
          <w:rStyle w:val="FootnoteReference"/>
          <w:rFonts w:cs="Arial"/>
          <w:noProof/>
          <w:lang w:val="en-GB"/>
        </w:rPr>
        <w:footnoteReference w:id="321"/>
      </w:r>
    </w:p>
    <w:p>
      <w:pPr>
        <w:numPr>
          <w:ilvl w:val="0"/>
          <w:numId w:val="129"/>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spacing w:after="200"/>
        <w:ind w:left="720"/>
        <w:rPr>
          <w:rFonts w:cs="Arial"/>
          <w:noProof/>
          <w:sz w:val="20"/>
        </w:rPr>
      </w:pPr>
      <w:r>
        <w:rPr>
          <w:rFonts w:cs="Arial"/>
          <w:noProof/>
          <w:sz w:val="20"/>
        </w:rPr>
        <w:t>These concerned:</w:t>
      </w:r>
    </w:p>
    <w:p>
      <w:pPr>
        <w:numPr>
          <w:ilvl w:val="0"/>
          <w:numId w:val="25"/>
        </w:numPr>
        <w:spacing w:after="200"/>
        <w:ind w:left="1134" w:hanging="283"/>
        <w:contextualSpacing/>
        <w:rPr>
          <w:rFonts w:eastAsia="Calibri" w:cs="Arial"/>
          <w:noProof/>
          <w:kern w:val="20"/>
          <w:sz w:val="20"/>
        </w:rPr>
      </w:pPr>
      <w:r>
        <w:rPr>
          <w:rFonts w:eastAsia="Calibri" w:cs="Arial"/>
          <w:i/>
          <w:noProof/>
          <w:kern w:val="20"/>
          <w:sz w:val="20"/>
        </w:rPr>
        <w:t>Greece, Cyprus and Italy</w:t>
      </w:r>
      <w:r>
        <w:rPr>
          <w:rFonts w:eastAsia="Calibri" w:cs="Arial"/>
          <w:noProof/>
          <w:kern w:val="20"/>
          <w:sz w:val="20"/>
        </w:rPr>
        <w:t>: failure to implement the Eurodac Regulation, which sets up an EU asylum fingerprint database;</w:t>
      </w:r>
      <w:r>
        <w:rPr>
          <w:rStyle w:val="FootnoteReference"/>
          <w:rFonts w:eastAsia="Calibri" w:cs="Arial"/>
          <w:noProof/>
          <w:kern w:val="20"/>
          <w:sz w:val="20"/>
        </w:rPr>
        <w:footnoteReference w:id="322"/>
      </w:r>
    </w:p>
    <w:p>
      <w:pPr>
        <w:numPr>
          <w:ilvl w:val="0"/>
          <w:numId w:val="25"/>
        </w:numPr>
        <w:spacing w:after="200"/>
        <w:ind w:left="1135" w:hanging="284"/>
        <w:rPr>
          <w:rFonts w:eastAsia="Calibri" w:cs="Arial"/>
          <w:noProof/>
          <w:kern w:val="20"/>
          <w:sz w:val="20"/>
        </w:rPr>
      </w:pPr>
      <w:r>
        <w:rPr>
          <w:rFonts w:eastAsia="Calibri" w:cs="Arial"/>
          <w:i/>
          <w:noProof/>
          <w:kern w:val="20"/>
          <w:sz w:val="20"/>
        </w:rPr>
        <w:t>Greece and Slovenia</w:t>
      </w:r>
      <w:r>
        <w:rPr>
          <w:rFonts w:eastAsia="Calibri" w:cs="Arial"/>
          <w:noProof/>
          <w:kern w:val="20"/>
          <w:sz w:val="20"/>
        </w:rPr>
        <w:t xml:space="preserve">: non-communication of national measures transposing </w:t>
      </w:r>
      <w:r>
        <w:rPr>
          <w:noProof/>
          <w:sz w:val="20"/>
        </w:rPr>
        <w:t xml:space="preserve">the </w:t>
      </w:r>
      <w:r>
        <w:rPr>
          <w:rFonts w:eastAsia="Calibri" w:cs="Arial"/>
          <w:noProof/>
          <w:kern w:val="20"/>
          <w:sz w:val="20"/>
        </w:rPr>
        <w:t>Directive on attacks against information systems.</w:t>
      </w:r>
      <w:r>
        <w:rPr>
          <w:rStyle w:val="FootnoteReference"/>
          <w:rFonts w:cs="Arial"/>
          <w:noProof/>
          <w:sz w:val="20"/>
        </w:rPr>
        <w:footnoteReference w:id="323"/>
      </w:r>
    </w:p>
    <w:p>
      <w:pPr>
        <w:numPr>
          <w:ilvl w:val="0"/>
          <w:numId w:val="30"/>
        </w:numPr>
        <w:rPr>
          <w:caps/>
          <w:noProof/>
          <w:color w:val="4F81BD"/>
          <w:sz w:val="24"/>
          <w:szCs w:val="24"/>
        </w:rPr>
      </w:pPr>
      <w:r>
        <w:rPr>
          <w:caps/>
          <w:noProof/>
          <w:color w:val="4F81BD"/>
          <w:sz w:val="24"/>
          <w:szCs w:val="24"/>
        </w:rPr>
        <w:t>IMPORTANT JUDGMENTS</w:t>
      </w:r>
    </w:p>
    <w:p>
      <w:pPr>
        <w:numPr>
          <w:ilvl w:val="0"/>
          <w:numId w:val="96"/>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324"/>
      </w:r>
    </w:p>
    <w:p>
      <w:pPr>
        <w:spacing w:after="200"/>
        <w:ind w:left="720"/>
        <w:rPr>
          <w:rFonts w:cs="Arial"/>
          <w:noProof/>
          <w:sz w:val="20"/>
        </w:rPr>
      </w:pPr>
      <w:r>
        <w:rPr>
          <w:rFonts w:cs="Arial"/>
          <w:noProof/>
          <w:sz w:val="20"/>
        </w:rPr>
        <w:t>There were no major Court rulings in 2016 in this area.</w:t>
      </w:r>
    </w:p>
    <w:p>
      <w:pPr>
        <w:numPr>
          <w:ilvl w:val="0"/>
          <w:numId w:val="96"/>
        </w:numPr>
        <w:spacing w:after="60"/>
        <w:jc w:val="left"/>
        <w:outlineLvl w:val="1"/>
        <w:rPr>
          <w:noProof/>
          <w:color w:val="002060"/>
          <w:szCs w:val="22"/>
        </w:rPr>
      </w:pPr>
      <w:r>
        <w:rPr>
          <w:noProof/>
          <w:color w:val="002060"/>
          <w:szCs w:val="22"/>
        </w:rPr>
        <w:t>Preliminary rulings</w:t>
      </w:r>
    </w:p>
    <w:p>
      <w:pPr>
        <w:ind w:left="720"/>
        <w:rPr>
          <w:rFonts w:cs="Arial"/>
          <w:noProof/>
          <w:sz w:val="20"/>
        </w:rPr>
      </w:pPr>
      <w:r>
        <w:rPr>
          <w:rFonts w:cs="Arial"/>
          <w:noProof/>
          <w:sz w:val="20"/>
        </w:rPr>
        <w:t>In preliminary rulings, the Court held that:</w:t>
      </w:r>
    </w:p>
    <w:p>
      <w:pPr>
        <w:numPr>
          <w:ilvl w:val="0"/>
          <w:numId w:val="25"/>
        </w:numPr>
        <w:spacing w:after="200" w:line="276" w:lineRule="auto"/>
        <w:ind w:left="1134"/>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 xml:space="preserve"> the Qualification Directive</w:t>
      </w:r>
      <w:r>
        <w:rPr>
          <w:rStyle w:val="FootnoteReference"/>
          <w:rFonts w:eastAsia="Calibri" w:cs="Arial"/>
          <w:noProof/>
          <w:kern w:val="20"/>
          <w:sz w:val="20"/>
        </w:rPr>
        <w:footnoteReference w:id="325"/>
      </w:r>
      <w:r>
        <w:rPr>
          <w:rFonts w:eastAsia="Calibri" w:cs="Arial"/>
          <w:noProof/>
          <w:kern w:val="20"/>
          <w:sz w:val="20"/>
        </w:rPr>
        <w:t xml:space="preserve"> does not prevent beneficiaries of subsidiary protection status from being subject to a residence condition to promote their integration where they are not in a comparable situation to non-EU citizens;</w:t>
      </w:r>
      <w:r>
        <w:rPr>
          <w:rStyle w:val="FootnoteReference"/>
          <w:rFonts w:eastAsia="Calibri" w:cs="Arial"/>
          <w:noProof/>
          <w:kern w:val="20"/>
          <w:sz w:val="20"/>
        </w:rPr>
        <w:footnoteReference w:id="326"/>
      </w:r>
    </w:p>
    <w:p>
      <w:pPr>
        <w:numPr>
          <w:ilvl w:val="0"/>
          <w:numId w:val="25"/>
        </w:numPr>
        <w:spacing w:after="200" w:line="276" w:lineRule="auto"/>
        <w:ind w:left="1134"/>
        <w:contextualSpacing/>
        <w:rPr>
          <w:rFonts w:eastAsia="Calibri" w:cs="Arial"/>
          <w:noProof/>
          <w:kern w:val="20"/>
          <w:sz w:val="20"/>
        </w:rPr>
      </w:pPr>
      <w:r>
        <w:rPr>
          <w:rFonts w:eastAsia="Calibri" w:cs="Arial"/>
          <w:i/>
          <w:noProof/>
          <w:kern w:val="20"/>
          <w:sz w:val="20"/>
        </w:rPr>
        <w:t>Ireland:</w:t>
      </w:r>
      <w:r>
        <w:rPr>
          <w:rFonts w:eastAsia="Calibri" w:cs="Arial"/>
          <w:noProof/>
          <w:kern w:val="20"/>
          <w:sz w:val="20"/>
        </w:rPr>
        <w:t xml:space="preserve"> the principle of effectiveness must be interpreted as precluding a national procedural rule which requires an application for subsidiary protection status to be made within 15 working days of notification, by the competent authority, that an applicant whose asylum application has been rejected may make an application for subsidiary protection;</w:t>
      </w:r>
      <w:r>
        <w:rPr>
          <w:rStyle w:val="FootnoteReference"/>
          <w:rFonts w:eastAsia="Calibri" w:cs="Arial"/>
          <w:noProof/>
          <w:kern w:val="20"/>
          <w:sz w:val="20"/>
        </w:rPr>
        <w:footnoteReference w:id="327"/>
      </w:r>
    </w:p>
    <w:p>
      <w:pPr>
        <w:numPr>
          <w:ilvl w:val="0"/>
          <w:numId w:val="25"/>
        </w:numPr>
        <w:spacing w:after="200" w:line="276" w:lineRule="auto"/>
        <w:ind w:left="1134"/>
        <w:contextualSpacing/>
        <w:rPr>
          <w:rFonts w:eastAsia="Calibri" w:cs="Arial"/>
          <w:noProof/>
          <w:kern w:val="20"/>
          <w:sz w:val="20"/>
        </w:rPr>
      </w:pPr>
      <w:r>
        <w:rPr>
          <w:rFonts w:eastAsia="Calibri" w:cs="Arial"/>
          <w:i/>
          <w:noProof/>
          <w:kern w:val="20"/>
          <w:sz w:val="20"/>
        </w:rPr>
        <w:t>Spain:</w:t>
      </w:r>
      <w:r>
        <w:rPr>
          <w:rFonts w:eastAsia="Calibri" w:cs="Arial"/>
          <w:noProof/>
          <w:kern w:val="20"/>
          <w:sz w:val="20"/>
        </w:rPr>
        <w:t xml:space="preserve"> a Member State may refuse an application for family reunification if the sponsor does not have sufficient, stable and regular resources to maintain himself and the members of his family without recourse to the social assistance system of that Member State.</w:t>
      </w:r>
      <w:r>
        <w:rPr>
          <w:b/>
          <w:bCs/>
          <w:noProof/>
        </w:rPr>
        <w:t xml:space="preserve"> </w:t>
      </w:r>
      <w:r>
        <w:rPr>
          <w:rFonts w:eastAsia="Calibri" w:cs="Arial"/>
          <w:noProof/>
          <w:kern w:val="20"/>
          <w:sz w:val="20"/>
        </w:rPr>
        <w:t>Such a decision could be based on the prospective assessment of the likelihood of the sponsor retaining, or failing to retain, the necessary stable and regular resources in the year following the date of submission of the application for family reunification. The assessment is based on the pattern of the sponsor’s income in the 6 months preceding the date of the application;</w:t>
      </w:r>
      <w:r>
        <w:rPr>
          <w:rStyle w:val="FootnoteReference"/>
          <w:rFonts w:eastAsia="Calibri" w:cs="Arial"/>
          <w:noProof/>
          <w:kern w:val="20"/>
          <w:sz w:val="20"/>
        </w:rPr>
        <w:footnoteReference w:id="328"/>
      </w:r>
    </w:p>
    <w:p>
      <w:pPr>
        <w:numPr>
          <w:ilvl w:val="0"/>
          <w:numId w:val="25"/>
        </w:numPr>
        <w:spacing w:after="200" w:line="276" w:lineRule="auto"/>
        <w:ind w:left="1134"/>
        <w:contextualSpacing/>
        <w:rPr>
          <w:rFonts w:eastAsia="Calibri" w:cs="Arial"/>
          <w:noProof/>
          <w:kern w:val="20"/>
          <w:sz w:val="20"/>
        </w:rPr>
      </w:pPr>
      <w:r>
        <w:rPr>
          <w:rFonts w:eastAsia="Calibri" w:cs="Arial"/>
          <w:i/>
          <w:noProof/>
          <w:kern w:val="20"/>
          <w:sz w:val="20"/>
        </w:rPr>
        <w:t>Hungary:</w:t>
      </w:r>
      <w:r>
        <w:rPr>
          <w:rFonts w:eastAsia="Calibri" w:cs="Arial"/>
          <w:noProof/>
          <w:kern w:val="20"/>
          <w:sz w:val="20"/>
        </w:rPr>
        <w:t xml:space="preserve"> a Member State has the right to send an applicant for international protection to a safe third country, if that Member State was responsible for examining an application for international protection submitted by the applicant who left that Member State before a decision on the substance of his first application for international protection was taken;</w:t>
      </w:r>
      <w:r>
        <w:rPr>
          <w:rStyle w:val="FootnoteReference"/>
          <w:rFonts w:eastAsia="Calibri" w:cs="Arial"/>
          <w:noProof/>
          <w:kern w:val="20"/>
          <w:sz w:val="20"/>
        </w:rPr>
        <w:footnoteReference w:id="329"/>
      </w:r>
    </w:p>
    <w:p>
      <w:pPr>
        <w:numPr>
          <w:ilvl w:val="0"/>
          <w:numId w:val="25"/>
        </w:numPr>
        <w:spacing w:after="200" w:line="276" w:lineRule="auto"/>
        <w:ind w:left="1134"/>
        <w:contextualSpacing/>
        <w:rPr>
          <w:rFonts w:eastAsia="Calibri" w:cs="Arial"/>
          <w:noProof/>
          <w:kern w:val="20"/>
          <w:sz w:val="20"/>
        </w:rPr>
      </w:pPr>
      <w:r>
        <w:rPr>
          <w:rFonts w:eastAsia="Calibri" w:cs="Arial"/>
          <w:i/>
          <w:noProof/>
          <w:kern w:val="20"/>
          <w:sz w:val="20"/>
        </w:rPr>
        <w:t>Netherlands</w:t>
      </w:r>
      <w:r>
        <w:rPr>
          <w:rFonts w:eastAsia="Calibri" w:cs="Arial"/>
          <w:noProof/>
          <w:kern w:val="20"/>
          <w:sz w:val="20"/>
        </w:rPr>
        <w:t>: the Reception Conditions Directive</w:t>
      </w:r>
      <w:r>
        <w:rPr>
          <w:rStyle w:val="FootnoteReference"/>
          <w:rFonts w:eastAsia="Calibri" w:cs="Arial"/>
          <w:noProof/>
          <w:kern w:val="20"/>
          <w:sz w:val="20"/>
        </w:rPr>
        <w:footnoteReference w:id="330"/>
      </w:r>
      <w:r>
        <w:rPr>
          <w:rFonts w:eastAsia="Calibri" w:cs="Arial"/>
          <w:noProof/>
          <w:kern w:val="20"/>
          <w:sz w:val="20"/>
        </w:rPr>
        <w:t xml:space="preserve"> allows for an asylum seeker to be detained when the protection of national security or public order so requires. The introduction of a fresh asylum application by a person who is subject to a return decision does not render that decision inoperative under the Return Directive;</w:t>
      </w:r>
      <w:r>
        <w:rPr>
          <w:rStyle w:val="FootnoteReference"/>
          <w:rFonts w:eastAsia="Calibri" w:cs="Arial"/>
          <w:noProof/>
          <w:kern w:val="20"/>
          <w:sz w:val="20"/>
        </w:rPr>
        <w:footnoteReference w:id="331"/>
      </w:r>
    </w:p>
    <w:p>
      <w:pPr>
        <w:numPr>
          <w:ilvl w:val="0"/>
          <w:numId w:val="25"/>
        </w:numPr>
        <w:spacing w:after="200" w:line="276" w:lineRule="auto"/>
        <w:ind w:left="1134" w:hanging="357"/>
        <w:rPr>
          <w:rFonts w:eastAsia="Calibri" w:cs="Arial"/>
          <w:noProof/>
          <w:kern w:val="20"/>
          <w:sz w:val="20"/>
        </w:rPr>
      </w:pPr>
      <w:r>
        <w:rPr>
          <w:rFonts w:eastAsia="Calibri" w:cs="Arial"/>
          <w:i/>
          <w:noProof/>
          <w:kern w:val="20"/>
          <w:sz w:val="20"/>
        </w:rPr>
        <w:t>Sweden:</w:t>
      </w:r>
      <w:r>
        <w:rPr>
          <w:rFonts w:eastAsia="Calibri" w:cs="Arial"/>
          <w:noProof/>
          <w:kern w:val="20"/>
          <w:sz w:val="20"/>
        </w:rPr>
        <w:t xml:space="preserve"> an asylum applicant may, in an action challenging a transfer decision made about him, invoke an infringement of the rule set out in the Dublin Regulation</w:t>
      </w:r>
      <w:r>
        <w:rPr>
          <w:rStyle w:val="FootnoteReference"/>
          <w:rFonts w:eastAsia="Calibri" w:cs="Arial"/>
          <w:noProof/>
          <w:kern w:val="20"/>
          <w:sz w:val="20"/>
        </w:rPr>
        <w:footnoteReference w:id="332"/>
      </w:r>
      <w:r>
        <w:rPr>
          <w:rFonts w:eastAsia="Calibri" w:cs="Arial"/>
          <w:noProof/>
          <w:kern w:val="20"/>
          <w:sz w:val="20"/>
        </w:rPr>
        <w:t xml:space="preserve"> concerning an absence of at least 3 months from the territory of the Member State concerned.</w:t>
      </w:r>
      <w:r>
        <w:rPr>
          <w:rStyle w:val="FootnoteReference"/>
          <w:rFonts w:eastAsia="Calibri" w:cs="Arial"/>
          <w:noProof/>
          <w:kern w:val="20"/>
          <w:sz w:val="20"/>
        </w:rPr>
        <w:footnoteReference w:id="333"/>
      </w:r>
    </w:p>
    <w:p>
      <w:pPr>
        <w:numPr>
          <w:ilvl w:val="0"/>
          <w:numId w:val="30"/>
        </w:numPr>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2017 includes:</w:t>
      </w:r>
    </w:p>
    <w:p>
      <w:pPr>
        <w:pStyle w:val="ListParagraph"/>
        <w:numPr>
          <w:ilvl w:val="0"/>
          <w:numId w:val="27"/>
        </w:numPr>
        <w:ind w:left="1134" w:hanging="327"/>
        <w:rPr>
          <w:rFonts w:eastAsia="Calibri" w:cs="Arial"/>
          <w:bCs/>
          <w:noProof/>
          <w:kern w:val="20"/>
          <w:sz w:val="20"/>
        </w:rPr>
      </w:pPr>
      <w:r>
        <w:rPr>
          <w:rFonts w:eastAsia="Calibri" w:cs="Arial"/>
          <w:noProof/>
          <w:kern w:val="20"/>
          <w:sz w:val="20"/>
        </w:rPr>
        <w:t>ensuring the full and correct implementation by the Member States of instruments identified as priorities under the European Agenda on Security. This includes:</w:t>
      </w:r>
    </w:p>
    <w:p>
      <w:pPr>
        <w:pStyle w:val="ListParagraph"/>
        <w:numPr>
          <w:ilvl w:val="0"/>
          <w:numId w:val="27"/>
        </w:numPr>
        <w:rPr>
          <w:rFonts w:eastAsia="Calibri" w:cs="Arial"/>
          <w:bCs/>
          <w:noProof/>
          <w:kern w:val="20"/>
          <w:sz w:val="20"/>
        </w:rPr>
      </w:pPr>
      <w:r>
        <w:rPr>
          <w:rFonts w:eastAsia="Calibri" w:cs="Arial"/>
          <w:noProof/>
          <w:kern w:val="20"/>
          <w:sz w:val="20"/>
        </w:rPr>
        <w:t>the Regulation on explosives precursors;</w:t>
      </w:r>
      <w:r>
        <w:rPr>
          <w:rStyle w:val="FootnoteReference"/>
          <w:rFonts w:eastAsia="Calibri"/>
          <w:noProof/>
        </w:rPr>
        <w:footnoteReference w:id="334"/>
      </w:r>
      <w:r>
        <w:rPr>
          <w:rFonts w:eastAsia="Calibri" w:cs="Arial"/>
          <w:noProof/>
          <w:kern w:val="20"/>
          <w:sz w:val="20"/>
        </w:rPr>
        <w:t xml:space="preserve"> </w:t>
      </w:r>
    </w:p>
    <w:p>
      <w:pPr>
        <w:pStyle w:val="ListParagraph"/>
        <w:numPr>
          <w:ilvl w:val="0"/>
          <w:numId w:val="27"/>
        </w:numPr>
        <w:rPr>
          <w:rFonts w:eastAsia="Calibri" w:cs="Arial"/>
          <w:bCs/>
          <w:noProof/>
          <w:kern w:val="20"/>
          <w:sz w:val="20"/>
        </w:rPr>
      </w:pPr>
      <w:r>
        <w:rPr>
          <w:rFonts w:eastAsia="Calibri" w:cs="Arial"/>
          <w:noProof/>
          <w:kern w:val="20"/>
          <w:sz w:val="20"/>
        </w:rPr>
        <w:t>the ‘Prüm’ system;</w:t>
      </w:r>
      <w:r>
        <w:rPr>
          <w:rStyle w:val="FootnoteReference"/>
          <w:rFonts w:eastAsia="Calibri"/>
          <w:noProof/>
        </w:rPr>
        <w:footnoteReference w:id="335"/>
      </w:r>
      <w:r>
        <w:rPr>
          <w:rFonts w:eastAsia="Calibri" w:cs="Arial"/>
          <w:noProof/>
          <w:kern w:val="20"/>
          <w:sz w:val="20"/>
        </w:rPr>
        <w:t xml:space="preserve"> </w:t>
      </w:r>
    </w:p>
    <w:p>
      <w:pPr>
        <w:pStyle w:val="ListParagraph"/>
        <w:numPr>
          <w:ilvl w:val="0"/>
          <w:numId w:val="27"/>
        </w:numPr>
        <w:rPr>
          <w:rFonts w:eastAsia="Calibri" w:cs="Arial"/>
          <w:bCs/>
          <w:noProof/>
          <w:kern w:val="20"/>
          <w:sz w:val="20"/>
        </w:rPr>
      </w:pPr>
      <w:r>
        <w:rPr>
          <w:rFonts w:eastAsia="Calibri" w:cs="Arial"/>
          <w:noProof/>
          <w:kern w:val="20"/>
          <w:sz w:val="20"/>
        </w:rPr>
        <w:t xml:space="preserve">the Framework Decision on the ‘Swedish initiative’ </w:t>
      </w:r>
      <w:r>
        <w:rPr>
          <w:rFonts w:eastAsia="Calibri" w:cs="Arial"/>
          <w:bCs/>
          <w:noProof/>
          <w:kern w:val="20"/>
          <w:sz w:val="20"/>
        </w:rPr>
        <w:t>on simplifying the exchange of information and intelligence between law enforcement authorities of the EU Member States;</w:t>
      </w:r>
      <w:r>
        <w:rPr>
          <w:rStyle w:val="FootnoteReference"/>
          <w:rFonts w:eastAsia="Calibri"/>
          <w:noProof/>
        </w:rPr>
        <w:footnoteReference w:id="336"/>
      </w:r>
      <w:r>
        <w:rPr>
          <w:rFonts w:eastAsia="Calibri" w:cs="Arial"/>
          <w:bCs/>
          <w:noProof/>
          <w:kern w:val="20"/>
          <w:sz w:val="20"/>
        </w:rPr>
        <w:t xml:space="preserve"> </w:t>
      </w:r>
    </w:p>
    <w:p>
      <w:pPr>
        <w:pStyle w:val="ListParagraph"/>
        <w:numPr>
          <w:ilvl w:val="0"/>
          <w:numId w:val="27"/>
        </w:numPr>
        <w:rPr>
          <w:rFonts w:eastAsia="Calibri" w:cs="Arial"/>
          <w:bCs/>
          <w:noProof/>
          <w:kern w:val="20"/>
          <w:sz w:val="20"/>
        </w:rPr>
      </w:pPr>
      <w:r>
        <w:rPr>
          <w:rFonts w:eastAsia="Calibri" w:cs="Arial"/>
          <w:bCs/>
          <w:noProof/>
          <w:kern w:val="20"/>
          <w:sz w:val="20"/>
        </w:rPr>
        <w:t>the Framework Decision on accreditation of forensic service providers carrying out laboratory activities;</w:t>
      </w:r>
      <w:r>
        <w:rPr>
          <w:rStyle w:val="FootnoteReference"/>
          <w:rFonts w:eastAsia="Calibri" w:cs="Arial"/>
          <w:bCs/>
          <w:noProof/>
          <w:kern w:val="20"/>
          <w:sz w:val="20"/>
        </w:rPr>
        <w:footnoteReference w:id="337"/>
      </w:r>
      <w:r>
        <w:rPr>
          <w:rFonts w:eastAsia="Calibri" w:cs="Arial"/>
          <w:bCs/>
          <w:noProof/>
          <w:kern w:val="20"/>
          <w:sz w:val="20"/>
        </w:rPr>
        <w:t xml:space="preserve"> and </w:t>
      </w:r>
      <w:r>
        <w:rPr>
          <w:rFonts w:cs="Arial"/>
          <w:noProof/>
          <w:sz w:val="20"/>
        </w:rPr>
        <w:t xml:space="preserve"> </w:t>
      </w:r>
    </w:p>
    <w:p>
      <w:pPr>
        <w:pStyle w:val="ListParagraph"/>
        <w:numPr>
          <w:ilvl w:val="0"/>
          <w:numId w:val="27"/>
        </w:numPr>
        <w:rPr>
          <w:rFonts w:eastAsia="Calibri" w:cs="Arial"/>
          <w:bCs/>
          <w:noProof/>
          <w:kern w:val="20"/>
          <w:sz w:val="20"/>
        </w:rPr>
      </w:pPr>
      <w:r>
        <w:rPr>
          <w:rFonts w:cs="Arial"/>
          <w:noProof/>
          <w:sz w:val="20"/>
        </w:rPr>
        <w:t xml:space="preserve">the Directives </w:t>
      </w:r>
      <w:r>
        <w:rPr>
          <w:rFonts w:cs="Arial"/>
          <w:bCs/>
          <w:noProof/>
          <w:sz w:val="20"/>
        </w:rPr>
        <w:t>on combating the sexual abuse and sexual exploitation of children and child pornography</w:t>
      </w:r>
      <w:r>
        <w:rPr>
          <w:rStyle w:val="FootnoteReference"/>
          <w:noProof/>
        </w:rPr>
        <w:footnoteReference w:id="338"/>
      </w:r>
      <w:r>
        <w:rPr>
          <w:rFonts w:cs="Arial"/>
          <w:bCs/>
          <w:noProof/>
          <w:sz w:val="20"/>
        </w:rPr>
        <w:t xml:space="preserve"> and on attacks against information systems;</w:t>
      </w:r>
      <w:r>
        <w:rPr>
          <w:rStyle w:val="FootnoteReference"/>
          <w:noProof/>
        </w:rPr>
        <w:footnoteReference w:id="339"/>
      </w:r>
    </w:p>
    <w:p>
      <w:pPr>
        <w:pStyle w:val="ListParagraph"/>
        <w:numPr>
          <w:ilvl w:val="0"/>
          <w:numId w:val="27"/>
        </w:numPr>
        <w:ind w:left="1134" w:hanging="327"/>
        <w:rPr>
          <w:rFonts w:eastAsia="Calibri" w:cs="Arial"/>
          <w:noProof/>
          <w:kern w:val="20"/>
          <w:sz w:val="20"/>
        </w:rPr>
      </w:pPr>
      <w:r>
        <w:rPr>
          <w:rFonts w:eastAsia="Calibri" w:cs="Arial"/>
          <w:noProof/>
          <w:kern w:val="20"/>
          <w:sz w:val="20"/>
        </w:rPr>
        <w:t>continuing to assess Member States’ compliance with the rules on legal migration, in particular the Directives on the conditions of entry and stay of third-country nationals for the purpose of employment as seasonal workers</w:t>
      </w:r>
      <w:r>
        <w:rPr>
          <w:rStyle w:val="FootnoteReference"/>
          <w:noProof/>
        </w:rPr>
        <w:footnoteReference w:id="340"/>
      </w:r>
      <w:r>
        <w:rPr>
          <w:rFonts w:eastAsia="Calibri" w:cs="Arial"/>
          <w:noProof/>
          <w:kern w:val="20"/>
          <w:sz w:val="20"/>
        </w:rPr>
        <w:t xml:space="preserve"> and on the conditions of entry and residence of third-country nationals in the framework of an intra-corporate transfer;</w:t>
      </w:r>
      <w:r>
        <w:rPr>
          <w:rStyle w:val="FootnoteReference"/>
          <w:rFonts w:eastAsia="Calibri" w:cs="Arial"/>
          <w:noProof/>
          <w:kern w:val="20"/>
          <w:sz w:val="20"/>
        </w:rPr>
        <w:footnoteReference w:id="341"/>
      </w:r>
    </w:p>
    <w:p>
      <w:pPr>
        <w:pStyle w:val="ListParagraph"/>
        <w:numPr>
          <w:ilvl w:val="0"/>
          <w:numId w:val="27"/>
        </w:numPr>
        <w:ind w:left="1134" w:hanging="327"/>
        <w:rPr>
          <w:rFonts w:eastAsia="Calibri" w:cs="Arial"/>
          <w:noProof/>
          <w:kern w:val="20"/>
          <w:sz w:val="20"/>
        </w:rPr>
      </w:pPr>
      <w:r>
        <w:rPr>
          <w:rFonts w:eastAsia="Calibri" w:cs="Arial"/>
          <w:noProof/>
          <w:kern w:val="20"/>
          <w:sz w:val="20"/>
        </w:rPr>
        <w:t>in the area of asylum, continuing to follow up on the timely and correct implementation of the Qualifications Directive</w:t>
      </w:r>
      <w:r>
        <w:rPr>
          <w:rStyle w:val="FootnoteReference"/>
          <w:rFonts w:eastAsia="Calibri" w:cs="Arial"/>
          <w:noProof/>
          <w:kern w:val="20"/>
          <w:sz w:val="20"/>
        </w:rPr>
        <w:footnoteReference w:id="342"/>
      </w:r>
      <w:r>
        <w:rPr>
          <w:rFonts w:eastAsia="Calibri" w:cs="Arial"/>
          <w:noProof/>
          <w:kern w:val="20"/>
          <w:sz w:val="20"/>
        </w:rPr>
        <w:t xml:space="preserve"> and the Long-Term Residents Directive.</w:t>
      </w:r>
      <w:r>
        <w:rPr>
          <w:rStyle w:val="FootnoteReference"/>
          <w:rFonts w:eastAsia="Calibri" w:cs="Arial"/>
          <w:noProof/>
          <w:kern w:val="20"/>
          <w:sz w:val="20"/>
        </w:rPr>
        <w:footnoteReference w:id="343"/>
      </w:r>
    </w:p>
    <w:p>
      <w:pPr>
        <w:ind w:left="949"/>
        <w:rPr>
          <w:rFonts w:eastAsia="Calibri" w:cs="Arial"/>
          <w:noProof/>
          <w:kern w:val="20"/>
          <w:sz w:val="20"/>
        </w:rPr>
        <w:sectPr>
          <w:headerReference w:type="even" r:id="rId170"/>
          <w:headerReference w:type="default" r:id="rId171"/>
          <w:footerReference w:type="even" r:id="rId172"/>
          <w:footerReference w:type="default" r:id="rId173"/>
          <w:headerReference w:type="first" r:id="rId174"/>
          <w:footerReference w:type="first" r:id="rId175"/>
          <w:footnotePr>
            <w:numRestart w:val="eachSect"/>
          </w:footnotePr>
          <w:pgSz w:w="11906" w:h="16838"/>
          <w:pgMar w:top="1843" w:right="1417" w:bottom="1134" w:left="1417" w:header="708" w:footer="708" w:gutter="0"/>
          <w:cols w:space="708"/>
          <w:titlePg/>
          <w:docGrid w:linePitch="360"/>
        </w:sectPr>
      </w:pPr>
    </w:p>
    <w:p>
      <w:pPr>
        <w:pStyle w:val="Heading1"/>
        <w:ind w:left="0"/>
        <w:rPr>
          <w:noProof/>
        </w:rPr>
      </w:pPr>
      <w:bookmarkStart w:id="97" w:name="_Toc443057945"/>
      <w:bookmarkStart w:id="98" w:name="_Toc475524741"/>
      <w:bookmarkStart w:id="99" w:name="_Toc475529508"/>
      <w:bookmarkStart w:id="100" w:name="_Toc475529547"/>
      <w:bookmarkStart w:id="101" w:name="_Toc475529875"/>
      <w:bookmarkStart w:id="102" w:name="_Toc475550840"/>
      <w:bookmarkStart w:id="103" w:name="_Toc475551380"/>
      <w:bookmarkStart w:id="104" w:name="_Toc484622469"/>
      <w:r>
        <w:rPr>
          <w:noProof/>
        </w:rPr>
        <w:t>Mobility and transport</w:t>
      </w:r>
      <w:bookmarkEnd w:id="97"/>
      <w:bookmarkEnd w:id="98"/>
      <w:bookmarkEnd w:id="99"/>
      <w:bookmarkEnd w:id="100"/>
      <w:bookmarkEnd w:id="101"/>
      <w:bookmarkEnd w:id="102"/>
      <w:bookmarkEnd w:id="103"/>
      <w:bookmarkEnd w:id="104"/>
    </w:p>
    <w:p>
      <w:pPr>
        <w:rPr>
          <w:i/>
          <w:noProof/>
        </w:rPr>
      </w:pPr>
      <w:r>
        <w:rPr>
          <w:i/>
          <w:noProof/>
        </w:rPr>
        <w:t>In 2016 the Commission received the highest number of new complaints in the area of mobility and transport since 2012. By contrast, new EU Pilot files fell further from their 2013 peak to the lowest level for 5 years. The number of infringement cases pending at the end of the year and of new late transposition cases both fell markedly.</w:t>
      </w:r>
    </w:p>
    <w:p>
      <w:pPr>
        <w:pStyle w:val="Title1"/>
        <w:numPr>
          <w:ilvl w:val="0"/>
          <w:numId w:val="44"/>
        </w:numPr>
        <w:rPr>
          <w:noProof/>
        </w:rPr>
      </w:pPr>
      <w:r>
        <w:rPr>
          <w:noProof/>
        </w:rPr>
        <w:t>COMPLAINTS</w:t>
      </w:r>
    </w:p>
    <w:p>
      <w:pPr>
        <w:numPr>
          <w:ilvl w:val="0"/>
          <w:numId w:val="97"/>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600575" cy="2324100"/>
            <wp:effectExtent l="0" t="0" r="9525" b="19050"/>
            <wp:docPr id="50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numPr>
          <w:ilvl w:val="0"/>
          <w:numId w:val="97"/>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460"/>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49</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193</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199</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43</w:t>
            </w:r>
          </w:p>
        </w:tc>
        <w:tc>
          <w:tcPr>
            <w:tcW w:w="460"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ind w:left="720"/>
        <w:rPr>
          <w:rFonts w:ascii="Verdana" w:hAnsi="Verdana"/>
          <w:noProof/>
          <w:sz w:val="20"/>
        </w:rPr>
      </w:pPr>
    </w:p>
    <w:p>
      <w:pPr>
        <w:numPr>
          <w:ilvl w:val="0"/>
          <w:numId w:val="97"/>
        </w:numPr>
        <w:spacing w:after="60"/>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385060"/>
            <wp:effectExtent l="0" t="0" r="22860" b="15240"/>
            <wp:docPr id="50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98"/>
        </w:numPr>
        <w:spacing w:after="60"/>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602480" cy="2209800"/>
            <wp:effectExtent l="0" t="0" r="26670" b="19050"/>
            <wp:docPr id="50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numPr>
          <w:ilvl w:val="0"/>
          <w:numId w:val="98"/>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92 EU Pilot files remained open.</w:t>
      </w:r>
    </w:p>
    <w:p>
      <w:pPr>
        <w:numPr>
          <w:ilvl w:val="0"/>
          <w:numId w:val="98"/>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331720"/>
            <wp:effectExtent l="0" t="0" r="26670" b="11430"/>
            <wp:docPr id="50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numPr>
          <w:ilvl w:val="0"/>
          <w:numId w:val="98"/>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sz w:val="20"/>
          <w:lang w:val="en-US"/>
        </w:rPr>
        <w:drawing>
          <wp:inline distT="0" distB="0" distL="0" distR="0">
            <wp:extent cx="4591050" cy="2314575"/>
            <wp:effectExtent l="0" t="0" r="19050" b="9525"/>
            <wp:docPr id="51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numPr>
          <w:ilvl w:val="0"/>
          <w:numId w:val="30"/>
        </w:numPr>
        <w:rPr>
          <w:caps/>
          <w:noProof/>
          <w:color w:val="4F81BD"/>
          <w:sz w:val="24"/>
          <w:szCs w:val="24"/>
        </w:rPr>
      </w:pPr>
      <w:r>
        <w:rPr>
          <w:caps/>
          <w:noProof/>
          <w:color w:val="4F81BD"/>
          <w:sz w:val="24"/>
          <w:szCs w:val="24"/>
        </w:rPr>
        <w:t>OWN-INITIATIVE CASES</w:t>
      </w:r>
    </w:p>
    <w:p>
      <w:pPr>
        <w:spacing w:after="120"/>
        <w:ind w:left="357"/>
        <w:jc w:val="left"/>
        <w:outlineLvl w:val="1"/>
        <w:rPr>
          <w:noProof/>
          <w:color w:val="002060"/>
          <w:szCs w:val="22"/>
        </w:rPr>
      </w:pPr>
      <w:r>
        <w:rPr>
          <w:noProof/>
          <w:color w:val="002060"/>
          <w:szCs w:val="22"/>
        </w:rPr>
        <w:t>New own-initiative infringement cases</w:t>
      </w:r>
    </w:p>
    <w:p>
      <w:pPr>
        <w:pStyle w:val="Basis"/>
        <w:spacing w:after="200"/>
        <w:rPr>
          <w:rFonts w:ascii="Arial" w:hAnsi="Arial" w:cs="Arial"/>
          <w:noProof/>
          <w:lang w:val="en-GB"/>
        </w:rPr>
      </w:pPr>
      <w:r>
        <w:rPr>
          <w:rFonts w:ascii="Arial" w:hAnsi="Arial" w:cs="Arial"/>
          <w:noProof/>
          <w:lang w:val="en-GB"/>
        </w:rPr>
        <w:t>In 2016, the Commission opened own-initiative infringement cases over:</w:t>
      </w:r>
    </w:p>
    <w:p>
      <w:pPr>
        <w:numPr>
          <w:ilvl w:val="0"/>
          <w:numId w:val="29"/>
        </w:numPr>
        <w:spacing w:after="0"/>
        <w:ind w:left="1276" w:hanging="357"/>
        <w:rPr>
          <w:rFonts w:cs="Arial"/>
          <w:noProof/>
          <w:sz w:val="20"/>
        </w:rPr>
      </w:pPr>
      <w:r>
        <w:rPr>
          <w:rFonts w:cs="Arial"/>
          <w:i/>
          <w:noProof/>
          <w:sz w:val="20"/>
        </w:rPr>
        <w:t>Railway sector</w:t>
      </w:r>
      <w:r>
        <w:rPr>
          <w:rFonts w:cs="Arial"/>
          <w:noProof/>
          <w:sz w:val="20"/>
        </w:rPr>
        <w:t>:</w:t>
      </w:r>
    </w:p>
    <w:p>
      <w:pPr>
        <w:numPr>
          <w:ilvl w:val="1"/>
          <w:numId w:val="137"/>
        </w:numPr>
        <w:spacing w:after="0"/>
        <w:rPr>
          <w:rFonts w:cs="Arial"/>
          <w:noProof/>
          <w:sz w:val="20"/>
        </w:rPr>
      </w:pPr>
      <w:r>
        <w:rPr>
          <w:rFonts w:cs="Arial"/>
          <w:noProof/>
          <w:sz w:val="20"/>
        </w:rPr>
        <w:t>railway safety and interoperability;</w:t>
      </w:r>
      <w:r>
        <w:rPr>
          <w:rStyle w:val="FootnoteReference"/>
          <w:rFonts w:cs="Arial"/>
          <w:noProof/>
          <w:sz w:val="20"/>
        </w:rPr>
        <w:footnoteReference w:id="344"/>
      </w:r>
    </w:p>
    <w:p>
      <w:pPr>
        <w:numPr>
          <w:ilvl w:val="1"/>
          <w:numId w:val="137"/>
        </w:numPr>
        <w:spacing w:after="0"/>
        <w:rPr>
          <w:rFonts w:cs="Arial"/>
          <w:noProof/>
          <w:sz w:val="20"/>
        </w:rPr>
      </w:pPr>
      <w:r>
        <w:rPr>
          <w:rFonts w:cs="Arial"/>
          <w:noProof/>
          <w:sz w:val="20"/>
        </w:rPr>
        <w:t>the single European railway area;</w:t>
      </w:r>
      <w:r>
        <w:rPr>
          <w:rStyle w:val="FootnoteReference"/>
          <w:rFonts w:cs="Arial"/>
          <w:noProof/>
          <w:sz w:val="20"/>
        </w:rPr>
        <w:footnoteReference w:id="345"/>
      </w:r>
    </w:p>
    <w:p>
      <w:pPr>
        <w:numPr>
          <w:ilvl w:val="0"/>
          <w:numId w:val="29"/>
        </w:numPr>
        <w:spacing w:after="0"/>
        <w:ind w:left="1276" w:hanging="357"/>
        <w:rPr>
          <w:rFonts w:cs="Arial"/>
          <w:noProof/>
          <w:sz w:val="20"/>
        </w:rPr>
      </w:pPr>
      <w:r>
        <w:rPr>
          <w:rFonts w:cs="Arial"/>
          <w:i/>
          <w:noProof/>
          <w:sz w:val="20"/>
        </w:rPr>
        <w:t>Road sector:</w:t>
      </w:r>
    </w:p>
    <w:p>
      <w:pPr>
        <w:numPr>
          <w:ilvl w:val="1"/>
          <w:numId w:val="137"/>
        </w:numPr>
        <w:spacing w:after="0"/>
        <w:rPr>
          <w:rFonts w:cs="Arial"/>
          <w:noProof/>
          <w:sz w:val="20"/>
        </w:rPr>
      </w:pPr>
      <w:r>
        <w:rPr>
          <w:rFonts w:cs="Arial"/>
          <w:noProof/>
          <w:sz w:val="20"/>
        </w:rPr>
        <w:t>breach of Treaty principles on non-discrimination, free movement of goods and persons, and provision of services;</w:t>
      </w:r>
    </w:p>
    <w:p>
      <w:pPr>
        <w:numPr>
          <w:ilvl w:val="1"/>
          <w:numId w:val="137"/>
        </w:numPr>
        <w:spacing w:after="0"/>
        <w:rPr>
          <w:rFonts w:cs="Arial"/>
          <w:noProof/>
          <w:sz w:val="20"/>
        </w:rPr>
      </w:pPr>
      <w:r>
        <w:rPr>
          <w:rFonts w:cs="Arial"/>
          <w:noProof/>
          <w:sz w:val="20"/>
        </w:rPr>
        <w:t>restrictions on the provision of transport services and free movement of goods;</w:t>
      </w:r>
    </w:p>
    <w:p>
      <w:pPr>
        <w:numPr>
          <w:ilvl w:val="1"/>
          <w:numId w:val="137"/>
        </w:numPr>
        <w:spacing w:after="0"/>
        <w:rPr>
          <w:rFonts w:cs="Arial"/>
          <w:noProof/>
          <w:sz w:val="20"/>
        </w:rPr>
      </w:pPr>
      <w:r>
        <w:rPr>
          <w:rFonts w:cs="Arial"/>
          <w:noProof/>
          <w:sz w:val="20"/>
        </w:rPr>
        <w:t>incorrect implementation of the Directive on the European electronic toll service;</w:t>
      </w:r>
      <w:r>
        <w:rPr>
          <w:rStyle w:val="FootnoteReference"/>
          <w:rFonts w:cs="Arial"/>
          <w:noProof/>
          <w:sz w:val="20"/>
        </w:rPr>
        <w:footnoteReference w:id="346"/>
      </w:r>
    </w:p>
    <w:p>
      <w:pPr>
        <w:numPr>
          <w:ilvl w:val="0"/>
          <w:numId w:val="29"/>
        </w:numPr>
        <w:spacing w:after="0"/>
        <w:ind w:left="1276" w:hanging="357"/>
        <w:rPr>
          <w:rFonts w:cs="Arial"/>
          <w:noProof/>
          <w:sz w:val="20"/>
        </w:rPr>
      </w:pPr>
      <w:r>
        <w:rPr>
          <w:rFonts w:cs="Arial"/>
          <w:i/>
          <w:noProof/>
          <w:sz w:val="20"/>
        </w:rPr>
        <w:t>Air sector</w:t>
      </w:r>
      <w:r>
        <w:rPr>
          <w:rFonts w:cs="Arial"/>
          <w:noProof/>
          <w:sz w:val="20"/>
        </w:rPr>
        <w:t>:</w:t>
      </w:r>
    </w:p>
    <w:p>
      <w:pPr>
        <w:numPr>
          <w:ilvl w:val="1"/>
          <w:numId w:val="137"/>
        </w:numPr>
        <w:spacing w:after="0"/>
        <w:rPr>
          <w:rFonts w:cs="Arial"/>
          <w:noProof/>
          <w:sz w:val="20"/>
        </w:rPr>
      </w:pPr>
      <w:r>
        <w:rPr>
          <w:rFonts w:cs="Arial"/>
          <w:noProof/>
          <w:sz w:val="20"/>
        </w:rPr>
        <w:t>non-conformity with the provisions on airport charges;</w:t>
      </w:r>
      <w:r>
        <w:rPr>
          <w:rStyle w:val="FootnoteReference"/>
          <w:rFonts w:cs="Arial"/>
          <w:noProof/>
          <w:sz w:val="20"/>
        </w:rPr>
        <w:footnoteReference w:id="347"/>
      </w:r>
    </w:p>
    <w:p>
      <w:pPr>
        <w:numPr>
          <w:ilvl w:val="0"/>
          <w:numId w:val="137"/>
        </w:numPr>
        <w:spacing w:after="0"/>
        <w:ind w:left="1276"/>
        <w:rPr>
          <w:rFonts w:cs="Arial"/>
          <w:i/>
          <w:noProof/>
          <w:sz w:val="20"/>
        </w:rPr>
      </w:pPr>
      <w:r>
        <w:rPr>
          <w:rFonts w:cs="Arial"/>
          <w:i/>
          <w:noProof/>
          <w:sz w:val="20"/>
        </w:rPr>
        <w:t>Maritime sector:</w:t>
      </w:r>
    </w:p>
    <w:p>
      <w:pPr>
        <w:numPr>
          <w:ilvl w:val="1"/>
          <w:numId w:val="137"/>
        </w:numPr>
        <w:spacing w:after="0"/>
        <w:rPr>
          <w:rFonts w:cs="Arial"/>
          <w:noProof/>
          <w:sz w:val="20"/>
        </w:rPr>
      </w:pPr>
      <w:r>
        <w:rPr>
          <w:rFonts w:cs="Arial"/>
          <w:noProof/>
          <w:sz w:val="20"/>
        </w:rPr>
        <w:t>port State control;</w:t>
      </w:r>
      <w:r>
        <w:rPr>
          <w:rStyle w:val="FootnoteReference"/>
          <w:rFonts w:cs="Arial"/>
          <w:noProof/>
          <w:sz w:val="20"/>
        </w:rPr>
        <w:footnoteReference w:id="348"/>
      </w:r>
    </w:p>
    <w:p>
      <w:pPr>
        <w:numPr>
          <w:ilvl w:val="1"/>
          <w:numId w:val="137"/>
        </w:numPr>
        <w:spacing w:after="0"/>
        <w:rPr>
          <w:rFonts w:cs="Arial"/>
          <w:noProof/>
          <w:sz w:val="20"/>
        </w:rPr>
      </w:pPr>
      <w:r>
        <w:rPr>
          <w:rFonts w:cs="Arial"/>
          <w:noProof/>
          <w:sz w:val="20"/>
        </w:rPr>
        <w:t>accident investigation;</w:t>
      </w:r>
      <w:r>
        <w:rPr>
          <w:rStyle w:val="FootnoteReference"/>
          <w:rFonts w:cs="Arial"/>
          <w:noProof/>
          <w:sz w:val="20"/>
        </w:rPr>
        <w:footnoteReference w:id="349"/>
      </w:r>
    </w:p>
    <w:p>
      <w:pPr>
        <w:numPr>
          <w:ilvl w:val="1"/>
          <w:numId w:val="137"/>
        </w:numPr>
        <w:spacing w:after="200"/>
        <w:ind w:left="2154" w:hanging="357"/>
        <w:rPr>
          <w:rFonts w:cs="Arial"/>
          <w:noProof/>
          <w:sz w:val="20"/>
        </w:rPr>
      </w:pPr>
      <w:r>
        <w:rPr>
          <w:rFonts w:cs="Arial"/>
          <w:noProof/>
          <w:sz w:val="20"/>
        </w:rPr>
        <w:t>flag state.</w:t>
      </w:r>
      <w:r>
        <w:rPr>
          <w:rStyle w:val="FootnoteReference"/>
          <w:rFonts w:cs="Arial"/>
          <w:noProof/>
          <w:sz w:val="20"/>
        </w:rPr>
        <w:footnoteReference w:id="350"/>
      </w:r>
    </w:p>
    <w:p>
      <w:pPr>
        <w:numPr>
          <w:ilvl w:val="0"/>
          <w:numId w:val="30"/>
        </w:numPr>
        <w:rPr>
          <w:caps/>
          <w:noProof/>
          <w:color w:val="4F81BD"/>
          <w:sz w:val="24"/>
          <w:szCs w:val="24"/>
        </w:rPr>
      </w:pPr>
      <w:r>
        <w:rPr>
          <w:caps/>
          <w:noProof/>
          <w:color w:val="4F81BD"/>
          <w:sz w:val="24"/>
          <w:szCs w:val="24"/>
        </w:rPr>
        <w:t>INFRINGEMENT CASES</w:t>
      </w:r>
    </w:p>
    <w:p>
      <w:pPr>
        <w:numPr>
          <w:ilvl w:val="0"/>
          <w:numId w:val="99"/>
        </w:numPr>
        <w:spacing w:after="60"/>
        <w:jc w:val="left"/>
        <w:outlineLvl w:val="1"/>
        <w:rPr>
          <w:noProof/>
          <w:color w:val="002060"/>
          <w:szCs w:val="22"/>
        </w:rPr>
      </w:pPr>
      <w:r>
        <w:rPr>
          <w:noProof/>
          <w:color w:val="002060"/>
          <w:szCs w:val="22"/>
        </w:rPr>
        <w:t>Infringement cases open on 31 December (2012-2016)</w:t>
      </w:r>
    </w:p>
    <w:p>
      <w:pPr>
        <w:ind w:left="720"/>
        <w:rPr>
          <w:rFonts w:cs="Arial"/>
          <w:noProof/>
          <w:sz w:val="20"/>
        </w:rPr>
      </w:pPr>
      <w:r>
        <w:rPr>
          <w:rFonts w:ascii="Verdana" w:hAnsi="Verdana"/>
          <w:noProof/>
          <w:sz w:val="20"/>
          <w:lang w:val="en-US"/>
        </w:rPr>
        <w:drawing>
          <wp:inline distT="0" distB="0" distL="0" distR="0">
            <wp:extent cx="4602480" cy="2286000"/>
            <wp:effectExtent l="0" t="0" r="26670" b="19050"/>
            <wp:docPr id="511"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numPr>
          <w:ilvl w:val="0"/>
          <w:numId w:val="99"/>
        </w:numPr>
        <w:spacing w:after="60"/>
        <w:jc w:val="left"/>
        <w:outlineLvl w:val="1"/>
        <w:rPr>
          <w:noProof/>
          <w:color w:val="002060"/>
          <w:szCs w:val="22"/>
        </w:rPr>
      </w:pPr>
      <w:r>
        <w:rPr>
          <w:noProof/>
          <w:color w:val="002060"/>
          <w:szCs w:val="22"/>
        </w:rPr>
        <w:br w:type="page"/>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25040"/>
            <wp:effectExtent l="0" t="0" r="22860" b="22860"/>
            <wp:docPr id="51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numPr>
          <w:ilvl w:val="0"/>
          <w:numId w:val="99"/>
        </w:numPr>
        <w:spacing w:after="60"/>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40280"/>
            <wp:effectExtent l="0" t="0" r="22860" b="26670"/>
            <wp:docPr id="51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numPr>
          <w:ilvl w:val="0"/>
          <w:numId w:val="99"/>
        </w:numPr>
        <w:spacing w:after="120"/>
        <w:ind w:left="714" w:hanging="357"/>
        <w:jc w:val="left"/>
        <w:outlineLvl w:val="1"/>
        <w:rPr>
          <w:noProof/>
          <w:color w:val="002060"/>
          <w:szCs w:val="22"/>
        </w:rPr>
      </w:pPr>
      <w:r>
        <w:rPr>
          <w:noProof/>
          <w:color w:val="002060"/>
          <w:szCs w:val="22"/>
        </w:rPr>
        <w:t>Key infringement cases and referrals to the Court</w:t>
      </w:r>
    </w:p>
    <w:p>
      <w:pPr>
        <w:pStyle w:val="Lijstje"/>
        <w:numPr>
          <w:ilvl w:val="0"/>
          <w:numId w:val="119"/>
        </w:numPr>
        <w:spacing w:after="120"/>
        <w:ind w:hanging="426"/>
        <w:rPr>
          <w:rFonts w:ascii="Arial" w:hAnsi="Arial" w:cs="Arial"/>
          <w:noProof/>
          <w:lang w:val="en-GB"/>
        </w:rPr>
      </w:pPr>
      <w:r>
        <w:rPr>
          <w:rFonts w:ascii="Arial" w:hAnsi="Arial" w:cs="Arial"/>
          <w:noProof/>
          <w:lang w:val="en-GB"/>
        </w:rPr>
        <w:t>The Commission opened 72 new infringement cases in 2016. These, and other major ongoing infringement cases, include the following:</w:t>
      </w:r>
    </w:p>
    <w:p>
      <w:pPr>
        <w:pStyle w:val="Lijstje2"/>
        <w:ind w:left="2127"/>
        <w:rPr>
          <w:rFonts w:ascii="Arial" w:hAnsi="Arial" w:cs="Arial"/>
          <w:i/>
          <w:noProof/>
          <w:lang w:val="en-GB"/>
        </w:rPr>
      </w:pPr>
      <w:r>
        <w:rPr>
          <w:rFonts w:ascii="Arial" w:hAnsi="Arial" w:cs="Arial"/>
          <w:i/>
          <w:noProof/>
          <w:lang w:val="en-GB"/>
        </w:rPr>
        <w:t xml:space="preserve">Belgium, Bulgaria, Italy, Poland, Finland, Sweden: </w:t>
      </w:r>
      <w:r>
        <w:rPr>
          <w:rFonts w:ascii="Arial" w:hAnsi="Arial" w:cs="Arial"/>
          <w:noProof/>
          <w:lang w:val="en-GB"/>
        </w:rPr>
        <w:t>failure to correctly implement the Airport Charges Directive;</w:t>
      </w:r>
      <w:r>
        <w:rPr>
          <w:rStyle w:val="FootnoteReference"/>
          <w:rFonts w:ascii="Arial" w:hAnsi="Arial" w:cs="Arial"/>
          <w:noProof/>
          <w:lang w:val="en-GB"/>
        </w:rPr>
        <w:footnoteReference w:id="351"/>
      </w:r>
    </w:p>
    <w:p>
      <w:pPr>
        <w:pStyle w:val="Lijstje2"/>
        <w:ind w:left="2127"/>
        <w:rPr>
          <w:rFonts w:ascii="Arial" w:hAnsi="Arial" w:cs="Arial"/>
          <w:i/>
          <w:noProof/>
          <w:lang w:val="en-GB"/>
        </w:rPr>
      </w:pPr>
      <w:r>
        <w:rPr>
          <w:rFonts w:ascii="Arial" w:hAnsi="Arial" w:cs="Arial"/>
          <w:i/>
          <w:noProof/>
          <w:lang w:val="en-GB"/>
        </w:rPr>
        <w:t>Belgium, Lithuania:</w:t>
      </w:r>
      <w:r>
        <w:rPr>
          <w:rFonts w:ascii="Arial" w:hAnsi="Arial" w:cs="Arial"/>
          <w:noProof/>
          <w:lang w:val="en-GB"/>
        </w:rPr>
        <w:t xml:space="preserve"> restrictions on the freedom to provide port services and the freedom of establishment;</w:t>
      </w:r>
    </w:p>
    <w:p>
      <w:pPr>
        <w:pStyle w:val="Lijstje2"/>
        <w:ind w:left="2127"/>
        <w:rPr>
          <w:rFonts w:ascii="Arial" w:hAnsi="Arial" w:cs="Arial"/>
          <w:i/>
          <w:noProof/>
          <w:lang w:val="en-GB"/>
        </w:rPr>
      </w:pPr>
      <w:r>
        <w:rPr>
          <w:rFonts w:ascii="Arial" w:hAnsi="Arial" w:cs="Arial"/>
          <w:i/>
          <w:noProof/>
          <w:lang w:val="en-GB"/>
        </w:rPr>
        <w:t xml:space="preserve">Belgium, Ireland, Cyprus, Portugal: </w:t>
      </w:r>
      <w:r>
        <w:rPr>
          <w:rFonts w:ascii="Arial" w:hAnsi="Arial" w:cs="Arial"/>
          <w:noProof/>
          <w:lang w:val="en-GB"/>
        </w:rPr>
        <w:t>incorrect implementation of the Directive on accident investigations</w:t>
      </w:r>
      <w:r>
        <w:rPr>
          <w:rFonts w:ascii="Arial" w:hAnsi="Arial" w:cs="Arial"/>
          <w:i/>
          <w:noProof/>
          <w:lang w:val="en-GB"/>
        </w:rPr>
        <w:t>;</w:t>
      </w:r>
      <w:r>
        <w:rPr>
          <w:rStyle w:val="FootnoteReference"/>
          <w:rFonts w:ascii="Arial" w:hAnsi="Arial" w:cs="Arial"/>
          <w:i/>
          <w:noProof/>
          <w:lang w:val="en-GB"/>
        </w:rPr>
        <w:footnoteReference w:id="352"/>
      </w:r>
    </w:p>
    <w:p>
      <w:pPr>
        <w:pStyle w:val="Lijstje2"/>
        <w:ind w:left="2127"/>
        <w:rPr>
          <w:rFonts w:ascii="Arial" w:hAnsi="Arial" w:cs="Arial"/>
          <w:i/>
          <w:noProof/>
          <w:lang w:val="en-GB"/>
        </w:rPr>
      </w:pPr>
      <w:r>
        <w:rPr>
          <w:rFonts w:ascii="Arial" w:hAnsi="Arial" w:cs="Arial"/>
          <w:i/>
          <w:noProof/>
          <w:lang w:val="en-GB"/>
        </w:rPr>
        <w:t xml:space="preserve">Germany, France, United Kingdom: </w:t>
      </w:r>
      <w:r>
        <w:rPr>
          <w:rFonts w:ascii="Arial" w:hAnsi="Arial" w:cs="Arial"/>
          <w:noProof/>
          <w:lang w:val="en-GB"/>
        </w:rPr>
        <w:t>restrictions on the provision of transport services and free movement of goods;</w:t>
      </w:r>
      <w:r>
        <w:rPr>
          <w:rStyle w:val="FootnoteReference"/>
          <w:rFonts w:ascii="Arial" w:hAnsi="Arial" w:cs="Arial"/>
          <w:noProof/>
          <w:lang w:val="en-GB"/>
        </w:rPr>
        <w:footnoteReference w:id="353"/>
      </w:r>
    </w:p>
    <w:p>
      <w:pPr>
        <w:pStyle w:val="Lijstje2"/>
        <w:ind w:left="2127"/>
        <w:rPr>
          <w:rFonts w:ascii="Arial" w:hAnsi="Arial" w:cs="Arial"/>
          <w:i/>
          <w:noProof/>
          <w:lang w:val="en-GB"/>
        </w:rPr>
      </w:pPr>
      <w:r>
        <w:rPr>
          <w:rFonts w:ascii="Arial" w:hAnsi="Arial" w:cs="Arial"/>
          <w:i/>
          <w:noProof/>
          <w:lang w:val="en-GB"/>
        </w:rPr>
        <w:t xml:space="preserve">Germany, Slovenia, Slovakia: </w:t>
      </w:r>
      <w:r>
        <w:rPr>
          <w:rFonts w:ascii="Arial" w:hAnsi="Arial" w:cs="Arial"/>
          <w:noProof/>
          <w:lang w:val="en-GB"/>
        </w:rPr>
        <w:t>failure to fulfil air safety oversight obligations regarding initial and continuous airworthiness;</w:t>
      </w:r>
      <w:r>
        <w:rPr>
          <w:rStyle w:val="FootnoteReference"/>
          <w:rFonts w:ascii="Arial" w:hAnsi="Arial" w:cs="Arial"/>
          <w:noProof/>
          <w:lang w:val="en-GB"/>
        </w:rPr>
        <w:footnoteReference w:id="354"/>
      </w:r>
    </w:p>
    <w:p>
      <w:pPr>
        <w:pStyle w:val="Lijstje2"/>
        <w:ind w:left="2127"/>
        <w:rPr>
          <w:rFonts w:ascii="Arial" w:hAnsi="Arial" w:cs="Arial"/>
          <w:i/>
          <w:noProof/>
          <w:lang w:val="en-GB"/>
        </w:rPr>
      </w:pPr>
      <w:r>
        <w:rPr>
          <w:rFonts w:ascii="Arial" w:hAnsi="Arial" w:cs="Arial"/>
          <w:i/>
          <w:noProof/>
          <w:lang w:val="en-GB"/>
        </w:rPr>
        <w:t xml:space="preserve">Greece, Spain, Luxembourg: </w:t>
      </w:r>
      <w:r>
        <w:rPr>
          <w:rFonts w:ascii="Arial" w:hAnsi="Arial" w:cs="Arial"/>
          <w:noProof/>
          <w:lang w:val="en-GB"/>
        </w:rPr>
        <w:t>incorrect application of the Regulation on passenger rights;</w:t>
      </w:r>
      <w:r>
        <w:rPr>
          <w:rStyle w:val="FootnoteReference"/>
          <w:rFonts w:ascii="Arial" w:hAnsi="Arial" w:cs="Arial"/>
          <w:noProof/>
          <w:lang w:val="en-GB"/>
        </w:rPr>
        <w:footnoteReference w:id="355"/>
      </w:r>
    </w:p>
    <w:p>
      <w:pPr>
        <w:pStyle w:val="Lijstje2"/>
        <w:ind w:left="2127"/>
        <w:rPr>
          <w:rFonts w:ascii="Arial" w:hAnsi="Arial" w:cs="Arial"/>
          <w:i/>
          <w:noProof/>
          <w:lang w:val="en-GB"/>
        </w:rPr>
      </w:pPr>
      <w:r>
        <w:rPr>
          <w:rFonts w:ascii="Arial" w:hAnsi="Arial" w:cs="Arial"/>
          <w:i/>
          <w:noProof/>
          <w:lang w:val="en-GB"/>
        </w:rPr>
        <w:t xml:space="preserve">France, Italy: </w:t>
      </w:r>
      <w:r>
        <w:rPr>
          <w:rFonts w:ascii="Arial" w:hAnsi="Arial" w:cs="Arial"/>
          <w:noProof/>
          <w:lang w:val="en-GB"/>
        </w:rPr>
        <w:t>breach of the rules</w:t>
      </w:r>
      <w:r>
        <w:rPr>
          <w:rFonts w:ascii="Arial" w:hAnsi="Arial" w:cs="Arial"/>
          <w:i/>
          <w:noProof/>
          <w:lang w:val="en-GB"/>
        </w:rPr>
        <w:t xml:space="preserve"> </w:t>
      </w:r>
      <w:r>
        <w:rPr>
          <w:rFonts w:ascii="Arial" w:hAnsi="Arial" w:cs="Arial"/>
          <w:noProof/>
          <w:lang w:val="en-GB"/>
        </w:rPr>
        <w:t>on the separation of accounts under the First Railway Package;</w:t>
      </w:r>
      <w:r>
        <w:rPr>
          <w:rStyle w:val="FootnoteReference"/>
          <w:rFonts w:ascii="Arial" w:hAnsi="Arial" w:cs="Arial"/>
          <w:noProof/>
          <w:lang w:val="en-GB"/>
        </w:rPr>
        <w:footnoteReference w:id="356"/>
      </w:r>
    </w:p>
    <w:p>
      <w:pPr>
        <w:pStyle w:val="Lijstje2"/>
        <w:ind w:left="2127"/>
        <w:rPr>
          <w:rFonts w:ascii="Arial" w:hAnsi="Arial" w:cs="Arial"/>
          <w:i/>
          <w:noProof/>
          <w:lang w:val="en-GB"/>
        </w:rPr>
      </w:pPr>
      <w:r>
        <w:rPr>
          <w:rFonts w:ascii="Arial" w:hAnsi="Arial" w:cs="Arial"/>
          <w:i/>
          <w:noProof/>
          <w:lang w:val="en-GB"/>
        </w:rPr>
        <w:t xml:space="preserve">Cyprus, Portugal: </w:t>
      </w:r>
      <w:r>
        <w:rPr>
          <w:rFonts w:ascii="Arial" w:hAnsi="Arial" w:cs="Arial"/>
          <w:noProof/>
          <w:lang w:val="en-GB"/>
        </w:rPr>
        <w:t>incorrect implementation of the Directive on port State control</w:t>
      </w:r>
      <w:r>
        <w:rPr>
          <w:rFonts w:ascii="Arial" w:hAnsi="Arial" w:cs="Arial"/>
          <w:i/>
          <w:noProof/>
          <w:lang w:val="en-GB"/>
        </w:rPr>
        <w:t>;</w:t>
      </w:r>
      <w:r>
        <w:rPr>
          <w:rStyle w:val="FootnoteReference"/>
          <w:rFonts w:ascii="Arial" w:hAnsi="Arial" w:cs="Arial"/>
          <w:i/>
          <w:noProof/>
          <w:lang w:val="en-GB"/>
        </w:rPr>
        <w:footnoteReference w:id="357"/>
      </w:r>
    </w:p>
    <w:p>
      <w:pPr>
        <w:pStyle w:val="Lijstje2"/>
        <w:ind w:left="2127"/>
        <w:rPr>
          <w:rFonts w:ascii="Arial" w:hAnsi="Arial" w:cs="Arial"/>
          <w:i/>
          <w:noProof/>
          <w:lang w:val="en-GB"/>
        </w:rPr>
      </w:pPr>
      <w:r>
        <w:rPr>
          <w:rFonts w:ascii="Arial" w:hAnsi="Arial" w:cs="Arial"/>
          <w:i/>
          <w:noProof/>
          <w:lang w:val="en-GB"/>
        </w:rPr>
        <w:t xml:space="preserve">Netherlands: </w:t>
      </w:r>
      <w:r>
        <w:rPr>
          <w:rFonts w:ascii="Arial" w:hAnsi="Arial" w:cs="Arial"/>
          <w:noProof/>
          <w:lang w:val="en-GB"/>
        </w:rPr>
        <w:t>failure to correctly implement the Directive on the qualification and training of road drivers;</w:t>
      </w:r>
      <w:r>
        <w:rPr>
          <w:rStyle w:val="FootnoteReference"/>
          <w:rFonts w:ascii="Arial" w:hAnsi="Arial" w:cs="Arial"/>
          <w:noProof/>
          <w:lang w:val="en-GB"/>
        </w:rPr>
        <w:footnoteReference w:id="358"/>
      </w:r>
    </w:p>
    <w:p>
      <w:pPr>
        <w:pStyle w:val="Lijstje2"/>
        <w:ind w:left="2127"/>
        <w:rPr>
          <w:rFonts w:ascii="Arial" w:hAnsi="Arial" w:cs="Arial"/>
          <w:noProof/>
          <w:lang w:val="en-GB"/>
        </w:rPr>
      </w:pPr>
      <w:r>
        <w:rPr>
          <w:rFonts w:ascii="Arial" w:hAnsi="Arial"/>
          <w:i/>
          <w:noProof/>
          <w:lang w:val="en-GB"/>
        </w:rPr>
        <w:t>Portugal</w:t>
      </w:r>
      <w:r>
        <w:rPr>
          <w:rFonts w:ascii="Arial" w:hAnsi="Arial" w:cs="Arial"/>
          <w:noProof/>
          <w:lang w:val="en-GB"/>
        </w:rPr>
        <w:t>:</w:t>
      </w:r>
      <w:r>
        <w:rPr>
          <w:rFonts w:ascii="Arial" w:hAnsi="Arial" w:cs="Arial"/>
          <w:i/>
          <w:noProof/>
          <w:lang w:val="en-GB"/>
        </w:rPr>
        <w:t xml:space="preserve"> </w:t>
      </w:r>
      <w:r>
        <w:rPr>
          <w:rFonts w:ascii="Arial" w:hAnsi="Arial" w:cs="Arial"/>
          <w:noProof/>
          <w:lang w:val="en-GB"/>
        </w:rPr>
        <w:t>incorrect implementation of the Flag State Directive.</w:t>
      </w:r>
      <w:r>
        <w:rPr>
          <w:rStyle w:val="FootnoteReference"/>
          <w:rFonts w:ascii="Arial" w:hAnsi="Arial" w:cs="Arial"/>
          <w:noProof/>
          <w:lang w:val="en-GB"/>
        </w:rPr>
        <w:footnoteReference w:id="359"/>
      </w:r>
    </w:p>
    <w:p>
      <w:pPr>
        <w:pStyle w:val="Lijstje"/>
        <w:numPr>
          <w:ilvl w:val="0"/>
          <w:numId w:val="119"/>
        </w:numPr>
        <w:spacing w:after="120"/>
        <w:ind w:left="1412" w:hanging="426"/>
        <w:rPr>
          <w:rFonts w:cs="Arial"/>
          <w:noProof/>
          <w:lang w:val="en-GB"/>
        </w:rPr>
      </w:pPr>
      <w:r>
        <w:rPr>
          <w:rFonts w:ascii="Arial" w:hAnsi="Arial"/>
          <w:noProof/>
          <w:lang w:val="en-GB"/>
        </w:rPr>
        <w:t>The Commission referred nine cases to the Court under Article 258 TFEU. They concern:</w:t>
      </w:r>
    </w:p>
    <w:p>
      <w:pPr>
        <w:numPr>
          <w:ilvl w:val="0"/>
          <w:numId w:val="25"/>
        </w:numPr>
        <w:spacing w:after="200"/>
        <w:ind w:left="2132" w:hanging="426"/>
        <w:contextualSpacing/>
        <w:rPr>
          <w:rFonts w:eastAsia="Calibri" w:cs="Arial"/>
          <w:noProof/>
          <w:sz w:val="20"/>
        </w:rPr>
      </w:pPr>
      <w:r>
        <w:rPr>
          <w:rFonts w:eastAsia="Calibri" w:cs="Arial"/>
          <w:i/>
          <w:noProof/>
          <w:kern w:val="20"/>
          <w:sz w:val="20"/>
        </w:rPr>
        <w:t>Czech</w:t>
      </w:r>
      <w:r>
        <w:rPr>
          <w:rFonts w:eastAsia="Calibri" w:cs="Arial"/>
          <w:i/>
          <w:noProof/>
          <w:sz w:val="20"/>
        </w:rPr>
        <w:t xml:space="preserve"> Republic</w:t>
      </w:r>
      <w:r>
        <w:rPr>
          <w:rFonts w:cs="Arial"/>
          <w:noProof/>
          <w:sz w:val="20"/>
        </w:rPr>
        <w:t>:</w:t>
      </w:r>
      <w:r>
        <w:rPr>
          <w:rFonts w:eastAsia="Calibri" w:cs="Arial"/>
          <w:noProof/>
          <w:sz w:val="20"/>
        </w:rPr>
        <w:t xml:space="preserve"> </w:t>
      </w:r>
      <w:r>
        <w:rPr>
          <w:rFonts w:cs="Arial"/>
          <w:noProof/>
          <w:sz w:val="20"/>
        </w:rPr>
        <w:t>failure to fulfil obligations under the Directive on driving licences;</w:t>
      </w:r>
      <w:r>
        <w:rPr>
          <w:rStyle w:val="FootnoteReference"/>
          <w:rFonts w:eastAsia="Calibri" w:cs="Arial"/>
          <w:noProof/>
          <w:kern w:val="20"/>
          <w:sz w:val="20"/>
        </w:rPr>
        <w:footnoteReference w:id="360"/>
      </w:r>
    </w:p>
    <w:p>
      <w:pPr>
        <w:numPr>
          <w:ilvl w:val="0"/>
          <w:numId w:val="25"/>
        </w:numPr>
        <w:spacing w:after="200"/>
        <w:ind w:left="2132" w:hanging="426"/>
        <w:contextualSpacing/>
        <w:rPr>
          <w:rFonts w:eastAsia="Calibri" w:cs="Arial"/>
          <w:noProof/>
          <w:sz w:val="20"/>
        </w:rPr>
      </w:pPr>
      <w:r>
        <w:rPr>
          <w:rFonts w:eastAsia="Calibri" w:cs="Arial"/>
          <w:i/>
          <w:noProof/>
          <w:kern w:val="20"/>
          <w:sz w:val="20"/>
        </w:rPr>
        <w:t>Denmark,:</w:t>
      </w:r>
      <w:r>
        <w:rPr>
          <w:rFonts w:eastAsia="Calibri" w:cs="Arial"/>
          <w:noProof/>
          <w:sz w:val="20"/>
        </w:rPr>
        <w:t xml:space="preserve"> f</w:t>
      </w:r>
      <w:r>
        <w:rPr>
          <w:rFonts w:cs="Arial"/>
          <w:noProof/>
          <w:sz w:val="20"/>
        </w:rPr>
        <w:t>ailure to comply with cabotage rules, as laid down in the Regulation on access to the international road haulage market;</w:t>
      </w:r>
      <w:r>
        <w:rPr>
          <w:rStyle w:val="FootnoteReference"/>
          <w:rFonts w:eastAsia="Calibri" w:cs="Arial"/>
          <w:noProof/>
          <w:kern w:val="20"/>
          <w:sz w:val="20"/>
        </w:rPr>
        <w:footnoteReference w:id="361"/>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Germany,</w:t>
      </w:r>
      <w:r>
        <w:rPr>
          <w:rStyle w:val="FootnoteReference"/>
          <w:rFonts w:eastAsia="Calibri" w:cs="Arial"/>
          <w:noProof/>
          <w:kern w:val="20"/>
          <w:sz w:val="20"/>
        </w:rPr>
        <w:footnoteReference w:id="362"/>
      </w:r>
      <w:r>
        <w:rPr>
          <w:rFonts w:eastAsia="Calibri" w:cs="Arial"/>
          <w:i/>
          <w:noProof/>
          <w:kern w:val="20"/>
          <w:sz w:val="20"/>
        </w:rPr>
        <w:t xml:space="preserve"> Finland</w:t>
      </w:r>
      <w:r>
        <w:rPr>
          <w:rFonts w:eastAsia="Calibri" w:cs="Arial"/>
          <w:noProof/>
          <w:kern w:val="20"/>
          <w:sz w:val="20"/>
        </w:rPr>
        <w:t>:</w:t>
      </w:r>
      <w:r>
        <w:rPr>
          <w:rStyle w:val="FootnoteReference"/>
          <w:rFonts w:eastAsia="Calibri" w:cs="Arial"/>
          <w:noProof/>
          <w:kern w:val="20"/>
          <w:sz w:val="20"/>
        </w:rPr>
        <w:footnoteReference w:id="363"/>
      </w:r>
      <w:r>
        <w:rPr>
          <w:rFonts w:eastAsia="Calibri" w:cs="Arial"/>
          <w:noProof/>
          <w:kern w:val="20"/>
          <w:sz w:val="20"/>
        </w:rPr>
        <w:t xml:space="preserve"> failure to correctly transpose EU rules on driving licences;</w:t>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w:t>
      </w:r>
      <w:r>
        <w:rPr>
          <w:noProof/>
          <w:sz w:val="20"/>
        </w:rPr>
        <w:t xml:space="preserve"> failure to fulfil the duty of sincere cooperation at the 25th session of the Revision Committee of the Intergovernmental Organisation for International Carriage by Rail;</w:t>
      </w:r>
      <w:r>
        <w:rPr>
          <w:rStyle w:val="FootnoteReference"/>
          <w:rFonts w:eastAsia="Calibri" w:cs="Arial"/>
          <w:noProof/>
          <w:kern w:val="20"/>
          <w:sz w:val="20"/>
        </w:rPr>
        <w:footnoteReference w:id="364"/>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w:t>
      </w:r>
      <w:r>
        <w:rPr>
          <w:noProof/>
          <w:sz w:val="20"/>
        </w:rPr>
        <w:t xml:space="preserve"> failure to fully implement, in North Rhine-Westphalia, the Directive on enhancing port security;</w:t>
      </w:r>
      <w:r>
        <w:rPr>
          <w:rStyle w:val="FootnoteReference"/>
          <w:rFonts w:eastAsia="Calibri" w:cs="Arial"/>
          <w:noProof/>
          <w:kern w:val="20"/>
          <w:sz w:val="20"/>
        </w:rPr>
        <w:footnoteReference w:id="365"/>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Luxembourg</w:t>
      </w:r>
      <w:r>
        <w:rPr>
          <w:rFonts w:eastAsia="Calibri" w:cs="Arial"/>
          <w:noProof/>
          <w:kern w:val="20"/>
          <w:sz w:val="20"/>
        </w:rPr>
        <w:t xml:space="preserve">: </w:t>
      </w:r>
      <w:r>
        <w:rPr>
          <w:noProof/>
          <w:sz w:val="20"/>
        </w:rPr>
        <w:t>failure to meet the obligation of interconnecting a national electronic register of road transport undertakings;</w:t>
      </w:r>
      <w:r>
        <w:rPr>
          <w:rStyle w:val="FootnoteReference"/>
          <w:rFonts w:eastAsia="Calibri" w:cs="Arial"/>
          <w:noProof/>
          <w:kern w:val="20"/>
          <w:sz w:val="20"/>
        </w:rPr>
        <w:footnoteReference w:id="366"/>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Poland:</w:t>
      </w:r>
      <w:r>
        <w:rPr>
          <w:rFonts w:eastAsia="Calibri" w:cs="Arial"/>
          <w:noProof/>
          <w:kern w:val="20"/>
          <w:sz w:val="20"/>
        </w:rPr>
        <w:t xml:space="preserve"> f</w:t>
      </w:r>
      <w:r>
        <w:rPr>
          <w:noProof/>
          <w:sz w:val="20"/>
        </w:rPr>
        <w:t>ailure to meet the obligation of establishing a national electronic register of road transport undertakings</w:t>
      </w:r>
      <w:r>
        <w:rPr>
          <w:rFonts w:eastAsia="Calibri" w:cs="Arial"/>
          <w:noProof/>
          <w:kern w:val="20"/>
          <w:sz w:val="20"/>
        </w:rPr>
        <w:t>;</w:t>
      </w:r>
      <w:r>
        <w:rPr>
          <w:rStyle w:val="FootnoteReference"/>
          <w:rFonts w:eastAsia="Calibri" w:cs="Arial"/>
          <w:noProof/>
          <w:kern w:val="20"/>
          <w:sz w:val="20"/>
        </w:rPr>
        <w:footnoteReference w:id="367"/>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 xml:space="preserve">Poland: </w:t>
      </w:r>
      <w:r>
        <w:rPr>
          <w:noProof/>
          <w:sz w:val="20"/>
        </w:rPr>
        <w:t>failure to correctly transpose and implement European rules on rail safety.</w:t>
      </w:r>
      <w:r>
        <w:rPr>
          <w:rStyle w:val="FootnoteReference"/>
          <w:rFonts w:eastAsia="Calibri" w:cs="Arial"/>
          <w:noProof/>
          <w:kern w:val="20"/>
          <w:sz w:val="20"/>
        </w:rPr>
        <w:footnoteReference w:id="368"/>
      </w:r>
    </w:p>
    <w:p>
      <w:pPr>
        <w:spacing w:after="200"/>
        <w:ind w:left="2132"/>
        <w:contextualSpacing/>
        <w:rPr>
          <w:rFonts w:eastAsia="Calibri" w:cs="Arial"/>
          <w:noProof/>
          <w:kern w:val="20"/>
          <w:sz w:val="20"/>
        </w:rPr>
      </w:pPr>
    </w:p>
    <w:p>
      <w:pPr>
        <w:numPr>
          <w:ilvl w:val="0"/>
          <w:numId w:val="119"/>
        </w:numPr>
        <w:spacing w:after="120"/>
        <w:ind w:left="1412" w:hanging="426"/>
        <w:rPr>
          <w:rFonts w:eastAsia="Calibri" w:cs="Arial"/>
          <w:noProof/>
          <w:kern w:val="20"/>
          <w:sz w:val="20"/>
        </w:rPr>
      </w:pPr>
      <w:r>
        <w:rPr>
          <w:rFonts w:eastAsia="Calibri" w:cs="Arial"/>
          <w:noProof/>
          <w:kern w:val="20"/>
          <w:sz w:val="20"/>
        </w:rPr>
        <w:t>The Commission referred one case to the Court under Article 260(2) TFEU. It concerned:</w:t>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Spain</w:t>
      </w:r>
      <w:r>
        <w:rPr>
          <w:rFonts w:eastAsia="Calibri" w:cs="Arial"/>
          <w:noProof/>
          <w:kern w:val="20"/>
          <w:sz w:val="20"/>
        </w:rPr>
        <w:t xml:space="preserve">: </w:t>
      </w:r>
      <w:r>
        <w:rPr>
          <w:noProof/>
          <w:sz w:val="20"/>
        </w:rPr>
        <w:t>failure to comply with a previous Court judgment concerning freedom of establishment at Spanish ports.</w:t>
      </w:r>
      <w:r>
        <w:rPr>
          <w:rStyle w:val="FootnoteReference"/>
          <w:rFonts w:eastAsia="Calibri" w:cs="Arial"/>
          <w:noProof/>
          <w:kern w:val="20"/>
          <w:sz w:val="20"/>
        </w:rPr>
        <w:footnoteReference w:id="369"/>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TRANSPOSITION OF DIRECTIVES</w:t>
      </w:r>
    </w:p>
    <w:p>
      <w:pPr>
        <w:numPr>
          <w:ilvl w:val="0"/>
          <w:numId w:val="100"/>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572000" cy="2087880"/>
            <wp:effectExtent l="0" t="0" r="19050" b="26670"/>
            <wp:docPr id="514"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numPr>
          <w:ilvl w:val="0"/>
          <w:numId w:val="100"/>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86000"/>
            <wp:effectExtent l="0" t="0" r="22860" b="19050"/>
            <wp:docPr id="515"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numPr>
          <w:ilvl w:val="0"/>
          <w:numId w:val="100"/>
        </w:numPr>
        <w:spacing w:after="60"/>
        <w:jc w:val="left"/>
        <w:outlineLvl w:val="1"/>
        <w:rPr>
          <w:noProof/>
          <w:color w:val="002060"/>
          <w:szCs w:val="22"/>
        </w:rPr>
      </w:pPr>
      <w:r>
        <w:rPr>
          <w:noProof/>
          <w:color w:val="002060"/>
          <w:szCs w:val="22"/>
        </w:rPr>
        <w:t>Key infringement cases and referrals to the Court</w:t>
      </w:r>
    </w:p>
    <w:p>
      <w:pPr>
        <w:numPr>
          <w:ilvl w:val="0"/>
          <w:numId w:val="130"/>
        </w:numPr>
        <w:spacing w:after="120"/>
        <w:ind w:hanging="426"/>
        <w:rPr>
          <w:rFonts w:eastAsia="Calibri" w:cs="Arial"/>
          <w:noProof/>
          <w:kern w:val="20"/>
          <w:sz w:val="20"/>
        </w:rPr>
      </w:pPr>
      <w:r>
        <w:rPr>
          <w:rFonts w:eastAsia="Calibri" w:cs="Arial"/>
          <w:noProof/>
          <w:kern w:val="20"/>
          <w:sz w:val="20"/>
        </w:rPr>
        <w:t>The Commission opened 54 cases for late transposition in 2016. Most concern the Directives on:</w:t>
      </w:r>
    </w:p>
    <w:p>
      <w:pPr>
        <w:pStyle w:val="ListParagraph"/>
        <w:numPr>
          <w:ilvl w:val="0"/>
          <w:numId w:val="138"/>
        </w:numPr>
        <w:spacing w:after="120"/>
        <w:rPr>
          <w:rFonts w:eastAsia="Calibri" w:cs="Arial"/>
          <w:noProof/>
          <w:kern w:val="20"/>
          <w:sz w:val="20"/>
        </w:rPr>
      </w:pPr>
      <w:r>
        <w:rPr>
          <w:rFonts w:eastAsia="Calibri" w:cs="Arial"/>
          <w:noProof/>
          <w:kern w:val="20"/>
          <w:sz w:val="20"/>
        </w:rPr>
        <w:t>driving licences (11 cases);</w:t>
      </w:r>
      <w:r>
        <w:rPr>
          <w:rStyle w:val="FootnoteReference"/>
          <w:rFonts w:eastAsia="Calibri" w:cs="Arial"/>
          <w:noProof/>
          <w:kern w:val="20"/>
          <w:sz w:val="20"/>
        </w:rPr>
        <w:footnoteReference w:id="370"/>
      </w:r>
    </w:p>
    <w:p>
      <w:pPr>
        <w:pStyle w:val="ListParagraph"/>
        <w:numPr>
          <w:ilvl w:val="0"/>
          <w:numId w:val="138"/>
        </w:numPr>
        <w:spacing w:after="120"/>
        <w:rPr>
          <w:rFonts w:eastAsia="Calibri" w:cs="Arial"/>
          <w:noProof/>
          <w:kern w:val="20"/>
          <w:sz w:val="20"/>
        </w:rPr>
      </w:pPr>
      <w:r>
        <w:rPr>
          <w:rFonts w:eastAsia="Calibri" w:cs="Arial"/>
          <w:noProof/>
          <w:kern w:val="20"/>
          <w:sz w:val="20"/>
        </w:rPr>
        <w:t>marine equipment (15 cases);</w:t>
      </w:r>
      <w:r>
        <w:rPr>
          <w:rStyle w:val="FootnoteReference"/>
          <w:rFonts w:eastAsia="Calibri" w:cs="Arial"/>
          <w:noProof/>
          <w:kern w:val="20"/>
          <w:sz w:val="20"/>
        </w:rPr>
        <w:footnoteReference w:id="371"/>
      </w:r>
    </w:p>
    <w:p>
      <w:pPr>
        <w:pStyle w:val="ListParagraph"/>
        <w:numPr>
          <w:ilvl w:val="0"/>
          <w:numId w:val="138"/>
        </w:numPr>
        <w:spacing w:after="120"/>
        <w:rPr>
          <w:rFonts w:eastAsia="Calibri" w:cs="Arial"/>
          <w:noProof/>
          <w:kern w:val="20"/>
          <w:sz w:val="20"/>
        </w:rPr>
      </w:pPr>
      <w:r>
        <w:rPr>
          <w:rFonts w:eastAsia="Calibri" w:cs="Arial"/>
          <w:noProof/>
          <w:kern w:val="20"/>
          <w:sz w:val="20"/>
        </w:rPr>
        <w:t>language requirements (8 cases).</w:t>
      </w:r>
      <w:r>
        <w:rPr>
          <w:rStyle w:val="FootnoteReference"/>
          <w:rFonts w:eastAsia="Calibri" w:cs="Arial"/>
          <w:noProof/>
          <w:kern w:val="20"/>
          <w:sz w:val="20"/>
        </w:rPr>
        <w:footnoteReference w:id="372"/>
      </w:r>
    </w:p>
    <w:p>
      <w:pPr>
        <w:numPr>
          <w:ilvl w:val="0"/>
          <w:numId w:val="130"/>
        </w:numPr>
        <w:spacing w:after="120"/>
        <w:ind w:left="1412" w:hanging="426"/>
        <w:rPr>
          <w:rFonts w:eastAsia="Calibri" w:cs="Arial"/>
          <w:noProof/>
          <w:kern w:val="20"/>
          <w:sz w:val="20"/>
        </w:rPr>
      </w:pPr>
      <w:r>
        <w:rPr>
          <w:rFonts w:eastAsia="Calibri" w:cs="Arial"/>
          <w:noProof/>
          <w:kern w:val="20"/>
          <w:sz w:val="20"/>
        </w:rPr>
        <w:t>The Commission referred one case to the Court under Articles 258 and 260(3) TFEU. It concerned:</w:t>
      </w:r>
    </w:p>
    <w:p>
      <w:pPr>
        <w:pStyle w:val="ListParagraph"/>
        <w:numPr>
          <w:ilvl w:val="0"/>
          <w:numId w:val="135"/>
        </w:numPr>
        <w:spacing w:after="120"/>
        <w:rPr>
          <w:rFonts w:eastAsia="Calibri" w:cs="Arial"/>
          <w:noProof/>
          <w:kern w:val="20"/>
          <w:sz w:val="20"/>
        </w:rPr>
      </w:pPr>
      <w:r>
        <w:rPr>
          <w:rFonts w:eastAsia="Calibri"/>
          <w:i/>
          <w:noProof/>
          <w:sz w:val="20"/>
        </w:rPr>
        <w:t>Luxembourg:</w:t>
      </w:r>
      <w:r>
        <w:rPr>
          <w:rFonts w:eastAsia="Calibri"/>
          <w:noProof/>
        </w:rPr>
        <w:t xml:space="preserve"> </w:t>
      </w:r>
      <w:r>
        <w:rPr>
          <w:rFonts w:eastAsia="Calibri"/>
          <w:noProof/>
          <w:sz w:val="20"/>
        </w:rPr>
        <w:t>failure to transpose the Directive on a single European railway area.</w:t>
      </w:r>
      <w:r>
        <w:rPr>
          <w:rStyle w:val="FootnoteReference"/>
          <w:rFonts w:eastAsia="Calibri"/>
          <w:noProof/>
          <w:sz w:val="20"/>
        </w:rPr>
        <w:footnoteReference w:id="373"/>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spacing w:after="200"/>
        <w:ind w:left="720"/>
        <w:rPr>
          <w:rFonts w:cs="Arial"/>
          <w:noProof/>
          <w:sz w:val="20"/>
        </w:rPr>
      </w:pPr>
      <w:r>
        <w:rPr>
          <w:rFonts w:cs="Arial"/>
          <w:noProof/>
          <w:sz w:val="20"/>
        </w:rPr>
        <w:t>These concerned:</w:t>
      </w:r>
    </w:p>
    <w:p>
      <w:pPr>
        <w:pStyle w:val="Lijstje2"/>
        <w:rPr>
          <w:rFonts w:ascii="Arial" w:hAnsi="Arial" w:cs="Arial"/>
          <w:noProof/>
          <w:lang w:val="en-GB"/>
        </w:rPr>
      </w:pPr>
      <w:r>
        <w:rPr>
          <w:rFonts w:ascii="Arial" w:hAnsi="Arial" w:cs="Arial"/>
          <w:i/>
          <w:noProof/>
          <w:lang w:val="en-GB"/>
        </w:rPr>
        <w:t>Belgium, Spain</w:t>
      </w:r>
      <w:r>
        <w:rPr>
          <w:rFonts w:ascii="Arial" w:hAnsi="Arial" w:cs="Arial"/>
          <w:noProof/>
          <w:lang w:val="en-GB"/>
        </w:rPr>
        <w:t>: incorrect implementation of the Regulation on the rights of passengers travelling by sea and inland waterway;</w:t>
      </w:r>
      <w:r>
        <w:rPr>
          <w:rStyle w:val="FootnoteReference"/>
          <w:rFonts w:ascii="Arial" w:hAnsi="Arial" w:cs="Arial"/>
          <w:noProof/>
          <w:lang w:val="en-GB"/>
        </w:rPr>
        <w:footnoteReference w:id="374"/>
      </w:r>
    </w:p>
    <w:p>
      <w:pPr>
        <w:pStyle w:val="Lijstje2"/>
        <w:rPr>
          <w:rFonts w:ascii="Arial" w:hAnsi="Arial" w:cs="Arial"/>
          <w:noProof/>
          <w:lang w:val="en-GB"/>
        </w:rPr>
      </w:pPr>
      <w:r>
        <w:rPr>
          <w:rFonts w:ascii="Arial" w:hAnsi="Arial" w:cs="Arial"/>
          <w:i/>
          <w:noProof/>
          <w:lang w:val="en-GB"/>
        </w:rPr>
        <w:t>Czech Republic, Greece, Hungary, Austria</w:t>
      </w:r>
      <w:r>
        <w:rPr>
          <w:rFonts w:ascii="Arial" w:hAnsi="Arial" w:cs="Arial"/>
          <w:noProof/>
          <w:lang w:val="en-GB"/>
        </w:rPr>
        <w:t>: failure to meet the obligation to interconnect a national electronic register of road transport undertakings;</w:t>
      </w:r>
      <w:r>
        <w:rPr>
          <w:rStyle w:val="FootnoteReference"/>
          <w:rFonts w:ascii="Arial" w:hAnsi="Arial" w:cs="Arial"/>
          <w:noProof/>
          <w:lang w:val="en-GB"/>
        </w:rPr>
        <w:footnoteReference w:id="375"/>
      </w:r>
    </w:p>
    <w:p>
      <w:pPr>
        <w:pStyle w:val="Lijstje2"/>
        <w:rPr>
          <w:rFonts w:ascii="Arial" w:hAnsi="Arial" w:cs="Arial"/>
          <w:noProof/>
          <w:lang w:val="en-GB"/>
        </w:rPr>
      </w:pPr>
      <w:r>
        <w:rPr>
          <w:rFonts w:ascii="Arial" w:hAnsi="Arial" w:cs="Arial"/>
          <w:i/>
          <w:noProof/>
          <w:lang w:val="en-GB"/>
        </w:rPr>
        <w:t>Czech Republic, Ireland</w:t>
      </w:r>
      <w:r>
        <w:rPr>
          <w:rFonts w:ascii="Arial" w:hAnsi="Arial" w:cs="Arial"/>
          <w:noProof/>
          <w:lang w:val="en-GB"/>
        </w:rPr>
        <w:t>: non-ratification of or reservations against appendices to the Convention concerning International Carriage by Rail;</w:t>
      </w:r>
    </w:p>
    <w:p>
      <w:pPr>
        <w:pStyle w:val="Lijstje2"/>
        <w:rPr>
          <w:rFonts w:ascii="Arial" w:hAnsi="Arial" w:cs="Arial"/>
          <w:noProof/>
          <w:lang w:val="en-GB"/>
        </w:rPr>
      </w:pPr>
      <w:r>
        <w:rPr>
          <w:rFonts w:ascii="Arial" w:hAnsi="Arial" w:cs="Arial"/>
          <w:i/>
          <w:noProof/>
          <w:lang w:val="en-GB"/>
        </w:rPr>
        <w:t>Czech Republic, Greece, Hungary, Poland, Portugal</w:t>
      </w:r>
      <w:r>
        <w:rPr>
          <w:rFonts w:ascii="Arial" w:hAnsi="Arial" w:cs="Arial"/>
          <w:noProof/>
          <w:lang w:val="en-GB"/>
        </w:rPr>
        <w:t xml:space="preserve">: </w:t>
      </w:r>
      <w:r>
        <w:rPr>
          <w:rFonts w:ascii="Arial" w:hAnsi="Arial"/>
          <w:noProof/>
          <w:lang w:val="en-GB"/>
        </w:rPr>
        <w:t>incorrect</w:t>
      </w:r>
      <w:r>
        <w:rPr>
          <w:rFonts w:ascii="Arial" w:hAnsi="Arial" w:cs="Arial"/>
          <w:noProof/>
          <w:lang w:val="en-GB"/>
        </w:rPr>
        <w:t xml:space="preserve"> implementation of the Directive on a European electronic toll service;</w:t>
      </w:r>
      <w:r>
        <w:rPr>
          <w:rStyle w:val="FootnoteReference"/>
          <w:rFonts w:ascii="Arial" w:hAnsi="Arial" w:cs="Arial"/>
          <w:noProof/>
          <w:lang w:val="en-GB"/>
        </w:rPr>
        <w:footnoteReference w:id="376"/>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inadequate application of EU aviation security legislation;</w:t>
      </w:r>
      <w:r>
        <w:rPr>
          <w:rStyle w:val="FootnoteReference"/>
          <w:rFonts w:ascii="Arial" w:hAnsi="Arial" w:cs="Arial"/>
          <w:noProof/>
          <w:lang w:val="en-GB"/>
        </w:rPr>
        <w:footnoteReference w:id="377"/>
      </w:r>
    </w:p>
    <w:p>
      <w:pPr>
        <w:pStyle w:val="Lijstje2"/>
        <w:rPr>
          <w:rFonts w:ascii="Arial" w:hAnsi="Arial" w:cs="Arial"/>
          <w:noProof/>
          <w:lang w:val="en-GB"/>
        </w:rPr>
      </w:pPr>
      <w:r>
        <w:rPr>
          <w:rFonts w:ascii="Arial" w:hAnsi="Arial" w:cs="Arial"/>
          <w:i/>
          <w:noProof/>
          <w:lang w:val="en-GB"/>
        </w:rPr>
        <w:t>Estonia, Spain, Greece, France, Italy, Latvia, Malta, Austria, Poland, Slovenia, Slovakia, Finland</w:t>
      </w:r>
      <w:r>
        <w:rPr>
          <w:rFonts w:ascii="Arial" w:hAnsi="Arial" w:cs="Arial"/>
          <w:noProof/>
          <w:lang w:val="en-GB"/>
        </w:rPr>
        <w:t>: failure to fulfil obligations under the Directive on driving licences;</w:t>
      </w:r>
      <w:r>
        <w:rPr>
          <w:rStyle w:val="FootnoteReference"/>
          <w:rFonts w:ascii="Arial" w:hAnsi="Arial" w:cs="Arial"/>
          <w:noProof/>
          <w:lang w:val="en-GB"/>
        </w:rPr>
        <w:footnoteReference w:id="378"/>
      </w:r>
    </w:p>
    <w:p>
      <w:pPr>
        <w:pStyle w:val="Lijstje2"/>
        <w:rPr>
          <w:rFonts w:ascii="Arial" w:hAnsi="Arial" w:cs="Arial"/>
          <w:noProof/>
          <w:lang w:val="en-GB"/>
        </w:rPr>
      </w:pPr>
      <w:r>
        <w:rPr>
          <w:rFonts w:ascii="Arial" w:hAnsi="Arial" w:cs="Arial"/>
          <w:i/>
          <w:noProof/>
          <w:lang w:val="en-GB"/>
        </w:rPr>
        <w:t>Estonia, Italy</w:t>
      </w:r>
      <w:r>
        <w:rPr>
          <w:rFonts w:ascii="Arial" w:hAnsi="Arial" w:cs="Arial"/>
          <w:noProof/>
          <w:lang w:val="en-GB"/>
        </w:rPr>
        <w:t xml:space="preserve">: </w:t>
      </w:r>
      <w:r>
        <w:rPr>
          <w:rFonts w:ascii="Arial" w:hAnsi="Arial"/>
          <w:noProof/>
          <w:lang w:val="en-GB"/>
        </w:rPr>
        <w:t>failure</w:t>
      </w:r>
      <w:r>
        <w:rPr>
          <w:rFonts w:ascii="Arial" w:hAnsi="Arial" w:cs="Arial"/>
          <w:noProof/>
          <w:lang w:val="en-GB"/>
        </w:rPr>
        <w:t xml:space="preserve"> to meet the requirements of the Regulation on the investigation and prevention of accidents and incidents in civil aviation;</w:t>
      </w:r>
      <w:r>
        <w:rPr>
          <w:rStyle w:val="FootnoteReference"/>
          <w:rFonts w:ascii="Arial" w:hAnsi="Arial" w:cs="Arial"/>
          <w:noProof/>
          <w:lang w:val="en-GB"/>
        </w:rPr>
        <w:footnoteReference w:id="379"/>
      </w:r>
    </w:p>
    <w:p>
      <w:pPr>
        <w:pStyle w:val="Lijstje2"/>
        <w:rPr>
          <w:rFonts w:ascii="Arial" w:hAnsi="Arial"/>
          <w:noProof/>
          <w:lang w:val="en-GB"/>
        </w:rPr>
      </w:pPr>
      <w:r>
        <w:rPr>
          <w:rFonts w:ascii="Arial" w:hAnsi="Arial"/>
          <w:i/>
          <w:noProof/>
          <w:lang w:val="en-GB"/>
        </w:rPr>
        <w:t>Spain, Croatia, Lithuania</w:t>
      </w:r>
      <w:r>
        <w:rPr>
          <w:rFonts w:ascii="Arial" w:hAnsi="Arial"/>
          <w:noProof/>
          <w:lang w:val="en-GB"/>
        </w:rPr>
        <w:t>: non-compliance with the Railway Safety Directive;</w:t>
      </w:r>
      <w:r>
        <w:rPr>
          <w:rStyle w:val="FootnoteReference"/>
          <w:rFonts w:ascii="Arial" w:hAnsi="Arial"/>
          <w:noProof/>
          <w:lang w:val="en-GB"/>
        </w:rPr>
        <w:footnoteReference w:id="380"/>
      </w:r>
    </w:p>
    <w:p>
      <w:pPr>
        <w:pStyle w:val="Lijstje2"/>
        <w:rPr>
          <w:rFonts w:ascii="Arial" w:hAnsi="Arial" w:cs="Arial"/>
          <w:noProof/>
          <w:lang w:val="en-GB"/>
        </w:rPr>
      </w:pPr>
      <w:r>
        <w:rPr>
          <w:rFonts w:ascii="Arial" w:hAnsi="Arial" w:cs="Arial"/>
          <w:i/>
          <w:noProof/>
          <w:lang w:val="en-GB"/>
        </w:rPr>
        <w:t>Spain, Greece</w:t>
      </w:r>
      <w:r>
        <w:rPr>
          <w:rFonts w:ascii="Arial" w:hAnsi="Arial" w:cs="Arial"/>
          <w:noProof/>
          <w:lang w:val="en-GB"/>
        </w:rPr>
        <w:t>: non-compliance with the Airport Charges Directive;</w:t>
      </w:r>
      <w:r>
        <w:rPr>
          <w:rStyle w:val="FootnoteReference"/>
          <w:rFonts w:ascii="Arial" w:hAnsi="Arial" w:cs="Arial"/>
          <w:noProof/>
          <w:lang w:val="en-GB"/>
        </w:rPr>
        <w:footnoteReference w:id="381"/>
      </w:r>
    </w:p>
    <w:p>
      <w:pPr>
        <w:pStyle w:val="Lijstje2"/>
        <w:rPr>
          <w:rFonts w:ascii="Arial" w:hAnsi="Arial" w:cs="Arial"/>
          <w:noProof/>
          <w:lang w:val="en-GB"/>
        </w:rPr>
      </w:pPr>
      <w:r>
        <w:rPr>
          <w:rFonts w:ascii="Arial" w:hAnsi="Arial" w:cs="Arial"/>
          <w:i/>
          <w:noProof/>
          <w:lang w:val="en-GB"/>
        </w:rPr>
        <w:t>Croatia, Italy</w:t>
      </w:r>
      <w:r>
        <w:rPr>
          <w:rFonts w:ascii="Arial" w:hAnsi="Arial" w:cs="Arial"/>
          <w:noProof/>
          <w:lang w:val="en-GB"/>
        </w:rPr>
        <w:t>: non-compliance with the rules on maritime cabotage;</w:t>
      </w:r>
      <w:r>
        <w:rPr>
          <w:rStyle w:val="FootnoteReference"/>
          <w:rFonts w:ascii="Arial" w:hAnsi="Arial" w:cs="Arial"/>
          <w:noProof/>
          <w:lang w:val="en-GB"/>
        </w:rPr>
        <w:footnoteReference w:id="382"/>
      </w:r>
    </w:p>
    <w:p>
      <w:pPr>
        <w:pStyle w:val="Lijstje2"/>
        <w:rPr>
          <w:rFonts w:ascii="Arial" w:hAnsi="Arial" w:cs="Arial"/>
          <w:noProof/>
          <w:lang w:val="en-GB"/>
        </w:rPr>
      </w:pPr>
      <w:r>
        <w:rPr>
          <w:rFonts w:ascii="Arial" w:hAnsi="Arial" w:cs="Arial"/>
          <w:i/>
          <w:noProof/>
          <w:lang w:val="en-GB"/>
        </w:rPr>
        <w:t>France, United Kingdom</w:t>
      </w:r>
      <w:r>
        <w:rPr>
          <w:rFonts w:ascii="Arial" w:hAnsi="Arial" w:cs="Arial"/>
          <w:noProof/>
          <w:lang w:val="en-GB"/>
        </w:rPr>
        <w:t>: non-compliance with the First Railway Package;</w:t>
      </w:r>
    </w:p>
    <w:p>
      <w:pPr>
        <w:pStyle w:val="Lijstje2"/>
        <w:rPr>
          <w:rFonts w:ascii="Arial" w:hAnsi="Arial" w:cs="Arial"/>
          <w:noProof/>
          <w:lang w:val="en-GB"/>
        </w:rPr>
      </w:pPr>
      <w:r>
        <w:rPr>
          <w:rFonts w:ascii="Arial" w:hAnsi="Arial" w:cs="Arial"/>
          <w:i/>
          <w:noProof/>
          <w:lang w:val="en-GB"/>
        </w:rPr>
        <w:t>Cyprus</w:t>
      </w:r>
      <w:r>
        <w:rPr>
          <w:rFonts w:ascii="Arial" w:hAnsi="Arial" w:cs="Arial"/>
          <w:noProof/>
          <w:lang w:val="en-GB"/>
        </w:rPr>
        <w:t>: possible discrimination of nationals of other Member States regarding bus fares;</w:t>
      </w:r>
      <w:r>
        <w:rPr>
          <w:rStyle w:val="FootnoteReference"/>
          <w:rFonts w:ascii="Arial" w:hAnsi="Arial" w:cs="Arial"/>
          <w:noProof/>
          <w:lang w:val="en-GB"/>
        </w:rPr>
        <w:footnoteReference w:id="383"/>
      </w:r>
    </w:p>
    <w:p>
      <w:pPr>
        <w:pStyle w:val="Lijstje2"/>
        <w:rPr>
          <w:rFonts w:ascii="Arial" w:hAnsi="Arial" w:cs="Arial"/>
          <w:noProof/>
          <w:lang w:val="en-GB"/>
        </w:rPr>
      </w:pPr>
      <w:r>
        <w:rPr>
          <w:rFonts w:ascii="Arial" w:hAnsi="Arial" w:cs="Arial"/>
          <w:i/>
          <w:noProof/>
          <w:lang w:val="en-GB"/>
        </w:rPr>
        <w:t>Italy</w:t>
      </w:r>
      <w:r>
        <w:rPr>
          <w:rFonts w:ascii="Arial" w:hAnsi="Arial" w:cs="Arial"/>
          <w:noProof/>
          <w:lang w:val="en-GB"/>
        </w:rPr>
        <w:t>: incorrect implementation of the principles governing the investigation of accidents in the maritime transport sector;</w:t>
      </w:r>
      <w:r>
        <w:rPr>
          <w:rStyle w:val="FootnoteReference"/>
          <w:rFonts w:ascii="Arial" w:hAnsi="Arial" w:cs="Arial"/>
          <w:noProof/>
          <w:lang w:val="en-GB"/>
        </w:rPr>
        <w:footnoteReference w:id="384"/>
      </w:r>
    </w:p>
    <w:p>
      <w:pPr>
        <w:pStyle w:val="Lijstje2"/>
        <w:rPr>
          <w:rFonts w:ascii="Arial" w:hAnsi="Arial" w:cs="Arial"/>
          <w:noProof/>
          <w:lang w:val="en-GB"/>
        </w:rPr>
      </w:pPr>
      <w:r>
        <w:rPr>
          <w:rFonts w:ascii="Arial" w:hAnsi="Arial" w:cs="Arial"/>
          <w:i/>
          <w:noProof/>
          <w:lang w:val="en-GB"/>
        </w:rPr>
        <w:t>Lithuania</w:t>
      </w:r>
      <w:r>
        <w:rPr>
          <w:rFonts w:ascii="Arial" w:hAnsi="Arial" w:cs="Arial"/>
          <w:noProof/>
          <w:lang w:val="en-GB"/>
        </w:rPr>
        <w:t>: lack of implementation of the Regulations on airworthiness;</w:t>
      </w:r>
      <w:r>
        <w:rPr>
          <w:rStyle w:val="FootnoteReference"/>
          <w:rFonts w:ascii="Arial" w:hAnsi="Arial" w:cs="Arial"/>
          <w:noProof/>
          <w:lang w:val="en-GB"/>
        </w:rPr>
        <w:footnoteReference w:id="385"/>
      </w:r>
    </w:p>
    <w:p>
      <w:pPr>
        <w:pStyle w:val="Lijstje2"/>
        <w:rPr>
          <w:rFonts w:ascii="Arial" w:hAnsi="Arial" w:cs="Arial"/>
          <w:noProof/>
          <w:lang w:val="en-GB"/>
        </w:rPr>
      </w:pPr>
      <w:r>
        <w:rPr>
          <w:rFonts w:ascii="Arial" w:hAnsi="Arial" w:cs="Arial"/>
          <w:i/>
          <w:noProof/>
          <w:lang w:val="en-GB"/>
        </w:rPr>
        <w:t>Poland</w:t>
      </w:r>
      <w:r>
        <w:rPr>
          <w:rFonts w:ascii="Arial" w:hAnsi="Arial" w:cs="Arial"/>
          <w:noProof/>
          <w:lang w:val="en-GB"/>
        </w:rPr>
        <w:t>: failure to correctly transpose and apply EU legislation on the separation of accounts in rail;</w:t>
      </w:r>
      <w:r>
        <w:rPr>
          <w:rStyle w:val="FootnoteReference"/>
          <w:rFonts w:ascii="Arial" w:hAnsi="Arial" w:cs="Arial"/>
          <w:noProof/>
          <w:lang w:val="en-GB"/>
        </w:rPr>
        <w:footnoteReference w:id="386"/>
      </w:r>
    </w:p>
    <w:p>
      <w:pPr>
        <w:pStyle w:val="Lijstje2"/>
        <w:rPr>
          <w:rFonts w:ascii="Arial" w:hAnsi="Arial" w:cs="Arial"/>
          <w:noProof/>
          <w:lang w:val="en-GB"/>
        </w:rPr>
      </w:pPr>
      <w:r>
        <w:rPr>
          <w:rFonts w:ascii="Arial" w:hAnsi="Arial" w:cs="Arial"/>
          <w:i/>
          <w:noProof/>
          <w:lang w:val="en-GB"/>
        </w:rPr>
        <w:t>Portugal</w:t>
      </w:r>
      <w:r>
        <w:rPr>
          <w:rFonts w:ascii="Arial" w:hAnsi="Arial" w:cs="Arial"/>
          <w:noProof/>
          <w:lang w:val="en-GB"/>
        </w:rPr>
        <w:t>: non-ratification of the Protocol of Accession to the Eurocontrol International Convention;</w:t>
      </w:r>
    </w:p>
    <w:p>
      <w:pPr>
        <w:pStyle w:val="Lijstje2"/>
        <w:rPr>
          <w:rFonts w:ascii="Arial" w:hAnsi="Arial" w:cs="Arial"/>
          <w:noProof/>
          <w:lang w:val="en-GB"/>
        </w:rPr>
      </w:pPr>
      <w:r>
        <w:rPr>
          <w:rFonts w:ascii="Arial" w:hAnsi="Arial" w:cs="Arial"/>
          <w:i/>
          <w:noProof/>
          <w:lang w:val="en-GB"/>
        </w:rPr>
        <w:t>Romania:</w:t>
      </w:r>
      <w:r>
        <w:rPr>
          <w:rFonts w:ascii="Arial" w:hAnsi="Arial" w:cs="Arial"/>
          <w:noProof/>
          <w:lang w:val="en-GB"/>
        </w:rPr>
        <w:t xml:space="preserve"> incorrect application of the Regulation on public passenger transport services by rail and by road;</w:t>
      </w:r>
      <w:r>
        <w:rPr>
          <w:rStyle w:val="FootnoteReference"/>
          <w:rFonts w:ascii="Arial" w:hAnsi="Arial" w:cs="Arial"/>
          <w:noProof/>
          <w:lang w:val="en-GB"/>
        </w:rPr>
        <w:footnoteReference w:id="387"/>
      </w:r>
    </w:p>
    <w:p>
      <w:pPr>
        <w:pStyle w:val="Lijstje2"/>
        <w:rPr>
          <w:rFonts w:ascii="Arial" w:hAnsi="Arial" w:cs="Arial"/>
          <w:noProof/>
          <w:lang w:val="en-GB"/>
        </w:rPr>
      </w:pPr>
      <w:r>
        <w:rPr>
          <w:rFonts w:ascii="Arial" w:hAnsi="Arial" w:cs="Arial"/>
          <w:i/>
          <w:noProof/>
          <w:lang w:val="en-GB"/>
        </w:rPr>
        <w:t>Slovakia:</w:t>
      </w:r>
      <w:r>
        <w:rPr>
          <w:rFonts w:ascii="Arial" w:hAnsi="Arial" w:cs="Arial"/>
          <w:noProof/>
          <w:lang w:val="en-GB"/>
        </w:rPr>
        <w:t xml:space="preserve"> non-compliance with the Directive on the interoperability of the rail system.</w:t>
      </w:r>
      <w:r>
        <w:rPr>
          <w:rStyle w:val="FootnoteReference"/>
          <w:rFonts w:ascii="Arial" w:hAnsi="Arial" w:cs="Arial"/>
          <w:noProof/>
          <w:lang w:val="en-GB"/>
        </w:rPr>
        <w:footnoteReference w:id="388"/>
      </w:r>
    </w:p>
    <w:p>
      <w:pPr>
        <w:pStyle w:val="Lijstje2"/>
        <w:rPr>
          <w:rFonts w:ascii="Arial" w:hAnsi="Arial" w:cs="Arial"/>
          <w:noProof/>
          <w:lang w:val="en-GB"/>
        </w:rPr>
      </w:pPr>
      <w:r>
        <w:rPr>
          <w:rFonts w:ascii="Arial" w:hAnsi="Arial" w:cs="Arial"/>
          <w:i/>
          <w:noProof/>
          <w:lang w:val="en-GB"/>
        </w:rPr>
        <w:t>Finland</w:t>
      </w:r>
      <w:r>
        <w:rPr>
          <w:rFonts w:ascii="Arial" w:hAnsi="Arial" w:cs="Arial"/>
          <w:noProof/>
          <w:lang w:val="en-GB"/>
        </w:rPr>
        <w:t>: non-compliance with the rules on access to the occupation of road transport operator and with rules on cabotage.</w:t>
      </w:r>
      <w:r>
        <w:rPr>
          <w:rStyle w:val="FootnoteReference"/>
          <w:rFonts w:ascii="Arial" w:hAnsi="Arial" w:cs="Arial"/>
          <w:noProof/>
          <w:lang w:val="en-GB"/>
        </w:rPr>
        <w:footnoteReference w:id="389"/>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IMPORTANT JUDGMENTS</w:t>
      </w:r>
    </w:p>
    <w:p>
      <w:pPr>
        <w:numPr>
          <w:ilvl w:val="0"/>
          <w:numId w:val="101"/>
        </w:numPr>
        <w:spacing w:after="60"/>
        <w:jc w:val="left"/>
        <w:outlineLvl w:val="1"/>
        <w:rPr>
          <w:noProof/>
          <w:color w:val="002060"/>
          <w:szCs w:val="22"/>
        </w:rPr>
      </w:pPr>
      <w:r>
        <w:rPr>
          <w:noProof/>
          <w:color w:val="002060"/>
          <w:szCs w:val="22"/>
        </w:rPr>
        <w:t>Court rulings</w:t>
      </w:r>
      <w:r>
        <w:rPr>
          <w:rStyle w:val="FootnoteReference"/>
          <w:noProof/>
          <w:color w:val="002060"/>
          <w:szCs w:val="22"/>
        </w:rPr>
        <w:footnoteReference w:id="390"/>
      </w:r>
    </w:p>
    <w:p>
      <w:pPr>
        <w:spacing w:after="120"/>
        <w:ind w:left="720"/>
        <w:rPr>
          <w:noProof/>
          <w:sz w:val="20"/>
        </w:rPr>
      </w:pPr>
      <w:r>
        <w:rPr>
          <w:rFonts w:cs="Arial"/>
          <w:noProof/>
          <w:sz w:val="20"/>
        </w:rPr>
        <w:t>The Court ruled that:</w:t>
      </w:r>
    </w:p>
    <w:p>
      <w:pPr>
        <w:pStyle w:val="ListParagraph"/>
        <w:numPr>
          <w:ilvl w:val="0"/>
          <w:numId w:val="108"/>
        </w:numPr>
        <w:ind w:left="1276"/>
        <w:rPr>
          <w:rFonts w:cs="Arial"/>
          <w:noProof/>
          <w:sz w:val="20"/>
        </w:rPr>
      </w:pPr>
      <w:r>
        <w:rPr>
          <w:rFonts w:cs="Arial"/>
          <w:i/>
          <w:noProof/>
          <w:sz w:val="20"/>
        </w:rPr>
        <w:t>Luxembourg,</w:t>
      </w:r>
      <w:r>
        <w:rPr>
          <w:rStyle w:val="FootnoteReference"/>
          <w:rFonts w:cs="Arial"/>
          <w:noProof/>
          <w:sz w:val="20"/>
        </w:rPr>
        <w:footnoteReference w:id="391"/>
      </w:r>
      <w:r>
        <w:rPr>
          <w:noProof/>
          <w:sz w:val="20"/>
        </w:rPr>
        <w:t xml:space="preserve"> </w:t>
      </w:r>
      <w:r>
        <w:rPr>
          <w:i/>
          <w:noProof/>
          <w:sz w:val="20"/>
        </w:rPr>
        <w:t>Poland</w:t>
      </w:r>
      <w:r>
        <w:rPr>
          <w:rStyle w:val="FootnoteReference"/>
          <w:rFonts w:cs="Arial"/>
          <w:noProof/>
          <w:sz w:val="20"/>
        </w:rPr>
        <w:footnoteReference w:id="392"/>
      </w:r>
      <w:r>
        <w:rPr>
          <w:i/>
          <w:noProof/>
          <w:sz w:val="20"/>
        </w:rPr>
        <w:t>and Portugal</w:t>
      </w:r>
      <w:r>
        <w:rPr>
          <w:rStyle w:val="FootnoteReference"/>
          <w:rFonts w:cs="Arial"/>
          <w:noProof/>
          <w:sz w:val="20"/>
        </w:rPr>
        <w:footnoteReference w:id="393"/>
      </w:r>
      <w:r>
        <w:rPr>
          <w:noProof/>
          <w:sz w:val="20"/>
        </w:rPr>
        <w:t xml:space="preserve"> failed to establish a national electronic register and to interconnect with the national electronic registers of other Member States;</w:t>
      </w:r>
    </w:p>
    <w:p>
      <w:pPr>
        <w:pStyle w:val="ListParagraph"/>
        <w:numPr>
          <w:ilvl w:val="0"/>
          <w:numId w:val="108"/>
        </w:numPr>
        <w:ind w:left="1276"/>
        <w:rPr>
          <w:rFonts w:cs="Arial"/>
          <w:noProof/>
          <w:sz w:val="20"/>
        </w:rPr>
      </w:pPr>
      <w:r>
        <w:rPr>
          <w:rFonts w:cs="Arial"/>
          <w:i/>
          <w:noProof/>
          <w:sz w:val="20"/>
        </w:rPr>
        <w:t>Portugal</w:t>
      </w:r>
      <w:r>
        <w:rPr>
          <w:rFonts w:cs="Arial"/>
          <w:noProof/>
          <w:sz w:val="20"/>
        </w:rPr>
        <w:t xml:space="preserve"> failed </w:t>
      </w:r>
      <w:r>
        <w:rPr>
          <w:noProof/>
          <w:sz w:val="20"/>
        </w:rPr>
        <w:t>to fulfil its obligations under the Regulation on common rules for allocating slots at Community airports. The Court also provided clarification on the notion of independence of the slot allocation body under the Regulation.</w:t>
      </w:r>
      <w:r>
        <w:rPr>
          <w:rStyle w:val="FootnoteReference"/>
          <w:rFonts w:cs="Arial"/>
          <w:noProof/>
          <w:sz w:val="20"/>
        </w:rPr>
        <w:footnoteReference w:id="394"/>
      </w:r>
    </w:p>
    <w:p>
      <w:pPr>
        <w:numPr>
          <w:ilvl w:val="0"/>
          <w:numId w:val="101"/>
        </w:numPr>
        <w:spacing w:after="60"/>
        <w:jc w:val="left"/>
        <w:outlineLvl w:val="1"/>
        <w:rPr>
          <w:rFonts w:cs="Arial"/>
          <w:noProof/>
          <w:color w:val="002060"/>
          <w:szCs w:val="22"/>
        </w:rPr>
      </w:pPr>
      <w:r>
        <w:rPr>
          <w:rFonts w:cs="Arial"/>
          <w:noProof/>
          <w:color w:val="002060"/>
          <w:szCs w:val="22"/>
        </w:rPr>
        <w:t>Preliminary rulings</w:t>
      </w:r>
    </w:p>
    <w:p>
      <w:pPr>
        <w:ind w:left="720"/>
        <w:rPr>
          <w:rFonts w:cs="Arial"/>
          <w:noProof/>
          <w:sz w:val="20"/>
        </w:rPr>
      </w:pPr>
      <w:r>
        <w:rPr>
          <w:rFonts w:cs="Arial"/>
          <w:noProof/>
          <w:sz w:val="20"/>
        </w:rPr>
        <w:t>In preliminary rulings, the Court held that:</w:t>
      </w:r>
    </w:p>
    <w:p>
      <w:pPr>
        <w:pStyle w:val="Lijstje2"/>
        <w:rPr>
          <w:rFonts w:ascii="Arial" w:hAnsi="Arial" w:cs="Arial"/>
          <w:noProof/>
          <w:lang w:val="en-GB"/>
        </w:rPr>
      </w:pPr>
      <w:r>
        <w:rPr>
          <w:rFonts w:ascii="Arial" w:hAnsi="Arial" w:cs="Arial"/>
          <w:i/>
          <w:noProof/>
          <w:lang w:val="en-GB"/>
        </w:rPr>
        <w:t>Belgium:</w:t>
      </w:r>
      <w:r>
        <w:rPr>
          <w:rFonts w:ascii="Arial" w:hAnsi="Arial" w:cs="Arial"/>
          <w:noProof/>
          <w:lang w:val="en-GB"/>
        </w:rPr>
        <w:t xml:space="preserve"> a person making a train journey while not in possession of a ticket for that purpose, and who fails to regularise his situation within the periods laid down in national provisions may be deemed to not have a contractual relationship with the railway undertaking;</w:t>
      </w:r>
      <w:r>
        <w:rPr>
          <w:rStyle w:val="FootnoteReference"/>
          <w:rFonts w:ascii="Arial" w:hAnsi="Arial" w:cs="Arial"/>
          <w:noProof/>
          <w:lang w:val="en-GB"/>
        </w:rPr>
        <w:footnoteReference w:id="395"/>
      </w:r>
    </w:p>
    <w:p>
      <w:pPr>
        <w:pStyle w:val="Lijstje2"/>
        <w:rPr>
          <w:rFonts w:ascii="Arial" w:hAnsi="Arial" w:cs="Arial"/>
          <w:noProof/>
          <w:lang w:val="en-GB"/>
        </w:rPr>
      </w:pPr>
      <w:r>
        <w:rPr>
          <w:rFonts w:ascii="Arial" w:hAnsi="Arial" w:cs="Arial"/>
          <w:i/>
          <w:noProof/>
          <w:lang w:val="en-GB"/>
        </w:rPr>
        <w:t>Belgium</w:t>
      </w:r>
      <w:r>
        <w:rPr>
          <w:rFonts w:ascii="Arial" w:hAnsi="Arial" w:cs="Arial"/>
          <w:noProof/>
          <w:lang w:val="en-GB"/>
        </w:rPr>
        <w:t>: the Directive on the systems of chartering and pricing in national and international inland waterway transport</w:t>
      </w:r>
      <w:r>
        <w:rPr>
          <w:rStyle w:val="FootnoteReference"/>
          <w:rFonts w:ascii="Arial" w:hAnsi="Arial" w:cs="Arial"/>
          <w:noProof/>
          <w:lang w:val="en-GB"/>
        </w:rPr>
        <w:footnoteReference w:id="396"/>
      </w:r>
      <w:r>
        <w:rPr>
          <w:rFonts w:ascii="Arial" w:hAnsi="Arial" w:cs="Arial"/>
          <w:noProof/>
          <w:lang w:val="en-GB"/>
        </w:rPr>
        <w:t xml:space="preserve"> must be interpreted so that contracts are to be freely concluded between the parties concerned. National legislation may therefore determine that a person who does not correspond to the Directive’s definition of ‘carrier’ may nevertheless conclude a contract of carriage as a carrier;</w:t>
      </w:r>
      <w:r>
        <w:rPr>
          <w:rStyle w:val="FootnoteReference"/>
          <w:rFonts w:ascii="Arial" w:hAnsi="Arial" w:cs="Arial"/>
          <w:noProof/>
          <w:lang w:val="en-GB"/>
        </w:rPr>
        <w:footnoteReference w:id="397"/>
      </w:r>
    </w:p>
    <w:p>
      <w:pPr>
        <w:pStyle w:val="Lijstje2"/>
        <w:rPr>
          <w:rFonts w:ascii="Arial" w:hAnsi="Arial" w:cs="Arial"/>
          <w:noProof/>
          <w:lang w:val="en-GB"/>
        </w:rPr>
      </w:pPr>
      <w:r>
        <w:rPr>
          <w:rFonts w:ascii="Arial" w:hAnsi="Arial" w:cs="Arial"/>
          <w:i/>
          <w:noProof/>
          <w:lang w:val="en-GB"/>
        </w:rPr>
        <w:t>Czech Republic</w:t>
      </w:r>
      <w:r>
        <w:rPr>
          <w:rFonts w:ascii="Arial" w:hAnsi="Arial" w:cs="Arial"/>
          <w:noProof/>
          <w:lang w:val="en-GB"/>
        </w:rPr>
        <w:t>: it is not incompatible with EU legislation</w:t>
      </w:r>
      <w:r>
        <w:rPr>
          <w:rStyle w:val="FootnoteReference"/>
          <w:rFonts w:ascii="Arial" w:hAnsi="Arial" w:cs="Arial"/>
          <w:noProof/>
          <w:lang w:val="en-GB"/>
        </w:rPr>
        <w:footnoteReference w:id="398"/>
      </w:r>
      <w:r>
        <w:rPr>
          <w:rFonts w:ascii="Arial" w:hAnsi="Arial" w:cs="Arial"/>
          <w:noProof/>
          <w:lang w:val="en-GB"/>
        </w:rPr>
        <w:t xml:space="preserve"> to impose the completion of a periodic training, before they carry out the driving activity, on persons who are exempted from the requirement that drivers of certain vehicles obtain an initial qualification;</w:t>
      </w:r>
      <w:r>
        <w:rPr>
          <w:rStyle w:val="FootnoteReference"/>
          <w:rFonts w:ascii="Arial" w:hAnsi="Arial" w:cs="Arial"/>
          <w:noProof/>
          <w:lang w:val="en-GB"/>
        </w:rPr>
        <w:footnoteReference w:id="399"/>
      </w:r>
    </w:p>
    <w:p>
      <w:pPr>
        <w:pStyle w:val="Lijstje2"/>
        <w:rPr>
          <w:rFonts w:ascii="Arial" w:hAnsi="Arial" w:cs="Arial"/>
          <w:noProof/>
          <w:lang w:val="en-GB"/>
        </w:rPr>
      </w:pPr>
      <w:r>
        <w:rPr>
          <w:rFonts w:ascii="Arial" w:hAnsi="Arial" w:cs="Arial"/>
          <w:i/>
          <w:noProof/>
          <w:lang w:val="en-GB"/>
        </w:rPr>
        <w:t>Germany</w:t>
      </w:r>
      <w:r>
        <w:rPr>
          <w:rFonts w:ascii="Arial" w:hAnsi="Arial" w:cs="Arial"/>
          <w:noProof/>
          <w:lang w:val="en-GB"/>
        </w:rPr>
        <w:t xml:space="preserve">: the subcontracting rules in the Regulation on </w:t>
      </w:r>
      <w:r>
        <w:rPr>
          <w:rFonts w:ascii="Arial" w:hAnsi="Arial" w:cs="Arial"/>
          <w:bCs/>
          <w:noProof/>
          <w:lang w:val="en-GB"/>
        </w:rPr>
        <w:t>public passenger transport services by rail and by road</w:t>
      </w:r>
      <w:r>
        <w:rPr>
          <w:rStyle w:val="FootnoteReference"/>
          <w:rFonts w:ascii="Arial" w:hAnsi="Arial" w:cs="Arial"/>
          <w:bCs/>
          <w:noProof/>
          <w:lang w:val="en-GB"/>
        </w:rPr>
        <w:footnoteReference w:id="400"/>
      </w:r>
      <w:r>
        <w:rPr>
          <w:rFonts w:ascii="Arial" w:hAnsi="Arial" w:cs="Arial"/>
          <w:bCs/>
          <w:noProof/>
          <w:lang w:val="en-GB"/>
        </w:rPr>
        <w:t xml:space="preserve"> apply </w:t>
      </w:r>
      <w:r>
        <w:rPr>
          <w:rFonts w:ascii="Arial" w:hAnsi="Arial" w:cs="Arial"/>
          <w:noProof/>
          <w:lang w:val="en-GB"/>
        </w:rPr>
        <w:t>to contracts awarded for public passenger transport by bus. Also, a subcontracting limitation of 30 % of the transport services remains within the discretion of the competent authorities;</w:t>
      </w:r>
      <w:r>
        <w:rPr>
          <w:rStyle w:val="FootnoteReference"/>
          <w:rFonts w:ascii="Arial" w:hAnsi="Arial" w:cs="Arial"/>
          <w:noProof/>
          <w:lang w:val="en-GB"/>
        </w:rPr>
        <w:footnoteReference w:id="401"/>
      </w:r>
    </w:p>
    <w:p>
      <w:pPr>
        <w:pStyle w:val="Lijstje2"/>
        <w:rPr>
          <w:rFonts w:ascii="Arial" w:hAnsi="Arial" w:cs="Arial"/>
          <w:noProof/>
          <w:lang w:val="en-GB"/>
        </w:rPr>
      </w:pPr>
      <w:r>
        <w:rPr>
          <w:rFonts w:ascii="Arial" w:hAnsi="Arial" w:cs="Arial"/>
          <w:i/>
          <w:noProof/>
          <w:lang w:val="en-GB"/>
        </w:rPr>
        <w:t>Hungary</w:t>
      </w:r>
      <w:r>
        <w:rPr>
          <w:rFonts w:ascii="Arial" w:hAnsi="Arial" w:cs="Arial"/>
          <w:noProof/>
          <w:lang w:val="en-GB"/>
        </w:rPr>
        <w:t>: the requirements of the principle of proportionality are not met when a vehicle of a transport undertaking is immobilised if the driver, employed by the undertaking, drove in breach of the EU law on recording equipment,</w:t>
      </w:r>
      <w:r>
        <w:rPr>
          <w:rStyle w:val="FootnoteReference"/>
          <w:rFonts w:ascii="Arial" w:hAnsi="Arial" w:cs="Arial"/>
          <w:noProof/>
          <w:lang w:val="en-GB"/>
        </w:rPr>
        <w:footnoteReference w:id="402"/>
      </w:r>
      <w:r>
        <w:rPr>
          <w:rFonts w:ascii="Arial" w:hAnsi="Arial" w:cs="Arial"/>
          <w:noProof/>
          <w:lang w:val="en-GB"/>
        </w:rPr>
        <w:t xml:space="preserve"> and if the competent national authority did not establish the liability of that undertaking;</w:t>
      </w:r>
      <w:r>
        <w:rPr>
          <w:rStyle w:val="FootnoteReference"/>
          <w:rFonts w:ascii="Arial" w:hAnsi="Arial" w:cs="Arial"/>
          <w:noProof/>
          <w:lang w:val="en-GB"/>
        </w:rPr>
        <w:footnoteReference w:id="403"/>
      </w:r>
    </w:p>
    <w:p>
      <w:pPr>
        <w:pStyle w:val="Lijstje2"/>
        <w:rPr>
          <w:rFonts w:ascii="Arial" w:hAnsi="Arial" w:cs="Arial"/>
          <w:noProof/>
          <w:lang w:val="en-GB"/>
        </w:rPr>
      </w:pPr>
      <w:r>
        <w:rPr>
          <w:rFonts w:ascii="Arial" w:hAnsi="Arial" w:cs="Arial"/>
          <w:i/>
          <w:noProof/>
          <w:lang w:val="en-GB"/>
        </w:rPr>
        <w:t>Lithuania</w:t>
      </w:r>
      <w:r>
        <w:rPr>
          <w:rFonts w:ascii="Arial" w:hAnsi="Arial" w:cs="Arial"/>
          <w:noProof/>
          <w:lang w:val="en-GB"/>
        </w:rPr>
        <w:t>: an air carrier which has concluded a contract of international carriage with an employer of persons carried as passengers is liable to that employer for damage caused by a delay in flights on which its employees were passengers under that contract;</w:t>
      </w:r>
      <w:r>
        <w:rPr>
          <w:rStyle w:val="FootnoteReference"/>
          <w:rFonts w:ascii="Arial" w:hAnsi="Arial" w:cs="Arial"/>
          <w:noProof/>
          <w:lang w:val="en-GB"/>
        </w:rPr>
        <w:footnoteReference w:id="404"/>
      </w:r>
    </w:p>
    <w:p>
      <w:pPr>
        <w:pStyle w:val="Lijstje2"/>
        <w:rPr>
          <w:rFonts w:ascii="Arial" w:hAnsi="Arial" w:cs="Arial"/>
          <w:noProof/>
          <w:lang w:val="en-GB"/>
        </w:rPr>
      </w:pPr>
      <w:r>
        <w:rPr>
          <w:rFonts w:ascii="Arial" w:hAnsi="Arial" w:cs="Arial"/>
          <w:i/>
          <w:noProof/>
          <w:lang w:val="en-GB"/>
        </w:rPr>
        <w:t>Hungary</w:t>
      </w:r>
      <w:r>
        <w:rPr>
          <w:rFonts w:ascii="Arial" w:hAnsi="Arial" w:cs="Arial"/>
          <w:noProof/>
          <w:lang w:val="en-GB"/>
        </w:rPr>
        <w:t>: both the driver and/or the transport undertaking employing the driver can be held liable for infringements of the Regulation on the harmonisation of certain social legislation relating to road transport;</w:t>
      </w:r>
      <w:r>
        <w:rPr>
          <w:rStyle w:val="FootnoteReference"/>
          <w:rFonts w:ascii="Arial" w:hAnsi="Arial" w:cs="Arial"/>
          <w:noProof/>
          <w:lang w:val="en-GB"/>
        </w:rPr>
        <w:footnoteReference w:id="405"/>
      </w:r>
    </w:p>
    <w:p>
      <w:pPr>
        <w:pStyle w:val="Lijstje2"/>
        <w:rPr>
          <w:rFonts w:ascii="Arial" w:hAnsi="Arial" w:cs="Arial"/>
          <w:noProof/>
          <w:lang w:val="en-GB"/>
        </w:rPr>
      </w:pPr>
      <w:r>
        <w:rPr>
          <w:rFonts w:ascii="Arial" w:hAnsi="Arial" w:cs="Arial"/>
          <w:i/>
          <w:noProof/>
          <w:lang w:val="en-GB"/>
        </w:rPr>
        <w:t>Netherlands</w:t>
      </w:r>
      <w:r>
        <w:rPr>
          <w:rFonts w:ascii="Arial" w:hAnsi="Arial" w:cs="Arial"/>
          <w:noProof/>
          <w:lang w:val="en-GB"/>
        </w:rPr>
        <w:t>: the national authorities carrying out general monitoring tasks with regard to air passengers’ rights</w:t>
      </w:r>
      <w:r>
        <w:rPr>
          <w:rStyle w:val="FootnoteReference"/>
          <w:rFonts w:ascii="Arial" w:hAnsi="Arial" w:cs="Arial"/>
          <w:noProof/>
          <w:lang w:val="en-GB"/>
        </w:rPr>
        <w:footnoteReference w:id="406"/>
      </w:r>
      <w:r>
        <w:rPr>
          <w:rFonts w:ascii="Arial" w:hAnsi="Arial" w:cs="Arial"/>
          <w:noProof/>
          <w:lang w:val="en-GB"/>
        </w:rPr>
        <w:t xml:space="preserve"> are not required to take enforcement action in each individual case with a view to compelling air carriers to pay compensation. However, Member States have discretion in allocating the powers which they will give to such authorities and can nevertheless empower them to act on individual complaints.</w:t>
      </w:r>
      <w:r>
        <w:rPr>
          <w:rStyle w:val="FootnoteReference"/>
          <w:rFonts w:ascii="Arial" w:hAnsi="Arial" w:cs="Arial"/>
          <w:noProof/>
          <w:lang w:val="en-GB"/>
        </w:rPr>
        <w:footnoteReference w:id="407"/>
      </w:r>
    </w:p>
    <w:p>
      <w:pPr>
        <w:numPr>
          <w:ilvl w:val="0"/>
          <w:numId w:val="30"/>
        </w:numPr>
        <w:rPr>
          <w:caps/>
          <w:noProof/>
          <w:color w:val="4F81BD"/>
          <w:sz w:val="24"/>
          <w:szCs w:val="24"/>
        </w:rPr>
      </w:pPr>
      <w:r>
        <w:rPr>
          <w:caps/>
          <w:noProof/>
          <w:color w:val="4F81BD"/>
          <w:sz w:val="24"/>
          <w:szCs w:val="24"/>
        </w:rPr>
        <w:t>Outlook</w:t>
      </w:r>
    </w:p>
    <w:p>
      <w:pPr>
        <w:spacing w:after="60"/>
        <w:ind w:left="360"/>
        <w:jc w:val="left"/>
        <w:outlineLvl w:val="1"/>
        <w:rPr>
          <w:noProof/>
          <w:color w:val="002060"/>
          <w:sz w:val="20"/>
        </w:rPr>
      </w:pPr>
      <w:r>
        <w:rPr>
          <w:noProof/>
          <w:color w:val="002060"/>
          <w:sz w:val="20"/>
        </w:rPr>
        <w:t>Important implementation work in 2017 includes:</w:t>
      </w:r>
    </w:p>
    <w:p>
      <w:pPr>
        <w:pStyle w:val="ListParagraph"/>
        <w:numPr>
          <w:ilvl w:val="0"/>
          <w:numId w:val="139"/>
        </w:numPr>
        <w:ind w:left="1276"/>
        <w:rPr>
          <w:rFonts w:eastAsia="Calibri" w:cs="Arial"/>
          <w:noProof/>
          <w:color w:val="000000"/>
          <w:kern w:val="20"/>
          <w:sz w:val="20"/>
          <w:lang w:eastAsia="en-GB"/>
        </w:rPr>
      </w:pPr>
      <w:r>
        <w:rPr>
          <w:rFonts w:cs="Arial"/>
          <w:noProof/>
          <w:sz w:val="20"/>
        </w:rPr>
        <w:t xml:space="preserve">monitoring and following up on the transposition of Directives with a transposition deadline in 2016. This includes three </w:t>
      </w:r>
      <w:r>
        <w:rPr>
          <w:noProof/>
          <w:sz w:val="20"/>
        </w:rPr>
        <w:t>that aim to improve road safety and set minimum common standards across the European Union, namely the Directives on</w:t>
      </w:r>
      <w:r>
        <w:rPr>
          <w:rFonts w:cs="Arial"/>
          <w:noProof/>
          <w:sz w:val="20"/>
        </w:rPr>
        <w:t>:</w:t>
      </w:r>
    </w:p>
    <w:p>
      <w:pPr>
        <w:pStyle w:val="ListParagraph"/>
        <w:numPr>
          <w:ilvl w:val="0"/>
          <w:numId w:val="108"/>
        </w:numPr>
        <w:rPr>
          <w:noProof/>
          <w:sz w:val="20"/>
        </w:rPr>
      </w:pPr>
      <w:r>
        <w:rPr>
          <w:noProof/>
          <w:sz w:val="20"/>
        </w:rPr>
        <w:t>periodic vehicle inspections;</w:t>
      </w:r>
      <w:r>
        <w:rPr>
          <w:rStyle w:val="FootnoteReference"/>
          <w:noProof/>
          <w:sz w:val="20"/>
        </w:rPr>
        <w:footnoteReference w:id="408"/>
      </w:r>
    </w:p>
    <w:p>
      <w:pPr>
        <w:pStyle w:val="ListParagraph"/>
        <w:numPr>
          <w:ilvl w:val="0"/>
          <w:numId w:val="108"/>
        </w:numPr>
        <w:rPr>
          <w:noProof/>
          <w:sz w:val="20"/>
        </w:rPr>
      </w:pPr>
      <w:r>
        <w:rPr>
          <w:noProof/>
          <w:sz w:val="20"/>
        </w:rPr>
        <w:t>registration documents;</w:t>
      </w:r>
      <w:r>
        <w:rPr>
          <w:rStyle w:val="FootnoteReference"/>
          <w:noProof/>
          <w:sz w:val="20"/>
        </w:rPr>
        <w:footnoteReference w:id="409"/>
      </w:r>
    </w:p>
    <w:p>
      <w:pPr>
        <w:pStyle w:val="ListParagraph"/>
        <w:numPr>
          <w:ilvl w:val="0"/>
          <w:numId w:val="108"/>
        </w:numPr>
        <w:rPr>
          <w:noProof/>
          <w:sz w:val="20"/>
        </w:rPr>
      </w:pPr>
      <w:r>
        <w:rPr>
          <w:noProof/>
          <w:sz w:val="20"/>
        </w:rPr>
        <w:t>roadside inspections of commercial vehicles;</w:t>
      </w:r>
      <w:r>
        <w:rPr>
          <w:rStyle w:val="FootnoteReference"/>
          <w:noProof/>
          <w:sz w:val="20"/>
        </w:rPr>
        <w:footnoteReference w:id="410"/>
      </w:r>
    </w:p>
    <w:p>
      <w:pPr>
        <w:pStyle w:val="ListParagraph"/>
        <w:numPr>
          <w:ilvl w:val="0"/>
          <w:numId w:val="108"/>
        </w:numPr>
        <w:ind w:left="1276"/>
        <w:rPr>
          <w:noProof/>
          <w:sz w:val="20"/>
        </w:rPr>
      </w:pPr>
      <w:r>
        <w:rPr>
          <w:rFonts w:cs="Arial"/>
          <w:noProof/>
          <w:sz w:val="20"/>
        </w:rPr>
        <w:t xml:space="preserve">following up Court judgments expected on </w:t>
      </w:r>
      <w:r>
        <w:rPr>
          <w:noProof/>
          <w:sz w:val="20"/>
        </w:rPr>
        <w:t>several issues relating to the incorrect implementation of the Directive on the separation of accounts of railway undertakings and railway infrastructure managers and on the use of charges for railway infrastructure;</w:t>
      </w:r>
      <w:r>
        <w:rPr>
          <w:rStyle w:val="FootnoteReference"/>
          <w:noProof/>
          <w:sz w:val="20"/>
        </w:rPr>
        <w:footnoteReference w:id="411"/>
      </w:r>
    </w:p>
    <w:p>
      <w:pPr>
        <w:pStyle w:val="ListParagraph"/>
        <w:numPr>
          <w:ilvl w:val="0"/>
          <w:numId w:val="108"/>
        </w:numPr>
        <w:tabs>
          <w:tab w:val="left" w:pos="1843"/>
        </w:tabs>
        <w:ind w:left="1276"/>
        <w:rPr>
          <w:noProof/>
          <w:sz w:val="20"/>
        </w:rPr>
      </w:pPr>
      <w:r>
        <w:rPr>
          <w:noProof/>
          <w:sz w:val="20"/>
        </w:rPr>
        <w:t>assessing the transposition and conformity of national measures implementing the Directive on the deployment of alternative fuels infrastructure;</w:t>
      </w:r>
      <w:r>
        <w:rPr>
          <w:rStyle w:val="FootnoteReference"/>
          <w:noProof/>
          <w:sz w:val="20"/>
        </w:rPr>
        <w:footnoteReference w:id="412"/>
      </w:r>
    </w:p>
    <w:p>
      <w:pPr>
        <w:pStyle w:val="ListParagraph"/>
        <w:numPr>
          <w:ilvl w:val="0"/>
          <w:numId w:val="108"/>
        </w:numPr>
        <w:ind w:left="1276"/>
        <w:rPr>
          <w:noProof/>
          <w:sz w:val="20"/>
        </w:rPr>
      </w:pPr>
      <w:r>
        <w:rPr>
          <w:noProof/>
          <w:sz w:val="20"/>
        </w:rPr>
        <w:t>closely monitoring general issues regarding limitations on market access as well as safety and security in all modes of transport.</w:t>
      </w:r>
    </w:p>
    <w:p>
      <w:pPr>
        <w:spacing w:after="0"/>
        <w:jc w:val="left"/>
        <w:rPr>
          <w:noProof/>
          <w:sz w:val="20"/>
        </w:rPr>
        <w:sectPr>
          <w:headerReference w:type="even" r:id="rId186"/>
          <w:headerReference w:type="default" r:id="rId187"/>
          <w:footerReference w:type="even" r:id="rId188"/>
          <w:footerReference w:type="default" r:id="rId189"/>
          <w:headerReference w:type="first" r:id="rId190"/>
          <w:footerReference w:type="first" r:id="rId191"/>
          <w:footnotePr>
            <w:numRestart w:val="eachSect"/>
          </w:footnotePr>
          <w:pgSz w:w="11906" w:h="16838"/>
          <w:pgMar w:top="1702" w:right="1417" w:bottom="1134" w:left="1417" w:header="708" w:footer="708" w:gutter="0"/>
          <w:cols w:space="708"/>
          <w:titlePg/>
          <w:docGrid w:linePitch="360"/>
        </w:sectPr>
      </w:pPr>
      <w:r>
        <w:rPr>
          <w:noProof/>
          <w:sz w:val="20"/>
        </w:rPr>
        <w:br w:type="page"/>
      </w:r>
    </w:p>
    <w:p>
      <w:pPr>
        <w:pStyle w:val="Heading1"/>
        <w:ind w:left="0"/>
        <w:rPr>
          <w:noProof/>
        </w:rPr>
      </w:pPr>
      <w:bookmarkStart w:id="105" w:name="_Toc443057947"/>
      <w:bookmarkStart w:id="106" w:name="_Toc475524742"/>
      <w:bookmarkStart w:id="107" w:name="_Toc475529509"/>
      <w:bookmarkStart w:id="108" w:name="_Toc475529548"/>
      <w:bookmarkStart w:id="109" w:name="_Toc475529876"/>
      <w:bookmarkStart w:id="110" w:name="_Toc475550841"/>
      <w:bookmarkStart w:id="111" w:name="_Toc475551381"/>
      <w:bookmarkStart w:id="112" w:name="_Toc484622470"/>
      <w:r>
        <w:rPr>
          <w:noProof/>
        </w:rPr>
        <w:t>Taxation and customs union</w:t>
      </w:r>
      <w:bookmarkEnd w:id="105"/>
      <w:bookmarkEnd w:id="106"/>
      <w:bookmarkEnd w:id="107"/>
      <w:bookmarkEnd w:id="108"/>
      <w:bookmarkEnd w:id="109"/>
      <w:bookmarkEnd w:id="110"/>
      <w:bookmarkEnd w:id="111"/>
      <w:bookmarkEnd w:id="112"/>
    </w:p>
    <w:p>
      <w:pPr>
        <w:rPr>
          <w:i/>
          <w:noProof/>
        </w:rPr>
      </w:pPr>
      <w:r>
        <w:rPr>
          <w:i/>
          <w:noProof/>
        </w:rPr>
        <w:t>The number of new complaints in the area of taxation and customs union fell again slightly in 2016 while the number of new EU Pilot files increased somewhat. There were slightly more infringement cases pending at the end of the year than a year before. The number of late transposition cases sharply increased due to the expiry of the deadlines for transposing three directives.</w:t>
      </w:r>
    </w:p>
    <w:p>
      <w:pPr>
        <w:pStyle w:val="Title1"/>
        <w:numPr>
          <w:ilvl w:val="0"/>
          <w:numId w:val="45"/>
        </w:numPr>
        <w:rPr>
          <w:noProof/>
        </w:rPr>
      </w:pPr>
      <w:r>
        <w:rPr>
          <w:noProof/>
        </w:rPr>
        <w:t>COMPLAINTS</w:t>
      </w:r>
    </w:p>
    <w:p>
      <w:pPr>
        <w:numPr>
          <w:ilvl w:val="0"/>
          <w:numId w:val="102"/>
        </w:numPr>
        <w:spacing w:after="60"/>
        <w:jc w:val="left"/>
        <w:outlineLvl w:val="1"/>
        <w:rPr>
          <w:noProof/>
          <w:color w:val="002060"/>
          <w:szCs w:val="22"/>
        </w:rPr>
      </w:pPr>
      <w:r>
        <w:rPr>
          <w:noProof/>
          <w:color w:val="002060"/>
          <w:szCs w:val="22"/>
        </w:rPr>
        <w:t>New complaints received from members of the public (2012-2016)</w:t>
      </w:r>
    </w:p>
    <w:p>
      <w:pPr>
        <w:ind w:left="720"/>
        <w:rPr>
          <w:rFonts w:ascii="Verdana" w:hAnsi="Verdana"/>
          <w:noProof/>
          <w:sz w:val="20"/>
        </w:rPr>
      </w:pPr>
      <w:r>
        <w:rPr>
          <w:rFonts w:ascii="Verdana" w:hAnsi="Verdana"/>
          <w:noProof/>
          <w:sz w:val="20"/>
          <w:lang w:val="en-US"/>
        </w:rPr>
        <w:drawing>
          <wp:inline distT="0" distB="0" distL="0" distR="0">
            <wp:extent cx="4600575" cy="2362200"/>
            <wp:effectExtent l="0" t="0" r="9525" b="19050"/>
            <wp:docPr id="5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numPr>
          <w:ilvl w:val="0"/>
          <w:numId w:val="102"/>
        </w:numPr>
        <w:spacing w:after="60"/>
        <w:jc w:val="left"/>
        <w:outlineLvl w:val="1"/>
        <w:rPr>
          <w:noProof/>
          <w:color w:val="002060"/>
          <w:szCs w:val="22"/>
        </w:rPr>
      </w:pPr>
      <w:r>
        <w:rPr>
          <w:noProof/>
          <w:color w:val="002060"/>
          <w:szCs w:val="22"/>
        </w:rPr>
        <w:t>Public complaints open a year-end</w:t>
      </w:r>
    </w:p>
    <w:tbl>
      <w:tblPr>
        <w:tblStyle w:val="Style1"/>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335</w:t>
            </w:r>
          </w:p>
        </w:tc>
        <w:tc>
          <w:tcPr>
            <w:tcW w:w="355"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cs="Arial"/>
                <w:noProof/>
                <w:color w:val="548DD4" w:themeColor="text2" w:themeTint="99"/>
                <w:szCs w:val="28"/>
              </w:rPr>
            </w:pPr>
            <w:r>
              <w:rPr>
                <w:rFonts w:cs="Arial"/>
                <w:noProof/>
                <w:color w:val="548DD4" w:themeColor="text2" w:themeTint="99"/>
                <w:szCs w:val="28"/>
              </w:rPr>
              <w:t>406</w:t>
            </w:r>
          </w:p>
        </w:tc>
        <w:tc>
          <w:tcPr>
            <w:tcW w:w="355"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cs="Arial"/>
                <w:noProof/>
                <w:color w:val="548DD4" w:themeColor="text2" w:themeTint="99"/>
                <w:szCs w:val="28"/>
              </w:rPr>
            </w:pPr>
            <w:r>
              <w:rPr>
                <w:rFonts w:cs="Arial"/>
                <w:noProof/>
                <w:color w:val="548DD4" w:themeColor="text2" w:themeTint="99"/>
                <w:szCs w:val="28"/>
              </w:rPr>
              <w:t>401</w:t>
            </w:r>
          </w:p>
        </w:tc>
        <w:tc>
          <w:tcPr>
            <w:tcW w:w="355"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cs="Arial"/>
                <w:noProof/>
                <w:color w:val="C00000"/>
                <w:szCs w:val="28"/>
              </w:rPr>
            </w:pPr>
            <w:r>
              <w:rPr>
                <w:rFonts w:cs="Arial"/>
                <w:noProof/>
                <w:color w:val="C00000"/>
                <w:szCs w:val="28"/>
              </w:rPr>
              <w:t>= 340</w:t>
            </w:r>
          </w:p>
        </w:tc>
        <w:tc>
          <w:tcPr>
            <w:tcW w:w="355" w:type="dxa"/>
            <w:vAlign w:val="center"/>
          </w:tcPr>
          <w:p>
            <w:pPr>
              <w:spacing w:after="0"/>
              <w:jc w:val="right"/>
              <w:rPr>
                <w:rFonts w:cs="Arial"/>
                <w:noProof/>
                <w:color w:val="548DD4" w:themeColor="text2" w:themeTint="99"/>
                <w:szCs w:val="28"/>
              </w:rPr>
            </w:pPr>
            <w:r>
              <w:rPr>
                <w:rFonts w:cs="Arial"/>
                <w:noProof/>
                <w:color w:val="548DD4" w:themeColor="text2" w:themeTint="99"/>
                <w:szCs w:val="28"/>
              </w:rPr>
              <w:t>&gt;</w:t>
            </w:r>
          </w:p>
        </w:tc>
        <w:tc>
          <w:tcPr>
            <w:tcW w:w="5310" w:type="dxa"/>
            <w:vAlign w:val="center"/>
          </w:tcPr>
          <w:p>
            <w:pPr>
              <w:spacing w:after="0"/>
              <w:jc w:val="left"/>
              <w:rPr>
                <w:rFonts w:cs="Arial"/>
                <w:noProof/>
                <w:color w:val="548DD4" w:themeColor="text2" w:themeTint="99"/>
                <w:szCs w:val="28"/>
              </w:rPr>
            </w:pPr>
            <w:r>
              <w:rPr>
                <w:rFonts w:cs="Arial"/>
                <w:noProof/>
                <w:color w:val="548DD4" w:themeColor="text2" w:themeTint="99"/>
                <w:szCs w:val="28"/>
              </w:rPr>
              <w:t>Complaints open at end-2016</w:t>
            </w:r>
          </w:p>
        </w:tc>
      </w:tr>
    </w:tbl>
    <w:p>
      <w:pPr>
        <w:spacing w:after="0"/>
        <w:jc w:val="left"/>
        <w:rPr>
          <w:noProof/>
          <w:color w:val="002060"/>
          <w:sz w:val="20"/>
          <w:szCs w:val="22"/>
        </w:rPr>
      </w:pPr>
    </w:p>
    <w:p>
      <w:pPr>
        <w:numPr>
          <w:ilvl w:val="0"/>
          <w:numId w:val="102"/>
        </w:numPr>
        <w:spacing w:after="60"/>
        <w:jc w:val="left"/>
        <w:outlineLvl w:val="1"/>
        <w:rPr>
          <w:noProof/>
          <w:color w:val="002060"/>
          <w:szCs w:val="22"/>
        </w:rPr>
      </w:pPr>
      <w:r>
        <w:rPr>
          <w:noProof/>
          <w:color w:val="002060"/>
          <w:szCs w:val="22"/>
        </w:rPr>
        <w:t>New complaints registered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270760"/>
            <wp:effectExtent l="0" t="0" r="22860" b="15240"/>
            <wp:docPr id="56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spacing w:after="0"/>
        <w:jc w:val="left"/>
        <w:rPr>
          <w:caps/>
          <w:noProof/>
          <w:color w:val="4F81BD"/>
          <w:sz w:val="24"/>
          <w:szCs w:val="24"/>
        </w:rPr>
      </w:pPr>
      <w:r>
        <w:rPr>
          <w:caps/>
          <w:noProof/>
          <w:color w:val="4F81BD"/>
          <w:sz w:val="24"/>
          <w:szCs w:val="24"/>
        </w:rPr>
        <w:br w:type="page"/>
      </w:r>
    </w:p>
    <w:p>
      <w:pPr>
        <w:numPr>
          <w:ilvl w:val="0"/>
          <w:numId w:val="30"/>
        </w:numPr>
        <w:rPr>
          <w:caps/>
          <w:noProof/>
          <w:color w:val="4F81BD"/>
          <w:sz w:val="24"/>
          <w:szCs w:val="24"/>
        </w:rPr>
      </w:pPr>
      <w:r>
        <w:rPr>
          <w:caps/>
          <w:noProof/>
          <w:color w:val="4F81BD"/>
          <w:sz w:val="24"/>
          <w:szCs w:val="24"/>
        </w:rPr>
        <w:t>EU PILOT</w:t>
      </w:r>
    </w:p>
    <w:p>
      <w:pPr>
        <w:numPr>
          <w:ilvl w:val="0"/>
          <w:numId w:val="103"/>
        </w:numPr>
        <w:spacing w:after="60"/>
        <w:jc w:val="left"/>
        <w:outlineLvl w:val="1"/>
        <w:rPr>
          <w:noProof/>
          <w:color w:val="002060"/>
          <w:szCs w:val="22"/>
        </w:rPr>
      </w:pPr>
      <w:r>
        <w:rPr>
          <w:noProof/>
          <w:color w:val="002060"/>
          <w:szCs w:val="22"/>
        </w:rPr>
        <w:t>New EU Pilot files (2012-2016)</w:t>
      </w:r>
    </w:p>
    <w:p>
      <w:pPr>
        <w:ind w:left="720"/>
        <w:rPr>
          <w:rFonts w:ascii="Verdana" w:hAnsi="Verdana"/>
          <w:noProof/>
          <w:sz w:val="20"/>
        </w:rPr>
      </w:pPr>
      <w:r>
        <w:rPr>
          <w:rFonts w:ascii="Verdana" w:hAnsi="Verdana"/>
          <w:noProof/>
          <w:sz w:val="20"/>
          <w:lang w:val="en-US"/>
        </w:rPr>
        <w:drawing>
          <wp:inline distT="0" distB="0" distL="0" distR="0">
            <wp:extent cx="4562475" cy="2343150"/>
            <wp:effectExtent l="0" t="0" r="9525" b="19050"/>
            <wp:docPr id="57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numPr>
          <w:ilvl w:val="0"/>
          <w:numId w:val="103"/>
        </w:numPr>
        <w:spacing w:after="60"/>
        <w:jc w:val="left"/>
        <w:outlineLvl w:val="1"/>
        <w:rPr>
          <w:noProof/>
          <w:color w:val="002060"/>
          <w:szCs w:val="22"/>
        </w:rPr>
      </w:pPr>
      <w:r>
        <w:rPr>
          <w:noProof/>
          <w:color w:val="002060"/>
          <w:szCs w:val="22"/>
        </w:rPr>
        <w:t>EU Pilot files open at year-end</w:t>
      </w:r>
    </w:p>
    <w:p>
      <w:pPr>
        <w:pStyle w:val="ListParagraph"/>
        <w:rPr>
          <w:noProof/>
          <w:sz w:val="20"/>
        </w:rPr>
      </w:pPr>
      <w:r>
        <w:rPr>
          <w:noProof/>
          <w:sz w:val="20"/>
        </w:rPr>
        <w:t>At the end of 2016, 127 EU Pilot files remained open.</w:t>
      </w:r>
    </w:p>
    <w:p>
      <w:pPr>
        <w:numPr>
          <w:ilvl w:val="0"/>
          <w:numId w:val="103"/>
        </w:numPr>
        <w:spacing w:after="60"/>
        <w:jc w:val="left"/>
        <w:outlineLvl w:val="1"/>
        <w:rPr>
          <w:noProof/>
          <w:color w:val="002060"/>
          <w:szCs w:val="22"/>
        </w:rPr>
      </w:pPr>
      <w:r>
        <w:rPr>
          <w:noProof/>
          <w:color w:val="002060"/>
          <w:szCs w:val="22"/>
        </w:rPr>
        <w:t>New EU Pilot files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602480" cy="2278380"/>
            <wp:effectExtent l="0" t="0" r="26670" b="26670"/>
            <wp:docPr id="57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numPr>
          <w:ilvl w:val="0"/>
          <w:numId w:val="103"/>
        </w:numPr>
        <w:spacing w:after="60"/>
        <w:jc w:val="left"/>
        <w:outlineLvl w:val="1"/>
        <w:rPr>
          <w:noProof/>
        </w:rPr>
      </w:pPr>
      <w:r>
        <w:rPr>
          <w:noProof/>
        </w:rPr>
        <w:t>EU Pilot files: resolution rate for policies (2012-2016)</w:t>
      </w:r>
    </w:p>
    <w:p>
      <w:pPr>
        <w:ind w:left="720"/>
        <w:rPr>
          <w:rFonts w:ascii="Verdana" w:hAnsi="Verdana"/>
          <w:noProof/>
          <w:sz w:val="20"/>
        </w:rPr>
      </w:pPr>
      <w:r>
        <w:rPr>
          <w:noProof/>
          <w:color w:val="002060"/>
          <w:szCs w:val="22"/>
        </w:rPr>
        <w:t xml:space="preserve"> </w:t>
      </w:r>
      <w:r>
        <w:rPr>
          <w:rFonts w:ascii="Verdana" w:hAnsi="Verdana"/>
          <w:noProof/>
          <w:sz w:val="20"/>
          <w:lang w:val="en-US"/>
        </w:rPr>
        <w:drawing>
          <wp:inline distT="0" distB="0" distL="0" distR="0">
            <wp:extent cx="4600575" cy="2314575"/>
            <wp:effectExtent l="0" t="0" r="9525" b="9525"/>
            <wp:docPr id="57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numPr>
          <w:ilvl w:val="0"/>
          <w:numId w:val="30"/>
        </w:numPr>
        <w:rPr>
          <w:caps/>
          <w:noProof/>
          <w:color w:val="4F81BD"/>
          <w:sz w:val="24"/>
          <w:szCs w:val="24"/>
        </w:rPr>
      </w:pPr>
      <w:r>
        <w:rPr>
          <w:caps/>
          <w:noProof/>
          <w:color w:val="4F81BD"/>
          <w:sz w:val="24"/>
          <w:szCs w:val="24"/>
        </w:rPr>
        <w:t>OWN-INITIATIVE CASES</w:t>
      </w:r>
    </w:p>
    <w:p>
      <w:pPr>
        <w:spacing w:after="120"/>
        <w:ind w:left="357"/>
        <w:jc w:val="left"/>
        <w:outlineLvl w:val="1"/>
        <w:rPr>
          <w:noProof/>
          <w:color w:val="002060"/>
          <w:szCs w:val="22"/>
        </w:rPr>
      </w:pPr>
      <w:r>
        <w:rPr>
          <w:noProof/>
          <w:color w:val="002060"/>
          <w:szCs w:val="22"/>
        </w:rPr>
        <w:t>New own-initiative infringement cases</w:t>
      </w:r>
    </w:p>
    <w:p>
      <w:pPr>
        <w:pStyle w:val="Basis"/>
        <w:rPr>
          <w:rFonts w:ascii="Arial" w:hAnsi="Arial" w:cs="Arial"/>
          <w:noProof/>
          <w:lang w:val="en-GB"/>
        </w:rPr>
      </w:pPr>
      <w:r>
        <w:rPr>
          <w:rFonts w:ascii="Arial" w:hAnsi="Arial" w:cs="Arial"/>
          <w:noProof/>
          <w:lang w:val="en-GB"/>
        </w:rPr>
        <w:t>In 2016, the Commission opened own-initiative infringement cases over the following:</w:t>
      </w:r>
    </w:p>
    <w:p>
      <w:pPr>
        <w:pStyle w:val="Basis"/>
        <w:numPr>
          <w:ilvl w:val="0"/>
          <w:numId w:val="33"/>
        </w:numPr>
        <w:ind w:left="1417" w:hanging="357"/>
        <w:contextualSpacing/>
        <w:rPr>
          <w:rFonts w:ascii="Arial" w:hAnsi="Arial" w:cs="Arial"/>
          <w:noProof/>
          <w:lang w:val="en-GB"/>
        </w:rPr>
      </w:pPr>
      <w:r>
        <w:rPr>
          <w:rFonts w:ascii="Arial" w:hAnsi="Arial" w:cs="Arial"/>
          <w:noProof/>
          <w:lang w:val="en-GB"/>
        </w:rPr>
        <w:t>in the area of indirect taxation: difficulties in refund of VAT;</w:t>
      </w:r>
    </w:p>
    <w:p>
      <w:pPr>
        <w:pStyle w:val="Basis"/>
        <w:numPr>
          <w:ilvl w:val="0"/>
          <w:numId w:val="33"/>
        </w:numPr>
        <w:ind w:left="1417" w:hanging="357"/>
        <w:contextualSpacing/>
        <w:rPr>
          <w:rFonts w:ascii="Arial" w:hAnsi="Arial" w:cs="Arial"/>
          <w:noProof/>
          <w:lang w:val="en-GB"/>
        </w:rPr>
      </w:pPr>
      <w:r>
        <w:rPr>
          <w:rFonts w:ascii="Arial" w:hAnsi="Arial" w:cs="Arial"/>
          <w:noProof/>
          <w:lang w:val="en-GB"/>
        </w:rPr>
        <w:t>in the area of direct taxation: most own-initiative cases stem from an EU-wide compliance check</w:t>
      </w:r>
      <w:r>
        <w:rPr>
          <w:rStyle w:val="FootnoteReference"/>
          <w:rFonts w:ascii="Arial" w:hAnsi="Arial" w:cs="Arial"/>
          <w:noProof/>
          <w:lang w:val="en-GB"/>
        </w:rPr>
        <w:footnoteReference w:id="413"/>
      </w:r>
      <w:r>
        <w:rPr>
          <w:rFonts w:ascii="Arial" w:hAnsi="Arial" w:cs="Arial"/>
          <w:noProof/>
          <w:lang w:val="en-GB"/>
        </w:rPr>
        <w:t xml:space="preserve"> which examines the tax treatment of persons who actually move from one EU Member State to another; and</w:t>
      </w:r>
    </w:p>
    <w:p>
      <w:pPr>
        <w:pStyle w:val="Basis"/>
        <w:numPr>
          <w:ilvl w:val="0"/>
          <w:numId w:val="33"/>
        </w:numPr>
        <w:ind w:left="1417" w:hanging="357"/>
        <w:contextualSpacing/>
        <w:rPr>
          <w:rFonts w:ascii="Arial" w:hAnsi="Arial" w:cs="Arial"/>
          <w:noProof/>
          <w:lang w:val="en-GB"/>
        </w:rPr>
      </w:pPr>
      <w:r>
        <w:rPr>
          <w:rFonts w:ascii="Arial" w:hAnsi="Arial" w:cs="Arial"/>
          <w:noProof/>
          <w:lang w:val="en-GB"/>
        </w:rPr>
        <w:t>in the area of customs: own-initiative cases were launched over cash control.</w:t>
      </w:r>
    </w:p>
    <w:p>
      <w:pPr>
        <w:numPr>
          <w:ilvl w:val="0"/>
          <w:numId w:val="30"/>
        </w:numPr>
        <w:spacing w:before="240"/>
        <w:ind w:left="714" w:hanging="357"/>
        <w:rPr>
          <w:caps/>
          <w:noProof/>
          <w:color w:val="4F81BD"/>
          <w:sz w:val="24"/>
          <w:szCs w:val="24"/>
        </w:rPr>
      </w:pPr>
      <w:r>
        <w:rPr>
          <w:caps/>
          <w:noProof/>
          <w:color w:val="4F81BD"/>
          <w:sz w:val="24"/>
          <w:szCs w:val="24"/>
        </w:rPr>
        <w:t>INFRINGEMENT CASES</w:t>
      </w:r>
    </w:p>
    <w:p>
      <w:pPr>
        <w:numPr>
          <w:ilvl w:val="0"/>
          <w:numId w:val="104"/>
        </w:numPr>
        <w:spacing w:after="120"/>
        <w:ind w:left="714" w:hanging="357"/>
        <w:jc w:val="left"/>
        <w:outlineLvl w:val="1"/>
        <w:rPr>
          <w:noProof/>
          <w:color w:val="002060"/>
          <w:szCs w:val="22"/>
        </w:rPr>
      </w:pPr>
      <w:r>
        <w:rPr>
          <w:noProof/>
          <w:color w:val="002060"/>
          <w:szCs w:val="22"/>
        </w:rPr>
        <w:t>Infringement cases open on 31 December (2012-2016)</w:t>
      </w:r>
    </w:p>
    <w:p>
      <w:pPr>
        <w:ind w:left="720"/>
        <w:rPr>
          <w:rFonts w:cs="Arial"/>
          <w:noProof/>
          <w:sz w:val="20"/>
        </w:rPr>
      </w:pPr>
      <w:r>
        <w:rPr>
          <w:rFonts w:ascii="Verdana" w:hAnsi="Verdana"/>
          <w:noProof/>
          <w:sz w:val="20"/>
          <w:lang w:val="en-US"/>
        </w:rPr>
        <w:drawing>
          <wp:inline distT="0" distB="0" distL="0" distR="0">
            <wp:extent cx="4610100" cy="2219325"/>
            <wp:effectExtent l="0" t="0" r="19050" b="9525"/>
            <wp:docPr id="57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numPr>
          <w:ilvl w:val="0"/>
          <w:numId w:val="104"/>
        </w:numPr>
        <w:spacing w:after="120"/>
        <w:ind w:left="714" w:hanging="357"/>
        <w:jc w:val="left"/>
        <w:outlineLvl w:val="1"/>
        <w:rPr>
          <w:noProof/>
          <w:color w:val="002060"/>
          <w:szCs w:val="22"/>
        </w:rPr>
      </w:pPr>
      <w:r>
        <w:rPr>
          <w:noProof/>
          <w:color w:val="002060"/>
          <w:szCs w:val="22"/>
        </w:rPr>
        <w:t>Infringement cases open on 31 December 2016: main policy sectors</w:t>
      </w:r>
    </w:p>
    <w:p>
      <w:pPr>
        <w:ind w:left="720"/>
        <w:rPr>
          <w:rFonts w:ascii="Verdana" w:hAnsi="Verdana"/>
          <w:noProof/>
          <w:sz w:val="20"/>
        </w:rPr>
      </w:pPr>
      <w:r>
        <w:rPr>
          <w:rFonts w:ascii="Verdana" w:hAnsi="Verdana"/>
          <w:noProof/>
          <w:sz w:val="20"/>
          <w:lang w:val="en-US"/>
        </w:rPr>
        <w:drawing>
          <wp:inline distT="0" distB="0" distL="0" distR="0">
            <wp:extent cx="4587240" cy="2468880"/>
            <wp:effectExtent l="0" t="0" r="22860" b="26670"/>
            <wp:docPr id="57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spacing w:after="0"/>
        <w:jc w:val="left"/>
        <w:rPr>
          <w:noProof/>
          <w:color w:val="002060"/>
          <w:szCs w:val="22"/>
        </w:rPr>
      </w:pPr>
      <w:r>
        <w:rPr>
          <w:noProof/>
          <w:color w:val="002060"/>
          <w:szCs w:val="22"/>
        </w:rPr>
        <w:br w:type="page"/>
      </w:r>
    </w:p>
    <w:p>
      <w:pPr>
        <w:numPr>
          <w:ilvl w:val="0"/>
          <w:numId w:val="104"/>
        </w:numPr>
        <w:spacing w:after="120"/>
        <w:ind w:left="714" w:hanging="357"/>
        <w:jc w:val="left"/>
        <w:outlineLvl w:val="1"/>
        <w:rPr>
          <w:noProof/>
          <w:color w:val="002060"/>
          <w:szCs w:val="22"/>
        </w:rPr>
      </w:pPr>
      <w:r>
        <w:rPr>
          <w:noProof/>
          <w:color w:val="002060"/>
          <w:szCs w:val="22"/>
        </w:rPr>
        <w:t>New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316480"/>
            <wp:effectExtent l="0" t="0" r="22860" b="26670"/>
            <wp:docPr id="57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numPr>
          <w:ilvl w:val="0"/>
          <w:numId w:val="104"/>
        </w:numPr>
        <w:ind w:left="714" w:hanging="357"/>
        <w:jc w:val="left"/>
        <w:outlineLvl w:val="1"/>
        <w:rPr>
          <w:noProof/>
          <w:color w:val="002060"/>
          <w:szCs w:val="22"/>
        </w:rPr>
      </w:pPr>
      <w:r>
        <w:rPr>
          <w:noProof/>
          <w:color w:val="002060"/>
          <w:szCs w:val="22"/>
        </w:rPr>
        <w:t>Key infringement cases and referrals to the Court</w:t>
      </w:r>
    </w:p>
    <w:p>
      <w:pPr>
        <w:pStyle w:val="Lijstje"/>
        <w:numPr>
          <w:ilvl w:val="0"/>
          <w:numId w:val="120"/>
        </w:numPr>
        <w:spacing w:after="120"/>
        <w:ind w:hanging="426"/>
        <w:rPr>
          <w:rFonts w:ascii="Arial" w:hAnsi="Arial" w:cs="Arial"/>
          <w:noProof/>
          <w:lang w:val="en-GB"/>
        </w:rPr>
      </w:pPr>
      <w:r>
        <w:rPr>
          <w:rFonts w:ascii="Arial" w:hAnsi="Arial" w:cs="Arial"/>
          <w:noProof/>
          <w:lang w:val="en-GB"/>
        </w:rPr>
        <w:t>The Commission opened 40 new infringement cases in 2016. These, and other major ongoing infringement cases, include the following:</w:t>
      </w:r>
    </w:p>
    <w:p>
      <w:pPr>
        <w:numPr>
          <w:ilvl w:val="0"/>
          <w:numId w:val="25"/>
        </w:numPr>
        <w:spacing w:after="200"/>
        <w:ind w:left="2132" w:hanging="426"/>
        <w:contextualSpacing/>
        <w:rPr>
          <w:rFonts w:eastAsia="Calibri"/>
          <w:noProof/>
          <w:kern w:val="20"/>
          <w:sz w:val="20"/>
        </w:rPr>
      </w:pPr>
      <w:r>
        <w:rPr>
          <w:rFonts w:eastAsia="Calibri" w:cs="Arial"/>
          <w:i/>
          <w:noProof/>
          <w:kern w:val="20"/>
          <w:sz w:val="20"/>
        </w:rPr>
        <w:t>Bulgaria</w:t>
      </w:r>
      <w:r>
        <w:rPr>
          <w:rFonts w:eastAsia="Calibri" w:cs="Arial"/>
          <w:noProof/>
          <w:kern w:val="20"/>
          <w:sz w:val="20"/>
        </w:rPr>
        <w:t>: disproportionate fines for not declaring cash entered into the customs union;</w:t>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Estonia</w:t>
      </w:r>
      <w:r>
        <w:rPr>
          <w:rFonts w:eastAsia="Calibri" w:cs="Arial"/>
          <w:noProof/>
          <w:kern w:val="20"/>
          <w:sz w:val="20"/>
        </w:rPr>
        <w:t>: incomplete transposition of the Directive on administrative cooperation on taxation</w:t>
      </w:r>
      <w:r>
        <w:rPr>
          <w:rStyle w:val="FootnoteReference"/>
          <w:rFonts w:cs="Arial"/>
          <w:noProof/>
          <w:sz w:val="20"/>
        </w:rPr>
        <w:footnoteReference w:id="414"/>
      </w:r>
      <w:r>
        <w:rPr>
          <w:rFonts w:eastAsia="Calibri" w:cs="Arial"/>
          <w:noProof/>
          <w:kern w:val="20"/>
          <w:sz w:val="20"/>
        </w:rPr>
        <w:t xml:space="preserve"> though a general provision broadly referring to the application of EU law in the relevant matters;</w:t>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Croatia</w:t>
      </w:r>
      <w:r>
        <w:rPr>
          <w:rFonts w:eastAsia="Calibri" w:cs="Arial"/>
          <w:noProof/>
          <w:kern w:val="20"/>
          <w:sz w:val="20"/>
        </w:rPr>
        <w:t>: the reduced excise duty rate for small producers of ethyl alcohol. This seems to be incompatible with the Excise Duty Directive on alcohol and alcoholic beverages;</w:t>
      </w:r>
      <w:r>
        <w:rPr>
          <w:rStyle w:val="FootnoteReference"/>
          <w:rFonts w:cs="Arial"/>
          <w:noProof/>
          <w:sz w:val="20"/>
        </w:rPr>
        <w:footnoteReference w:id="415"/>
      </w:r>
    </w:p>
    <w:p>
      <w:pPr>
        <w:numPr>
          <w:ilvl w:val="0"/>
          <w:numId w:val="25"/>
        </w:numPr>
        <w:spacing w:after="200"/>
        <w:ind w:left="2132" w:hanging="426"/>
        <w:contextualSpacing/>
        <w:rPr>
          <w:rFonts w:eastAsia="Calibri"/>
          <w:i/>
          <w:noProof/>
          <w:kern w:val="20"/>
          <w:sz w:val="20"/>
        </w:rPr>
      </w:pPr>
      <w:r>
        <w:rPr>
          <w:rFonts w:eastAsia="Calibri" w:cs="Arial"/>
          <w:i/>
          <w:noProof/>
          <w:kern w:val="20"/>
          <w:sz w:val="20"/>
        </w:rPr>
        <w:t>Portugal</w:t>
      </w:r>
      <w:r>
        <w:rPr>
          <w:rFonts w:eastAsia="Calibri" w:cs="Arial"/>
          <w:noProof/>
          <w:kern w:val="20"/>
          <w:sz w:val="20"/>
        </w:rPr>
        <w:t>: the airport tax applied by the Lisbon municipality on passengers arriving at the Lisbon airport. As passengers with their domicile in Portugal are exempted from the tax, it may constitute a covert discrimination by reason of nationality that infringes Article 18 TFEU.</w:t>
      </w:r>
    </w:p>
    <w:p>
      <w:pPr>
        <w:pStyle w:val="Lijstje"/>
        <w:numPr>
          <w:ilvl w:val="0"/>
          <w:numId w:val="120"/>
        </w:numPr>
        <w:spacing w:after="120"/>
        <w:ind w:left="1412" w:hanging="426"/>
        <w:rPr>
          <w:rFonts w:ascii="Arial" w:hAnsi="Arial" w:cs="Arial"/>
          <w:noProof/>
          <w:lang w:val="en-GB"/>
        </w:rPr>
      </w:pPr>
      <w:r>
        <w:rPr>
          <w:rFonts w:ascii="Arial" w:hAnsi="Arial" w:cs="Arial"/>
          <w:noProof/>
          <w:lang w:val="en-GB"/>
        </w:rPr>
        <w:t>The Commission referred three cases to the Court under Article 258 TFEU. They concern:</w:t>
      </w:r>
    </w:p>
    <w:p>
      <w:pPr>
        <w:numPr>
          <w:ilvl w:val="0"/>
          <w:numId w:val="25"/>
        </w:numPr>
        <w:spacing w:after="200"/>
        <w:ind w:left="2132" w:hanging="426"/>
        <w:contextualSpacing/>
        <w:rPr>
          <w:rFonts w:eastAsia="Calibri" w:cs="Arial"/>
          <w:noProof/>
          <w:kern w:val="20"/>
          <w:sz w:val="20"/>
        </w:rPr>
      </w:pPr>
      <w:r>
        <w:rPr>
          <w:rFonts w:eastAsia="Calibri" w:cs="Arial"/>
          <w:i/>
          <w:noProof/>
          <w:kern w:val="20"/>
          <w:sz w:val="20"/>
        </w:rPr>
        <w:t>Germany</w:t>
      </w:r>
      <w:r>
        <w:rPr>
          <w:rFonts w:eastAsia="Calibri" w:cs="Arial"/>
          <w:noProof/>
          <w:kern w:val="20"/>
          <w:sz w:val="20"/>
        </w:rPr>
        <w:t>: the exclusion of travel services used by taxable persons for their business from the special scheme for the travel agents scheme (which allows travel agents to determine on a flat-rate basis the tax assessment base for groups of services and for each taxable period) when the customer is a taxable person not reselling the travel services;</w:t>
      </w:r>
      <w:r>
        <w:rPr>
          <w:rStyle w:val="FootnoteReference"/>
          <w:rFonts w:eastAsia="Calibri" w:cs="Arial"/>
          <w:noProof/>
          <w:kern w:val="20"/>
          <w:sz w:val="20"/>
        </w:rPr>
        <w:footnoteReference w:id="416"/>
      </w:r>
    </w:p>
    <w:p>
      <w:pPr>
        <w:numPr>
          <w:ilvl w:val="0"/>
          <w:numId w:val="25"/>
        </w:numPr>
        <w:spacing w:after="200"/>
        <w:ind w:left="2132" w:hanging="426"/>
        <w:contextualSpacing/>
        <w:rPr>
          <w:rFonts w:eastAsia="Calibri" w:cs="Arial"/>
          <w:noProof/>
          <w:kern w:val="20"/>
          <w:sz w:val="20"/>
        </w:rPr>
      </w:pPr>
      <w:r>
        <w:rPr>
          <w:rFonts w:eastAsia="Calibri"/>
          <w:i/>
          <w:noProof/>
          <w:kern w:val="20"/>
          <w:sz w:val="20"/>
        </w:rPr>
        <w:t>Greece</w:t>
      </w:r>
      <w:r>
        <w:rPr>
          <w:rFonts w:eastAsia="Calibri" w:cs="Arial"/>
          <w:noProof/>
          <w:kern w:val="20"/>
          <w:sz w:val="20"/>
        </w:rPr>
        <w:t>: national rules allowing service stations at its land borders with Kipi (Turkey), Kakkayia (Albania) and Evzoni (FYROM) to sell fuel without excise duties. Under the Horizontal Excise Duty Directive,</w:t>
      </w:r>
      <w:r>
        <w:rPr>
          <w:rStyle w:val="FootnoteReference"/>
          <w:rFonts w:eastAsia="Calibri" w:cs="Arial"/>
          <w:noProof/>
          <w:kern w:val="20"/>
          <w:sz w:val="20"/>
        </w:rPr>
        <w:footnoteReference w:id="417"/>
      </w:r>
      <w:r>
        <w:rPr>
          <w:rFonts w:eastAsia="Calibri" w:cs="Arial"/>
          <w:noProof/>
          <w:kern w:val="20"/>
          <w:sz w:val="20"/>
        </w:rPr>
        <w:t xml:space="preserve"> excise duties should be charged on the sale of such fuel;</w:t>
      </w:r>
      <w:r>
        <w:rPr>
          <w:rStyle w:val="FootnoteReference"/>
          <w:rFonts w:eastAsia="Calibri" w:cs="Arial"/>
          <w:noProof/>
          <w:kern w:val="20"/>
          <w:sz w:val="20"/>
        </w:rPr>
        <w:footnoteReference w:id="418"/>
      </w:r>
    </w:p>
    <w:p>
      <w:pPr>
        <w:numPr>
          <w:ilvl w:val="0"/>
          <w:numId w:val="25"/>
        </w:numPr>
        <w:spacing w:after="200"/>
        <w:ind w:left="2132" w:hanging="426"/>
        <w:contextualSpacing/>
        <w:rPr>
          <w:rFonts w:eastAsia="Calibri" w:cs="Arial"/>
          <w:noProof/>
          <w:kern w:val="20"/>
          <w:sz w:val="20"/>
        </w:rPr>
      </w:pPr>
      <w:r>
        <w:rPr>
          <w:rFonts w:eastAsia="Calibri"/>
          <w:i/>
          <w:noProof/>
          <w:kern w:val="20"/>
          <w:sz w:val="20"/>
        </w:rPr>
        <w:t>Greece</w:t>
      </w:r>
      <w:r>
        <w:rPr>
          <w:rFonts w:eastAsia="Calibri" w:cs="Arial"/>
          <w:noProof/>
          <w:kern w:val="20"/>
          <w:sz w:val="20"/>
        </w:rPr>
        <w:t>: legacies bestowed on certain non-profit entities established in Greece which are treated more favourably than those bestowed on similar entities established in other EU Member States. For Greek non-profit entities, a preferential tax rate of 0.5 % is automatically available. However, similar non-profit entities from other Member States are taxed at a rate of 20 to 40 % unless their Member State also affords preferential tax treatment to Greek non-profit entities.</w:t>
      </w:r>
      <w:r>
        <w:rPr>
          <w:rStyle w:val="FootnoteReference"/>
          <w:rFonts w:eastAsia="Calibri" w:cs="Arial"/>
          <w:noProof/>
          <w:kern w:val="20"/>
          <w:sz w:val="20"/>
        </w:rPr>
        <w:footnoteReference w:id="419"/>
      </w:r>
    </w:p>
    <w:p>
      <w:pPr>
        <w:spacing w:after="200"/>
        <w:ind w:left="2132"/>
        <w:contextualSpacing/>
        <w:rPr>
          <w:rFonts w:eastAsia="Calibri" w:cs="Arial"/>
          <w:noProof/>
          <w:kern w:val="20"/>
          <w:sz w:val="20"/>
        </w:rPr>
      </w:pPr>
    </w:p>
    <w:p>
      <w:pPr>
        <w:numPr>
          <w:ilvl w:val="0"/>
          <w:numId w:val="120"/>
        </w:numPr>
        <w:ind w:left="1417" w:hanging="425"/>
        <w:rPr>
          <w:rFonts w:eastAsia="Calibri" w:cs="Arial"/>
          <w:noProof/>
          <w:kern w:val="20"/>
          <w:sz w:val="20"/>
        </w:rPr>
      </w:pPr>
      <w:r>
        <w:rPr>
          <w:rFonts w:eastAsia="Calibri" w:cs="Arial"/>
          <w:noProof/>
          <w:kern w:val="20"/>
          <w:sz w:val="20"/>
        </w:rPr>
        <w:t>The Commission did not refer any cases to the Court under Article 260(2) TFEU.</w:t>
      </w:r>
    </w:p>
    <w:p>
      <w:pPr>
        <w:numPr>
          <w:ilvl w:val="0"/>
          <w:numId w:val="30"/>
        </w:numPr>
        <w:rPr>
          <w:caps/>
          <w:noProof/>
          <w:color w:val="4F81BD"/>
          <w:sz w:val="24"/>
          <w:szCs w:val="24"/>
        </w:rPr>
      </w:pPr>
      <w:r>
        <w:rPr>
          <w:caps/>
          <w:noProof/>
          <w:color w:val="4F81BD"/>
          <w:sz w:val="24"/>
          <w:szCs w:val="24"/>
        </w:rPr>
        <w:t>TRANSPOSITION OF DIRECTIVES</w:t>
      </w:r>
    </w:p>
    <w:p>
      <w:pPr>
        <w:numPr>
          <w:ilvl w:val="0"/>
          <w:numId w:val="105"/>
        </w:numPr>
        <w:spacing w:after="60"/>
        <w:jc w:val="left"/>
        <w:outlineLvl w:val="1"/>
        <w:rPr>
          <w:noProof/>
          <w:color w:val="002060"/>
          <w:szCs w:val="22"/>
        </w:rPr>
      </w:pPr>
      <w:r>
        <w:rPr>
          <w:noProof/>
          <w:color w:val="002060"/>
          <w:szCs w:val="22"/>
        </w:rPr>
        <w:t>New late transposition infringement cases (2012- 2016)</w:t>
      </w:r>
    </w:p>
    <w:p>
      <w:pPr>
        <w:ind w:left="720"/>
        <w:rPr>
          <w:rFonts w:ascii="Verdana" w:hAnsi="Verdana"/>
          <w:noProof/>
          <w:sz w:val="20"/>
        </w:rPr>
      </w:pPr>
      <w:r>
        <w:rPr>
          <w:rFonts w:ascii="Verdana" w:hAnsi="Verdana"/>
          <w:noProof/>
          <w:sz w:val="20"/>
          <w:lang w:val="en-US"/>
        </w:rPr>
        <w:drawing>
          <wp:inline distT="0" distB="0" distL="0" distR="0">
            <wp:extent cx="4549140" cy="2278380"/>
            <wp:effectExtent l="0" t="0" r="22860" b="26670"/>
            <wp:docPr id="57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numPr>
          <w:ilvl w:val="0"/>
          <w:numId w:val="105"/>
        </w:numPr>
        <w:spacing w:after="60"/>
        <w:jc w:val="left"/>
        <w:outlineLvl w:val="1"/>
        <w:rPr>
          <w:noProof/>
          <w:color w:val="002060"/>
          <w:szCs w:val="22"/>
        </w:rPr>
      </w:pPr>
      <w:r>
        <w:rPr>
          <w:noProof/>
          <w:color w:val="002060"/>
          <w:szCs w:val="22"/>
        </w:rPr>
        <w:t>New late transposition infringement cases opened in 2016: main policy sectors</w:t>
      </w:r>
    </w:p>
    <w:p>
      <w:pPr>
        <w:ind w:left="720"/>
        <w:rPr>
          <w:rFonts w:ascii="Verdana" w:hAnsi="Verdana"/>
          <w:noProof/>
          <w:sz w:val="20"/>
        </w:rPr>
      </w:pPr>
      <w:r>
        <w:rPr>
          <w:rFonts w:ascii="Verdana" w:hAnsi="Verdana"/>
          <w:noProof/>
          <w:sz w:val="20"/>
          <w:lang w:val="en-US"/>
        </w:rPr>
        <w:drawing>
          <wp:inline distT="0" distB="0" distL="0" distR="0">
            <wp:extent cx="4587240" cy="2331720"/>
            <wp:effectExtent l="0" t="0" r="22860" b="11430"/>
            <wp:docPr id="577" name="Grafie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numPr>
          <w:ilvl w:val="0"/>
          <w:numId w:val="105"/>
        </w:numPr>
        <w:spacing w:after="60"/>
        <w:jc w:val="left"/>
        <w:outlineLvl w:val="1"/>
        <w:rPr>
          <w:noProof/>
          <w:color w:val="002060"/>
          <w:szCs w:val="22"/>
        </w:rPr>
      </w:pPr>
      <w:r>
        <w:rPr>
          <w:noProof/>
          <w:color w:val="002060"/>
          <w:szCs w:val="22"/>
        </w:rPr>
        <w:t>Key infringement cases and referrals to the Court</w:t>
      </w:r>
    </w:p>
    <w:p>
      <w:pPr>
        <w:numPr>
          <w:ilvl w:val="0"/>
          <w:numId w:val="123"/>
        </w:numPr>
        <w:spacing w:after="120"/>
        <w:ind w:hanging="426"/>
        <w:rPr>
          <w:rFonts w:eastAsia="Calibri" w:cs="Arial"/>
          <w:noProof/>
          <w:kern w:val="20"/>
          <w:sz w:val="20"/>
        </w:rPr>
      </w:pPr>
      <w:r>
        <w:rPr>
          <w:rFonts w:eastAsia="Calibri" w:cs="Arial"/>
          <w:noProof/>
          <w:kern w:val="20"/>
          <w:sz w:val="20"/>
        </w:rPr>
        <w:t>The Commission opened 34 cases for late transposition in 2016. Most concern:</w:t>
      </w:r>
    </w:p>
    <w:p>
      <w:pPr>
        <w:numPr>
          <w:ilvl w:val="0"/>
          <w:numId w:val="25"/>
        </w:numPr>
        <w:spacing w:after="200" w:line="276" w:lineRule="auto"/>
        <w:ind w:left="1843"/>
        <w:contextualSpacing/>
        <w:rPr>
          <w:rFonts w:eastAsia="Calibri" w:cs="Arial"/>
          <w:noProof/>
          <w:kern w:val="20"/>
          <w:sz w:val="20"/>
        </w:rPr>
      </w:pPr>
      <w:r>
        <w:rPr>
          <w:rFonts w:eastAsia="Calibri" w:cs="Arial"/>
          <w:noProof/>
          <w:kern w:val="20"/>
          <w:sz w:val="20"/>
        </w:rPr>
        <w:t>the Directives on the common system of taxation applicable in the case of parent companies and subsidiaries of different Member States;</w:t>
      </w:r>
      <w:r>
        <w:rPr>
          <w:rStyle w:val="FootnoteReference"/>
          <w:rFonts w:eastAsia="Calibri" w:cs="Arial"/>
          <w:noProof/>
          <w:kern w:val="20"/>
          <w:sz w:val="20"/>
        </w:rPr>
        <w:footnoteReference w:id="420"/>
      </w:r>
      <w:r>
        <w:rPr>
          <w:rFonts w:eastAsia="Calibri" w:cs="Arial"/>
          <w:noProof/>
          <w:kern w:val="20"/>
          <w:sz w:val="20"/>
        </w:rPr>
        <w:t xml:space="preserve"> and</w:t>
      </w:r>
    </w:p>
    <w:p>
      <w:pPr>
        <w:numPr>
          <w:ilvl w:val="0"/>
          <w:numId w:val="25"/>
        </w:numPr>
        <w:spacing w:after="200" w:line="276" w:lineRule="auto"/>
        <w:ind w:left="1843" w:hanging="357"/>
        <w:rPr>
          <w:rFonts w:eastAsia="Calibri" w:cs="Arial"/>
          <w:noProof/>
          <w:kern w:val="20"/>
          <w:sz w:val="20"/>
        </w:rPr>
      </w:pPr>
      <w:r>
        <w:rPr>
          <w:rFonts w:eastAsia="Calibri" w:cs="Arial"/>
          <w:noProof/>
          <w:kern w:val="20"/>
          <w:sz w:val="20"/>
        </w:rPr>
        <w:t>the Directive on mandatory automatic exchange of information on taxation.</w:t>
      </w:r>
      <w:r>
        <w:rPr>
          <w:rStyle w:val="FootnoteReference"/>
          <w:rFonts w:eastAsia="Calibri" w:cs="Arial"/>
          <w:noProof/>
          <w:kern w:val="20"/>
          <w:sz w:val="20"/>
        </w:rPr>
        <w:footnoteReference w:id="421"/>
      </w:r>
    </w:p>
    <w:p>
      <w:pPr>
        <w:numPr>
          <w:ilvl w:val="0"/>
          <w:numId w:val="123"/>
        </w:numPr>
        <w:spacing w:after="120"/>
        <w:ind w:hanging="426"/>
        <w:rPr>
          <w:rFonts w:eastAsia="Calibri" w:cs="Arial"/>
          <w:b/>
          <w:noProof/>
          <w:kern w:val="20"/>
          <w:sz w:val="20"/>
        </w:rPr>
      </w:pPr>
      <w:r>
        <w:rPr>
          <w:rFonts w:eastAsia="Calibri" w:cs="Arial"/>
          <w:noProof/>
          <w:kern w:val="20"/>
          <w:sz w:val="20"/>
        </w:rPr>
        <w:t>The Commission did not refer any cases to the Court under Articles 258 and 260(3) TFEU.</w:t>
      </w:r>
    </w:p>
    <w:p>
      <w:pPr>
        <w:numPr>
          <w:ilvl w:val="0"/>
          <w:numId w:val="30"/>
        </w:numPr>
        <w:rPr>
          <w:caps/>
          <w:noProof/>
          <w:color w:val="4F81BD"/>
          <w:sz w:val="24"/>
          <w:szCs w:val="24"/>
        </w:rPr>
      </w:pPr>
      <w:r>
        <w:rPr>
          <w:caps/>
          <w:noProof/>
          <w:color w:val="4F81BD"/>
          <w:sz w:val="24"/>
          <w:szCs w:val="24"/>
        </w:rPr>
        <w:t>EARLY RESOLUTION OF INFRINGEMENT CASES</w:t>
      </w:r>
    </w:p>
    <w:p>
      <w:pPr>
        <w:spacing w:after="60"/>
        <w:ind w:left="360"/>
        <w:jc w:val="left"/>
        <w:outlineLvl w:val="1"/>
        <w:rPr>
          <w:noProof/>
          <w:color w:val="002060"/>
          <w:szCs w:val="22"/>
        </w:rPr>
      </w:pPr>
      <w:r>
        <w:rPr>
          <w:noProof/>
          <w:color w:val="002060"/>
          <w:szCs w:val="22"/>
        </w:rPr>
        <w:t>Major cases closed without a Court judgment in 2016</w:t>
      </w:r>
    </w:p>
    <w:p>
      <w:pPr>
        <w:ind w:left="720"/>
        <w:rPr>
          <w:rFonts w:eastAsia="Calibri" w:cs="Arial"/>
          <w:noProof/>
          <w:kern w:val="20"/>
          <w:sz w:val="20"/>
        </w:rPr>
      </w:pPr>
      <w:r>
        <w:rPr>
          <w:rFonts w:cs="Arial"/>
          <w:noProof/>
          <w:sz w:val="20"/>
        </w:rPr>
        <w:t xml:space="preserve">These </w:t>
      </w:r>
      <w:r>
        <w:rPr>
          <w:rFonts w:eastAsia="Calibri" w:cs="Arial"/>
          <w:noProof/>
          <w:kern w:val="20"/>
          <w:sz w:val="20"/>
        </w:rPr>
        <w:t>concerned:</w:t>
      </w:r>
    </w:p>
    <w:p>
      <w:pPr>
        <w:numPr>
          <w:ilvl w:val="0"/>
          <w:numId w:val="25"/>
        </w:numPr>
        <w:spacing w:after="200" w:line="276" w:lineRule="auto"/>
        <w:ind w:left="1276"/>
        <w:contextualSpacing/>
        <w:rPr>
          <w:rFonts w:eastAsia="Calibri" w:cs="Arial"/>
          <w:noProof/>
          <w:kern w:val="20"/>
          <w:sz w:val="20"/>
        </w:rPr>
      </w:pPr>
      <w:r>
        <w:rPr>
          <w:rFonts w:eastAsia="Calibri" w:cs="Arial"/>
          <w:i/>
          <w:noProof/>
          <w:kern w:val="20"/>
          <w:sz w:val="20"/>
        </w:rPr>
        <w:t>Belgium</w:t>
      </w:r>
      <w:r>
        <w:rPr>
          <w:rFonts w:eastAsia="Calibri" w:cs="Arial"/>
          <w:noProof/>
          <w:kern w:val="20"/>
          <w:sz w:val="20"/>
        </w:rPr>
        <w:t>: reduced rate for online newspapers and publications;</w:t>
      </w:r>
    </w:p>
    <w:p>
      <w:pPr>
        <w:numPr>
          <w:ilvl w:val="0"/>
          <w:numId w:val="25"/>
        </w:numPr>
        <w:spacing w:after="200" w:line="276" w:lineRule="auto"/>
        <w:ind w:left="1276"/>
        <w:contextualSpacing/>
        <w:rPr>
          <w:rFonts w:eastAsia="Calibri" w:cs="Arial"/>
          <w:noProof/>
          <w:kern w:val="20"/>
          <w:sz w:val="20"/>
        </w:rPr>
      </w:pPr>
      <w:r>
        <w:rPr>
          <w:rFonts w:eastAsia="Calibri" w:cs="Arial"/>
          <w:i/>
          <w:noProof/>
          <w:kern w:val="20"/>
          <w:sz w:val="20"/>
        </w:rPr>
        <w:t>France</w:t>
      </w:r>
      <w:r>
        <w:rPr>
          <w:rFonts w:eastAsia="Calibri" w:cs="Arial"/>
          <w:noProof/>
          <w:kern w:val="20"/>
          <w:sz w:val="20"/>
        </w:rPr>
        <w:t>: enactment of administrative provisions respecting the proportionality requirements as regards the 3 % tax on properties in France owned by foreign companies;</w:t>
      </w:r>
    </w:p>
    <w:p>
      <w:pPr>
        <w:numPr>
          <w:ilvl w:val="0"/>
          <w:numId w:val="25"/>
        </w:numPr>
        <w:spacing w:after="200" w:line="276" w:lineRule="auto"/>
        <w:ind w:left="1276" w:hanging="357"/>
        <w:rPr>
          <w:rFonts w:eastAsia="Calibri"/>
          <w:noProof/>
          <w:kern w:val="20"/>
          <w:sz w:val="20"/>
        </w:rPr>
      </w:pPr>
      <w:r>
        <w:rPr>
          <w:rFonts w:eastAsia="Calibri" w:cs="Arial"/>
          <w:i/>
          <w:noProof/>
          <w:kern w:val="20"/>
          <w:sz w:val="20"/>
        </w:rPr>
        <w:t>Luxembourg</w:t>
      </w:r>
      <w:r>
        <w:rPr>
          <w:rFonts w:eastAsia="Calibri" w:cs="Arial"/>
          <w:noProof/>
          <w:kern w:val="20"/>
          <w:sz w:val="20"/>
        </w:rPr>
        <w:t xml:space="preserve">: repeal of the minimum entity tax. This is incompatible with the Directive </w:t>
      </w:r>
      <w:r>
        <w:rPr>
          <w:rFonts w:eastAsia="Calibri" w:cs="Arial"/>
          <w:bCs/>
          <w:noProof/>
          <w:kern w:val="20"/>
          <w:sz w:val="20"/>
        </w:rPr>
        <w:t>on the common system of taxation applicable in the case of parent companies and subsidiaries of different Member States.</w:t>
      </w:r>
      <w:r>
        <w:rPr>
          <w:rStyle w:val="FootnoteReference"/>
          <w:rFonts w:eastAsia="Calibri" w:cs="Arial"/>
          <w:bCs/>
          <w:noProof/>
          <w:kern w:val="20"/>
          <w:sz w:val="20"/>
        </w:rPr>
        <w:footnoteReference w:id="422"/>
      </w:r>
    </w:p>
    <w:p>
      <w:pPr>
        <w:numPr>
          <w:ilvl w:val="0"/>
          <w:numId w:val="30"/>
        </w:numPr>
        <w:rPr>
          <w:caps/>
          <w:noProof/>
          <w:color w:val="4F81BD"/>
          <w:sz w:val="24"/>
          <w:szCs w:val="24"/>
        </w:rPr>
      </w:pPr>
      <w:r>
        <w:rPr>
          <w:caps/>
          <w:noProof/>
          <w:color w:val="4F81BD"/>
          <w:sz w:val="24"/>
          <w:szCs w:val="24"/>
        </w:rPr>
        <w:t>IMPORTANT JUDGMENTS</w:t>
      </w:r>
    </w:p>
    <w:p>
      <w:pPr>
        <w:numPr>
          <w:ilvl w:val="0"/>
          <w:numId w:val="106"/>
        </w:numPr>
        <w:spacing w:after="200"/>
        <w:ind w:left="714" w:hanging="357"/>
        <w:jc w:val="left"/>
        <w:outlineLvl w:val="1"/>
        <w:rPr>
          <w:noProof/>
          <w:color w:val="002060"/>
          <w:szCs w:val="22"/>
        </w:rPr>
      </w:pPr>
      <w:r>
        <w:rPr>
          <w:noProof/>
          <w:color w:val="002060"/>
          <w:szCs w:val="22"/>
        </w:rPr>
        <w:t>Court rulings</w:t>
      </w:r>
      <w:r>
        <w:rPr>
          <w:rStyle w:val="FootnoteReference"/>
          <w:noProof/>
          <w:color w:val="002060"/>
          <w:szCs w:val="22"/>
        </w:rPr>
        <w:footnoteReference w:id="423"/>
      </w:r>
    </w:p>
    <w:p>
      <w:pPr>
        <w:spacing w:after="120"/>
        <w:ind w:left="720"/>
        <w:rPr>
          <w:rFonts w:cs="Arial"/>
          <w:noProof/>
          <w:sz w:val="20"/>
        </w:rPr>
      </w:pPr>
      <w:r>
        <w:rPr>
          <w:rFonts w:cs="Arial"/>
          <w:noProof/>
          <w:sz w:val="20"/>
        </w:rPr>
        <w:t>The Court ruled that:</w:t>
      </w:r>
    </w:p>
    <w:p>
      <w:pPr>
        <w:numPr>
          <w:ilvl w:val="0"/>
          <w:numId w:val="25"/>
        </w:numPr>
        <w:ind w:left="1276" w:hanging="425"/>
        <w:contextualSpacing/>
        <w:rPr>
          <w:rFonts w:eastAsia="Calibri" w:cs="Arial"/>
          <w:noProof/>
          <w:kern w:val="20"/>
          <w:sz w:val="20"/>
        </w:rPr>
      </w:pPr>
      <w:r>
        <w:rPr>
          <w:rFonts w:eastAsia="Calibri" w:cs="Arial"/>
          <w:i/>
          <w:noProof/>
          <w:kern w:val="20"/>
          <w:sz w:val="20"/>
        </w:rPr>
        <w:t>Greece</w:t>
      </w:r>
      <w:r>
        <w:rPr>
          <w:rFonts w:eastAsia="Calibri" w:cs="Arial"/>
          <w:noProof/>
          <w:kern w:val="20"/>
          <w:sz w:val="20"/>
        </w:rPr>
        <w:t>: it is a restriction on the freedom to provide services to levy the full amount of car registration tax (as provided for under its national legislation) at the time of registration of a vehicle hired or leased by a Greek customer from a supplier established in another Member State, if the duration of the hire or lease contract and the duration of the vehicle’s use in Greek territory is not taken into consideration;</w:t>
      </w:r>
      <w:r>
        <w:rPr>
          <w:rStyle w:val="FootnoteReference"/>
          <w:rFonts w:eastAsia="Calibri" w:cs="Arial"/>
          <w:noProof/>
          <w:kern w:val="20"/>
          <w:sz w:val="20"/>
        </w:rPr>
        <w:footnoteReference w:id="424"/>
      </w:r>
    </w:p>
    <w:p>
      <w:pPr>
        <w:numPr>
          <w:ilvl w:val="0"/>
          <w:numId w:val="25"/>
        </w:numPr>
        <w:ind w:left="1276" w:hanging="425"/>
        <w:contextualSpacing/>
        <w:rPr>
          <w:rFonts w:eastAsia="Calibri" w:cs="Arial"/>
          <w:noProof/>
          <w:kern w:val="20"/>
          <w:sz w:val="20"/>
        </w:rPr>
      </w:pPr>
      <w:r>
        <w:rPr>
          <w:rFonts w:eastAsia="Calibri" w:cs="Arial"/>
          <w:i/>
          <w:noProof/>
          <w:kern w:val="20"/>
          <w:sz w:val="20"/>
        </w:rPr>
        <w:t>Greece</w:t>
      </w:r>
      <w:r>
        <w:rPr>
          <w:rFonts w:eastAsia="Calibri" w:cs="Arial"/>
          <w:noProof/>
          <w:kern w:val="20"/>
          <w:sz w:val="20"/>
        </w:rPr>
        <w:t xml:space="preserve">: </w:t>
      </w:r>
      <w:r>
        <w:rPr>
          <w:rFonts w:eastAsia="Calibri" w:cs="Arial"/>
          <w:bCs/>
          <w:noProof/>
          <w:kern w:val="20"/>
          <w:sz w:val="20"/>
        </w:rPr>
        <w:t>national rules exempting the primary residence from inheritance tax only for nationals of EU Member States who are resident in Greece restricts the free movement of capital;</w:t>
      </w:r>
      <w:r>
        <w:rPr>
          <w:rFonts w:eastAsia="Calibri" w:cs="Arial"/>
          <w:noProof/>
          <w:kern w:val="20"/>
          <w:sz w:val="20"/>
          <w:vertAlign w:val="superscript"/>
        </w:rPr>
        <w:t xml:space="preserve"> </w:t>
      </w:r>
      <w:r>
        <w:rPr>
          <w:rStyle w:val="FootnoteReference"/>
          <w:rFonts w:eastAsia="Calibri" w:cs="Arial"/>
          <w:noProof/>
          <w:kern w:val="20"/>
          <w:sz w:val="20"/>
        </w:rPr>
        <w:footnoteReference w:id="425"/>
      </w:r>
    </w:p>
    <w:p>
      <w:pPr>
        <w:numPr>
          <w:ilvl w:val="0"/>
          <w:numId w:val="25"/>
        </w:numPr>
        <w:ind w:left="1276" w:hanging="425"/>
        <w:contextualSpacing/>
        <w:rPr>
          <w:rFonts w:eastAsia="Calibri" w:cs="Arial"/>
          <w:noProof/>
          <w:kern w:val="20"/>
          <w:sz w:val="20"/>
        </w:rPr>
      </w:pPr>
      <w:r>
        <w:rPr>
          <w:rFonts w:eastAsia="Calibri" w:cs="Arial"/>
          <w:bCs/>
          <w:i/>
          <w:noProof/>
          <w:kern w:val="20"/>
          <w:sz w:val="20"/>
        </w:rPr>
        <w:t>Netherlands</w:t>
      </w:r>
      <w:r>
        <w:rPr>
          <w:rFonts w:eastAsia="Calibri" w:cs="Arial"/>
          <w:bCs/>
          <w:noProof/>
          <w:kern w:val="20"/>
          <w:sz w:val="20"/>
        </w:rPr>
        <w:t>: t</w:t>
      </w:r>
      <w:r>
        <w:rPr>
          <w:rFonts w:eastAsia="Calibri" w:cs="Arial"/>
          <w:noProof/>
          <w:kern w:val="20"/>
          <w:sz w:val="20"/>
        </w:rPr>
        <w:t>he VAT Directive exempts from VAT the supply of sport or physical education services by non-profit making organisations. However, the Netherlands granted this exemption only if such organisations employ volunteers, not workers, to supply these services. By contrast, the letting of berths and moorings for vessels (provided by non-profit water sport organisations) was exempted from VAT even when it was not linked to sports activities;</w:t>
      </w:r>
      <w:r>
        <w:rPr>
          <w:rStyle w:val="FootnoteReference"/>
          <w:rFonts w:eastAsia="Calibri" w:cs="Arial"/>
          <w:noProof/>
          <w:kern w:val="20"/>
          <w:sz w:val="20"/>
        </w:rPr>
        <w:footnoteReference w:id="426"/>
      </w:r>
    </w:p>
    <w:p>
      <w:pPr>
        <w:numPr>
          <w:ilvl w:val="0"/>
          <w:numId w:val="25"/>
        </w:numPr>
        <w:spacing w:after="200"/>
        <w:ind w:left="1276" w:hanging="425"/>
        <w:rPr>
          <w:rFonts w:eastAsia="Calibri" w:cs="Arial"/>
          <w:noProof/>
          <w:kern w:val="20"/>
          <w:sz w:val="20"/>
        </w:rPr>
      </w:pPr>
      <w:r>
        <w:rPr>
          <w:rFonts w:eastAsia="Calibri" w:cs="Arial"/>
          <w:bCs/>
          <w:i/>
          <w:noProof/>
          <w:kern w:val="20"/>
          <w:sz w:val="20"/>
        </w:rPr>
        <w:t>Portugal:</w:t>
      </w:r>
      <w:r>
        <w:rPr>
          <w:rFonts w:eastAsia="Calibri" w:cs="Arial"/>
          <w:bCs/>
          <w:noProof/>
          <w:kern w:val="20"/>
          <w:sz w:val="20"/>
        </w:rPr>
        <w:t xml:space="preserve"> the depreciation rates applied in Portugal on used vehicles for vehicle registration tax purposes were not in compliance with Article 110 TFEU. This is because  no depreciation is taken into account before the vehicle is 1 year old and no further depreciation is taken into account in the case of vehicles older than 5 years.</w:t>
      </w:r>
      <w:r>
        <w:rPr>
          <w:rStyle w:val="FootnoteReference"/>
          <w:rFonts w:eastAsia="Calibri" w:cs="Arial"/>
          <w:noProof/>
          <w:kern w:val="20"/>
          <w:sz w:val="20"/>
        </w:rPr>
        <w:footnoteReference w:id="427"/>
      </w:r>
    </w:p>
    <w:p>
      <w:pPr>
        <w:numPr>
          <w:ilvl w:val="0"/>
          <w:numId w:val="106"/>
        </w:numPr>
        <w:spacing w:after="60"/>
        <w:jc w:val="left"/>
        <w:outlineLvl w:val="1"/>
        <w:rPr>
          <w:noProof/>
          <w:color w:val="002060"/>
          <w:szCs w:val="22"/>
        </w:rPr>
      </w:pPr>
      <w:r>
        <w:rPr>
          <w:noProof/>
          <w:color w:val="002060"/>
          <w:szCs w:val="22"/>
        </w:rPr>
        <w:t>Preliminary rulings</w:t>
      </w:r>
    </w:p>
    <w:p>
      <w:pPr>
        <w:spacing w:after="200"/>
        <w:ind w:left="720"/>
        <w:rPr>
          <w:rFonts w:cs="Arial"/>
          <w:noProof/>
          <w:sz w:val="20"/>
        </w:rPr>
      </w:pPr>
      <w:r>
        <w:rPr>
          <w:rFonts w:cs="Arial"/>
          <w:noProof/>
          <w:sz w:val="20"/>
        </w:rPr>
        <w:t>In preliminary rulings, the Court held that:</w:t>
      </w:r>
    </w:p>
    <w:p>
      <w:pPr>
        <w:numPr>
          <w:ilvl w:val="0"/>
          <w:numId w:val="25"/>
        </w:numPr>
        <w:ind w:left="1276" w:hanging="425"/>
        <w:contextualSpacing/>
        <w:rPr>
          <w:rFonts w:eastAsia="Calibri" w:cs="Arial"/>
          <w:bCs/>
          <w:noProof/>
          <w:kern w:val="20"/>
          <w:sz w:val="20"/>
        </w:rPr>
      </w:pPr>
      <w:r>
        <w:rPr>
          <w:rFonts w:eastAsia="Calibri" w:cs="Arial"/>
          <w:bCs/>
          <w:i/>
          <w:noProof/>
          <w:kern w:val="20"/>
          <w:sz w:val="20"/>
        </w:rPr>
        <w:t xml:space="preserve">Germany: </w:t>
      </w:r>
      <w:r>
        <w:rPr>
          <w:rFonts w:eastAsia="Calibri" w:cs="Arial"/>
          <w:bCs/>
          <w:noProof/>
          <w:kern w:val="20"/>
          <w:sz w:val="20"/>
        </w:rPr>
        <w:t>inheritance rules that oblige German financial institutions (including their branches) to notify the tax authorities about a client's assets upon his death do not restrict the freedom of establishment. Thus, branches of German banks in another Member State may also be required to notify such information, even if inheritance tax is not levied in the other Member State and even if notification would be considered as incompatible with the other Member State’s banking secrecy rules;</w:t>
      </w:r>
      <w:r>
        <w:rPr>
          <w:rStyle w:val="FootnoteReference"/>
          <w:rFonts w:eastAsia="Calibri" w:cs="Arial"/>
          <w:bCs/>
          <w:noProof/>
          <w:kern w:val="20"/>
          <w:sz w:val="20"/>
        </w:rPr>
        <w:footnoteReference w:id="428"/>
      </w:r>
    </w:p>
    <w:p>
      <w:pPr>
        <w:numPr>
          <w:ilvl w:val="0"/>
          <w:numId w:val="25"/>
        </w:numPr>
        <w:ind w:left="1276" w:hanging="425"/>
        <w:contextualSpacing/>
        <w:rPr>
          <w:rFonts w:eastAsia="Calibri" w:cs="Arial"/>
          <w:bCs/>
          <w:noProof/>
          <w:kern w:val="20"/>
          <w:sz w:val="20"/>
        </w:rPr>
      </w:pPr>
      <w:r>
        <w:rPr>
          <w:rFonts w:eastAsia="Calibri" w:cs="Arial"/>
          <w:bCs/>
          <w:i/>
          <w:noProof/>
          <w:kern w:val="20"/>
          <w:sz w:val="20"/>
        </w:rPr>
        <w:t>Germany</w:t>
      </w:r>
      <w:r>
        <w:rPr>
          <w:rFonts w:eastAsia="Calibri" w:cs="Arial"/>
          <w:bCs/>
          <w:noProof/>
          <w:kern w:val="20"/>
          <w:sz w:val="20"/>
        </w:rPr>
        <w:t>: the EU-Switzerland agreement on the free movement of persons requires that the income of German resident nationals paid by a legal person governed by public law established in Switzerland must be granted the same tax exemptions as those granted to incomes paid by a legal person governed by public law established;</w:t>
      </w:r>
      <w:r>
        <w:rPr>
          <w:rStyle w:val="FootnoteReference"/>
          <w:rFonts w:eastAsia="Calibri" w:cs="Arial"/>
          <w:bCs/>
          <w:noProof/>
          <w:kern w:val="20"/>
          <w:sz w:val="20"/>
        </w:rPr>
        <w:footnoteReference w:id="429"/>
      </w:r>
    </w:p>
    <w:p>
      <w:pPr>
        <w:numPr>
          <w:ilvl w:val="0"/>
          <w:numId w:val="25"/>
        </w:numPr>
        <w:ind w:left="1276" w:hanging="425"/>
        <w:contextualSpacing/>
        <w:rPr>
          <w:rFonts w:eastAsia="Calibri" w:cs="Arial"/>
          <w:bCs/>
          <w:noProof/>
          <w:kern w:val="20"/>
          <w:sz w:val="20"/>
        </w:rPr>
      </w:pPr>
      <w:r>
        <w:rPr>
          <w:rFonts w:eastAsia="Calibri" w:cs="Arial"/>
          <w:bCs/>
          <w:i/>
          <w:noProof/>
          <w:kern w:val="20"/>
          <w:sz w:val="20"/>
        </w:rPr>
        <w:t>Germany</w:t>
      </w:r>
      <w:r>
        <w:rPr>
          <w:rFonts w:eastAsia="Calibri" w:cs="Arial"/>
          <w:bCs/>
          <w:noProof/>
          <w:kern w:val="20"/>
          <w:sz w:val="20"/>
        </w:rPr>
        <w:t>: although the Inheritance Tax Act restricts the free movement of capital by providing that tax reduction can be claimed only if a multiple inheritance occurred under German rules (thus inheritance taxes paid to other Member States cannot be taken into account), this restriction could be justified by the need to safeguard the coherence of the tax system;</w:t>
      </w:r>
      <w:r>
        <w:rPr>
          <w:rStyle w:val="FootnoteReference"/>
          <w:rFonts w:eastAsia="Calibri" w:cs="Arial"/>
          <w:bCs/>
          <w:noProof/>
          <w:kern w:val="20"/>
          <w:sz w:val="20"/>
        </w:rPr>
        <w:footnoteReference w:id="430"/>
      </w:r>
    </w:p>
    <w:p>
      <w:pPr>
        <w:numPr>
          <w:ilvl w:val="0"/>
          <w:numId w:val="25"/>
        </w:numPr>
        <w:ind w:left="1276" w:hanging="425"/>
        <w:contextualSpacing/>
        <w:rPr>
          <w:rFonts w:eastAsia="Calibri"/>
          <w:noProof/>
          <w:kern w:val="20"/>
          <w:sz w:val="20"/>
        </w:rPr>
      </w:pPr>
      <w:r>
        <w:rPr>
          <w:rFonts w:eastAsia="Calibri" w:cs="Arial"/>
          <w:bCs/>
          <w:i/>
          <w:noProof/>
          <w:kern w:val="20"/>
          <w:sz w:val="20"/>
        </w:rPr>
        <w:t>Germany</w:t>
      </w:r>
      <w:r>
        <w:rPr>
          <w:rFonts w:eastAsia="Calibri" w:cs="Arial"/>
          <w:bCs/>
          <w:noProof/>
          <w:kern w:val="20"/>
          <w:sz w:val="20"/>
        </w:rPr>
        <w:t xml:space="preserve">: </w:t>
      </w:r>
      <w:r>
        <w:rPr>
          <w:rFonts w:cs="Arial"/>
          <w:bCs/>
          <w:noProof/>
          <w:sz w:val="20"/>
        </w:rPr>
        <w:t>for</w:t>
      </w:r>
      <w:r>
        <w:rPr>
          <w:rFonts w:cs="Arial"/>
          <w:noProof/>
          <w:sz w:val="20"/>
        </w:rPr>
        <w:t xml:space="preserve"> the purposes of </w:t>
      </w:r>
      <w:r>
        <w:rPr>
          <w:rFonts w:cs="Arial"/>
          <w:bCs/>
          <w:noProof/>
          <w:sz w:val="20"/>
        </w:rPr>
        <w:t>customs rules,</w:t>
      </w:r>
      <w:r>
        <w:rPr>
          <w:rStyle w:val="FootnoteReference"/>
          <w:noProof/>
          <w:sz w:val="20"/>
        </w:rPr>
        <w:footnoteReference w:id="431"/>
      </w:r>
      <w:r>
        <w:rPr>
          <w:rFonts w:cs="Arial"/>
          <w:noProof/>
          <w:sz w:val="20"/>
        </w:rPr>
        <w:t xml:space="preserve"> remunerated helicopter-flight training, if an instructor and the trainee pilot are present in the cockpit, is not commercial use of the aircraft</w:t>
      </w:r>
      <w:r>
        <w:rPr>
          <w:rFonts w:cs="Arial"/>
          <w:bCs/>
          <w:noProof/>
          <w:sz w:val="20"/>
        </w:rPr>
        <w:t>;</w:t>
      </w:r>
      <w:r>
        <w:rPr>
          <w:rStyle w:val="FootnoteReference"/>
          <w:noProof/>
          <w:sz w:val="20"/>
          <w:lang w:eastAsia="en-GB"/>
        </w:rPr>
        <w:footnoteReference w:id="432"/>
      </w:r>
    </w:p>
    <w:p>
      <w:pPr>
        <w:numPr>
          <w:ilvl w:val="0"/>
          <w:numId w:val="25"/>
        </w:numPr>
        <w:ind w:left="1276" w:hanging="425"/>
        <w:contextualSpacing/>
        <w:rPr>
          <w:rFonts w:eastAsia="Calibri" w:cs="Arial"/>
          <w:bCs/>
          <w:noProof/>
          <w:kern w:val="20"/>
          <w:sz w:val="20"/>
        </w:rPr>
      </w:pPr>
      <w:r>
        <w:rPr>
          <w:rFonts w:eastAsia="Calibri" w:cs="Arial"/>
          <w:bCs/>
          <w:i/>
          <w:noProof/>
          <w:kern w:val="20"/>
          <w:sz w:val="20"/>
        </w:rPr>
        <w:t>Spain</w:t>
      </w:r>
      <w:r>
        <w:rPr>
          <w:rFonts w:eastAsia="Calibri" w:cs="Arial"/>
          <w:bCs/>
          <w:noProof/>
          <w:kern w:val="20"/>
          <w:sz w:val="20"/>
        </w:rPr>
        <w:t>: the Commission’s decisions on remission of import duties, addressed to one or more Member States, are not of direct and individual concern to the operators concerned; thus they are not challengeable by way of direct action under Article 263 TFEU, fourth paragraph, but by way of indirect action before a national court via the preliminary ruling procedure set out in Article 267 TFEU;</w:t>
      </w:r>
      <w:r>
        <w:rPr>
          <w:rStyle w:val="FootnoteReference"/>
          <w:rFonts w:eastAsia="Calibri" w:cs="Arial"/>
          <w:bCs/>
          <w:noProof/>
          <w:kern w:val="20"/>
          <w:sz w:val="20"/>
        </w:rPr>
        <w:footnoteReference w:id="433"/>
      </w:r>
    </w:p>
    <w:p>
      <w:pPr>
        <w:numPr>
          <w:ilvl w:val="0"/>
          <w:numId w:val="25"/>
        </w:numPr>
        <w:ind w:left="1276" w:hanging="425"/>
        <w:contextualSpacing/>
        <w:rPr>
          <w:rFonts w:eastAsia="Calibri" w:cs="Arial"/>
          <w:bCs/>
          <w:noProof/>
          <w:kern w:val="20"/>
          <w:sz w:val="20"/>
        </w:rPr>
      </w:pPr>
      <w:r>
        <w:rPr>
          <w:rFonts w:eastAsia="Calibri" w:cs="Arial"/>
          <w:bCs/>
          <w:i/>
          <w:noProof/>
          <w:kern w:val="20"/>
          <w:sz w:val="20"/>
        </w:rPr>
        <w:t>Luxembourg</w:t>
      </w:r>
      <w:r>
        <w:rPr>
          <w:rFonts w:eastAsia="Calibri" w:cs="Arial"/>
          <w:bCs/>
          <w:noProof/>
          <w:kern w:val="20"/>
          <w:sz w:val="20"/>
        </w:rPr>
        <w:t>: national laws may not limit access to pensioners' tax credit to resident taxpayers receiving domestic pension income; the tax credit must also be open to residents receiving a pension from other Member States;</w:t>
      </w:r>
      <w:r>
        <w:rPr>
          <w:rStyle w:val="FootnoteReference"/>
          <w:rFonts w:eastAsia="Calibri" w:cs="Arial"/>
          <w:bCs/>
          <w:noProof/>
          <w:kern w:val="20"/>
          <w:sz w:val="20"/>
        </w:rPr>
        <w:footnoteReference w:id="434"/>
      </w:r>
    </w:p>
    <w:p>
      <w:pPr>
        <w:numPr>
          <w:ilvl w:val="0"/>
          <w:numId w:val="25"/>
        </w:numPr>
        <w:ind w:left="1276" w:hanging="425"/>
        <w:contextualSpacing/>
        <w:rPr>
          <w:rFonts w:eastAsia="Calibri"/>
          <w:noProof/>
          <w:kern w:val="20"/>
          <w:sz w:val="20"/>
        </w:rPr>
      </w:pPr>
      <w:r>
        <w:rPr>
          <w:rFonts w:eastAsia="Calibri" w:cs="Arial"/>
          <w:bCs/>
          <w:i/>
          <w:noProof/>
          <w:kern w:val="20"/>
          <w:sz w:val="20"/>
        </w:rPr>
        <w:t xml:space="preserve">Hungary: </w:t>
      </w:r>
      <w:r>
        <w:rPr>
          <w:rFonts w:eastAsia="Calibri"/>
          <w:noProof/>
          <w:kern w:val="20"/>
          <w:sz w:val="20"/>
        </w:rPr>
        <w:t xml:space="preserve">the customs authorities </w:t>
      </w:r>
      <w:r>
        <w:rPr>
          <w:rFonts w:eastAsia="Calibri" w:cs="Arial"/>
          <w:bCs/>
          <w:noProof/>
          <w:kern w:val="20"/>
          <w:sz w:val="20"/>
        </w:rPr>
        <w:t>may</w:t>
      </w:r>
      <w:r>
        <w:rPr>
          <w:rFonts w:eastAsia="Calibri"/>
          <w:noProof/>
          <w:kern w:val="20"/>
          <w:sz w:val="20"/>
        </w:rPr>
        <w:t xml:space="preserve"> disregard the declared price of imported goods and use</w:t>
      </w:r>
      <w:r>
        <w:rPr>
          <w:rFonts w:eastAsia="Calibri" w:cs="Arial"/>
          <w:bCs/>
          <w:noProof/>
          <w:kern w:val="20"/>
          <w:sz w:val="20"/>
        </w:rPr>
        <w:t xml:space="preserve"> </w:t>
      </w:r>
      <w:r>
        <w:rPr>
          <w:rFonts w:eastAsia="Calibri"/>
          <w:noProof/>
          <w:kern w:val="20"/>
          <w:sz w:val="20"/>
        </w:rPr>
        <w:t xml:space="preserve">secondary methods </w:t>
      </w:r>
      <w:r>
        <w:rPr>
          <w:rFonts w:eastAsia="Calibri" w:cs="Arial"/>
          <w:bCs/>
          <w:noProof/>
          <w:kern w:val="20"/>
          <w:sz w:val="20"/>
        </w:rPr>
        <w:t>(laid down in the Community Customs Code</w:t>
      </w:r>
      <w:r>
        <w:rPr>
          <w:rStyle w:val="FootnoteReference"/>
          <w:rFonts w:eastAsia="Calibri" w:cs="Arial"/>
          <w:bCs/>
          <w:noProof/>
          <w:kern w:val="20"/>
          <w:sz w:val="20"/>
        </w:rPr>
        <w:footnoteReference w:id="435"/>
      </w:r>
      <w:r>
        <w:rPr>
          <w:rFonts w:eastAsia="Calibri" w:cs="Arial"/>
          <w:bCs/>
          <w:noProof/>
          <w:kern w:val="20"/>
          <w:sz w:val="20"/>
        </w:rPr>
        <w:t xml:space="preserve">) </w:t>
      </w:r>
      <w:r>
        <w:rPr>
          <w:rFonts w:eastAsia="Calibri"/>
          <w:noProof/>
          <w:kern w:val="20"/>
          <w:sz w:val="20"/>
        </w:rPr>
        <w:t xml:space="preserve">to determine the transaction value, if </w:t>
      </w:r>
      <w:r>
        <w:rPr>
          <w:rFonts w:eastAsia="Calibri" w:cs="Arial"/>
          <w:bCs/>
          <w:noProof/>
          <w:kern w:val="20"/>
          <w:sz w:val="20"/>
        </w:rPr>
        <w:t>they still doubt the accuracy of the declared value</w:t>
      </w:r>
      <w:r>
        <w:rPr>
          <w:rFonts w:eastAsia="Calibri"/>
          <w:noProof/>
          <w:kern w:val="20"/>
          <w:sz w:val="20"/>
        </w:rPr>
        <w:t xml:space="preserve"> after </w:t>
      </w:r>
      <w:r>
        <w:rPr>
          <w:rFonts w:eastAsia="Calibri" w:cs="Arial"/>
          <w:bCs/>
          <w:noProof/>
          <w:kern w:val="20"/>
          <w:sz w:val="20"/>
        </w:rPr>
        <w:t>asking</w:t>
      </w:r>
      <w:r>
        <w:rPr>
          <w:rFonts w:eastAsia="Calibri"/>
          <w:noProof/>
          <w:kern w:val="20"/>
          <w:sz w:val="20"/>
        </w:rPr>
        <w:t xml:space="preserve"> for additional information or documents and </w:t>
      </w:r>
      <w:r>
        <w:rPr>
          <w:rFonts w:eastAsia="Calibri" w:cs="Arial"/>
          <w:bCs/>
          <w:noProof/>
          <w:kern w:val="20"/>
          <w:sz w:val="20"/>
        </w:rPr>
        <w:t xml:space="preserve">providing the </w:t>
      </w:r>
      <w:r>
        <w:rPr>
          <w:rFonts w:eastAsia="Calibri"/>
          <w:noProof/>
          <w:kern w:val="20"/>
          <w:sz w:val="20"/>
        </w:rPr>
        <w:t xml:space="preserve">person concerned with a reasonable opportunity to </w:t>
      </w:r>
      <w:r>
        <w:rPr>
          <w:rFonts w:eastAsia="Calibri" w:cs="Arial"/>
          <w:bCs/>
          <w:noProof/>
          <w:kern w:val="20"/>
          <w:sz w:val="20"/>
        </w:rPr>
        <w:t>clarify</w:t>
      </w:r>
      <w:r>
        <w:rPr>
          <w:rFonts w:eastAsia="Calibri"/>
          <w:noProof/>
          <w:kern w:val="20"/>
          <w:sz w:val="20"/>
        </w:rPr>
        <w:t xml:space="preserve"> those doubts</w:t>
      </w:r>
      <w:r>
        <w:rPr>
          <w:rFonts w:eastAsia="Calibri" w:cs="Arial"/>
          <w:bCs/>
          <w:noProof/>
          <w:kern w:val="20"/>
          <w:sz w:val="20"/>
        </w:rPr>
        <w:t>;</w:t>
      </w:r>
      <w:r>
        <w:rPr>
          <w:rStyle w:val="FootnoteReference"/>
          <w:rFonts w:eastAsia="Calibri" w:cs="Arial"/>
          <w:bCs/>
          <w:noProof/>
          <w:kern w:val="20"/>
          <w:sz w:val="20"/>
        </w:rPr>
        <w:footnoteReference w:id="436"/>
      </w:r>
    </w:p>
    <w:p>
      <w:pPr>
        <w:numPr>
          <w:ilvl w:val="0"/>
          <w:numId w:val="25"/>
        </w:numPr>
        <w:ind w:left="1276" w:hanging="425"/>
        <w:contextualSpacing/>
        <w:rPr>
          <w:rFonts w:eastAsia="Calibri" w:cs="Arial"/>
          <w:bCs/>
          <w:i/>
          <w:noProof/>
          <w:kern w:val="20"/>
          <w:sz w:val="20"/>
        </w:rPr>
      </w:pPr>
      <w:r>
        <w:rPr>
          <w:rFonts w:eastAsia="Calibri" w:cs="Arial"/>
          <w:bCs/>
          <w:i/>
          <w:noProof/>
          <w:kern w:val="20"/>
          <w:sz w:val="20"/>
        </w:rPr>
        <w:t>Portugal</w:t>
      </w:r>
      <w:r>
        <w:rPr>
          <w:rFonts w:eastAsia="Calibri" w:cs="Arial"/>
          <w:bCs/>
          <w:noProof/>
          <w:kern w:val="20"/>
          <w:sz w:val="20"/>
        </w:rPr>
        <w:t>: the freedom to provide services under the TFEU allows Member States to apply a withholding tax at source to the income of non-resident banks without levying such a tax on resident banks, if such a tax is justified by an overriding reason in the general interest and necessary to achieve the objective. However, Member States may not tax non-resident banks by prohibiting them from deducting business expenses directly related to their activities while this opportunity is given to resident banks;</w:t>
      </w:r>
      <w:r>
        <w:rPr>
          <w:rStyle w:val="FootnoteReference"/>
          <w:rFonts w:eastAsia="Calibri" w:cs="Arial"/>
          <w:noProof/>
          <w:kern w:val="20"/>
          <w:sz w:val="20"/>
        </w:rPr>
        <w:footnoteReference w:id="437"/>
      </w:r>
    </w:p>
    <w:p>
      <w:pPr>
        <w:numPr>
          <w:ilvl w:val="0"/>
          <w:numId w:val="25"/>
        </w:numPr>
        <w:ind w:left="1276" w:hanging="425"/>
        <w:rPr>
          <w:rFonts w:eastAsia="Calibri"/>
          <w:i/>
          <w:noProof/>
          <w:kern w:val="20"/>
          <w:sz w:val="20"/>
        </w:rPr>
      </w:pPr>
      <w:r>
        <w:rPr>
          <w:rFonts w:eastAsia="Calibri" w:cs="Arial"/>
          <w:bCs/>
          <w:i/>
          <w:noProof/>
          <w:kern w:val="20"/>
          <w:sz w:val="20"/>
        </w:rPr>
        <w:t xml:space="preserve">Romania: </w:t>
      </w:r>
      <w:r>
        <w:rPr>
          <w:rFonts w:eastAsia="Calibri" w:cs="Arial"/>
          <w:bCs/>
          <w:noProof/>
          <w:kern w:val="20"/>
          <w:sz w:val="20"/>
        </w:rPr>
        <w:t>Member States may not repay taxes incompatible with EU law by instalments over 5 years</w:t>
      </w:r>
      <w:r>
        <w:rPr>
          <w:rStyle w:val="FootnoteReference"/>
          <w:rFonts w:eastAsia="Calibri"/>
          <w:noProof/>
        </w:rPr>
        <w:t>.</w:t>
      </w:r>
      <w:r>
        <w:rPr>
          <w:rStyle w:val="FootnoteReference"/>
          <w:rFonts w:eastAsia="Calibri" w:cs="Arial"/>
          <w:noProof/>
          <w:kern w:val="20"/>
          <w:sz w:val="20"/>
        </w:rPr>
        <w:footnoteReference w:id="438"/>
      </w:r>
    </w:p>
    <w:p>
      <w:pPr>
        <w:numPr>
          <w:ilvl w:val="0"/>
          <w:numId w:val="30"/>
        </w:numPr>
        <w:rPr>
          <w:caps/>
          <w:noProof/>
          <w:color w:val="4F81BD"/>
          <w:sz w:val="24"/>
          <w:szCs w:val="24"/>
        </w:rPr>
      </w:pPr>
      <w:r>
        <w:rPr>
          <w:caps/>
          <w:noProof/>
          <w:color w:val="4F81BD"/>
          <w:sz w:val="24"/>
          <w:szCs w:val="24"/>
        </w:rPr>
        <w:t>Outlook</w:t>
      </w:r>
    </w:p>
    <w:p>
      <w:pPr>
        <w:spacing w:after="60"/>
        <w:ind w:left="360"/>
        <w:jc w:val="left"/>
        <w:outlineLvl w:val="1"/>
        <w:rPr>
          <w:noProof/>
          <w:color w:val="002060"/>
          <w:szCs w:val="22"/>
        </w:rPr>
      </w:pPr>
      <w:r>
        <w:rPr>
          <w:noProof/>
          <w:color w:val="002060"/>
          <w:szCs w:val="22"/>
        </w:rPr>
        <w:t>Important implementation work in 2017 includes:</w:t>
      </w:r>
    </w:p>
    <w:p>
      <w:pPr>
        <w:numPr>
          <w:ilvl w:val="0"/>
          <w:numId w:val="27"/>
        </w:numPr>
        <w:ind w:left="1276"/>
        <w:contextualSpacing/>
        <w:rPr>
          <w:rFonts w:eastAsia="Calibri" w:cs="Arial"/>
          <w:i/>
          <w:noProof/>
          <w:color w:val="000000"/>
          <w:kern w:val="20"/>
          <w:sz w:val="20"/>
          <w:lang w:eastAsia="en-GB"/>
        </w:rPr>
      </w:pPr>
      <w:r>
        <w:rPr>
          <w:rFonts w:cs="Arial"/>
          <w:i/>
          <w:noProof/>
          <w:sz w:val="20"/>
        </w:rPr>
        <w:t>Indirect taxation:</w:t>
      </w:r>
    </w:p>
    <w:p>
      <w:pPr>
        <w:numPr>
          <w:ilvl w:val="0"/>
          <w:numId w:val="27"/>
        </w:numPr>
        <w:ind w:left="1636"/>
        <w:contextualSpacing/>
        <w:rPr>
          <w:rFonts w:cs="Arial"/>
          <w:noProof/>
          <w:sz w:val="20"/>
        </w:rPr>
      </w:pPr>
      <w:r>
        <w:rPr>
          <w:rFonts w:cs="Arial"/>
          <w:noProof/>
          <w:sz w:val="20"/>
        </w:rPr>
        <w:t xml:space="preserve">monitoring cases affecting the economic situation of businesses (VAT refund) as well as cases which aim to remove obstacles to the free circulation of goods and services; </w:t>
      </w:r>
    </w:p>
    <w:p>
      <w:pPr>
        <w:numPr>
          <w:ilvl w:val="0"/>
          <w:numId w:val="27"/>
        </w:numPr>
        <w:ind w:left="1636"/>
        <w:contextualSpacing/>
        <w:rPr>
          <w:rFonts w:cs="Arial"/>
          <w:noProof/>
          <w:sz w:val="20"/>
        </w:rPr>
      </w:pPr>
      <w:r>
        <w:rPr>
          <w:rFonts w:cs="Arial"/>
          <w:noProof/>
          <w:sz w:val="20"/>
        </w:rPr>
        <w:t>the assessment of car registration tax for the same car in each Member State, which is perceived by citizens as contrary to the EU freedoms. The Commission will ensure correct application of the advantageous case law of the Court of Justice in this matter;</w:t>
      </w:r>
    </w:p>
    <w:p>
      <w:pPr>
        <w:numPr>
          <w:ilvl w:val="0"/>
          <w:numId w:val="27"/>
        </w:numPr>
        <w:ind w:left="1636"/>
        <w:contextualSpacing/>
        <w:rPr>
          <w:rFonts w:cs="Arial"/>
          <w:noProof/>
          <w:sz w:val="20"/>
        </w:rPr>
      </w:pPr>
      <w:r>
        <w:rPr>
          <w:rFonts w:cs="Arial"/>
          <w:noProof/>
          <w:color w:val="0F243E"/>
          <w:sz w:val="20"/>
        </w:rPr>
        <w:t>excise duties area: tax markings on excise products, such as cigarettes and alcohol, as potential obstacles of free movement of goods</w:t>
      </w:r>
      <w:r>
        <w:rPr>
          <w:rFonts w:cs="Arial"/>
          <w:noProof/>
          <w:sz w:val="20"/>
        </w:rPr>
        <w:t>.</w:t>
      </w:r>
    </w:p>
    <w:p>
      <w:pPr>
        <w:numPr>
          <w:ilvl w:val="0"/>
          <w:numId w:val="27"/>
        </w:numPr>
        <w:ind w:left="1276"/>
        <w:contextualSpacing/>
        <w:rPr>
          <w:rFonts w:cs="Arial"/>
          <w:i/>
          <w:noProof/>
          <w:sz w:val="20"/>
        </w:rPr>
      </w:pPr>
      <w:r>
        <w:rPr>
          <w:rFonts w:cs="Arial"/>
          <w:i/>
          <w:noProof/>
          <w:sz w:val="20"/>
        </w:rPr>
        <w:t>Direct taxation</w:t>
      </w:r>
    </w:p>
    <w:p>
      <w:pPr>
        <w:numPr>
          <w:ilvl w:val="0"/>
          <w:numId w:val="27"/>
        </w:numPr>
        <w:ind w:left="1636"/>
        <w:contextualSpacing/>
        <w:rPr>
          <w:rFonts w:cs="Arial"/>
          <w:noProof/>
          <w:sz w:val="20"/>
        </w:rPr>
      </w:pPr>
      <w:r>
        <w:rPr>
          <w:rFonts w:cs="Arial"/>
          <w:noProof/>
          <w:sz w:val="20"/>
        </w:rPr>
        <w:t>cross-border inheritances;</w:t>
      </w:r>
      <w:r>
        <w:rPr>
          <w:rStyle w:val="FootnoteReference"/>
          <w:rFonts w:cs="Arial"/>
          <w:noProof/>
          <w:sz w:val="20"/>
        </w:rPr>
        <w:footnoteReference w:id="439"/>
      </w:r>
    </w:p>
    <w:p>
      <w:pPr>
        <w:numPr>
          <w:ilvl w:val="0"/>
          <w:numId w:val="27"/>
        </w:numPr>
        <w:ind w:left="1636"/>
        <w:contextualSpacing/>
        <w:rPr>
          <w:rFonts w:cs="Arial"/>
          <w:noProof/>
          <w:sz w:val="20"/>
        </w:rPr>
      </w:pPr>
      <w:r>
        <w:rPr>
          <w:rFonts w:cs="Arial"/>
          <w:noProof/>
          <w:sz w:val="20"/>
        </w:rPr>
        <w:t>cross-border workers;</w:t>
      </w:r>
      <w:r>
        <w:rPr>
          <w:rStyle w:val="FootnoteReference"/>
          <w:rFonts w:cs="Arial"/>
          <w:noProof/>
          <w:sz w:val="20"/>
        </w:rPr>
        <w:footnoteReference w:id="440"/>
      </w:r>
    </w:p>
    <w:p>
      <w:pPr>
        <w:numPr>
          <w:ilvl w:val="0"/>
          <w:numId w:val="27"/>
        </w:numPr>
        <w:ind w:left="1636"/>
        <w:contextualSpacing/>
        <w:rPr>
          <w:rFonts w:cs="Arial"/>
          <w:noProof/>
          <w:sz w:val="20"/>
        </w:rPr>
      </w:pPr>
      <w:r>
        <w:rPr>
          <w:rFonts w:cs="Arial"/>
          <w:noProof/>
          <w:sz w:val="20"/>
        </w:rPr>
        <w:t>mobile persons;</w:t>
      </w:r>
      <w:r>
        <w:rPr>
          <w:rStyle w:val="FootnoteReference"/>
          <w:rFonts w:cs="Arial"/>
          <w:noProof/>
          <w:sz w:val="20"/>
        </w:rPr>
        <w:footnoteReference w:id="441"/>
      </w:r>
      <w:r>
        <w:rPr>
          <w:rFonts w:cs="Arial"/>
          <w:noProof/>
          <w:sz w:val="20"/>
        </w:rPr>
        <w:t xml:space="preserve"> and</w:t>
      </w:r>
    </w:p>
    <w:p>
      <w:pPr>
        <w:numPr>
          <w:ilvl w:val="0"/>
          <w:numId w:val="27"/>
        </w:numPr>
        <w:ind w:left="1636"/>
        <w:contextualSpacing/>
        <w:rPr>
          <w:rFonts w:cs="Arial"/>
          <w:noProof/>
          <w:sz w:val="20"/>
        </w:rPr>
      </w:pPr>
      <w:r>
        <w:rPr>
          <w:rFonts w:cs="Arial"/>
          <w:noProof/>
          <w:sz w:val="20"/>
        </w:rPr>
        <w:t>assessment will start of the results of the study on discriminatory tax obstacles to cross-border investment by pension funds and life insurance companies.</w:t>
      </w:r>
    </w:p>
    <w:p>
      <w:pPr>
        <w:numPr>
          <w:ilvl w:val="0"/>
          <w:numId w:val="27"/>
        </w:numPr>
        <w:ind w:left="1276"/>
        <w:contextualSpacing/>
        <w:rPr>
          <w:rFonts w:cs="Arial"/>
          <w:i/>
          <w:noProof/>
          <w:sz w:val="20"/>
        </w:rPr>
      </w:pPr>
      <w:r>
        <w:rPr>
          <w:rFonts w:cs="Arial"/>
          <w:i/>
          <w:noProof/>
          <w:sz w:val="20"/>
        </w:rPr>
        <w:t>Customs</w:t>
      </w:r>
    </w:p>
    <w:p>
      <w:pPr>
        <w:numPr>
          <w:ilvl w:val="0"/>
          <w:numId w:val="27"/>
        </w:numPr>
        <w:ind w:left="1636"/>
        <w:contextualSpacing/>
        <w:rPr>
          <w:rFonts w:cs="Arial"/>
          <w:noProof/>
          <w:sz w:val="20"/>
        </w:rPr>
      </w:pPr>
      <w:r>
        <w:rPr>
          <w:rFonts w:cs="Arial"/>
          <w:noProof/>
          <w:sz w:val="20"/>
        </w:rPr>
        <w:t>problems potentially arising under the new EU Customs Code</w:t>
      </w:r>
      <w:r>
        <w:rPr>
          <w:rStyle w:val="FootnoteReference"/>
          <w:rFonts w:cs="Arial"/>
          <w:noProof/>
          <w:sz w:val="20"/>
        </w:rPr>
        <w:footnoteReference w:id="442"/>
      </w:r>
      <w:r>
        <w:rPr>
          <w:rFonts w:cs="Arial"/>
          <w:noProof/>
          <w:sz w:val="20"/>
        </w:rPr>
        <w:t xml:space="preserve"> and its implementing rules;</w:t>
      </w:r>
    </w:p>
    <w:p>
      <w:pPr>
        <w:numPr>
          <w:ilvl w:val="0"/>
          <w:numId w:val="27"/>
        </w:numPr>
        <w:ind w:left="1636"/>
        <w:contextualSpacing/>
        <w:rPr>
          <w:rFonts w:cs="Arial"/>
          <w:noProof/>
          <w:sz w:val="20"/>
        </w:rPr>
      </w:pPr>
      <w:r>
        <w:rPr>
          <w:rFonts w:cs="Arial"/>
          <w:noProof/>
          <w:sz w:val="20"/>
        </w:rPr>
        <w:t>horizontal inquiry relating to the penalty provisions in the Cash Control Regulation;</w:t>
      </w:r>
      <w:r>
        <w:rPr>
          <w:rStyle w:val="FootnoteReference"/>
          <w:rFonts w:cs="Arial"/>
          <w:noProof/>
          <w:sz w:val="20"/>
        </w:rPr>
        <w:footnoteReference w:id="443"/>
      </w:r>
      <w:r>
        <w:rPr>
          <w:rFonts w:cs="Arial"/>
          <w:noProof/>
          <w:sz w:val="20"/>
        </w:rPr>
        <w:t xml:space="preserve"> and</w:t>
      </w:r>
    </w:p>
    <w:p>
      <w:pPr>
        <w:numPr>
          <w:ilvl w:val="0"/>
          <w:numId w:val="27"/>
        </w:numPr>
        <w:ind w:left="1636"/>
        <w:contextualSpacing/>
        <w:rPr>
          <w:rFonts w:cs="Arial"/>
          <w:noProof/>
          <w:sz w:val="20"/>
        </w:rPr>
      </w:pPr>
      <w:r>
        <w:rPr>
          <w:rFonts w:cs="Arial"/>
          <w:noProof/>
          <w:sz w:val="20"/>
        </w:rPr>
        <w:t>possible horizontal inquiry in the area of postal fees.</w:t>
      </w:r>
    </w:p>
    <w:p>
      <w:pPr>
        <w:contextualSpacing/>
        <w:rPr>
          <w:rFonts w:cs="Arial"/>
          <w:i/>
          <w:noProof/>
          <w:sz w:val="20"/>
        </w:rPr>
      </w:pPr>
    </w:p>
    <w:p>
      <w:pPr>
        <w:contextualSpacing/>
        <w:rPr>
          <w:rFonts w:cs="Arial"/>
          <w:noProof/>
          <w:sz w:val="20"/>
        </w:rPr>
        <w:sectPr>
          <w:headerReference w:type="even" r:id="rId202"/>
          <w:headerReference w:type="default" r:id="rId203"/>
          <w:footerReference w:type="even" r:id="rId204"/>
          <w:footerReference w:type="default" r:id="rId205"/>
          <w:headerReference w:type="first" r:id="rId206"/>
          <w:footerReference w:type="first" r:id="rId207"/>
          <w:footnotePr>
            <w:numRestart w:val="eachSect"/>
          </w:footnotePr>
          <w:pgSz w:w="11906" w:h="16838"/>
          <w:pgMar w:top="1702" w:right="1417" w:bottom="1134" w:left="1417" w:header="708" w:footer="708" w:gutter="0"/>
          <w:cols w:space="708"/>
          <w:titlePg/>
          <w:docGrid w:linePitch="360"/>
        </w:sectPr>
      </w:pPr>
    </w:p>
    <w:p>
      <w:pPr>
        <w:pStyle w:val="Heading1"/>
        <w:ind w:left="0"/>
        <w:rPr>
          <w:noProof/>
        </w:rPr>
      </w:pPr>
      <w:bookmarkStart w:id="113" w:name="_Toc413173792"/>
      <w:bookmarkStart w:id="114" w:name="_Toc484622471"/>
      <w:bookmarkStart w:id="115" w:name="_Toc406073936"/>
      <w:r>
        <w:rPr>
          <w:noProof/>
        </w:rPr>
        <w:t>METHODOLOGY AND EXPLANATIONS</w:t>
      </w:r>
      <w:bookmarkEnd w:id="113"/>
      <w:bookmarkEnd w:id="114"/>
    </w:p>
    <w:p>
      <w:pPr>
        <w:keepNext/>
        <w:keepLines/>
        <w:spacing w:after="120"/>
        <w:ind w:left="360"/>
        <w:outlineLvl w:val="1"/>
        <w:rPr>
          <w:rFonts w:eastAsia="MS Gothic" w:cs="Arial"/>
          <w:caps/>
          <w:noProof/>
          <w:color w:val="4F81BD"/>
          <w:kern w:val="20"/>
          <w:sz w:val="24"/>
          <w:szCs w:val="24"/>
        </w:rPr>
      </w:pPr>
      <w:r>
        <w:rPr>
          <w:rFonts w:eastAsia="MS Gothic" w:cs="Arial"/>
          <w:caps/>
          <w:noProof/>
          <w:color w:val="4F81BD"/>
          <w:kern w:val="20"/>
          <w:sz w:val="24"/>
          <w:szCs w:val="24"/>
        </w:rPr>
        <w:t>Annex I — POLICY AREAS</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COMPLAINTS</w:t>
      </w:r>
    </w:p>
    <w:p>
      <w:pPr>
        <w:rPr>
          <w:rFonts w:cs="Arial"/>
          <w:b/>
          <w:noProof/>
          <w:sz w:val="20"/>
        </w:rPr>
      </w:pPr>
      <w:r>
        <w:rPr>
          <w:rFonts w:cs="Arial"/>
          <w:b/>
          <w:noProof/>
          <w:color w:val="002060"/>
          <w:sz w:val="20"/>
        </w:rPr>
        <w:t>First chart: New complaints received from members of the public (2012-2016)</w:t>
      </w:r>
    </w:p>
    <w:p>
      <w:pPr>
        <w:rPr>
          <w:rFonts w:cs="Arial"/>
          <w:noProof/>
          <w:sz w:val="20"/>
        </w:rPr>
      </w:pPr>
      <w:r>
        <w:rPr>
          <w:rFonts w:cs="Arial"/>
          <w:noProof/>
          <w:sz w:val="20"/>
        </w:rPr>
        <w:t>This shows the number of public complaints the Commission registered in relation to the given policy field in 2012-2016.</w:t>
      </w:r>
    </w:p>
    <w:p>
      <w:pPr>
        <w:rPr>
          <w:rFonts w:cs="Arial"/>
          <w:b/>
          <w:noProof/>
          <w:color w:val="002060"/>
          <w:sz w:val="20"/>
        </w:rPr>
      </w:pPr>
      <w:r>
        <w:rPr>
          <w:rFonts w:cs="Arial"/>
          <w:b/>
          <w:noProof/>
          <w:color w:val="002060"/>
          <w:sz w:val="20"/>
        </w:rPr>
        <w:t>Second chart: Public complaints open at year-end</w:t>
      </w:r>
    </w:p>
    <w:p>
      <w:pPr>
        <w:rPr>
          <w:rFonts w:cs="Arial"/>
          <w:noProof/>
          <w:sz w:val="20"/>
        </w:rPr>
      </w:pPr>
      <w:r>
        <w:rPr>
          <w:rFonts w:cs="Arial"/>
          <w:noProof/>
          <w:sz w:val="20"/>
        </w:rPr>
        <w:t>This starts with the number of open complaints carried over from 2015 (first column). The second column shows the number of new complaints registered in 2016. The third column shows the number of complaints on which the Commission took a decision in 2016. The fourth column shows the number of complaints open at the end of 2016 (calculated by taking the first figure, adding the second and subtracting the third).</w:t>
      </w:r>
    </w:p>
    <w:p>
      <w:pPr>
        <w:rPr>
          <w:rFonts w:cs="Arial"/>
          <w:b/>
          <w:noProof/>
          <w:color w:val="002060"/>
          <w:sz w:val="20"/>
        </w:rPr>
      </w:pPr>
      <w:r>
        <w:rPr>
          <w:rFonts w:cs="Arial"/>
          <w:b/>
          <w:noProof/>
          <w:color w:val="002060"/>
          <w:sz w:val="20"/>
        </w:rPr>
        <w:t>Third chart: New complaints registered in 2016: main policy sectors</w:t>
      </w:r>
    </w:p>
    <w:p>
      <w:pPr>
        <w:rPr>
          <w:rFonts w:cs="Arial"/>
          <w:noProof/>
          <w:sz w:val="20"/>
        </w:rPr>
      </w:pPr>
      <w:r>
        <w:rPr>
          <w:rFonts w:cs="Arial"/>
          <w:noProof/>
          <w:sz w:val="20"/>
        </w:rPr>
        <w:t>The number of registered complaints for the current reporting year is broken down by policy sector. In general, this breakdown shows the three policy sectors in which the most complaints were received in 2016. Four (or more) policy sectors are mentioned if two (or more) policy sectors attracted the third highest number of complaints. The number of sectors covered varies according to the breadth of each policy area.</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EU PILOT</w:t>
      </w:r>
    </w:p>
    <w:p>
      <w:pPr>
        <w:rPr>
          <w:rFonts w:cs="Arial"/>
          <w:b/>
          <w:noProof/>
          <w:color w:val="002060"/>
          <w:sz w:val="20"/>
        </w:rPr>
      </w:pPr>
      <w:r>
        <w:rPr>
          <w:rFonts w:cs="Arial"/>
          <w:b/>
          <w:noProof/>
          <w:color w:val="002060"/>
          <w:sz w:val="20"/>
        </w:rPr>
        <w:t>First chart: New EU Pilot files (2012-2016)</w:t>
      </w:r>
    </w:p>
    <w:p>
      <w:pPr>
        <w:rPr>
          <w:rFonts w:cs="Arial"/>
          <w:noProof/>
          <w:sz w:val="20"/>
        </w:rPr>
      </w:pPr>
      <w:r>
        <w:rPr>
          <w:rFonts w:cs="Arial"/>
          <w:noProof/>
          <w:sz w:val="20"/>
        </w:rPr>
        <w:t>This shows the number of EU Pilot files the Commission opened in the given policy area in 2012-2016.</w:t>
      </w:r>
    </w:p>
    <w:p>
      <w:pPr>
        <w:rPr>
          <w:rFonts w:cs="Arial"/>
          <w:b/>
          <w:noProof/>
          <w:color w:val="002060"/>
          <w:sz w:val="20"/>
        </w:rPr>
      </w:pPr>
      <w:r>
        <w:rPr>
          <w:rFonts w:cs="Arial"/>
          <w:b/>
          <w:noProof/>
          <w:color w:val="002060"/>
          <w:sz w:val="20"/>
        </w:rPr>
        <w:t>Second chart: New EU Pilot files opened in 2016: main policy sectors</w:t>
      </w:r>
    </w:p>
    <w:p>
      <w:pPr>
        <w:rPr>
          <w:rFonts w:cs="Arial"/>
          <w:noProof/>
          <w:sz w:val="20"/>
        </w:rPr>
      </w:pPr>
      <w:r>
        <w:rPr>
          <w:rFonts w:cs="Arial"/>
          <w:noProof/>
          <w:sz w:val="20"/>
        </w:rPr>
        <w:t>The number of new EU Pilot files opened in the current reporting year is broken down by policy sector. This breakdown shows the three policy sectors in which the most EU Pilot files were opened in 2016. Four (or more) policy sectors are included if two (or more) policy sectors tied for the third highest number of new EU Pilot files.</w:t>
      </w:r>
    </w:p>
    <w:p>
      <w:pPr>
        <w:spacing w:after="60"/>
        <w:jc w:val="left"/>
        <w:outlineLvl w:val="1"/>
        <w:rPr>
          <w:rFonts w:cs="Arial"/>
          <w:b/>
          <w:noProof/>
          <w:color w:val="002060"/>
          <w:sz w:val="20"/>
        </w:rPr>
      </w:pPr>
      <w:r>
        <w:rPr>
          <w:rFonts w:cs="Arial"/>
          <w:b/>
          <w:noProof/>
          <w:color w:val="002060"/>
          <w:sz w:val="20"/>
        </w:rPr>
        <w:t>Third chart: EU Pilot files: policies’ combined resolution rate in 2012-2016</w:t>
      </w:r>
    </w:p>
    <w:p>
      <w:pPr>
        <w:rPr>
          <w:rFonts w:cs="Arial"/>
          <w:noProof/>
          <w:sz w:val="20"/>
        </w:rPr>
      </w:pPr>
      <w:r>
        <w:rPr>
          <w:rFonts w:cs="Arial"/>
          <w:noProof/>
          <w:sz w:val="20"/>
        </w:rPr>
        <w:t>The Member States’ combined resolution rate in the given policy field is the percentage of EU Pilot files handled for which the Commission accepted the Member States’ responses. The chart shows the combined resolution rate for the last 5 years.</w:t>
      </w:r>
    </w:p>
    <w:p>
      <w:pPr>
        <w:rPr>
          <w:rFonts w:cs="Arial"/>
          <w:noProof/>
          <w:sz w:val="20"/>
        </w:rPr>
        <w:sectPr>
          <w:headerReference w:type="even" r:id="rId208"/>
          <w:headerReference w:type="default" r:id="rId209"/>
          <w:footerReference w:type="even" r:id="rId210"/>
          <w:footerReference w:type="default" r:id="rId211"/>
          <w:headerReference w:type="first" r:id="rId212"/>
          <w:footerReference w:type="first" r:id="rId213"/>
          <w:footnotePr>
            <w:numRestart w:val="eachSect"/>
          </w:footnotePr>
          <w:pgSz w:w="11907" w:h="16839" w:code="9"/>
          <w:pgMar w:top="1560" w:right="1418" w:bottom="737" w:left="1418" w:header="284" w:footer="352" w:gutter="0"/>
          <w:cols w:space="720"/>
          <w:titlePg/>
          <w:docGrid w:linePitch="326"/>
        </w:sectPr>
      </w:pP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OWN-INITIATIVE CASES</w:t>
      </w:r>
    </w:p>
    <w:p>
      <w:pPr>
        <w:rPr>
          <w:rFonts w:cs="Arial"/>
          <w:b/>
          <w:noProof/>
          <w:color w:val="002060"/>
          <w:sz w:val="20"/>
        </w:rPr>
      </w:pPr>
      <w:r>
        <w:rPr>
          <w:rFonts w:cs="Arial"/>
          <w:b/>
          <w:noProof/>
          <w:color w:val="002060"/>
          <w:sz w:val="20"/>
        </w:rPr>
        <w:t>New own-initiative cases</w:t>
      </w:r>
    </w:p>
    <w:p>
      <w:pPr>
        <w:rPr>
          <w:rFonts w:cs="Arial"/>
          <w:noProof/>
          <w:sz w:val="20"/>
        </w:rPr>
      </w:pPr>
      <w:r>
        <w:rPr>
          <w:rFonts w:cs="Arial"/>
          <w:noProof/>
          <w:sz w:val="20"/>
        </w:rPr>
        <w:t>This section contains a list of the most important infringement cases the Commission launched in the given policy area in 2016. The list is not exhaustive.</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INFRINGEMENT CASES</w:t>
      </w:r>
    </w:p>
    <w:p>
      <w:pPr>
        <w:rPr>
          <w:rFonts w:cs="Arial"/>
          <w:b/>
          <w:noProof/>
          <w:color w:val="002060"/>
          <w:sz w:val="20"/>
        </w:rPr>
      </w:pPr>
      <w:r>
        <w:rPr>
          <w:rFonts w:cs="Arial"/>
          <w:b/>
          <w:noProof/>
          <w:color w:val="002060"/>
          <w:sz w:val="20"/>
        </w:rPr>
        <w:t>First chart: Infringement cases open on 31 December (2012-2016)</w:t>
      </w:r>
    </w:p>
    <w:p>
      <w:pPr>
        <w:rPr>
          <w:rFonts w:cs="Arial"/>
          <w:noProof/>
          <w:sz w:val="20"/>
        </w:rPr>
      </w:pPr>
      <w:r>
        <w:rPr>
          <w:rFonts w:cs="Arial"/>
          <w:noProof/>
          <w:sz w:val="20"/>
        </w:rPr>
        <w:t>These figures include all procedures the Commission initiated in the policy area by sending a letter of formal notice under Article 258 TFEU. It covers letters sent in 2016 or before, irrespective of the stages the cases have reached. Only cases which have not yet been closed by a formal decision are shown.</w:t>
      </w:r>
    </w:p>
    <w:p>
      <w:pPr>
        <w:rPr>
          <w:rFonts w:cs="Arial"/>
          <w:noProof/>
          <w:sz w:val="20"/>
        </w:rPr>
      </w:pPr>
      <w:r>
        <w:rPr>
          <w:rFonts w:cs="Arial"/>
          <w:noProof/>
          <w:sz w:val="20"/>
        </w:rPr>
        <w:t>Accordingly, this number includes all cases that, on 31 December of the years 2012 to 2016:</w:t>
      </w:r>
    </w:p>
    <w:p>
      <w:pPr>
        <w:numPr>
          <w:ilvl w:val="0"/>
          <w:numId w:val="131"/>
        </w:numPr>
        <w:contextualSpacing/>
        <w:rPr>
          <w:rFonts w:eastAsia="Calibri" w:cs="Arial"/>
          <w:noProof/>
          <w:sz w:val="20"/>
        </w:rPr>
      </w:pPr>
      <w:r>
        <w:rPr>
          <w:rFonts w:eastAsia="Calibri" w:cs="Arial"/>
          <w:noProof/>
          <w:sz w:val="20"/>
        </w:rPr>
        <w:t>were in the pre-litigation phase (letter of formal notice, reasoned opinion or decision on referral to the Court under Article 258 TFEU);</w:t>
      </w:r>
    </w:p>
    <w:p>
      <w:pPr>
        <w:numPr>
          <w:ilvl w:val="0"/>
          <w:numId w:val="131"/>
        </w:numPr>
        <w:contextualSpacing/>
        <w:rPr>
          <w:rFonts w:eastAsia="Calibri" w:cs="Arial"/>
          <w:noProof/>
          <w:sz w:val="20"/>
        </w:rPr>
      </w:pPr>
      <w:r>
        <w:rPr>
          <w:rFonts w:eastAsia="Calibri" w:cs="Arial"/>
          <w:noProof/>
          <w:sz w:val="20"/>
        </w:rPr>
        <w:t>were pending before the Court under Article 258 TFEU and Article 260(3) TFEU;</w:t>
      </w:r>
    </w:p>
    <w:p>
      <w:pPr>
        <w:numPr>
          <w:ilvl w:val="0"/>
          <w:numId w:val="131"/>
        </w:numPr>
        <w:contextualSpacing/>
        <w:rPr>
          <w:rFonts w:eastAsia="Calibri" w:cs="Arial"/>
          <w:noProof/>
          <w:sz w:val="20"/>
        </w:rPr>
      </w:pPr>
      <w:r>
        <w:rPr>
          <w:rFonts w:eastAsia="Calibri" w:cs="Arial"/>
          <w:noProof/>
          <w:sz w:val="20"/>
        </w:rPr>
        <w:t>the Court had ruled on but where the Commission could not yet confirm that the Member State had implemented the judgment correctly:</w:t>
      </w:r>
    </w:p>
    <w:p>
      <w:pPr>
        <w:numPr>
          <w:ilvl w:val="0"/>
          <w:numId w:val="131"/>
        </w:numPr>
        <w:contextualSpacing/>
        <w:rPr>
          <w:rFonts w:eastAsia="Calibri" w:cs="Arial"/>
          <w:noProof/>
          <w:sz w:val="20"/>
        </w:rPr>
      </w:pPr>
      <w:r>
        <w:rPr>
          <w:rFonts w:eastAsia="Calibri" w:cs="Arial"/>
          <w:noProof/>
          <w:sz w:val="20"/>
        </w:rPr>
        <w:t>were in the second pre-litigation procedure (letter of formal notice or referral decision under Article 260(2) TFEU);</w:t>
      </w:r>
    </w:p>
    <w:p>
      <w:pPr>
        <w:numPr>
          <w:ilvl w:val="0"/>
          <w:numId w:val="131"/>
        </w:numPr>
        <w:contextualSpacing/>
        <w:rPr>
          <w:rFonts w:eastAsia="Calibri" w:cs="Arial"/>
          <w:noProof/>
          <w:sz w:val="20"/>
        </w:rPr>
      </w:pPr>
      <w:r>
        <w:rPr>
          <w:rFonts w:eastAsia="Calibri" w:cs="Arial"/>
          <w:noProof/>
          <w:sz w:val="20"/>
        </w:rPr>
        <w:t>were pending before the Court due to a second referral; and</w:t>
      </w:r>
    </w:p>
    <w:p>
      <w:pPr>
        <w:numPr>
          <w:ilvl w:val="0"/>
          <w:numId w:val="131"/>
        </w:numPr>
        <w:contextualSpacing/>
        <w:rPr>
          <w:rFonts w:eastAsia="Calibri" w:cs="Arial"/>
          <w:noProof/>
          <w:sz w:val="20"/>
        </w:rPr>
      </w:pPr>
      <w:r>
        <w:rPr>
          <w:rFonts w:eastAsia="Calibri" w:cs="Arial"/>
          <w:noProof/>
          <w:sz w:val="20"/>
        </w:rPr>
        <w:t>the Court had ruled on for the second time but where the Commission could not yet confirm that the Member State had implemented the second judgment correctly.</w:t>
      </w:r>
    </w:p>
    <w:p>
      <w:pPr>
        <w:rPr>
          <w:rFonts w:cs="Arial"/>
          <w:noProof/>
          <w:sz w:val="20"/>
        </w:rPr>
      </w:pPr>
      <w:r>
        <w:rPr>
          <w:rFonts w:cs="Arial"/>
          <w:noProof/>
          <w:sz w:val="20"/>
        </w:rPr>
        <w:t xml:space="preserve">This figure does </w:t>
      </w:r>
      <w:r>
        <w:rPr>
          <w:rFonts w:cs="Arial"/>
          <w:i/>
          <w:noProof/>
          <w:sz w:val="20"/>
        </w:rPr>
        <w:t>not</w:t>
      </w:r>
      <w:r>
        <w:rPr>
          <w:rFonts w:cs="Arial"/>
          <w:noProof/>
          <w:sz w:val="20"/>
        </w:rPr>
        <w:t xml:space="preserve"> include, for example, open EU Pilot files in the policy area. It also does not include EU Pilot files for which the Commission had already rejected a Member State’s response but had not yet sent a letter of formal notice under Article 258 TFEU.</w:t>
      </w:r>
    </w:p>
    <w:p>
      <w:pPr>
        <w:rPr>
          <w:rFonts w:cs="Arial"/>
          <w:b/>
          <w:noProof/>
          <w:color w:val="002060"/>
          <w:sz w:val="20"/>
        </w:rPr>
      </w:pPr>
      <w:r>
        <w:rPr>
          <w:rFonts w:cs="Arial"/>
          <w:b/>
          <w:noProof/>
          <w:color w:val="002060"/>
          <w:sz w:val="20"/>
        </w:rPr>
        <w:t>Second chart: Infringement cases open on 31 December 2016: main policy sectors</w:t>
      </w:r>
    </w:p>
    <w:p>
      <w:pPr>
        <w:rPr>
          <w:rFonts w:cs="Arial"/>
          <w:noProof/>
          <w:sz w:val="20"/>
        </w:rPr>
      </w:pPr>
      <w:r>
        <w:rPr>
          <w:rFonts w:cs="Arial"/>
          <w:noProof/>
          <w:sz w:val="20"/>
        </w:rPr>
        <w:t>This shows, for the given policy area, the sectors in which the most infringement cases were still open on 31 December 2016. The number of sectors shown varies according to the breadth of each policy area.</w:t>
      </w:r>
    </w:p>
    <w:p>
      <w:pPr>
        <w:rPr>
          <w:rFonts w:cs="Arial"/>
          <w:b/>
          <w:noProof/>
          <w:color w:val="002060"/>
          <w:sz w:val="20"/>
        </w:rPr>
      </w:pPr>
      <w:r>
        <w:rPr>
          <w:rFonts w:cs="Arial"/>
          <w:b/>
          <w:noProof/>
          <w:color w:val="002060"/>
          <w:sz w:val="20"/>
        </w:rPr>
        <w:t>Third chart: New infringement cases opened in 2016: main policy sectors</w:t>
      </w:r>
    </w:p>
    <w:p>
      <w:pPr>
        <w:rPr>
          <w:rFonts w:cs="Arial"/>
          <w:noProof/>
          <w:sz w:val="20"/>
        </w:rPr>
      </w:pPr>
      <w:r>
        <w:rPr>
          <w:rFonts w:cs="Arial"/>
          <w:noProof/>
          <w:sz w:val="20"/>
        </w:rPr>
        <w:t>This shows, for the given policy area, the sectors in which the most infringement cases were launched in 2016.</w:t>
      </w:r>
    </w:p>
    <w:p>
      <w:pPr>
        <w:rPr>
          <w:rFonts w:cs="Arial"/>
          <w:b/>
          <w:noProof/>
          <w:color w:val="002060"/>
          <w:sz w:val="20"/>
        </w:rPr>
      </w:pPr>
      <w:r>
        <w:rPr>
          <w:rFonts w:cs="Arial"/>
          <w:b/>
          <w:noProof/>
          <w:color w:val="002060"/>
          <w:sz w:val="20"/>
        </w:rPr>
        <w:t>Key infringement cases and referrals to the Court</w:t>
      </w:r>
    </w:p>
    <w:p>
      <w:pPr>
        <w:rPr>
          <w:rFonts w:cs="Arial"/>
          <w:noProof/>
          <w:sz w:val="20"/>
        </w:rPr>
      </w:pPr>
      <w:r>
        <w:rPr>
          <w:rFonts w:cs="Arial"/>
          <w:noProof/>
          <w:sz w:val="20"/>
        </w:rPr>
        <w:t>This section has three parts:</w:t>
      </w:r>
    </w:p>
    <w:p>
      <w:pPr>
        <w:rPr>
          <w:rFonts w:cs="Arial"/>
          <w:noProof/>
          <w:sz w:val="20"/>
        </w:rPr>
      </w:pPr>
      <w:r>
        <w:rPr>
          <w:rFonts w:cs="Arial"/>
          <w:noProof/>
          <w:sz w:val="20"/>
        </w:rPr>
        <w:t>Part a) shows the number of new infringement cases launched in the policy area in 2016 and lists the most important new cases under Article 258 TFEU.</w:t>
      </w:r>
    </w:p>
    <w:p>
      <w:pPr>
        <w:rPr>
          <w:rFonts w:cs="Arial"/>
          <w:noProof/>
          <w:sz w:val="20"/>
        </w:rPr>
      </w:pPr>
      <w:r>
        <w:rPr>
          <w:rFonts w:cs="Arial"/>
          <w:noProof/>
          <w:sz w:val="20"/>
        </w:rPr>
        <w:t xml:space="preserve">Part b) lists the cases which the Commission referred to the Court </w:t>
      </w:r>
      <w:r>
        <w:rPr>
          <w:rFonts w:cs="Arial"/>
          <w:i/>
          <w:noProof/>
          <w:sz w:val="20"/>
        </w:rPr>
        <w:t>solely</w:t>
      </w:r>
      <w:r>
        <w:rPr>
          <w:rFonts w:cs="Arial"/>
          <w:noProof/>
          <w:sz w:val="20"/>
        </w:rPr>
        <w:t xml:space="preserve"> under Article 258 TFEU by 31 December 2016. The cases submitted to the Court under Article 258 </w:t>
      </w:r>
      <w:r>
        <w:rPr>
          <w:rFonts w:cs="Arial"/>
          <w:i/>
          <w:noProof/>
          <w:sz w:val="20"/>
        </w:rPr>
        <w:t>and</w:t>
      </w:r>
      <w:r>
        <w:rPr>
          <w:rFonts w:cs="Arial"/>
          <w:noProof/>
          <w:sz w:val="20"/>
        </w:rPr>
        <w:t xml:space="preserve"> 260(3) TFEU are discussed in the ‘transposition of directives’ section (see below).</w:t>
      </w:r>
    </w:p>
    <w:p>
      <w:pPr>
        <w:rPr>
          <w:rFonts w:cs="Arial"/>
          <w:noProof/>
          <w:sz w:val="20"/>
        </w:rPr>
      </w:pPr>
      <w:r>
        <w:rPr>
          <w:rFonts w:cs="Arial"/>
          <w:noProof/>
          <w:sz w:val="20"/>
        </w:rPr>
        <w:t>Part c) contains the cases which the Commission referred to the Court under Article 260(2) TFEU by 31 December 2016.</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TRANSPOSITION OF DIRECTIVES</w:t>
      </w:r>
    </w:p>
    <w:p>
      <w:pPr>
        <w:rPr>
          <w:rFonts w:cs="Arial"/>
          <w:b/>
          <w:noProof/>
          <w:color w:val="002060"/>
          <w:sz w:val="20"/>
        </w:rPr>
      </w:pPr>
      <w:r>
        <w:rPr>
          <w:rFonts w:cs="Arial"/>
          <w:b/>
          <w:noProof/>
          <w:color w:val="002060"/>
          <w:sz w:val="20"/>
        </w:rPr>
        <w:t>First chart: New late transposition infringement cases (2012-2016)</w:t>
      </w:r>
    </w:p>
    <w:p>
      <w:pPr>
        <w:rPr>
          <w:rFonts w:cs="Arial"/>
          <w:noProof/>
          <w:sz w:val="20"/>
        </w:rPr>
      </w:pPr>
      <w:r>
        <w:rPr>
          <w:rFonts w:cs="Arial"/>
          <w:noProof/>
          <w:sz w:val="20"/>
        </w:rPr>
        <w:t xml:space="preserve">This shows the number of letters of formal notice sent to Member States under Article 258 TFEU for missing or partial notification of national measures transposing directives in the given policy area. This figure is already included in the total number of new infringement cases initiated in the policy area in 2016, so it should </w:t>
      </w:r>
      <w:r>
        <w:rPr>
          <w:rFonts w:cs="Arial"/>
          <w:i/>
          <w:noProof/>
          <w:sz w:val="20"/>
        </w:rPr>
        <w:t xml:space="preserve">not </w:t>
      </w:r>
      <w:r>
        <w:rPr>
          <w:rFonts w:cs="Arial"/>
          <w:noProof/>
          <w:sz w:val="20"/>
        </w:rPr>
        <w:t>be added to the figure shown in the first chart of the general statistics section.</w:t>
      </w:r>
    </w:p>
    <w:p>
      <w:pPr>
        <w:rPr>
          <w:rFonts w:cs="Arial"/>
          <w:noProof/>
          <w:sz w:val="20"/>
        </w:rPr>
      </w:pPr>
      <w:r>
        <w:rPr>
          <w:rFonts w:cs="Arial"/>
          <w:noProof/>
          <w:sz w:val="20"/>
        </w:rPr>
        <w:t>Please note that not all of these new infringement cases for late transposition were necessarily still open on 31 December 2016. For example, if the Commission opened a late transposition infringement procedure in March 2016 by sending a letter of formal notice, this would be added to the new infringement cases even if the Commission closed the case in October 2016 as a result of the Member State notifying complete transposition.</w:t>
      </w:r>
    </w:p>
    <w:p>
      <w:pPr>
        <w:rPr>
          <w:rFonts w:cs="Arial"/>
          <w:b/>
          <w:noProof/>
          <w:color w:val="002060"/>
          <w:sz w:val="20"/>
        </w:rPr>
      </w:pPr>
      <w:r>
        <w:rPr>
          <w:rFonts w:cs="Arial"/>
          <w:b/>
          <w:noProof/>
          <w:color w:val="002060"/>
          <w:sz w:val="20"/>
        </w:rPr>
        <w:t>Second chart: New late transposition infringement cases opened in 2016: main policy sectors</w:t>
      </w:r>
    </w:p>
    <w:p>
      <w:pPr>
        <w:rPr>
          <w:rFonts w:cs="Arial"/>
          <w:noProof/>
          <w:sz w:val="20"/>
        </w:rPr>
      </w:pPr>
      <w:r>
        <w:rPr>
          <w:rFonts w:cs="Arial"/>
          <w:noProof/>
          <w:sz w:val="20"/>
        </w:rPr>
        <w:t>This shows the policy sectors in which the most late transposition procedures were launched in 2016.</w:t>
      </w:r>
    </w:p>
    <w:p>
      <w:pPr>
        <w:rPr>
          <w:rFonts w:cs="Arial"/>
          <w:b/>
          <w:noProof/>
          <w:color w:val="002060"/>
          <w:sz w:val="20"/>
        </w:rPr>
      </w:pPr>
      <w:r>
        <w:rPr>
          <w:rFonts w:cs="Arial"/>
          <w:b/>
          <w:noProof/>
          <w:color w:val="002060"/>
          <w:sz w:val="20"/>
        </w:rPr>
        <w:t>Key infringement cases and referrals to the Court</w:t>
      </w:r>
    </w:p>
    <w:p>
      <w:pPr>
        <w:rPr>
          <w:rFonts w:cs="Arial"/>
          <w:noProof/>
          <w:sz w:val="20"/>
        </w:rPr>
      </w:pPr>
      <w:r>
        <w:rPr>
          <w:rFonts w:cs="Arial"/>
          <w:noProof/>
          <w:sz w:val="20"/>
        </w:rPr>
        <w:t>This section has two parts:</w:t>
      </w:r>
    </w:p>
    <w:p>
      <w:pPr>
        <w:rPr>
          <w:rFonts w:cs="Arial"/>
          <w:noProof/>
          <w:sz w:val="20"/>
        </w:rPr>
      </w:pPr>
      <w:r>
        <w:rPr>
          <w:rFonts w:cs="Arial"/>
          <w:noProof/>
          <w:sz w:val="20"/>
        </w:rPr>
        <w:t>Part a) lists, for the given policy area, the most important directive(s) for which the Commission had to launch infringement procedures against a relatively high number of Member States.</w:t>
      </w:r>
    </w:p>
    <w:p>
      <w:pPr>
        <w:rPr>
          <w:rFonts w:cs="Arial"/>
          <w:noProof/>
          <w:sz w:val="20"/>
        </w:rPr>
      </w:pPr>
      <w:r>
        <w:rPr>
          <w:rFonts w:cs="Arial"/>
          <w:noProof/>
          <w:sz w:val="20"/>
        </w:rPr>
        <w:t>Part b) lists the cases which the Commission referred to the Court under Article 258 TFEU and Article 260(3) by 31 December 2016.</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EARLY RESOLUTION OF INFRINGEMENT CASES</w:t>
      </w:r>
    </w:p>
    <w:p>
      <w:pPr>
        <w:rPr>
          <w:rFonts w:cs="Arial"/>
          <w:b/>
          <w:noProof/>
          <w:color w:val="002060"/>
          <w:sz w:val="20"/>
        </w:rPr>
      </w:pPr>
      <w:r>
        <w:rPr>
          <w:rFonts w:cs="Arial"/>
          <w:b/>
          <w:noProof/>
          <w:color w:val="002060"/>
          <w:sz w:val="20"/>
        </w:rPr>
        <w:t>Major cases closed without a Court judgment in 2016</w:t>
      </w:r>
    </w:p>
    <w:p>
      <w:pPr>
        <w:rPr>
          <w:rFonts w:cs="Arial"/>
          <w:noProof/>
          <w:sz w:val="20"/>
        </w:rPr>
      </w:pPr>
      <w:r>
        <w:rPr>
          <w:rFonts w:cs="Arial"/>
          <w:noProof/>
          <w:sz w:val="20"/>
        </w:rPr>
        <w:t>This section contains a list of the most important infringement cases the Commission closed in the given policy area in 2016 without a Court judgment. The list is not exhaustive.</w:t>
      </w:r>
    </w:p>
    <w:p>
      <w:pPr>
        <w:keepNext/>
        <w:keepLines/>
        <w:numPr>
          <w:ilvl w:val="1"/>
          <w:numId w:val="132"/>
        </w:numPr>
        <w:outlineLvl w:val="2"/>
        <w:rPr>
          <w:rFonts w:eastAsia="MS Gothic" w:cs="Arial"/>
          <w:bCs/>
          <w:noProof/>
          <w:color w:val="006FB4"/>
          <w:kern w:val="20"/>
          <w:sz w:val="20"/>
          <w:lang w:eastAsia="zh-CN"/>
        </w:rPr>
      </w:pPr>
      <w:r>
        <w:rPr>
          <w:rFonts w:eastAsia="MS Gothic" w:cs="Arial"/>
          <w:bCs/>
          <w:noProof/>
          <w:color w:val="006FB4"/>
          <w:kern w:val="20"/>
          <w:sz w:val="20"/>
          <w:lang w:eastAsia="zh-CN"/>
        </w:rPr>
        <w:t>IMPORTANT JUDGMENTS</w:t>
      </w:r>
    </w:p>
    <w:p>
      <w:pPr>
        <w:rPr>
          <w:rFonts w:cs="Arial"/>
          <w:noProof/>
          <w:sz w:val="20"/>
        </w:rPr>
      </w:pPr>
      <w:r>
        <w:rPr>
          <w:rFonts w:cs="Arial"/>
          <w:noProof/>
          <w:sz w:val="20"/>
        </w:rPr>
        <w:t>This section contains two lists:</w:t>
      </w:r>
    </w:p>
    <w:p>
      <w:pPr>
        <w:rPr>
          <w:rFonts w:cs="Arial"/>
          <w:noProof/>
          <w:sz w:val="20"/>
        </w:rPr>
      </w:pPr>
      <w:r>
        <w:rPr>
          <w:rFonts w:cs="Arial"/>
          <w:noProof/>
          <w:sz w:val="20"/>
        </w:rPr>
        <w:t>The first list contains the Court’s most important judgments in the given policy area in 2016. These judgments are almost exclusively handed down under Article 258 or Articles 260(2) TFEU.</w:t>
      </w:r>
    </w:p>
    <w:p>
      <w:pPr>
        <w:rPr>
          <w:rFonts w:cs="Arial"/>
          <w:noProof/>
          <w:sz w:val="20"/>
        </w:rPr>
      </w:pPr>
      <w:r>
        <w:rPr>
          <w:rFonts w:cs="Arial"/>
          <w:noProof/>
          <w:sz w:val="20"/>
        </w:rPr>
        <w:t>The second list contains the most important preliminary rulings that the Court issued to the Member State’s judiciary in the given policy area.</w:t>
      </w:r>
    </w:p>
    <w:p>
      <w:pPr>
        <w:rPr>
          <w:rFonts w:cs="Arial"/>
          <w:noProof/>
          <w:sz w:val="20"/>
        </w:rPr>
      </w:pPr>
      <w:r>
        <w:rPr>
          <w:rFonts w:cs="Arial"/>
          <w:noProof/>
          <w:sz w:val="20"/>
        </w:rPr>
        <w:t>These lists are not necessarily exhaustive.</w:t>
      </w:r>
      <w:bookmarkEnd w:id="115"/>
    </w:p>
    <w:p>
      <w:pPr>
        <w:ind w:left="916"/>
        <w:contextualSpacing/>
        <w:rPr>
          <w:rFonts w:cs="Arial"/>
          <w:noProof/>
          <w:sz w:val="20"/>
        </w:rPr>
      </w:pPr>
    </w:p>
    <w:sectPr>
      <w:headerReference w:type="even" r:id="rId214"/>
      <w:headerReference w:type="default" r:id="rId215"/>
      <w:footerReference w:type="even" r:id="rId216"/>
      <w:footerReference w:type="default" r:id="rId217"/>
      <w:headerReference w:type="first" r:id="rId218"/>
      <w:footerReference w:type="first" r:id="rId219"/>
      <w:footnotePr>
        <w:numRestart w:val="eachSect"/>
      </w:footnotePr>
      <w:pgSz w:w="11906" w:h="16838"/>
      <w:pgMar w:top="1985"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rPr>
    </w:pPr>
    <w:sdt>
      <w:sdtPr>
        <w:rPr>
          <w:vanish/>
          <w:sz w:val="18"/>
          <w:highlight w:val="yellow"/>
        </w:rPr>
        <w:id w:val="836965430"/>
        <w:docPartObj>
          <w:docPartGallery w:val="Page Numbers (Bottom of Page)"/>
          <w:docPartUnique/>
        </w:docPartObj>
      </w:sdtPr>
      <w:sdtContent>
        <w:r>
          <w:rPr>
            <w:sz w:val="18"/>
          </w:rPr>
          <w:fldChar w:fldCharType="begin"/>
        </w:r>
        <w:r>
          <w:rPr>
            <w:sz w:val="18"/>
          </w:rPr>
          <w:instrText xml:space="preserve"> PAGE   \* MERGEFORMAT </w:instrText>
        </w:r>
        <w:r>
          <w:rPr>
            <w:sz w:val="18"/>
          </w:rPr>
          <w:fldChar w:fldCharType="separate"/>
        </w:r>
        <w:r>
          <w:rPr>
            <w:noProof/>
            <w:sz w:val="18"/>
          </w:rPr>
          <w:t>12</w:t>
        </w:r>
        <w:r>
          <w:rPr>
            <w:sz w:val="18"/>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09279450"/>
      <w:docPartObj>
        <w:docPartGallery w:val="Page Numbers (Bottom of Page)"/>
        <w:docPartUnique/>
      </w:docPartObj>
    </w:sdtPr>
    <w:sdtEndPr>
      <w:rPr>
        <w:sz w:val="18"/>
      </w:rPr>
    </w:sdtEndPr>
    <w:sdtContent>
      <w:p>
        <w:pPr>
          <w:pStyle w:val="Footer"/>
          <w:jc w:val="center"/>
          <w:rPr>
            <w:sz w:val="18"/>
          </w:rPr>
        </w:pPr>
        <w:r>
          <w:rPr>
            <w:sz w:val="18"/>
          </w:rPr>
          <w:fldChar w:fldCharType="begin"/>
        </w:r>
        <w:r>
          <w:instrText xml:space="preserve"> PAGE   \* MERGEFORMAT </w:instrText>
        </w:r>
        <w:r>
          <w:rPr>
            <w:sz w:val="18"/>
          </w:rPr>
          <w:fldChar w:fldCharType="separate"/>
        </w:r>
        <w:r>
          <w:rPr>
            <w:noProof/>
          </w:rPr>
          <w:t>6</w:t>
        </w:r>
        <w:r>
          <w:rPr>
            <w:sz w:val="18"/>
          </w:rPr>
          <w:fldChar w:fldCharType="end"/>
        </w:r>
      </w:p>
    </w:sdtContent>
  </w:sdt>
  <w:p>
    <w:pPr>
      <w:tabs>
        <w:tab w:val="left" w:pos="4111"/>
      </w:tabs>
      <w:spacing w:after="0"/>
      <w:jc w:val="center"/>
      <w:rPr>
        <w:rFonts w:cs="Arial"/>
        <w:color w:val="004194"/>
        <w:szCs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374747739"/>
        <w:docPartObj>
          <w:docPartGallery w:val="Page Numbers (Bottom of Page)"/>
          <w:docPartUnique/>
        </w:docPartObj>
      </w:sdtPr>
      <w:sdtContent>
        <w:r>
          <w:fldChar w:fldCharType="begin"/>
        </w:r>
        <w:r>
          <w:instrText xml:space="preserve"> PAGE   \* MERGEFORMAT </w:instrText>
        </w:r>
        <w:r>
          <w:fldChar w:fldCharType="separate"/>
        </w:r>
        <w:r>
          <w:rPr>
            <w:noProof/>
          </w:rPr>
          <w:t>19</w:t>
        </w:r>
        <w: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897811"/>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13</w:t>
        </w:r>
        <w:r>
          <w:fldChar w:fldCharType="end"/>
        </w:r>
      </w:p>
    </w:sdtContent>
  </w:sdt>
  <w:p>
    <w:pPr>
      <w:tabs>
        <w:tab w:val="left" w:pos="4111"/>
      </w:tabs>
      <w:spacing w:after="0"/>
      <w:jc w:val="center"/>
      <w:rPr>
        <w:rFonts w:cs="Arial"/>
        <w:color w:val="004194"/>
        <w:szCs w:val="2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445697105"/>
        <w:docPartObj>
          <w:docPartGallery w:val="Page Numbers (Bottom of Page)"/>
          <w:docPartUnique/>
        </w:docPartObj>
      </w:sdtPr>
      <w:sdtContent>
        <w:r>
          <w:fldChar w:fldCharType="begin"/>
        </w:r>
        <w:r>
          <w:instrText xml:space="preserve"> PAGE   \* MERGEFORMAT </w:instrText>
        </w:r>
        <w:r>
          <w:fldChar w:fldCharType="separate"/>
        </w:r>
        <w:r>
          <w:rPr>
            <w:noProof/>
          </w:rPr>
          <w:t>27</w:t>
        </w:r>
        <w: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045439"/>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20</w:t>
        </w:r>
        <w:r>
          <w:fldChar w:fldCharType="end"/>
        </w:r>
      </w:p>
    </w:sdtContent>
  </w:sdt>
  <w:p>
    <w:pPr>
      <w:tabs>
        <w:tab w:val="left" w:pos="4111"/>
      </w:tabs>
      <w:spacing w:after="0"/>
      <w:jc w:val="center"/>
      <w:rPr>
        <w:rFonts w:cs="Arial"/>
        <w:color w:val="004194"/>
        <w:szCs w:val="2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65698447"/>
        <w:docPartObj>
          <w:docPartGallery w:val="Page Numbers (Bottom of Page)"/>
          <w:docPartUnique/>
        </w:docPartObj>
      </w:sdtPr>
      <w:sdtContent>
        <w:r>
          <w:fldChar w:fldCharType="begin"/>
        </w:r>
        <w:r>
          <w:instrText xml:space="preserve"> PAGE   \* MERGEFORMAT </w:instrText>
        </w:r>
        <w:r>
          <w:fldChar w:fldCharType="separate"/>
        </w:r>
        <w:r>
          <w:rPr>
            <w:noProof/>
          </w:rPr>
          <w:t>41</w:t>
        </w:r>
        <w: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424902"/>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28</w:t>
        </w:r>
        <w:r>
          <w:fldChar w:fldCharType="end"/>
        </w:r>
      </w:p>
    </w:sdtContent>
  </w:sdt>
  <w:p>
    <w:pPr>
      <w:tabs>
        <w:tab w:val="left" w:pos="4111"/>
      </w:tabs>
      <w:spacing w:after="0"/>
      <w:jc w:val="center"/>
      <w:rPr>
        <w:rFonts w:cs="Arial"/>
        <w:color w:val="004194"/>
        <w:szCs w:val="2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326126978"/>
        <w:docPartObj>
          <w:docPartGallery w:val="Page Numbers (Bottom of Page)"/>
          <w:docPartUnique/>
        </w:docPartObj>
      </w:sdtPr>
      <w:sdtContent>
        <w:r>
          <w:fldChar w:fldCharType="begin"/>
        </w:r>
        <w:r>
          <w:instrText xml:space="preserve"> PAGE   \* MERGEFORMAT </w:instrText>
        </w:r>
        <w:r>
          <w:fldChar w:fldCharType="separate"/>
        </w:r>
        <w:r>
          <w:rPr>
            <w:noProof/>
          </w:rPr>
          <w:t>47</w:t>
        </w:r>
        <w:r>
          <w:fldChar w:fldCharType="end"/>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735832"/>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42</w:t>
        </w:r>
        <w:r>
          <w:fldChar w:fldCharType="end"/>
        </w:r>
      </w:p>
    </w:sdtContent>
  </w:sdt>
  <w:p>
    <w:pPr>
      <w:tabs>
        <w:tab w:val="left" w:pos="4111"/>
      </w:tabs>
      <w:spacing w:after="0"/>
      <w:jc w:val="center"/>
      <w:rPr>
        <w:rFonts w:cs="Arial"/>
        <w:color w:val="004194"/>
        <w:szCs w:val="2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162434509"/>
        <w:docPartObj>
          <w:docPartGallery w:val="Page Numbers (Bottom of Page)"/>
          <w:docPartUnique/>
        </w:docPartObj>
      </w:sdtPr>
      <w:sdtContent>
        <w:r>
          <w:fldChar w:fldCharType="begin"/>
        </w:r>
        <w:r>
          <w:instrText xml:space="preserve"> PAGE   \* MERGEFORMAT </w:instrText>
        </w:r>
        <w:r>
          <w:fldChar w:fldCharType="separate"/>
        </w:r>
        <w:r>
          <w:rPr>
            <w:noProof/>
          </w:rPr>
          <w:t>53</w:t>
        </w:r>
        <w:r>
          <w:fldChar w:fldCharType="end"/>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694367"/>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48</w:t>
        </w:r>
        <w:r>
          <w:fldChar w:fldCharType="end"/>
        </w:r>
      </w:p>
    </w:sdtContent>
  </w:sdt>
  <w:p>
    <w:pPr>
      <w:tabs>
        <w:tab w:val="left" w:pos="4111"/>
      </w:tabs>
      <w:spacing w:after="0"/>
      <w:jc w:val="center"/>
      <w:rPr>
        <w:rFonts w:cs="Arial"/>
        <w:color w:val="004194"/>
        <w:szCs w:val="2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46253565"/>
        <w:docPartObj>
          <w:docPartGallery w:val="Page Numbers (Bottom of Page)"/>
          <w:docPartUnique/>
        </w:docPartObj>
      </w:sdtPr>
      <w:sdtContent>
        <w:r>
          <w:fldChar w:fldCharType="begin"/>
        </w:r>
        <w:r>
          <w:instrText xml:space="preserve"> PAGE   \* MERGEFORMAT </w:instrText>
        </w:r>
        <w:r>
          <w:fldChar w:fldCharType="separate"/>
        </w:r>
        <w:r>
          <w:rPr>
            <w:noProof/>
          </w:rPr>
          <w:t>61</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41887"/>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54</w:t>
        </w:r>
        <w:r>
          <w:fldChar w:fldCharType="end"/>
        </w:r>
      </w:p>
    </w:sdtContent>
  </w:sdt>
  <w:p>
    <w:pPr>
      <w:tabs>
        <w:tab w:val="left" w:pos="4111"/>
      </w:tabs>
      <w:spacing w:after="0"/>
      <w:jc w:val="center"/>
      <w:rPr>
        <w:rFonts w:cs="Arial"/>
        <w:color w:val="004194"/>
        <w:szCs w:val="2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457019999"/>
        <w:docPartObj>
          <w:docPartGallery w:val="Page Numbers (Bottom of Page)"/>
          <w:docPartUnique/>
        </w:docPartObj>
      </w:sdtPr>
      <w:sdtContent>
        <w:r>
          <w:fldChar w:fldCharType="begin"/>
        </w:r>
        <w:r>
          <w:instrText xml:space="preserve"> PAGE   \* MERGEFORMAT </w:instrText>
        </w:r>
        <w:r>
          <w:fldChar w:fldCharType="separate"/>
        </w:r>
        <w:r>
          <w:rPr>
            <w:noProof/>
          </w:rPr>
          <w:t>69</w:t>
        </w:r>
        <w:r>
          <w:fldChar w:fldCharType="end"/>
        </w:r>
      </w:sdtContent>
    </w:sdt>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674440"/>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62</w:t>
        </w:r>
        <w: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716661413"/>
        <w:docPartObj>
          <w:docPartGallery w:val="Page Numbers (Bottom of Page)"/>
          <w:docPartUnique/>
        </w:docPartObj>
      </w:sdtPr>
      <w:sdtContent>
        <w:r>
          <w:fldChar w:fldCharType="begin"/>
        </w:r>
        <w:r>
          <w:instrText xml:space="preserve"> PAGE   \* MERGEFORMAT </w:instrText>
        </w:r>
        <w:r>
          <w:fldChar w:fldCharType="separate"/>
        </w:r>
        <w:r>
          <w:rPr>
            <w:noProof/>
          </w:rPr>
          <w:t>72</w:t>
        </w:r>
        <w:r>
          <w:fldChar w:fldCharType="end"/>
        </w:r>
      </w:sdtContent>
    </w:sdt>
  </w:p>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07644"/>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70</w:t>
        </w:r>
        <w: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2094935098"/>
        <w:docPartObj>
          <w:docPartGallery w:val="Page Numbers (Bottom of Page)"/>
          <w:docPartUnique/>
        </w:docPartObj>
      </w:sdtPr>
      <w:sdtContent>
        <w:r>
          <w:fldChar w:fldCharType="begin"/>
        </w:r>
        <w:r>
          <w:instrText xml:space="preserve"> PAGE   \* MERGEFORMAT </w:instrText>
        </w:r>
        <w:r>
          <w:fldChar w:fldCharType="separate"/>
        </w:r>
        <w:r>
          <w:rPr>
            <w:noProof/>
          </w:rPr>
          <w:t>80</w:t>
        </w:r>
        <w:r>
          <w:fldChar w:fldCharType="end"/>
        </w:r>
      </w:sdtContent>
    </w:sdt>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716808"/>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73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696964940"/>
        <w:docPartObj>
          <w:docPartGallery w:val="Page Numbers (Bottom of Page)"/>
          <w:docPartUnique/>
        </w:docPartObj>
      </w:sdtPr>
      <w:sdtContent>
        <w:r>
          <w:fldChar w:fldCharType="begin"/>
        </w:r>
        <w:r>
          <w:instrText xml:space="preserve"> PAGE   \* MERGEFORMAT </w:instrText>
        </w:r>
        <w:r>
          <w:fldChar w:fldCharType="separate"/>
        </w:r>
        <w:r>
          <w:rPr>
            <w:noProof/>
          </w:rPr>
          <w:t>85</w:t>
        </w:r>
        <w:r>
          <w:fldChar w:fldCharType="end"/>
        </w:r>
      </w:sdtContent>
    </w:sdt>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659668"/>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81</w:t>
        </w:r>
        <w:r>
          <w:fldChar w:fldCharType="end"/>
        </w:r>
      </w:p>
    </w:sdtContent>
  </w:sdt>
  <w:p>
    <w:pPr>
      <w:tabs>
        <w:tab w:val="left" w:pos="4111"/>
      </w:tabs>
      <w:spacing w:after="0"/>
      <w:jc w:val="center"/>
      <w:rPr>
        <w:rFonts w:cs="Arial"/>
        <w:color w:val="004194"/>
        <w:szCs w:val="2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500548802"/>
        <w:docPartObj>
          <w:docPartGallery w:val="Page Numbers (Bottom of Page)"/>
          <w:docPartUnique/>
        </w:docPartObj>
      </w:sdtPr>
      <w:sdtContent>
        <w:r>
          <w:fldChar w:fldCharType="begin"/>
        </w:r>
        <w:r>
          <w:instrText xml:space="preserve"> PAGE   \* MERGEFORMAT </w:instrText>
        </w:r>
        <w:r>
          <w:fldChar w:fldCharType="separate"/>
        </w:r>
        <w:r>
          <w:rPr>
            <w:noProof/>
          </w:rPr>
          <w:t>85</w:t>
        </w:r>
        <w:r>
          <w:fldChar w:fldCharType="end"/>
        </w:r>
      </w:sdtContent>
    </w:sdt>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565485"/>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79</w:t>
        </w:r>
        <w:r>
          <w:fldChar w:fldCharType="end"/>
        </w:r>
      </w:p>
    </w:sdtContent>
  </w:sdt>
  <w:p>
    <w:pPr>
      <w:tabs>
        <w:tab w:val="left" w:pos="4111"/>
      </w:tabs>
      <w:spacing w:after="0"/>
      <w:jc w:val="center"/>
      <w:rPr>
        <w:rFonts w:cs="Arial"/>
        <w:color w:val="004194"/>
        <w:szCs w:val="2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w:t>
    </w:r>
    <w:r>
      <w:fldChar w:fldCharType="end"/>
    </w:r>
  </w:p>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87</w:t>
    </w:r>
    <w:r>
      <w:fldChar w:fldCharType="end"/>
    </w:r>
  </w:p>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rPr>
    </w:pPr>
    <w:sdt>
      <w:sdtPr>
        <w:rPr>
          <w:vanish/>
          <w:sz w:val="18"/>
          <w:highlight w:val="yellow"/>
        </w:rPr>
        <w:id w:val="-607582378"/>
        <w:docPartObj>
          <w:docPartGallery w:val="Page Numbers (Bottom of Page)"/>
          <w:docPartUnique/>
        </w:docPartObj>
      </w:sdtPr>
      <w:sdtContent>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sdtContent>
    </w:sdt>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89</w:t>
    </w:r>
    <w:r>
      <w:fldChar w:fldCharType="end"/>
    </w:r>
  </w:p>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88</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9074619"/>
      <w:docPartObj>
        <w:docPartGallery w:val="Page Numbers (Bottom of Page)"/>
        <w:docPartUnique/>
      </w:docPartObj>
    </w:sdtPr>
    <w:sdtEndPr>
      <w:rPr>
        <w:sz w:val="18"/>
      </w:rPr>
    </w:sdtEndPr>
    <w:sdtContent>
      <w:p>
        <w:pPr>
          <w:pStyle w:val="Footer"/>
          <w:jc w:val="center"/>
          <w:rPr>
            <w:sz w:val="18"/>
          </w:rPr>
        </w:pPr>
        <w:r>
          <w:rPr>
            <w:sz w:val="18"/>
          </w:rPr>
          <w:fldChar w:fldCharType="begin"/>
        </w:r>
        <w:r>
          <w:instrText xml:space="preserve"> PAGE   \* MERGEFORMAT </w:instrText>
        </w:r>
        <w:r>
          <w:rPr>
            <w:sz w:val="18"/>
          </w:rPr>
          <w:fldChar w:fldCharType="separate"/>
        </w:r>
        <w:r>
          <w:rPr>
            <w:noProof/>
          </w:rPr>
          <w:t>2</w:t>
        </w:r>
        <w:r>
          <w:rPr>
            <w:sz w:val="18"/>
          </w:rPr>
          <w:fldChar w:fldCharType="end"/>
        </w:r>
      </w:p>
    </w:sdtContent>
  </w:sdt>
  <w:p>
    <w:pPr>
      <w:tabs>
        <w:tab w:val="left" w:pos="4111"/>
      </w:tabs>
      <w:spacing w:after="0"/>
      <w:jc w:val="center"/>
      <w:rPr>
        <w:rFonts w:cs="Arial"/>
        <w:color w:val="004194"/>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rPr>
    </w:pPr>
    <w:sdt>
      <w:sdtPr>
        <w:rPr>
          <w:vanish/>
          <w:sz w:val="18"/>
          <w:highlight w:val="yellow"/>
        </w:rPr>
        <w:id w:val="-1073505363"/>
        <w:docPartObj>
          <w:docPartGallery w:val="Page Numbers (Bottom of Page)"/>
          <w:docPartUnique/>
        </w:docPartObj>
      </w:sdtPr>
      <w:sdtContent>
        <w:r>
          <w:rPr>
            <w:sz w:val="18"/>
          </w:rPr>
          <w:fldChar w:fldCharType="begin"/>
        </w:r>
        <w:r>
          <w:rPr>
            <w:sz w:val="18"/>
          </w:rPr>
          <w:instrText xml:space="preserve"> PAGE   \* MERGEFORMAT </w:instrText>
        </w:r>
        <w:r>
          <w:rPr>
            <w:sz w:val="18"/>
          </w:rPr>
          <w:fldChar w:fldCharType="separate"/>
        </w:r>
        <w:r>
          <w:rPr>
            <w:noProof/>
            <w:sz w:val="18"/>
          </w:rPr>
          <w:t>5</w:t>
        </w:r>
        <w:r>
          <w:rPr>
            <w:sz w:val="18"/>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391348487"/>
      <w:docPartObj>
        <w:docPartGallery w:val="Page Numbers (Bottom of Page)"/>
        <w:docPartUnique/>
      </w:docPartObj>
    </w:sdtPr>
    <w:sdtEndPr>
      <w:rPr>
        <w:sz w:val="18"/>
      </w:rPr>
    </w:sdtEndPr>
    <w:sdtContent>
      <w:p>
        <w:pPr>
          <w:pStyle w:val="Footer"/>
          <w:jc w:val="center"/>
          <w:rPr>
            <w:sz w:val="18"/>
          </w:rPr>
        </w:pPr>
        <w:r>
          <w:rPr>
            <w:sz w:val="18"/>
          </w:rPr>
          <w:fldChar w:fldCharType="begin"/>
        </w:r>
        <w:r>
          <w:instrText xml:space="preserve"> PAGE   \* MERGEFORMAT </w:instrText>
        </w:r>
        <w:r>
          <w:rPr>
            <w:sz w:val="18"/>
          </w:rPr>
          <w:fldChar w:fldCharType="separate"/>
        </w:r>
        <w:r>
          <w:rPr>
            <w:noProof/>
          </w:rPr>
          <w:t>3</w:t>
        </w:r>
        <w:r>
          <w:rPr>
            <w:sz w:val="18"/>
          </w:rPr>
          <w:fldChar w:fldCharType="end"/>
        </w:r>
      </w:p>
    </w:sdtContent>
  </w:sdt>
  <w:p>
    <w:pPr>
      <w:tabs>
        <w:tab w:val="left" w:pos="4111"/>
      </w:tabs>
      <w:spacing w:after="0"/>
      <w:jc w:val="center"/>
      <w:rPr>
        <w:rFonts w:cs="Arial"/>
        <w:color w:val="004194"/>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rPr>
          <w:lang w:val="es-ES"/>
        </w:rPr>
      </w:pPr>
      <w:r>
        <w:rPr>
          <w:rStyle w:val="FootnoteReference"/>
        </w:rPr>
        <w:footnoteRef/>
      </w:r>
      <w:r>
        <w:rPr>
          <w:lang w:val="es-ES"/>
        </w:rPr>
        <w:t xml:space="preserve"> </w:t>
      </w:r>
      <w:r>
        <w:rPr>
          <w:lang w:val="es-ES"/>
        </w:rPr>
        <w:tab/>
        <w:t xml:space="preserve">Regulation (EU) No </w:t>
      </w:r>
      <w:hyperlink r:id="rId1" w:history="1">
        <w:r>
          <w:rPr>
            <w:rStyle w:val="Hyperlink"/>
            <w:lang w:val="es-ES"/>
          </w:rPr>
          <w:t>1307/2013</w:t>
        </w:r>
      </w:hyperlink>
      <w:r>
        <w:rPr>
          <w:lang w:val="es-ES"/>
        </w:rPr>
        <w:t>.</w:t>
      </w:r>
    </w:p>
  </w:footnote>
  <w:footnote w:id="3">
    <w:p>
      <w:pPr>
        <w:pStyle w:val="FootnoteText"/>
        <w:rPr>
          <w:lang w:val="es-ES"/>
        </w:rPr>
      </w:pPr>
      <w:r>
        <w:rPr>
          <w:rStyle w:val="FootnoteReference"/>
        </w:rPr>
        <w:footnoteRef/>
      </w:r>
      <w:r>
        <w:rPr>
          <w:lang w:val="es-ES"/>
        </w:rPr>
        <w:t xml:space="preserve"> </w:t>
      </w:r>
      <w:r>
        <w:rPr>
          <w:lang w:val="es-ES"/>
        </w:rPr>
        <w:tab/>
      </w:r>
      <w:hyperlink r:id="rId2" w:history="1">
        <w:r>
          <w:rPr>
            <w:rStyle w:val="Hyperlink"/>
            <w:lang w:val="es-ES"/>
          </w:rPr>
          <w:t>MEMO/16/2490</w:t>
        </w:r>
      </w:hyperlink>
      <w:r>
        <w:rPr>
          <w:lang w:val="es-ES"/>
        </w:rPr>
        <w:t>.</w:t>
      </w:r>
    </w:p>
  </w:footnote>
  <w:footnote w:id="4">
    <w:p>
      <w:pPr>
        <w:pStyle w:val="FootnoteText"/>
        <w:rPr>
          <w:lang w:val="es-ES"/>
        </w:rPr>
      </w:pPr>
      <w:r>
        <w:rPr>
          <w:rStyle w:val="FootnoteReference"/>
        </w:rPr>
        <w:footnoteRef/>
      </w:r>
      <w:r>
        <w:rPr>
          <w:lang w:val="es-ES"/>
        </w:rPr>
        <w:t xml:space="preserve"> </w:t>
      </w:r>
      <w:r>
        <w:rPr>
          <w:lang w:val="es-ES"/>
        </w:rPr>
        <w:tab/>
        <w:t xml:space="preserve">Regulation (EC) No </w:t>
      </w:r>
      <w:hyperlink r:id="rId3" w:history="1">
        <w:r>
          <w:rPr>
            <w:rStyle w:val="Hyperlink"/>
            <w:lang w:val="es-ES"/>
          </w:rPr>
          <w:t>543/2008</w:t>
        </w:r>
      </w:hyperlink>
      <w:r>
        <w:rPr>
          <w:lang w:val="es-ES"/>
        </w:rPr>
        <w:t xml:space="preserve">, Lidl, </w:t>
      </w:r>
      <w:hyperlink r:id="rId4" w:history="1">
        <w:r>
          <w:rPr>
            <w:rStyle w:val="Hyperlink"/>
            <w:lang w:val="es-ES"/>
          </w:rPr>
          <w:t>C-134/15</w:t>
        </w:r>
      </w:hyperlink>
      <w:r>
        <w:rPr>
          <w:lang w:val="es-ES"/>
        </w:rPr>
        <w:t>.</w:t>
      </w:r>
    </w:p>
  </w:footnote>
  <w:footnote w:id="5">
    <w:p>
      <w:pPr>
        <w:pStyle w:val="FootnoteText"/>
        <w:rPr>
          <w:lang w:val="es-ES"/>
        </w:rPr>
      </w:pPr>
      <w:r>
        <w:rPr>
          <w:rStyle w:val="FootnoteReference"/>
        </w:rPr>
        <w:footnoteRef/>
      </w:r>
      <w:r>
        <w:rPr>
          <w:lang w:val="es-ES"/>
        </w:rPr>
        <w:t xml:space="preserve"> </w:t>
      </w:r>
      <w:r>
        <w:rPr>
          <w:lang w:val="es-ES"/>
        </w:rPr>
        <w:tab/>
        <w:t>Regulation (EC) No </w:t>
      </w:r>
      <w:hyperlink r:id="rId5" w:history="1">
        <w:r>
          <w:rPr>
            <w:rStyle w:val="Hyperlink"/>
            <w:lang w:val="es-ES"/>
          </w:rPr>
          <w:t>110/2008</w:t>
        </w:r>
      </w:hyperlink>
      <w:r>
        <w:rPr>
          <w:lang w:val="es-ES"/>
        </w:rPr>
        <w:t xml:space="preserve">, Viiniverla, </w:t>
      </w:r>
      <w:hyperlink r:id="rId6" w:history="1">
        <w:r>
          <w:rPr>
            <w:rStyle w:val="Hyperlink"/>
            <w:lang w:val="es-ES"/>
          </w:rPr>
          <w:t>C-75/15</w:t>
        </w:r>
      </w:hyperlink>
      <w:r>
        <w:rPr>
          <w:lang w:val="es-ES"/>
        </w:rPr>
        <w:t>.</w:t>
      </w:r>
    </w:p>
  </w:footnote>
  <w:footnote w:id="6">
    <w:p>
      <w:pPr>
        <w:pStyle w:val="FootnoteText"/>
      </w:pPr>
      <w:r>
        <w:rPr>
          <w:rStyle w:val="FootnoteReference"/>
        </w:rPr>
        <w:footnoteRef/>
      </w:r>
      <w:r>
        <w:t xml:space="preserve"> </w:t>
      </w:r>
      <w:r>
        <w:tab/>
        <w:t xml:space="preserve">Directives </w:t>
      </w:r>
      <w:hyperlink r:id="rId7" w:history="1">
        <w:r>
          <w:rPr>
            <w:rStyle w:val="Hyperlink"/>
          </w:rPr>
          <w:t>2002/20/EC</w:t>
        </w:r>
      </w:hyperlink>
      <w:r>
        <w:t xml:space="preserve"> and </w:t>
      </w:r>
      <w:hyperlink r:id="rId8" w:history="1">
        <w:r>
          <w:rPr>
            <w:rStyle w:val="Hyperlink"/>
          </w:rPr>
          <w:t>2002/21/EC</w:t>
        </w:r>
      </w:hyperlink>
      <w:r>
        <w:t>.</w:t>
      </w:r>
    </w:p>
  </w:footnote>
  <w:footnote w:id="7">
    <w:p>
      <w:pPr>
        <w:pStyle w:val="FootnoteText"/>
      </w:pPr>
      <w:r>
        <w:rPr>
          <w:rStyle w:val="FootnoteReference"/>
        </w:rPr>
        <w:footnoteRef/>
      </w:r>
      <w:r>
        <w:t xml:space="preserve"> </w:t>
      </w:r>
      <w:r>
        <w:tab/>
        <w:t xml:space="preserve">Directives </w:t>
      </w:r>
      <w:hyperlink r:id="rId9" w:history="1">
        <w:r>
          <w:rPr>
            <w:rStyle w:val="Hyperlink"/>
          </w:rPr>
          <w:t>2002/20/EC</w:t>
        </w:r>
      </w:hyperlink>
      <w:r>
        <w:t xml:space="preserve">, </w:t>
      </w:r>
      <w:hyperlink r:id="rId10" w:history="1">
        <w:r>
          <w:rPr>
            <w:rStyle w:val="Hyperlink"/>
          </w:rPr>
          <w:t>2002/21/EC</w:t>
        </w:r>
      </w:hyperlink>
      <w:r>
        <w:t xml:space="preserve"> and </w:t>
      </w:r>
      <w:hyperlink r:id="rId11" w:history="1">
        <w:r>
          <w:rPr>
            <w:rStyle w:val="Hyperlink"/>
          </w:rPr>
          <w:t>2002/77/EC</w:t>
        </w:r>
      </w:hyperlink>
      <w:r>
        <w:t>.</w:t>
      </w:r>
    </w:p>
  </w:footnote>
  <w:footnote w:id="8">
    <w:p>
      <w:pPr>
        <w:pStyle w:val="FootnoteText"/>
      </w:pPr>
      <w:r>
        <w:rPr>
          <w:rStyle w:val="FootnoteReference"/>
        </w:rPr>
        <w:footnoteRef/>
      </w:r>
      <w:r>
        <w:t xml:space="preserve"> </w:t>
      </w:r>
      <w:r>
        <w:tab/>
        <w:t xml:space="preserve">Directive </w:t>
      </w:r>
      <w:hyperlink r:id="rId12" w:history="1">
        <w:r>
          <w:rPr>
            <w:rStyle w:val="Hyperlink"/>
          </w:rPr>
          <w:t>2014/61/EU</w:t>
        </w:r>
      </w:hyperlink>
      <w:r>
        <w:t>.</w:t>
      </w:r>
    </w:p>
  </w:footnote>
  <w:footnote w:id="9">
    <w:p>
      <w:pPr>
        <w:pStyle w:val="FootnoteText"/>
      </w:pPr>
      <w:r>
        <w:rPr>
          <w:rStyle w:val="FootnoteReference"/>
        </w:rPr>
        <w:footnoteRef/>
      </w:r>
      <w:r>
        <w:t xml:space="preserve"> </w:t>
      </w:r>
      <w:r>
        <w:tab/>
        <w:t xml:space="preserve">Directive </w:t>
      </w:r>
      <w:hyperlink r:id="rId13" w:history="1">
        <w:r>
          <w:rPr>
            <w:rStyle w:val="Hyperlink"/>
          </w:rPr>
          <w:t>2014/26/EU</w:t>
        </w:r>
      </w:hyperlink>
      <w:r>
        <w:t>.</w:t>
      </w:r>
    </w:p>
  </w:footnote>
  <w:footnote w:id="10">
    <w:p>
      <w:pPr>
        <w:pStyle w:val="FootnoteText"/>
      </w:pPr>
      <w:r>
        <w:rPr>
          <w:rStyle w:val="FootnoteReference"/>
        </w:rPr>
        <w:footnoteRef/>
      </w:r>
      <w:r>
        <w:t xml:space="preserve"> </w:t>
      </w:r>
      <w:r>
        <w:tab/>
        <w:t xml:space="preserve">Directive </w:t>
      </w:r>
      <w:hyperlink r:id="rId14" w:history="1">
        <w:r>
          <w:rPr>
            <w:rStyle w:val="Hyperlink"/>
          </w:rPr>
          <w:t>2014/26/EU</w:t>
        </w:r>
      </w:hyperlink>
      <w:r>
        <w:t>.</w:t>
      </w:r>
    </w:p>
  </w:footnote>
  <w:footnote w:id="11">
    <w:p>
      <w:pPr>
        <w:pStyle w:val="FootnoteText"/>
      </w:pPr>
      <w:r>
        <w:rPr>
          <w:rStyle w:val="FootnoteReference"/>
        </w:rPr>
        <w:footnoteRef/>
      </w:r>
      <w:r>
        <w:t xml:space="preserve"> </w:t>
      </w:r>
      <w:r>
        <w:tab/>
        <w:t xml:space="preserve">Directive </w:t>
      </w:r>
      <w:hyperlink r:id="rId15" w:history="1">
        <w:r>
          <w:rPr>
            <w:rStyle w:val="Hyperlink"/>
          </w:rPr>
          <w:t>2014/61/EU</w:t>
        </w:r>
      </w:hyperlink>
      <w:r>
        <w:t>.</w:t>
      </w:r>
    </w:p>
  </w:footnote>
  <w:footnote w:id="12">
    <w:p>
      <w:pPr>
        <w:pStyle w:val="FootnoteText"/>
      </w:pPr>
      <w:r>
        <w:rPr>
          <w:rStyle w:val="FootnoteReference"/>
        </w:rPr>
        <w:footnoteRef/>
      </w:r>
      <w:r>
        <w:t xml:space="preserve"> </w:t>
      </w:r>
      <w:r>
        <w:tab/>
        <w:t>These rulings are almost exclusively handed down on infringement procedures.</w:t>
      </w:r>
    </w:p>
  </w:footnote>
  <w:footnote w:id="13">
    <w:p>
      <w:pPr>
        <w:pStyle w:val="FootnoteText"/>
      </w:pPr>
      <w:r>
        <w:rPr>
          <w:rStyle w:val="FootnoteReference"/>
        </w:rPr>
        <w:footnoteRef/>
      </w:r>
      <w:r>
        <w:t xml:space="preserve"> </w:t>
      </w:r>
      <w:r>
        <w:tab/>
      </w:r>
      <w:r>
        <w:rPr>
          <w:rStyle w:val="st"/>
        </w:rPr>
        <w:t xml:space="preserve">Directive </w:t>
      </w:r>
      <w:hyperlink r:id="rId16" w:history="1">
        <w:r>
          <w:rPr>
            <w:rStyle w:val="Hyperlink"/>
          </w:rPr>
          <w:t>2002/22/EC</w:t>
        </w:r>
      </w:hyperlink>
      <w:r>
        <w:rPr>
          <w:rStyle w:val="st"/>
        </w:rPr>
        <w:t>.</w:t>
      </w:r>
    </w:p>
  </w:footnote>
  <w:footnote w:id="14">
    <w:p>
      <w:pPr>
        <w:pStyle w:val="FootnoteText"/>
      </w:pPr>
      <w:r>
        <w:rPr>
          <w:rStyle w:val="FootnoteReference"/>
        </w:rPr>
        <w:footnoteRef/>
      </w:r>
      <w:r>
        <w:t xml:space="preserve"> </w:t>
      </w:r>
      <w:r>
        <w:tab/>
        <w:t xml:space="preserve">TDC, </w:t>
      </w:r>
      <w:hyperlink r:id="rId17" w:history="1">
        <w:r>
          <w:rPr>
            <w:rStyle w:val="Hyperlink"/>
          </w:rPr>
          <w:t>C-327/15</w:t>
        </w:r>
      </w:hyperlink>
      <w:r>
        <w:t>.</w:t>
      </w:r>
    </w:p>
  </w:footnote>
  <w:footnote w:id="15">
    <w:p>
      <w:pPr>
        <w:pStyle w:val="FootnoteText"/>
      </w:pPr>
      <w:r>
        <w:rPr>
          <w:rStyle w:val="FootnoteReference"/>
        </w:rPr>
        <w:footnoteRef/>
      </w:r>
      <w:r>
        <w:t xml:space="preserve"> </w:t>
      </w:r>
      <w:r>
        <w:tab/>
      </w:r>
      <w:r>
        <w:rPr>
          <w:rStyle w:val="affairetitle"/>
        </w:rPr>
        <w:t>Mc Fadden</w:t>
      </w:r>
      <w:r>
        <w:t xml:space="preserve">, </w:t>
      </w:r>
      <w:hyperlink r:id="rId18" w:history="1">
        <w:r>
          <w:rPr>
            <w:rStyle w:val="Hyperlink"/>
          </w:rPr>
          <w:t>C-484/14</w:t>
        </w:r>
      </w:hyperlink>
      <w:r>
        <w:rPr>
          <w:rStyle w:val="Hyperlink"/>
        </w:rPr>
        <w:t xml:space="preserve">, </w:t>
      </w:r>
      <w:r>
        <w:t xml:space="preserve">Court press release No. </w:t>
      </w:r>
      <w:hyperlink r:id="rId19" w:history="1">
        <w:r>
          <w:rPr>
            <w:rStyle w:val="Hyperlink"/>
          </w:rPr>
          <w:t>99/16</w:t>
        </w:r>
      </w:hyperlink>
      <w:r>
        <w:t>.</w:t>
      </w:r>
    </w:p>
  </w:footnote>
  <w:footnote w:id="16">
    <w:p>
      <w:pPr>
        <w:pStyle w:val="FootnoteText"/>
      </w:pPr>
      <w:r>
        <w:rPr>
          <w:rStyle w:val="FootnoteReference"/>
        </w:rPr>
        <w:footnoteRef/>
      </w:r>
      <w:r>
        <w:t xml:space="preserve"> </w:t>
      </w:r>
      <w:r>
        <w:tab/>
        <w:t xml:space="preserve">Directive </w:t>
      </w:r>
      <w:hyperlink r:id="rId20" w:history="1">
        <w:r>
          <w:rPr>
            <w:rStyle w:val="Hyperlink"/>
          </w:rPr>
          <w:t>2002/21/EC</w:t>
        </w:r>
      </w:hyperlink>
      <w:r>
        <w:t>.</w:t>
      </w:r>
    </w:p>
  </w:footnote>
  <w:footnote w:id="17">
    <w:p>
      <w:pPr>
        <w:pStyle w:val="FootnoteText"/>
      </w:pPr>
      <w:r>
        <w:rPr>
          <w:rStyle w:val="FootnoteReference"/>
        </w:rPr>
        <w:footnoteRef/>
      </w:r>
      <w:r>
        <w:t xml:space="preserve"> </w:t>
      </w:r>
      <w:r>
        <w:tab/>
      </w:r>
      <w:r>
        <w:rPr>
          <w:rStyle w:val="affairetitle"/>
        </w:rPr>
        <w:t>Ormaetxea Garai and Lorenzo Almendros</w:t>
      </w:r>
      <w:r>
        <w:t xml:space="preserve">, </w:t>
      </w:r>
      <w:hyperlink r:id="rId21" w:history="1">
        <w:r>
          <w:rPr>
            <w:rStyle w:val="Hyperlink"/>
          </w:rPr>
          <w:t>C-424/15</w:t>
        </w:r>
      </w:hyperlink>
      <w:r>
        <w:t>.</w:t>
      </w:r>
    </w:p>
  </w:footnote>
  <w:footnote w:id="18">
    <w:p>
      <w:pPr>
        <w:pStyle w:val="FootnoteText"/>
      </w:pPr>
      <w:r>
        <w:rPr>
          <w:rStyle w:val="FootnoteReference"/>
        </w:rPr>
        <w:footnoteRef/>
      </w:r>
      <w:r>
        <w:t xml:space="preserve"> </w:t>
      </w:r>
      <w:r>
        <w:tab/>
        <w:t xml:space="preserve">GS Media, </w:t>
      </w:r>
      <w:hyperlink r:id="rId22" w:history="1">
        <w:r>
          <w:rPr>
            <w:rStyle w:val="Hyperlink"/>
          </w:rPr>
          <w:t>C-160/15</w:t>
        </w:r>
      </w:hyperlink>
      <w:r>
        <w:t>.</w:t>
      </w:r>
    </w:p>
  </w:footnote>
  <w:footnote w:id="19">
    <w:p>
      <w:pPr>
        <w:pStyle w:val="FootnoteText"/>
      </w:pPr>
      <w:r>
        <w:rPr>
          <w:rStyle w:val="FootnoteReference"/>
        </w:rPr>
        <w:footnoteRef/>
      </w:r>
      <w:r>
        <w:t xml:space="preserve"> </w:t>
      </w:r>
      <w:r>
        <w:tab/>
        <w:t xml:space="preserve">Directive </w:t>
      </w:r>
      <w:hyperlink r:id="rId23" w:history="1">
        <w:r>
          <w:rPr>
            <w:rStyle w:val="Hyperlink"/>
          </w:rPr>
          <w:t>2006/115/EC</w:t>
        </w:r>
      </w:hyperlink>
      <w:r>
        <w:t>.</w:t>
      </w:r>
    </w:p>
  </w:footnote>
  <w:footnote w:id="20">
    <w:p>
      <w:pPr>
        <w:pStyle w:val="FootnoteText"/>
      </w:pPr>
      <w:r>
        <w:rPr>
          <w:rStyle w:val="FootnoteReference"/>
        </w:rPr>
        <w:footnoteRef/>
      </w:r>
      <w:r>
        <w:t xml:space="preserve"> </w:t>
      </w:r>
      <w:r>
        <w:tab/>
        <w:t xml:space="preserve">Vereniging Openbare Bibliotheken, </w:t>
      </w:r>
      <w:hyperlink r:id="rId24" w:history="1">
        <w:r>
          <w:rPr>
            <w:rStyle w:val="Hyperlink"/>
          </w:rPr>
          <w:t>C-174/15</w:t>
        </w:r>
      </w:hyperlink>
      <w:r>
        <w:t xml:space="preserve">, Court press release No. </w:t>
      </w:r>
      <w:hyperlink r:id="rId25" w:history="1">
        <w:r>
          <w:rPr>
            <w:rStyle w:val="Hyperlink"/>
          </w:rPr>
          <w:t>123/16</w:t>
        </w:r>
      </w:hyperlink>
      <w:r>
        <w:t>.</w:t>
      </w:r>
    </w:p>
  </w:footnote>
  <w:footnote w:id="21">
    <w:p>
      <w:pPr>
        <w:pStyle w:val="FootnoteText"/>
      </w:pPr>
      <w:r>
        <w:rPr>
          <w:rStyle w:val="FootnoteReference"/>
        </w:rPr>
        <w:footnoteRef/>
      </w:r>
      <w:r>
        <w:t xml:space="preserve"> </w:t>
      </w:r>
      <w:r>
        <w:tab/>
      </w:r>
      <w:r>
        <w:rPr>
          <w:rStyle w:val="st"/>
        </w:rPr>
        <w:t xml:space="preserve">Directive </w:t>
      </w:r>
      <w:hyperlink r:id="rId26" w:history="1">
        <w:r>
          <w:rPr>
            <w:rStyle w:val="Hyperlink"/>
          </w:rPr>
          <w:t>2002/22/EC</w:t>
        </w:r>
      </w:hyperlink>
      <w:r>
        <w:rPr>
          <w:rStyle w:val="st"/>
        </w:rPr>
        <w:t>.</w:t>
      </w:r>
    </w:p>
  </w:footnote>
  <w:footnote w:id="22">
    <w:p>
      <w:pPr>
        <w:pStyle w:val="FootnoteText"/>
      </w:pPr>
      <w:r>
        <w:rPr>
          <w:rStyle w:val="FootnoteReference"/>
        </w:rPr>
        <w:footnoteRef/>
      </w:r>
      <w:r>
        <w:t xml:space="preserve"> </w:t>
      </w:r>
      <w:r>
        <w:tab/>
        <w:t xml:space="preserve">Polkomtel, </w:t>
      </w:r>
      <w:hyperlink r:id="rId27" w:history="1">
        <w:r>
          <w:rPr>
            <w:rStyle w:val="Hyperlink"/>
          </w:rPr>
          <w:t>C-397/14</w:t>
        </w:r>
      </w:hyperlink>
      <w:r>
        <w:t>.</w:t>
      </w:r>
    </w:p>
  </w:footnote>
  <w:footnote w:id="23">
    <w:p>
      <w:pPr>
        <w:pStyle w:val="FootnoteText"/>
      </w:pPr>
      <w:r>
        <w:rPr>
          <w:rStyle w:val="FootnoteReference"/>
        </w:rPr>
        <w:footnoteRef/>
      </w:r>
      <w:r>
        <w:t xml:space="preserve"> </w:t>
      </w:r>
      <w:r>
        <w:tab/>
      </w:r>
      <w:r>
        <w:rPr>
          <w:rStyle w:val="affairetitle"/>
        </w:rPr>
        <w:t>Sanoma Media Finland - Nelonen Media</w:t>
      </w:r>
      <w:r>
        <w:t xml:space="preserve">, </w:t>
      </w:r>
      <w:hyperlink r:id="rId28" w:history="1">
        <w:r>
          <w:rPr>
            <w:rStyle w:val="Hyperlink"/>
          </w:rPr>
          <w:t>C-314/14</w:t>
        </w:r>
      </w:hyperlink>
      <w:r>
        <w:t>.</w:t>
      </w:r>
    </w:p>
  </w:footnote>
  <w:footnote w:id="24">
    <w:p>
      <w:pPr>
        <w:pStyle w:val="FootnoteText"/>
      </w:pPr>
      <w:r>
        <w:rPr>
          <w:rStyle w:val="FootnoteReference"/>
        </w:rPr>
        <w:footnoteRef/>
      </w:r>
      <w:r>
        <w:t xml:space="preserve"> </w:t>
      </w:r>
      <w:r>
        <w:tab/>
        <w:t xml:space="preserve">Directive </w:t>
      </w:r>
      <w:hyperlink r:id="rId29" w:history="1">
        <w:r>
          <w:rPr>
            <w:rStyle w:val="Hyperlink"/>
          </w:rPr>
          <w:t>2002/58/EC</w:t>
        </w:r>
      </w:hyperlink>
      <w:r>
        <w:t>.</w:t>
      </w:r>
    </w:p>
  </w:footnote>
  <w:footnote w:id="25">
    <w:p>
      <w:pPr>
        <w:pStyle w:val="FootnoteText"/>
      </w:pPr>
      <w:r>
        <w:rPr>
          <w:rStyle w:val="FootnoteReference"/>
        </w:rPr>
        <w:footnoteRef/>
      </w:r>
      <w:r>
        <w:t xml:space="preserve"> </w:t>
      </w:r>
      <w:r>
        <w:tab/>
        <w:t xml:space="preserve">Joined case </w:t>
      </w:r>
      <w:r>
        <w:rPr>
          <w:rStyle w:val="affairetitle"/>
        </w:rPr>
        <w:t>Tele2 Sverige</w:t>
      </w:r>
      <w:r>
        <w:t xml:space="preserve"> </w:t>
      </w:r>
      <w:hyperlink r:id="rId30" w:history="1">
        <w:r>
          <w:rPr>
            <w:rStyle w:val="Hyperlink"/>
          </w:rPr>
          <w:t>C-203/15</w:t>
        </w:r>
      </w:hyperlink>
      <w:r>
        <w:t xml:space="preserve"> and </w:t>
      </w:r>
      <w:r>
        <w:rPr>
          <w:rStyle w:val="affairetitle"/>
        </w:rPr>
        <w:t xml:space="preserve">Watson and Others, </w:t>
      </w:r>
      <w:hyperlink r:id="rId31" w:history="1">
        <w:r>
          <w:rPr>
            <w:rStyle w:val="Hyperlink"/>
          </w:rPr>
          <w:t>C-698/15</w:t>
        </w:r>
      </w:hyperlink>
      <w:r>
        <w:t>, Court press release No.</w:t>
      </w:r>
      <w:hyperlink r:id="rId32" w:history="1">
        <w:r>
          <w:rPr>
            <w:rStyle w:val="Hyperlink"/>
          </w:rPr>
          <w:t>145/16</w:t>
        </w:r>
      </w:hyperlink>
      <w:r>
        <w:t>.</w:t>
      </w:r>
    </w:p>
  </w:footnote>
  <w:footnote w:id="26">
    <w:p>
      <w:pPr>
        <w:pStyle w:val="FootnoteText"/>
      </w:pPr>
      <w:r>
        <w:rPr>
          <w:rStyle w:val="FootnoteReference"/>
        </w:rPr>
        <w:footnoteRef/>
      </w:r>
      <w:r>
        <w:t xml:space="preserve"> </w:t>
      </w:r>
      <w:r>
        <w:tab/>
        <w:t xml:space="preserve">Regulation (EU) </w:t>
      </w:r>
      <w:hyperlink r:id="rId33" w:history="1">
        <w:r>
          <w:rPr>
            <w:rStyle w:val="Hyperlink"/>
          </w:rPr>
          <w:t>2015/2120</w:t>
        </w:r>
      </w:hyperlink>
      <w:r>
        <w:t>.</w:t>
      </w:r>
    </w:p>
  </w:footnote>
  <w:footnote w:id="27">
    <w:p>
      <w:pPr>
        <w:pStyle w:val="FootnoteText"/>
      </w:pPr>
      <w:r>
        <w:rPr>
          <w:rStyle w:val="FootnoteReference"/>
        </w:rPr>
        <w:footnoteRef/>
      </w:r>
      <w:r>
        <w:t xml:space="preserve"> </w:t>
      </w:r>
      <w:r>
        <w:tab/>
        <w:t xml:space="preserve">Regulation (EU) </w:t>
      </w:r>
      <w:hyperlink r:id="rId34" w:history="1">
        <w:r>
          <w:rPr>
            <w:rStyle w:val="Hyperlink"/>
          </w:rPr>
          <w:t>No 910/2014</w:t>
        </w:r>
      </w:hyperlink>
      <w:r>
        <w:t>.</w:t>
      </w:r>
    </w:p>
  </w:footnote>
  <w:footnote w:id="28">
    <w:p>
      <w:pPr>
        <w:pStyle w:val="FootnoteText"/>
      </w:pPr>
      <w:r>
        <w:rPr>
          <w:rStyle w:val="FootnoteReference"/>
        </w:rPr>
        <w:footnoteRef/>
      </w:r>
      <w:r>
        <w:t xml:space="preserve"> </w:t>
      </w:r>
      <w:r>
        <w:tab/>
        <w:t xml:space="preserve">Directive </w:t>
      </w:r>
      <w:hyperlink r:id="rId35" w:history="1">
        <w:r>
          <w:rPr>
            <w:rStyle w:val="Hyperlink"/>
          </w:rPr>
          <w:t>2014/61/EU</w:t>
        </w:r>
      </w:hyperlink>
      <w:r>
        <w:t>.</w:t>
      </w:r>
    </w:p>
  </w:footnote>
  <w:footnote w:id="29">
    <w:p>
      <w:pPr>
        <w:pStyle w:val="FootnoteText"/>
      </w:pPr>
      <w:r>
        <w:rPr>
          <w:rStyle w:val="FootnoteReference"/>
        </w:rPr>
        <w:footnoteRef/>
      </w:r>
      <w:r>
        <w:t xml:space="preserve"> </w:t>
      </w:r>
      <w:r>
        <w:tab/>
        <w:t xml:space="preserve">Directive </w:t>
      </w:r>
      <w:hyperlink r:id="rId36" w:history="1">
        <w:r>
          <w:rPr>
            <w:rStyle w:val="Hyperlink"/>
          </w:rPr>
          <w:t>2014/26/EU</w:t>
        </w:r>
      </w:hyperlink>
      <w:r>
        <w:t>.</w:t>
      </w:r>
    </w:p>
  </w:footnote>
  <w:footnote w:id="30">
    <w:p>
      <w:pPr>
        <w:pStyle w:val="FootnoteText"/>
      </w:pPr>
      <w:r>
        <w:rPr>
          <w:rStyle w:val="FootnoteReference"/>
        </w:rPr>
        <w:footnoteRef/>
      </w:r>
      <w:r>
        <w:t xml:space="preserve"> Directive </w:t>
      </w:r>
      <w:hyperlink r:id="rId37" w:history="1">
        <w:r>
          <w:rPr>
            <w:rStyle w:val="Hyperlink"/>
          </w:rPr>
          <w:t>2014/27/EU</w:t>
        </w:r>
      </w:hyperlink>
      <w:r>
        <w:rPr>
          <w:rStyle w:val="Hyperlink"/>
        </w:rPr>
        <w:t>.</w:t>
      </w:r>
    </w:p>
  </w:footnote>
  <w:footnote w:id="31">
    <w:p>
      <w:pPr>
        <w:pStyle w:val="FootnoteText"/>
      </w:pPr>
      <w:r>
        <w:rPr>
          <w:rStyle w:val="FootnoteReference"/>
        </w:rPr>
        <w:footnoteRef/>
      </w:r>
      <w:r>
        <w:t xml:space="preserve"> Regulation (EC) No </w:t>
      </w:r>
      <w:hyperlink r:id="rId38" w:history="1">
        <w:r>
          <w:rPr>
            <w:rStyle w:val="Hyperlink"/>
          </w:rPr>
          <w:t>1272/2008</w:t>
        </w:r>
      </w:hyperlink>
      <w:r>
        <w:rPr>
          <w:rStyle w:val="Hyperlink"/>
        </w:rPr>
        <w:t>.</w:t>
      </w:r>
    </w:p>
  </w:footnote>
  <w:footnote w:id="32">
    <w:p>
      <w:pPr>
        <w:pStyle w:val="FootnoteText"/>
      </w:pPr>
      <w:r>
        <w:rPr>
          <w:rStyle w:val="FootnoteReference"/>
        </w:rPr>
        <w:footnoteRef/>
      </w:r>
      <w:r>
        <w:t xml:space="preserve"> Council Directive </w:t>
      </w:r>
      <w:hyperlink r:id="rId39" w:history="1">
        <w:r>
          <w:rPr>
            <w:rStyle w:val="Hyperlink"/>
          </w:rPr>
          <w:t>1999/70/EC</w:t>
        </w:r>
      </w:hyperlink>
      <w:r>
        <w:rPr>
          <w:rStyle w:val="Hyperlink"/>
        </w:rPr>
        <w:t>.</w:t>
      </w:r>
    </w:p>
  </w:footnote>
  <w:footnote w:id="33">
    <w:p>
      <w:pPr>
        <w:pStyle w:val="FootnoteText"/>
      </w:pPr>
      <w:r>
        <w:rPr>
          <w:rStyle w:val="FootnoteReference"/>
        </w:rPr>
        <w:footnoteRef/>
      </w:r>
      <w:r>
        <w:t xml:space="preserve"> Directive </w:t>
      </w:r>
      <w:hyperlink r:id="rId40" w:history="1">
        <w:r>
          <w:rPr>
            <w:rStyle w:val="Hyperlink"/>
          </w:rPr>
          <w:t>2014/54/EU</w:t>
        </w:r>
      </w:hyperlink>
      <w:r>
        <w:rPr>
          <w:rStyle w:val="Hyperlink"/>
        </w:rPr>
        <w:t>.</w:t>
      </w:r>
    </w:p>
  </w:footnote>
  <w:footnote w:id="34">
    <w:p>
      <w:pPr>
        <w:pStyle w:val="FootnoteText"/>
      </w:pPr>
      <w:r>
        <w:rPr>
          <w:rStyle w:val="FootnoteReference"/>
        </w:rPr>
        <w:footnoteRef/>
      </w:r>
      <w:r>
        <w:t xml:space="preserve"> </w:t>
      </w:r>
      <w:r>
        <w:tab/>
        <w:t xml:space="preserve">Directive </w:t>
      </w:r>
      <w:hyperlink r:id="rId41" w:history="1">
        <w:r>
          <w:rPr>
            <w:rStyle w:val="Hyperlink"/>
          </w:rPr>
          <w:t>2014/67/EU</w:t>
        </w:r>
      </w:hyperlink>
      <w:r>
        <w:rPr>
          <w:rStyle w:val="Hyperlink"/>
        </w:rPr>
        <w:t>.</w:t>
      </w:r>
    </w:p>
  </w:footnote>
  <w:footnote w:id="35">
    <w:p>
      <w:pPr>
        <w:pStyle w:val="FootnoteText"/>
      </w:pPr>
      <w:r>
        <w:rPr>
          <w:rStyle w:val="FootnoteReference"/>
        </w:rPr>
        <w:footnoteRef/>
      </w:r>
      <w:r>
        <w:t xml:space="preserve"> </w:t>
      </w:r>
      <w:r>
        <w:tab/>
        <w:t xml:space="preserve">Directive </w:t>
      </w:r>
      <w:hyperlink r:id="rId42" w:history="1">
        <w:r>
          <w:rPr>
            <w:rStyle w:val="Hyperlink"/>
          </w:rPr>
          <w:t>2013/35/EU</w:t>
        </w:r>
      </w:hyperlink>
      <w:r>
        <w:rPr>
          <w:rStyle w:val="Hyperlink"/>
        </w:rPr>
        <w:t>.</w:t>
      </w:r>
    </w:p>
  </w:footnote>
  <w:footnote w:id="36">
    <w:p>
      <w:pPr>
        <w:pStyle w:val="FootnoteText"/>
      </w:pPr>
      <w:r>
        <w:rPr>
          <w:rStyle w:val="FootnoteReference"/>
        </w:rPr>
        <w:footnoteRef/>
      </w:r>
      <w:r>
        <w:t xml:space="preserve"> </w:t>
      </w:r>
      <w:r>
        <w:tab/>
        <w:t xml:space="preserve">Directive </w:t>
      </w:r>
      <w:hyperlink r:id="rId43" w:history="1">
        <w:r>
          <w:rPr>
            <w:rStyle w:val="Hyperlink"/>
          </w:rPr>
          <w:t>2014/27/EU</w:t>
        </w:r>
      </w:hyperlink>
      <w:r>
        <w:rPr>
          <w:rStyle w:val="Hyperlink"/>
        </w:rPr>
        <w:t>.</w:t>
      </w:r>
    </w:p>
  </w:footnote>
  <w:footnote w:id="37">
    <w:p>
      <w:pPr>
        <w:pStyle w:val="FootnoteText"/>
      </w:pPr>
      <w:r>
        <w:rPr>
          <w:rStyle w:val="FootnoteReference"/>
        </w:rPr>
        <w:footnoteRef/>
      </w:r>
      <w:r>
        <w:t xml:space="preserve"> </w:t>
      </w:r>
      <w:r>
        <w:tab/>
        <w:t xml:space="preserve">Regulation (EC) No </w:t>
      </w:r>
      <w:hyperlink r:id="rId44" w:history="1">
        <w:r>
          <w:rPr>
            <w:rStyle w:val="Hyperlink"/>
          </w:rPr>
          <w:t>1272/2008</w:t>
        </w:r>
      </w:hyperlink>
      <w:r>
        <w:rPr>
          <w:rStyle w:val="Hyperlink"/>
        </w:rPr>
        <w:t>.</w:t>
      </w:r>
    </w:p>
  </w:footnote>
  <w:footnote w:id="38">
    <w:p>
      <w:pPr>
        <w:pStyle w:val="FootnoteText"/>
      </w:pPr>
      <w:r>
        <w:rPr>
          <w:rStyle w:val="FootnoteReference"/>
        </w:rPr>
        <w:footnoteRef/>
      </w:r>
      <w:r>
        <w:t xml:space="preserve"> </w:t>
      </w:r>
      <w:r>
        <w:tab/>
        <w:t xml:space="preserve">Commission v Luxembourg </w:t>
      </w:r>
      <w:hyperlink r:id="rId45" w:history="1">
        <w:r>
          <w:rPr>
            <w:rStyle w:val="Hyperlink"/>
          </w:rPr>
          <w:t>C-511/16</w:t>
        </w:r>
      </w:hyperlink>
      <w:r>
        <w:rPr>
          <w:rStyle w:val="Hyperlink"/>
        </w:rPr>
        <w:t>,</w:t>
      </w:r>
      <w:r>
        <w:t xml:space="preserve"> </w:t>
      </w:r>
      <w:hyperlink r:id="rId46" w:history="1">
        <w:r>
          <w:rPr>
            <w:rStyle w:val="Hyperlink"/>
          </w:rPr>
          <w:t>IP/16/2599</w:t>
        </w:r>
      </w:hyperlink>
      <w:r>
        <w:rPr>
          <w:rStyle w:val="Hyperlink"/>
        </w:rPr>
        <w:t>.</w:t>
      </w:r>
    </w:p>
  </w:footnote>
  <w:footnote w:id="39">
    <w:p>
      <w:pPr>
        <w:pStyle w:val="FootnoteText"/>
      </w:pPr>
      <w:r>
        <w:rPr>
          <w:rStyle w:val="FootnoteReference"/>
        </w:rPr>
        <w:footnoteRef/>
      </w:r>
      <w:r>
        <w:t xml:space="preserve"> </w:t>
      </w:r>
      <w:r>
        <w:tab/>
        <w:t>These rulings are almost exclusively handed down on infringement procedures.</w:t>
      </w:r>
    </w:p>
  </w:footnote>
  <w:footnote w:id="40">
    <w:p>
      <w:pPr>
        <w:pStyle w:val="FootnoteText"/>
      </w:pPr>
      <w:r>
        <w:rPr>
          <w:rStyle w:val="FootnoteReference"/>
        </w:rPr>
        <w:footnoteRef/>
      </w:r>
      <w:r>
        <w:t xml:space="preserve"> </w:t>
      </w:r>
      <w:r>
        <w:tab/>
        <w:t xml:space="preserve">Commission v Cyprus, </w:t>
      </w:r>
      <w:hyperlink r:id="rId47" w:history="1">
        <w:r>
          <w:rPr>
            <w:rStyle w:val="Hyperlink"/>
          </w:rPr>
          <w:t>C-515/14</w:t>
        </w:r>
      </w:hyperlink>
      <w:r>
        <w:t>.</w:t>
      </w:r>
    </w:p>
  </w:footnote>
  <w:footnote w:id="41">
    <w:p>
      <w:pPr>
        <w:pStyle w:val="FootnoteText"/>
      </w:pPr>
      <w:r>
        <w:rPr>
          <w:rStyle w:val="FootnoteReference"/>
        </w:rPr>
        <w:footnoteRef/>
      </w:r>
      <w:r>
        <w:t xml:space="preserve"> </w:t>
      </w:r>
      <w:r>
        <w:tab/>
        <w:t xml:space="preserve">Commission v Malta, </w:t>
      </w:r>
      <w:hyperlink r:id="rId48" w:history="1">
        <w:r>
          <w:rPr>
            <w:rStyle w:val="Hyperlink"/>
          </w:rPr>
          <w:t>C-12/14</w:t>
        </w:r>
      </w:hyperlink>
      <w:r>
        <w:rPr>
          <w:rStyle w:val="Hyperlink"/>
        </w:rPr>
        <w:t>.</w:t>
      </w:r>
    </w:p>
  </w:footnote>
  <w:footnote w:id="42">
    <w:p>
      <w:pPr>
        <w:pStyle w:val="FootnoteText"/>
      </w:pPr>
      <w:r>
        <w:rPr>
          <w:rStyle w:val="FootnoteReference"/>
        </w:rPr>
        <w:footnoteRef/>
      </w:r>
      <w:r>
        <w:t xml:space="preserve"> </w:t>
      </w:r>
      <w:r>
        <w:tab/>
        <w:t xml:space="preserve">Regulation (EC) No </w:t>
      </w:r>
      <w:hyperlink r:id="rId49" w:history="1">
        <w:r>
          <w:rPr>
            <w:rStyle w:val="Hyperlink"/>
          </w:rPr>
          <w:t>883/2004</w:t>
        </w:r>
      </w:hyperlink>
      <w:r>
        <w:rPr>
          <w:rStyle w:val="Hyperlink"/>
        </w:rPr>
        <w:t>.</w:t>
      </w:r>
    </w:p>
  </w:footnote>
  <w:footnote w:id="43">
    <w:p>
      <w:pPr>
        <w:pStyle w:val="FootnoteText"/>
      </w:pPr>
      <w:r>
        <w:rPr>
          <w:rStyle w:val="FootnoteReference"/>
        </w:rPr>
        <w:footnoteRef/>
      </w:r>
      <w:r>
        <w:t xml:space="preserve"> </w:t>
      </w:r>
      <w:r>
        <w:tab/>
        <w:t xml:space="preserve">Commission v United Kingdom, </w:t>
      </w:r>
      <w:hyperlink r:id="rId50" w:history="1">
        <w:r>
          <w:rPr>
            <w:rStyle w:val="Hyperlink"/>
          </w:rPr>
          <w:t>C30 8/14</w:t>
        </w:r>
      </w:hyperlink>
      <w:r>
        <w:rPr>
          <w:rStyle w:val="Hyperlink"/>
        </w:rPr>
        <w:t>.</w:t>
      </w:r>
    </w:p>
  </w:footnote>
  <w:footnote w:id="44">
    <w:p>
      <w:pPr>
        <w:pStyle w:val="FootnoteText"/>
      </w:pPr>
      <w:r>
        <w:rPr>
          <w:rStyle w:val="FootnoteReference"/>
        </w:rPr>
        <w:footnoteRef/>
      </w:r>
      <w:r>
        <w:t xml:space="preserve"> </w:t>
      </w:r>
      <w:r>
        <w:tab/>
        <w:t xml:space="preserve">Pöpperl, </w:t>
      </w:r>
      <w:hyperlink r:id="rId51" w:history="1">
        <w:r>
          <w:rPr>
            <w:rStyle w:val="Hyperlink"/>
          </w:rPr>
          <w:t>C-187/15</w:t>
        </w:r>
      </w:hyperlink>
      <w:r>
        <w:t>.</w:t>
      </w:r>
    </w:p>
  </w:footnote>
  <w:footnote w:id="45">
    <w:p>
      <w:pPr>
        <w:pStyle w:val="FootnoteText"/>
      </w:pPr>
      <w:r>
        <w:rPr>
          <w:rStyle w:val="FootnoteReference"/>
        </w:rPr>
        <w:footnoteRef/>
      </w:r>
      <w:r>
        <w:t xml:space="preserve"> </w:t>
      </w:r>
      <w:r>
        <w:tab/>
        <w:t xml:space="preserve">Council Directive </w:t>
      </w:r>
      <w:hyperlink r:id="rId52" w:history="1">
        <w:r>
          <w:rPr>
            <w:rStyle w:val="Hyperlink"/>
          </w:rPr>
          <w:t>98/59/EC</w:t>
        </w:r>
      </w:hyperlink>
      <w:r>
        <w:rPr>
          <w:rStyle w:val="Hyperlink"/>
        </w:rPr>
        <w:t>.</w:t>
      </w:r>
    </w:p>
  </w:footnote>
  <w:footnote w:id="46">
    <w:p>
      <w:pPr>
        <w:pStyle w:val="FootnoteText"/>
      </w:pPr>
      <w:r>
        <w:rPr>
          <w:rStyle w:val="FootnoteReference"/>
        </w:rPr>
        <w:footnoteRef/>
      </w:r>
      <w:r>
        <w:t xml:space="preserve"> </w:t>
      </w:r>
      <w:r>
        <w:tab/>
        <w:t xml:space="preserve">AGET Iraklis, </w:t>
      </w:r>
      <w:hyperlink r:id="rId53" w:history="1">
        <w:r>
          <w:rPr>
            <w:rStyle w:val="Hyperlink"/>
          </w:rPr>
          <w:t>C-201/15</w:t>
        </w:r>
      </w:hyperlink>
      <w:r>
        <w:rPr>
          <w:rStyle w:val="Hyperlink"/>
        </w:rPr>
        <w:t>,</w:t>
      </w:r>
      <w:r>
        <w:rPr>
          <w:rStyle w:val="Hyperlink"/>
          <w:color w:val="auto"/>
          <w:u w:val="none"/>
        </w:rPr>
        <w:t xml:space="preserve"> </w:t>
      </w:r>
      <w:r>
        <w:t xml:space="preserve">Court press release </w:t>
      </w:r>
      <w:hyperlink r:id="rId54" w:history="1">
        <w:r>
          <w:rPr>
            <w:rStyle w:val="Hyperlink"/>
          </w:rPr>
          <w:t>No 143/2016</w:t>
        </w:r>
      </w:hyperlink>
      <w:r>
        <w:t>.</w:t>
      </w:r>
    </w:p>
  </w:footnote>
  <w:footnote w:id="47">
    <w:p>
      <w:pPr>
        <w:pStyle w:val="FootnoteText"/>
        <w:rPr>
          <w:lang w:val="pt-PT"/>
        </w:rPr>
      </w:pPr>
      <w:r>
        <w:rPr>
          <w:rStyle w:val="FootnoteReference"/>
        </w:rPr>
        <w:footnoteRef/>
      </w:r>
      <w:r>
        <w:rPr>
          <w:lang w:val="pt-PT"/>
        </w:rPr>
        <w:t xml:space="preserve"> </w:t>
      </w:r>
      <w:r>
        <w:rPr>
          <w:lang w:val="pt-PT"/>
        </w:rPr>
        <w:tab/>
        <w:t xml:space="preserve">Bragança Linares Verruga and Others, </w:t>
      </w:r>
      <w:hyperlink r:id="rId55" w:history="1">
        <w:r>
          <w:rPr>
            <w:rStyle w:val="Hyperlink"/>
            <w:lang w:val="pt-PT"/>
          </w:rPr>
          <w:t>C-238/15</w:t>
        </w:r>
      </w:hyperlink>
      <w:r>
        <w:rPr>
          <w:lang w:val="pt-PT"/>
        </w:rPr>
        <w:t>.</w:t>
      </w:r>
    </w:p>
  </w:footnote>
  <w:footnote w:id="48">
    <w:p>
      <w:pPr>
        <w:pStyle w:val="FootnoteText"/>
        <w:rPr>
          <w:lang w:val="pt-PT"/>
        </w:rPr>
      </w:pPr>
      <w:r>
        <w:rPr>
          <w:rStyle w:val="FootnoteReference"/>
        </w:rPr>
        <w:footnoteRef/>
      </w:r>
      <w:r>
        <w:rPr>
          <w:lang w:val="pt-PT"/>
        </w:rPr>
        <w:t xml:space="preserve"> </w:t>
      </w:r>
      <w:r>
        <w:rPr>
          <w:lang w:val="pt-PT"/>
        </w:rPr>
        <w:tab/>
        <w:t xml:space="preserve">Knauer, </w:t>
      </w:r>
      <w:hyperlink r:id="rId56" w:history="1">
        <w:r>
          <w:rPr>
            <w:rStyle w:val="Hyperlink"/>
            <w:lang w:val="pt-PT"/>
          </w:rPr>
          <w:t>C-453/14</w:t>
        </w:r>
      </w:hyperlink>
      <w:r>
        <w:rPr>
          <w:lang w:val="pt-PT"/>
        </w:rPr>
        <w:t>.</w:t>
      </w:r>
    </w:p>
  </w:footnote>
  <w:footnote w:id="49">
    <w:p>
      <w:pPr>
        <w:pStyle w:val="FootnoteText"/>
        <w:rPr>
          <w:lang w:val="pt-PT"/>
        </w:rPr>
      </w:pPr>
      <w:r>
        <w:rPr>
          <w:rStyle w:val="FootnoteReference"/>
        </w:rPr>
        <w:footnoteRef/>
      </w:r>
      <w:r>
        <w:rPr>
          <w:lang w:val="pt-PT"/>
        </w:rPr>
        <w:t xml:space="preserve"> </w:t>
      </w:r>
      <w:r>
        <w:rPr>
          <w:lang w:val="pt-PT"/>
        </w:rPr>
        <w:tab/>
        <w:t xml:space="preserve">Directive </w:t>
      </w:r>
      <w:hyperlink r:id="rId57" w:history="1">
        <w:r>
          <w:rPr>
            <w:rStyle w:val="Hyperlink"/>
            <w:lang w:val="pt-PT"/>
          </w:rPr>
          <w:t>2013/35/EU</w:t>
        </w:r>
      </w:hyperlink>
      <w:r>
        <w:rPr>
          <w:lang w:val="pt-PT"/>
        </w:rPr>
        <w:t>.</w:t>
      </w:r>
    </w:p>
  </w:footnote>
  <w:footnote w:id="50">
    <w:p>
      <w:pPr>
        <w:pStyle w:val="FootnoteText"/>
        <w:rPr>
          <w:lang w:val="pt-PT"/>
        </w:rPr>
      </w:pPr>
      <w:r>
        <w:rPr>
          <w:rStyle w:val="FootnoteReference"/>
        </w:rPr>
        <w:footnoteRef/>
      </w:r>
      <w:r>
        <w:rPr>
          <w:lang w:val="pt-PT"/>
        </w:rPr>
        <w:t xml:space="preserve"> </w:t>
      </w:r>
      <w:r>
        <w:rPr>
          <w:lang w:val="pt-PT"/>
        </w:rPr>
        <w:tab/>
        <w:t xml:space="preserve">Directive </w:t>
      </w:r>
      <w:hyperlink r:id="rId58" w:history="1">
        <w:r>
          <w:rPr>
            <w:rStyle w:val="Hyperlink"/>
            <w:lang w:val="pt-PT"/>
          </w:rPr>
          <w:t>2014/27/EU</w:t>
        </w:r>
      </w:hyperlink>
      <w:r>
        <w:rPr>
          <w:lang w:val="pt-PT"/>
        </w:rPr>
        <w:t>.</w:t>
      </w:r>
    </w:p>
  </w:footnote>
  <w:footnote w:id="51">
    <w:p>
      <w:pPr>
        <w:pStyle w:val="FootnoteText"/>
        <w:rPr>
          <w:lang w:val="pt-PT"/>
        </w:rPr>
      </w:pPr>
      <w:r>
        <w:rPr>
          <w:rStyle w:val="FootnoteReference"/>
        </w:rPr>
        <w:footnoteRef/>
      </w:r>
      <w:r>
        <w:rPr>
          <w:lang w:val="pt-PT"/>
        </w:rPr>
        <w:t xml:space="preserve"> </w:t>
      </w:r>
      <w:r>
        <w:rPr>
          <w:lang w:val="pt-PT"/>
        </w:rPr>
        <w:tab/>
        <w:t xml:space="preserve">Directive </w:t>
      </w:r>
      <w:hyperlink r:id="rId59" w:history="1">
        <w:r>
          <w:rPr>
            <w:rStyle w:val="Hyperlink"/>
            <w:lang w:val="pt-PT"/>
          </w:rPr>
          <w:t>2014/54/EU</w:t>
        </w:r>
      </w:hyperlink>
      <w:r>
        <w:rPr>
          <w:lang w:val="pt-PT"/>
        </w:rPr>
        <w:t>.</w:t>
      </w:r>
    </w:p>
  </w:footnote>
  <w:footnote w:id="52">
    <w:p>
      <w:pPr>
        <w:pStyle w:val="FootnoteText"/>
        <w:rPr>
          <w:lang w:val="pt-PT"/>
        </w:rPr>
      </w:pPr>
      <w:r>
        <w:rPr>
          <w:rStyle w:val="FootnoteReference"/>
        </w:rPr>
        <w:footnoteRef/>
      </w:r>
      <w:r>
        <w:rPr>
          <w:lang w:val="pt-PT"/>
        </w:rPr>
        <w:t xml:space="preserve"> </w:t>
      </w:r>
      <w:r>
        <w:rPr>
          <w:lang w:val="pt-PT"/>
        </w:rPr>
        <w:tab/>
        <w:t xml:space="preserve">Directive </w:t>
      </w:r>
      <w:hyperlink r:id="rId60" w:history="1">
        <w:r>
          <w:rPr>
            <w:rStyle w:val="Hyperlink"/>
            <w:lang w:val="pt-PT"/>
          </w:rPr>
          <w:t>2014/67/EU</w:t>
        </w:r>
      </w:hyperlink>
      <w:r>
        <w:rPr>
          <w:lang w:val="pt-PT"/>
        </w:rPr>
        <w:t>.</w:t>
      </w:r>
    </w:p>
  </w:footnote>
  <w:footnote w:id="53">
    <w:p>
      <w:pPr>
        <w:pStyle w:val="FootnoteText"/>
        <w:rPr>
          <w:lang w:val="pt-PT"/>
        </w:rPr>
      </w:pPr>
      <w:r>
        <w:rPr>
          <w:rStyle w:val="FootnoteReference"/>
        </w:rPr>
        <w:footnoteRef/>
      </w:r>
      <w:r>
        <w:rPr>
          <w:lang w:val="pt-PT"/>
        </w:rPr>
        <w:t xml:space="preserve"> </w:t>
      </w:r>
      <w:r>
        <w:rPr>
          <w:lang w:val="pt-PT"/>
        </w:rPr>
        <w:tab/>
        <w:t xml:space="preserve">Directive </w:t>
      </w:r>
      <w:hyperlink r:id="rId61" w:history="1">
        <w:r>
          <w:rPr>
            <w:rStyle w:val="Hyperlink"/>
            <w:lang w:val="pt-PT"/>
          </w:rPr>
          <w:t>2014/112/EU</w:t>
        </w:r>
      </w:hyperlink>
      <w:r>
        <w:rPr>
          <w:lang w:val="pt-PT"/>
        </w:rPr>
        <w:t>.</w:t>
      </w:r>
    </w:p>
  </w:footnote>
  <w:footnote w:id="54">
    <w:p>
      <w:pPr>
        <w:pStyle w:val="FootnoteText"/>
        <w:rPr>
          <w:lang w:val="pt-PT"/>
        </w:rPr>
      </w:pPr>
      <w:r>
        <w:rPr>
          <w:rStyle w:val="FootnoteReference"/>
        </w:rPr>
        <w:footnoteRef/>
      </w:r>
      <w:r>
        <w:rPr>
          <w:lang w:val="pt-PT"/>
        </w:rPr>
        <w:t xml:space="preserve"> </w:t>
      </w:r>
      <w:r>
        <w:rPr>
          <w:lang w:val="pt-PT"/>
        </w:rPr>
        <w:tab/>
      </w:r>
      <w:r>
        <w:rPr>
          <w:rStyle w:val="affairetitle"/>
          <w:lang w:val="pt-PT"/>
        </w:rPr>
        <w:t xml:space="preserve">De Lobkowicz </w:t>
      </w:r>
      <w:hyperlink r:id="rId62" w:history="1">
        <w:r>
          <w:rPr>
            <w:rStyle w:val="Hyperlink"/>
            <w:lang w:val="pt-PT"/>
          </w:rPr>
          <w:t>C-690/15</w:t>
        </w:r>
      </w:hyperlink>
      <w:r>
        <w:rPr>
          <w:lang w:val="pt-PT"/>
        </w:rPr>
        <w:t>.</w:t>
      </w:r>
    </w:p>
  </w:footnote>
  <w:footnote w:id="55">
    <w:p>
      <w:pPr>
        <w:pStyle w:val="FootnoteText"/>
        <w:rPr>
          <w:lang w:val="pt-PT"/>
        </w:rPr>
      </w:pPr>
      <w:r>
        <w:rPr>
          <w:rStyle w:val="FootnoteReference"/>
        </w:rPr>
        <w:footnoteRef/>
      </w:r>
      <w:r>
        <w:rPr>
          <w:lang w:val="pt-PT"/>
        </w:rPr>
        <w:t xml:space="preserve"> </w:t>
      </w:r>
      <w:r>
        <w:rPr>
          <w:lang w:val="pt-PT"/>
        </w:rPr>
        <w:tab/>
        <w:t xml:space="preserve">Directive </w:t>
      </w:r>
      <w:hyperlink r:id="rId63" w:history="1">
        <w:r>
          <w:rPr>
            <w:rStyle w:val="Hyperlink"/>
            <w:lang w:val="pt-PT"/>
          </w:rPr>
          <w:t>2010/31/EU</w:t>
        </w:r>
      </w:hyperlink>
      <w:r>
        <w:rPr>
          <w:lang w:val="pt-PT"/>
        </w:rPr>
        <w:t>.</w:t>
      </w:r>
    </w:p>
  </w:footnote>
  <w:footnote w:id="56">
    <w:p>
      <w:pPr>
        <w:pStyle w:val="FootnoteText"/>
        <w:rPr>
          <w:lang w:val="pt-PT"/>
        </w:rPr>
      </w:pPr>
      <w:r>
        <w:rPr>
          <w:rStyle w:val="FootnoteReference"/>
        </w:rPr>
        <w:footnoteRef/>
      </w:r>
      <w:r>
        <w:rPr>
          <w:lang w:val="pt-PT"/>
        </w:rPr>
        <w:t xml:space="preserve"> </w:t>
      </w:r>
      <w:r>
        <w:rPr>
          <w:lang w:val="pt-PT"/>
        </w:rPr>
        <w:tab/>
        <w:t xml:space="preserve">Directive </w:t>
      </w:r>
      <w:hyperlink r:id="rId64" w:history="1">
        <w:r>
          <w:rPr>
            <w:rStyle w:val="Hyperlink"/>
            <w:lang w:val="pt-PT"/>
          </w:rPr>
          <w:t>2012/27/EU</w:t>
        </w:r>
      </w:hyperlink>
      <w:r>
        <w:rPr>
          <w:lang w:val="pt-PT"/>
        </w:rPr>
        <w:t>.</w:t>
      </w:r>
    </w:p>
  </w:footnote>
  <w:footnote w:id="57">
    <w:p>
      <w:pPr>
        <w:pStyle w:val="FootnoteText"/>
        <w:rPr>
          <w:lang w:val="pt-PT"/>
        </w:rPr>
      </w:pPr>
      <w:r>
        <w:rPr>
          <w:rStyle w:val="FootnoteReference"/>
        </w:rPr>
        <w:footnoteRef/>
      </w:r>
      <w:r>
        <w:rPr>
          <w:lang w:val="pt-PT"/>
        </w:rPr>
        <w:t xml:space="preserve"> </w:t>
      </w:r>
      <w:r>
        <w:rPr>
          <w:lang w:val="pt-PT"/>
        </w:rPr>
        <w:tab/>
        <w:t xml:space="preserve">Directive </w:t>
      </w:r>
      <w:hyperlink r:id="rId65" w:history="1">
        <w:r>
          <w:rPr>
            <w:rStyle w:val="Hyperlink"/>
            <w:lang w:val="pt-PT"/>
          </w:rPr>
          <w:t>2011/70/Euratom</w:t>
        </w:r>
      </w:hyperlink>
      <w:r>
        <w:rPr>
          <w:lang w:val="pt-PT"/>
        </w:rPr>
        <w:t>.</w:t>
      </w:r>
    </w:p>
  </w:footnote>
  <w:footnote w:id="58">
    <w:p>
      <w:pPr>
        <w:pStyle w:val="FootnoteText"/>
        <w:rPr>
          <w:lang w:val="pt-PT"/>
        </w:rPr>
      </w:pPr>
      <w:r>
        <w:rPr>
          <w:rStyle w:val="FootnoteReference"/>
        </w:rPr>
        <w:footnoteRef/>
      </w:r>
      <w:r>
        <w:rPr>
          <w:lang w:val="pt-PT"/>
        </w:rPr>
        <w:t xml:space="preserve"> </w:t>
      </w:r>
      <w:r>
        <w:rPr>
          <w:lang w:val="pt-PT"/>
        </w:rPr>
        <w:tab/>
        <w:t xml:space="preserve">Directive </w:t>
      </w:r>
      <w:hyperlink r:id="rId66" w:history="1">
        <w:r>
          <w:rPr>
            <w:rStyle w:val="Hyperlink"/>
            <w:lang w:val="pt-PT"/>
          </w:rPr>
          <w:t>2013/51/Euratom</w:t>
        </w:r>
      </w:hyperlink>
      <w:r>
        <w:rPr>
          <w:lang w:val="pt-PT"/>
        </w:rPr>
        <w:t>.</w:t>
      </w:r>
    </w:p>
  </w:footnote>
  <w:footnote w:id="59">
    <w:p>
      <w:pPr>
        <w:pStyle w:val="FootnoteText"/>
        <w:rPr>
          <w:lang w:val="pt-PT"/>
        </w:rPr>
      </w:pPr>
      <w:r>
        <w:rPr>
          <w:rStyle w:val="FootnoteReference"/>
        </w:rPr>
        <w:footnoteRef/>
      </w:r>
      <w:r>
        <w:rPr>
          <w:lang w:val="pt-PT"/>
        </w:rPr>
        <w:t xml:space="preserve"> </w:t>
      </w:r>
      <w:r>
        <w:rPr>
          <w:lang w:val="pt-PT"/>
        </w:rPr>
        <w:tab/>
        <w:t xml:space="preserve">Directives </w:t>
      </w:r>
      <w:hyperlink r:id="rId67" w:history="1">
        <w:r>
          <w:rPr>
            <w:rStyle w:val="Hyperlink"/>
            <w:lang w:val="pt-PT"/>
          </w:rPr>
          <w:t>2009/72/EC</w:t>
        </w:r>
      </w:hyperlink>
      <w:r>
        <w:rPr>
          <w:lang w:val="pt-PT"/>
        </w:rPr>
        <w:t xml:space="preserve"> and </w:t>
      </w:r>
      <w:hyperlink r:id="rId68" w:history="1">
        <w:r>
          <w:rPr>
            <w:rStyle w:val="Hyperlink"/>
            <w:lang w:val="pt-PT"/>
          </w:rPr>
          <w:t>2009/73/EC</w:t>
        </w:r>
      </w:hyperlink>
      <w:r>
        <w:rPr>
          <w:lang w:val="pt-PT"/>
        </w:rPr>
        <w:t>.</w:t>
      </w:r>
    </w:p>
  </w:footnote>
  <w:footnote w:id="60">
    <w:p>
      <w:pPr>
        <w:pStyle w:val="FootnoteText"/>
        <w:rPr>
          <w:lang w:val="pt-PT"/>
        </w:rPr>
      </w:pPr>
      <w:r>
        <w:rPr>
          <w:rStyle w:val="FootnoteReference"/>
        </w:rPr>
        <w:footnoteRef/>
      </w:r>
      <w:r>
        <w:rPr>
          <w:lang w:val="pt-PT"/>
        </w:rPr>
        <w:t xml:space="preserve"> </w:t>
      </w:r>
      <w:r>
        <w:rPr>
          <w:lang w:val="pt-PT"/>
        </w:rPr>
        <w:tab/>
        <w:t xml:space="preserve">Directives </w:t>
      </w:r>
      <w:hyperlink r:id="rId69" w:history="1">
        <w:r>
          <w:rPr>
            <w:rStyle w:val="Hyperlink"/>
            <w:lang w:val="pt-PT"/>
          </w:rPr>
          <w:t>2009/72/EC</w:t>
        </w:r>
      </w:hyperlink>
      <w:r>
        <w:rPr>
          <w:lang w:val="pt-PT"/>
        </w:rPr>
        <w:t xml:space="preserve"> and </w:t>
      </w:r>
      <w:hyperlink r:id="rId70" w:history="1">
        <w:r>
          <w:rPr>
            <w:rStyle w:val="Hyperlink"/>
            <w:lang w:val="pt-PT"/>
          </w:rPr>
          <w:t>2009/73/EC</w:t>
        </w:r>
      </w:hyperlink>
      <w:r>
        <w:rPr>
          <w:rStyle w:val="Hyperlink"/>
          <w:lang w:val="pt-PT"/>
        </w:rPr>
        <w:t>;</w:t>
      </w:r>
      <w:r>
        <w:rPr>
          <w:lang w:val="pt-PT"/>
        </w:rPr>
        <w:t xml:space="preserve"> </w:t>
      </w:r>
      <w:hyperlink r:id="rId71" w:history="1">
        <w:r>
          <w:rPr>
            <w:rStyle w:val="Hyperlink"/>
            <w:lang w:val="pt-PT"/>
          </w:rPr>
          <w:t>MEMO/16/319</w:t>
        </w:r>
      </w:hyperlink>
      <w:r>
        <w:rPr>
          <w:lang w:val="pt-PT"/>
        </w:rPr>
        <w:t xml:space="preserve">, </w:t>
      </w:r>
      <w:hyperlink r:id="rId72" w:history="1">
        <w:r>
          <w:rPr>
            <w:rStyle w:val="Hyperlink"/>
            <w:lang w:val="pt-PT"/>
          </w:rPr>
          <w:t>MEMO/16/1452</w:t>
        </w:r>
      </w:hyperlink>
      <w:r>
        <w:rPr>
          <w:lang w:val="pt-PT"/>
        </w:rPr>
        <w:t xml:space="preserve">, </w:t>
      </w:r>
      <w:hyperlink r:id="rId73" w:history="1">
        <w:r>
          <w:rPr>
            <w:rStyle w:val="Hyperlink"/>
            <w:lang w:val="pt-PT"/>
          </w:rPr>
          <w:t>MEMO/16/2490</w:t>
        </w:r>
      </w:hyperlink>
      <w:r>
        <w:rPr>
          <w:lang w:val="pt-PT"/>
        </w:rPr>
        <w:t xml:space="preserve">, </w:t>
      </w:r>
      <w:hyperlink r:id="rId74" w:history="1">
        <w:r>
          <w:rPr>
            <w:rStyle w:val="Hyperlink"/>
            <w:lang w:val="pt-PT"/>
          </w:rPr>
          <w:t>MEMO/16/3125</w:t>
        </w:r>
      </w:hyperlink>
      <w:r>
        <w:rPr>
          <w:lang w:val="pt-PT"/>
        </w:rPr>
        <w:t xml:space="preserve">, and </w:t>
      </w:r>
      <w:hyperlink r:id="rId75" w:history="1">
        <w:r>
          <w:rPr>
            <w:rStyle w:val="Hyperlink"/>
            <w:lang w:val="pt-PT"/>
          </w:rPr>
          <w:t>MEMO/16/4211</w:t>
        </w:r>
      </w:hyperlink>
      <w:r>
        <w:rPr>
          <w:lang w:val="pt-PT"/>
        </w:rPr>
        <w:t>.</w:t>
      </w:r>
    </w:p>
  </w:footnote>
  <w:footnote w:id="61">
    <w:p>
      <w:pPr>
        <w:pStyle w:val="FootnoteText"/>
        <w:rPr>
          <w:lang w:val="pt-PT"/>
        </w:rPr>
      </w:pPr>
      <w:r>
        <w:rPr>
          <w:rStyle w:val="FootnoteReference"/>
        </w:rPr>
        <w:footnoteRef/>
      </w:r>
      <w:r>
        <w:rPr>
          <w:lang w:val="pt-PT"/>
        </w:rPr>
        <w:t xml:space="preserve"> </w:t>
      </w:r>
      <w:r>
        <w:rPr>
          <w:lang w:val="pt-PT"/>
        </w:rPr>
        <w:tab/>
        <w:t xml:space="preserve">Directive </w:t>
      </w:r>
      <w:hyperlink r:id="rId76" w:history="1">
        <w:r>
          <w:rPr>
            <w:rStyle w:val="Hyperlink"/>
            <w:lang w:val="pt-PT"/>
          </w:rPr>
          <w:t>2013/30/EU</w:t>
        </w:r>
      </w:hyperlink>
      <w:r>
        <w:rPr>
          <w:lang w:val="pt-PT"/>
        </w:rPr>
        <w:t xml:space="preserve">; </w:t>
      </w:r>
      <w:hyperlink r:id="rId77" w:history="1">
        <w:r>
          <w:rPr>
            <w:rStyle w:val="Hyperlink"/>
            <w:lang w:val="pt-PT"/>
          </w:rPr>
          <w:t>MEMO/16/319</w:t>
        </w:r>
      </w:hyperlink>
      <w:r>
        <w:rPr>
          <w:lang w:val="pt-PT"/>
        </w:rPr>
        <w:t xml:space="preserve">, </w:t>
      </w:r>
      <w:hyperlink r:id="rId78" w:history="1">
        <w:r>
          <w:rPr>
            <w:rStyle w:val="Hyperlink"/>
            <w:lang w:val="pt-PT"/>
          </w:rPr>
          <w:t>MEMO/16/1452</w:t>
        </w:r>
      </w:hyperlink>
      <w:r>
        <w:rPr>
          <w:lang w:val="pt-PT"/>
        </w:rPr>
        <w:t xml:space="preserve"> and </w:t>
      </w:r>
      <w:hyperlink r:id="rId79" w:history="1">
        <w:r>
          <w:rPr>
            <w:rStyle w:val="Hyperlink"/>
            <w:lang w:val="pt-PT"/>
          </w:rPr>
          <w:t>MEMO/16/3644</w:t>
        </w:r>
      </w:hyperlink>
      <w:r>
        <w:rPr>
          <w:lang w:val="pt-PT"/>
        </w:rPr>
        <w:t>.</w:t>
      </w:r>
    </w:p>
  </w:footnote>
  <w:footnote w:id="62">
    <w:p>
      <w:pPr>
        <w:pStyle w:val="FootnoteText"/>
        <w:rPr>
          <w:lang w:val="pt-PT"/>
        </w:rPr>
      </w:pPr>
      <w:r>
        <w:rPr>
          <w:rStyle w:val="FootnoteReference"/>
        </w:rPr>
        <w:footnoteRef/>
      </w:r>
      <w:r>
        <w:rPr>
          <w:lang w:val="pt-PT"/>
        </w:rPr>
        <w:t xml:space="preserve"> </w:t>
      </w:r>
      <w:r>
        <w:rPr>
          <w:lang w:val="pt-PT"/>
        </w:rPr>
        <w:tab/>
        <w:t xml:space="preserve">Directive </w:t>
      </w:r>
      <w:hyperlink r:id="rId80" w:history="1">
        <w:r>
          <w:rPr>
            <w:rStyle w:val="Hyperlink"/>
            <w:lang w:val="pt-PT"/>
          </w:rPr>
          <w:t>2012/27/EU</w:t>
        </w:r>
      </w:hyperlink>
      <w:r>
        <w:rPr>
          <w:lang w:val="pt-PT"/>
        </w:rPr>
        <w:t xml:space="preserve">; Directive </w:t>
      </w:r>
      <w:hyperlink r:id="rId81" w:history="1">
        <w:r>
          <w:rPr>
            <w:rStyle w:val="Hyperlink"/>
            <w:lang w:val="pt-PT"/>
          </w:rPr>
          <w:t>2010/31/EU</w:t>
        </w:r>
      </w:hyperlink>
      <w:r>
        <w:rPr>
          <w:lang w:val="pt-PT"/>
        </w:rPr>
        <w:t xml:space="preserve">, </w:t>
      </w:r>
      <w:hyperlink r:id="rId82" w:history="1">
        <w:r>
          <w:rPr>
            <w:rStyle w:val="Hyperlink"/>
            <w:lang w:val="pt-PT"/>
          </w:rPr>
          <w:t>MEMO/16/3644</w:t>
        </w:r>
      </w:hyperlink>
      <w:r>
        <w:rPr>
          <w:lang w:val="pt-PT"/>
        </w:rPr>
        <w:t xml:space="preserve">, </w:t>
      </w:r>
      <w:hyperlink r:id="rId83" w:history="1">
        <w:r>
          <w:rPr>
            <w:rStyle w:val="Hyperlink"/>
            <w:lang w:val="pt-PT"/>
          </w:rPr>
          <w:t>MEMO/16/319</w:t>
        </w:r>
      </w:hyperlink>
      <w:r>
        <w:rPr>
          <w:lang w:val="pt-PT"/>
        </w:rPr>
        <w:t xml:space="preserve"> and </w:t>
      </w:r>
      <w:hyperlink r:id="rId84" w:history="1">
        <w:r>
          <w:rPr>
            <w:rStyle w:val="Hyperlink"/>
            <w:lang w:val="pt-PT"/>
          </w:rPr>
          <w:t>MEMO/16/2490</w:t>
        </w:r>
      </w:hyperlink>
      <w:r>
        <w:rPr>
          <w:lang w:val="pt-PT"/>
        </w:rPr>
        <w:t>.</w:t>
      </w:r>
    </w:p>
  </w:footnote>
  <w:footnote w:id="63">
    <w:p>
      <w:pPr>
        <w:pStyle w:val="FootnoteText"/>
        <w:rPr>
          <w:lang w:val="pt-PT"/>
        </w:rPr>
      </w:pPr>
      <w:r>
        <w:rPr>
          <w:rStyle w:val="FootnoteReference"/>
        </w:rPr>
        <w:footnoteRef/>
      </w:r>
      <w:r>
        <w:rPr>
          <w:lang w:val="pt-PT"/>
        </w:rPr>
        <w:t xml:space="preserve"> </w:t>
      </w:r>
      <w:r>
        <w:rPr>
          <w:lang w:val="pt-PT"/>
        </w:rPr>
        <w:tab/>
        <w:t xml:space="preserve">Regulation (EU) </w:t>
      </w:r>
      <w:hyperlink r:id="rId85" w:history="1">
        <w:r>
          <w:rPr>
            <w:rStyle w:val="Hyperlink"/>
            <w:lang w:val="pt-PT"/>
          </w:rPr>
          <w:t>No 994/2010</w:t>
        </w:r>
      </w:hyperlink>
      <w:r>
        <w:rPr>
          <w:lang w:val="pt-PT"/>
        </w:rPr>
        <w:t>.</w:t>
      </w:r>
    </w:p>
  </w:footnote>
  <w:footnote w:id="64">
    <w:p>
      <w:pPr>
        <w:pStyle w:val="FootnoteText"/>
        <w:rPr>
          <w:lang w:val="pt-PT"/>
        </w:rPr>
      </w:pPr>
      <w:r>
        <w:rPr>
          <w:rStyle w:val="FootnoteReference"/>
        </w:rPr>
        <w:footnoteRef/>
      </w:r>
      <w:r>
        <w:rPr>
          <w:lang w:val="pt-PT"/>
        </w:rPr>
        <w:t xml:space="preserve"> </w:t>
      </w:r>
      <w:r>
        <w:rPr>
          <w:lang w:val="pt-PT"/>
        </w:rPr>
        <w:tab/>
        <w:t xml:space="preserve">Directive </w:t>
      </w:r>
      <w:hyperlink r:id="rId86" w:history="1">
        <w:r>
          <w:rPr>
            <w:rStyle w:val="Hyperlink"/>
            <w:lang w:val="pt-PT"/>
          </w:rPr>
          <w:t>2012/27/EU</w:t>
        </w:r>
      </w:hyperlink>
      <w:r>
        <w:rPr>
          <w:lang w:val="pt-PT"/>
        </w:rPr>
        <w:t xml:space="preserve">; </w:t>
      </w:r>
      <w:hyperlink r:id="rId87" w:history="1">
        <w:r>
          <w:rPr>
            <w:rStyle w:val="Hyperlink"/>
            <w:lang w:val="pt-PT"/>
          </w:rPr>
          <w:t>MEMO/16/3125</w:t>
        </w:r>
      </w:hyperlink>
      <w:r>
        <w:rPr>
          <w:lang w:val="pt-PT"/>
        </w:rPr>
        <w:t xml:space="preserve"> and </w:t>
      </w:r>
      <w:hyperlink r:id="rId88" w:history="1">
        <w:r>
          <w:rPr>
            <w:rStyle w:val="Hyperlink"/>
            <w:lang w:val="pt-PT"/>
          </w:rPr>
          <w:t>MEMO/16/1452</w:t>
        </w:r>
      </w:hyperlink>
      <w:r>
        <w:rPr>
          <w:lang w:val="pt-PT"/>
        </w:rPr>
        <w:t>.</w:t>
      </w:r>
    </w:p>
  </w:footnote>
  <w:footnote w:id="65">
    <w:p>
      <w:pPr>
        <w:pStyle w:val="FootnoteText"/>
        <w:rPr>
          <w:lang w:val="pt-PT"/>
        </w:rPr>
      </w:pPr>
      <w:r>
        <w:rPr>
          <w:rStyle w:val="FootnoteReference"/>
        </w:rPr>
        <w:footnoteRef/>
      </w:r>
      <w:r>
        <w:rPr>
          <w:lang w:val="pt-PT"/>
        </w:rPr>
        <w:t xml:space="preserve"> </w:t>
      </w:r>
      <w:r>
        <w:rPr>
          <w:lang w:val="pt-PT"/>
        </w:rPr>
        <w:tab/>
        <w:t xml:space="preserve">Directive </w:t>
      </w:r>
      <w:hyperlink r:id="rId89" w:history="1">
        <w:r>
          <w:rPr>
            <w:rStyle w:val="Hyperlink"/>
            <w:lang w:val="pt-PT"/>
          </w:rPr>
          <w:t>2011/70/Euratom</w:t>
        </w:r>
      </w:hyperlink>
      <w:r>
        <w:rPr>
          <w:lang w:val="pt-PT"/>
        </w:rPr>
        <w:t xml:space="preserve">; </w:t>
      </w:r>
      <w:hyperlink r:id="rId90" w:history="1">
        <w:r>
          <w:rPr>
            <w:rStyle w:val="Hyperlink"/>
            <w:lang w:val="pt-PT"/>
          </w:rPr>
          <w:t>MEMO/16/1452</w:t>
        </w:r>
      </w:hyperlink>
      <w:r>
        <w:rPr>
          <w:lang w:val="pt-PT"/>
        </w:rPr>
        <w:t>.</w:t>
      </w:r>
    </w:p>
  </w:footnote>
  <w:footnote w:id="66">
    <w:p>
      <w:pPr>
        <w:pStyle w:val="FootnoteText"/>
        <w:rPr>
          <w:lang w:val="pt-PT"/>
        </w:rPr>
      </w:pPr>
      <w:r>
        <w:rPr>
          <w:rStyle w:val="FootnoteReference"/>
        </w:rPr>
        <w:footnoteRef/>
      </w:r>
      <w:r>
        <w:rPr>
          <w:lang w:val="pt-PT"/>
        </w:rPr>
        <w:t xml:space="preserve"> </w:t>
      </w:r>
      <w:r>
        <w:rPr>
          <w:lang w:val="pt-PT"/>
        </w:rPr>
        <w:tab/>
        <w:t xml:space="preserve">Directive </w:t>
      </w:r>
      <w:hyperlink r:id="rId91" w:history="1">
        <w:r>
          <w:rPr>
            <w:rStyle w:val="Hyperlink"/>
            <w:lang w:val="pt-PT"/>
          </w:rPr>
          <w:t>2009/28/EC</w:t>
        </w:r>
      </w:hyperlink>
      <w:r>
        <w:rPr>
          <w:lang w:val="pt-PT"/>
        </w:rPr>
        <w:t xml:space="preserve">; </w:t>
      </w:r>
      <w:hyperlink r:id="rId92" w:history="1">
        <w:r>
          <w:rPr>
            <w:rStyle w:val="Hyperlink"/>
            <w:lang w:val="pt-PT"/>
          </w:rPr>
          <w:t>MEMO/16/1823</w:t>
        </w:r>
      </w:hyperlink>
      <w:r>
        <w:rPr>
          <w:lang w:val="pt-PT"/>
        </w:rPr>
        <w:t xml:space="preserve"> and </w:t>
      </w:r>
      <w:hyperlink r:id="rId93" w:history="1">
        <w:r>
          <w:rPr>
            <w:rStyle w:val="Hyperlink"/>
            <w:lang w:val="pt-PT"/>
          </w:rPr>
          <w:t>MEMO/16/1452</w:t>
        </w:r>
      </w:hyperlink>
      <w:r>
        <w:rPr>
          <w:lang w:val="pt-PT"/>
        </w:rPr>
        <w:t>.</w:t>
      </w:r>
    </w:p>
  </w:footnote>
  <w:footnote w:id="67">
    <w:p>
      <w:pPr>
        <w:pStyle w:val="FootnoteText"/>
        <w:rPr>
          <w:lang w:val="pt-PT"/>
        </w:rPr>
      </w:pPr>
      <w:r>
        <w:rPr>
          <w:rStyle w:val="FootnoteReference"/>
        </w:rPr>
        <w:footnoteRef/>
      </w:r>
      <w:r>
        <w:rPr>
          <w:lang w:val="pt-PT"/>
        </w:rPr>
        <w:t xml:space="preserve"> </w:t>
      </w:r>
      <w:r>
        <w:rPr>
          <w:lang w:val="pt-PT"/>
        </w:rPr>
        <w:tab/>
        <w:t xml:space="preserve">Directive </w:t>
      </w:r>
      <w:hyperlink r:id="rId94" w:history="1">
        <w:r>
          <w:rPr>
            <w:rStyle w:val="Hyperlink"/>
            <w:lang w:val="pt-PT"/>
          </w:rPr>
          <w:t>2009/119/EC</w:t>
        </w:r>
      </w:hyperlink>
      <w:r>
        <w:rPr>
          <w:lang w:val="pt-PT"/>
        </w:rPr>
        <w:t xml:space="preserve">; </w:t>
      </w:r>
      <w:hyperlink r:id="rId95" w:history="1">
        <w:r>
          <w:rPr>
            <w:rStyle w:val="Hyperlink"/>
            <w:lang w:val="pt-PT"/>
          </w:rPr>
          <w:t>MEMO/16/3644</w:t>
        </w:r>
      </w:hyperlink>
      <w:r>
        <w:rPr>
          <w:lang w:val="pt-PT"/>
        </w:rPr>
        <w:t>.</w:t>
      </w:r>
    </w:p>
  </w:footnote>
  <w:footnote w:id="68">
    <w:p>
      <w:pPr>
        <w:pStyle w:val="FootnoteText"/>
        <w:rPr>
          <w:lang w:val="pt-PT"/>
        </w:rPr>
      </w:pPr>
      <w:r>
        <w:rPr>
          <w:rStyle w:val="FootnoteReference"/>
        </w:rPr>
        <w:footnoteRef/>
      </w:r>
      <w:r>
        <w:rPr>
          <w:lang w:val="pt-PT"/>
        </w:rPr>
        <w:t xml:space="preserve"> </w:t>
      </w:r>
      <w:r>
        <w:rPr>
          <w:lang w:val="pt-PT"/>
        </w:rPr>
        <w:tab/>
        <w:t xml:space="preserve">Directive </w:t>
      </w:r>
      <w:hyperlink r:id="rId96" w:history="1">
        <w:r>
          <w:rPr>
            <w:rStyle w:val="Hyperlink"/>
            <w:lang w:val="pt-PT"/>
          </w:rPr>
          <w:t>2010/31/EU</w:t>
        </w:r>
      </w:hyperlink>
      <w:r>
        <w:rPr>
          <w:lang w:val="pt-PT"/>
        </w:rPr>
        <w:t xml:space="preserve">; Commission v Greece, </w:t>
      </w:r>
      <w:hyperlink r:id="rId97" w:history="1">
        <w:r>
          <w:rPr>
            <w:rStyle w:val="Hyperlink"/>
            <w:lang w:val="pt-PT"/>
          </w:rPr>
          <w:t>C-160/16</w:t>
        </w:r>
      </w:hyperlink>
      <w:r>
        <w:rPr>
          <w:lang w:val="pt-PT"/>
        </w:rPr>
        <w:t xml:space="preserve">; </w:t>
      </w:r>
      <w:hyperlink r:id="rId98" w:history="1">
        <w:r>
          <w:rPr>
            <w:rStyle w:val="Hyperlink"/>
            <w:lang w:val="pt-PT"/>
          </w:rPr>
          <w:t>IP/15/6007</w:t>
        </w:r>
      </w:hyperlink>
      <w:r>
        <w:rPr>
          <w:rStyle w:val="Hyperlink"/>
          <w:lang w:val="pt-PT"/>
        </w:rPr>
        <w:t>.</w:t>
      </w:r>
    </w:p>
  </w:footnote>
  <w:footnote w:id="69">
    <w:p>
      <w:pPr>
        <w:pStyle w:val="FootnoteText"/>
        <w:rPr>
          <w:lang w:val="pt-PT"/>
        </w:rPr>
      </w:pPr>
      <w:r>
        <w:rPr>
          <w:rStyle w:val="FootnoteReference"/>
        </w:rPr>
        <w:footnoteRef/>
      </w:r>
      <w:r>
        <w:rPr>
          <w:lang w:val="pt-PT"/>
        </w:rPr>
        <w:t xml:space="preserve"> </w:t>
      </w:r>
      <w:r>
        <w:rPr>
          <w:lang w:val="pt-PT"/>
        </w:rPr>
        <w:tab/>
        <w:t xml:space="preserve">Directive </w:t>
      </w:r>
      <w:hyperlink r:id="rId99" w:history="1">
        <w:r>
          <w:rPr>
            <w:rStyle w:val="Hyperlink"/>
            <w:lang w:val="pt-PT"/>
          </w:rPr>
          <w:t>2013/51/Euratom</w:t>
        </w:r>
      </w:hyperlink>
      <w:r>
        <w:rPr>
          <w:lang w:val="pt-PT"/>
        </w:rPr>
        <w:t>.</w:t>
      </w:r>
    </w:p>
  </w:footnote>
  <w:footnote w:id="70">
    <w:p>
      <w:pPr>
        <w:pStyle w:val="FootnoteText"/>
      </w:pPr>
      <w:r>
        <w:rPr>
          <w:rStyle w:val="FootnoteReference"/>
        </w:rPr>
        <w:footnoteRef/>
      </w:r>
      <w:r>
        <w:t xml:space="preserve"> </w:t>
      </w:r>
      <w:r>
        <w:tab/>
        <w:t xml:space="preserve">Directive </w:t>
      </w:r>
      <w:hyperlink r:id="rId100" w:history="1">
        <w:r>
          <w:rPr>
            <w:rStyle w:val="Hyperlink"/>
          </w:rPr>
          <w:t>2013/30/EU</w:t>
        </w:r>
      </w:hyperlink>
      <w:r>
        <w:t>.</w:t>
      </w:r>
    </w:p>
  </w:footnote>
  <w:footnote w:id="71">
    <w:p>
      <w:pPr>
        <w:pStyle w:val="FootnoteText"/>
      </w:pPr>
      <w:r>
        <w:rPr>
          <w:rStyle w:val="FootnoteReference"/>
        </w:rPr>
        <w:footnoteRef/>
      </w:r>
      <w:r>
        <w:t xml:space="preserve"> </w:t>
      </w:r>
      <w:r>
        <w:tab/>
        <w:t>These rulings are almost exclusively handed down on infringement procedures.</w:t>
      </w:r>
    </w:p>
  </w:footnote>
  <w:footnote w:id="72">
    <w:p>
      <w:pPr>
        <w:pStyle w:val="FootnoteText"/>
      </w:pPr>
      <w:r>
        <w:rPr>
          <w:rStyle w:val="FootnoteReference"/>
        </w:rPr>
        <w:footnoteRef/>
      </w:r>
      <w:r>
        <w:t xml:space="preserve"> </w:t>
      </w:r>
      <w:r>
        <w:tab/>
        <w:t xml:space="preserve">Essent Belgium NV v Vlaams Gewest and Others, </w:t>
      </w:r>
      <w:hyperlink r:id="rId101" w:history="1">
        <w:r>
          <w:rPr>
            <w:rStyle w:val="Hyperlink"/>
          </w:rPr>
          <w:t>C-492/14</w:t>
        </w:r>
      </w:hyperlink>
      <w:r>
        <w:t>.</w:t>
      </w:r>
    </w:p>
  </w:footnote>
  <w:footnote w:id="73">
    <w:p>
      <w:pPr>
        <w:pStyle w:val="FootnoteText"/>
      </w:pPr>
      <w:r>
        <w:rPr>
          <w:rStyle w:val="FootnoteReference"/>
        </w:rPr>
        <w:footnoteRef/>
      </w:r>
      <w:r>
        <w:t xml:space="preserve"> </w:t>
      </w:r>
      <w:r>
        <w:tab/>
        <w:t xml:space="preserve">Directive </w:t>
      </w:r>
      <w:hyperlink r:id="rId102" w:history="1">
        <w:r>
          <w:rPr>
            <w:rStyle w:val="Hyperlink"/>
          </w:rPr>
          <w:t>2009/72/EC</w:t>
        </w:r>
      </w:hyperlink>
      <w:r>
        <w:t>.</w:t>
      </w:r>
    </w:p>
  </w:footnote>
  <w:footnote w:id="74">
    <w:p>
      <w:pPr>
        <w:pStyle w:val="FootnoteText"/>
      </w:pPr>
      <w:r>
        <w:rPr>
          <w:rStyle w:val="FootnoteReference"/>
        </w:rPr>
        <w:footnoteRef/>
      </w:r>
      <w:r>
        <w:t xml:space="preserve"> </w:t>
      </w:r>
      <w:r>
        <w:tab/>
      </w:r>
      <w:r>
        <w:rPr>
          <w:rStyle w:val="affairetitle"/>
        </w:rPr>
        <w:t>ANODE</w:t>
      </w:r>
      <w:r>
        <w:t xml:space="preserve">, </w:t>
      </w:r>
      <w:hyperlink r:id="rId103" w:history="1">
        <w:r>
          <w:rPr>
            <w:rStyle w:val="Hyperlink"/>
          </w:rPr>
          <w:t>C-121/15</w:t>
        </w:r>
      </w:hyperlink>
      <w:r>
        <w:t xml:space="preserve">, Court press release </w:t>
      </w:r>
      <w:hyperlink r:id="rId104" w:history="1">
        <w:r>
          <w:rPr>
            <w:rStyle w:val="Hyperlink"/>
          </w:rPr>
          <w:t>No 88/2016</w:t>
        </w:r>
      </w:hyperlink>
      <w:r>
        <w:t>.</w:t>
      </w:r>
    </w:p>
  </w:footnote>
  <w:footnote w:id="75">
    <w:p>
      <w:pPr>
        <w:pStyle w:val="FootnoteText"/>
      </w:pPr>
      <w:r>
        <w:rPr>
          <w:rStyle w:val="FootnoteReference"/>
        </w:rPr>
        <w:footnoteRef/>
      </w:r>
      <w:r>
        <w:t xml:space="preserve"> </w:t>
      </w:r>
      <w:r>
        <w:tab/>
        <w:t xml:space="preserve">Directive </w:t>
      </w:r>
      <w:hyperlink r:id="rId105" w:history="1">
        <w:r>
          <w:rPr>
            <w:rStyle w:val="Hyperlink"/>
          </w:rPr>
          <w:t>2014/87/Euratom</w:t>
        </w:r>
      </w:hyperlink>
      <w:r>
        <w:t>.</w:t>
      </w:r>
    </w:p>
  </w:footnote>
  <w:footnote w:id="76">
    <w:p>
      <w:pPr>
        <w:pStyle w:val="FootnoteText"/>
      </w:pPr>
      <w:r>
        <w:rPr>
          <w:rStyle w:val="FootnoteReference"/>
        </w:rPr>
        <w:footnoteRef/>
      </w:r>
      <w:r>
        <w:t xml:space="preserve"> </w:t>
      </w:r>
      <w:r>
        <w:tab/>
        <w:t xml:space="preserve">Directive </w:t>
      </w:r>
      <w:hyperlink r:id="rId106" w:history="1">
        <w:r>
          <w:rPr>
            <w:rStyle w:val="Hyperlink"/>
          </w:rPr>
          <w:t>2015/1513/EU</w:t>
        </w:r>
      </w:hyperlink>
      <w:r>
        <w:t>.</w:t>
      </w:r>
    </w:p>
  </w:footnote>
  <w:footnote w:id="77">
    <w:p>
      <w:pPr>
        <w:pStyle w:val="FootnoteText"/>
      </w:pPr>
      <w:r>
        <w:rPr>
          <w:rStyle w:val="FootnoteReference"/>
        </w:rPr>
        <w:footnoteRef/>
      </w:r>
      <w:r>
        <w:t xml:space="preserve"> </w:t>
      </w:r>
      <w:r>
        <w:tab/>
        <w:t xml:space="preserve">Directives </w:t>
      </w:r>
      <w:hyperlink r:id="rId107" w:history="1">
        <w:r>
          <w:rPr>
            <w:rStyle w:val="Hyperlink"/>
          </w:rPr>
          <w:t>2009/72/EC</w:t>
        </w:r>
      </w:hyperlink>
      <w:r>
        <w:t xml:space="preserve">, </w:t>
      </w:r>
      <w:hyperlink r:id="rId108" w:history="1">
        <w:r>
          <w:rPr>
            <w:rStyle w:val="Hyperlink"/>
          </w:rPr>
          <w:t>2009/73/EC</w:t>
        </w:r>
      </w:hyperlink>
      <w:r>
        <w:t xml:space="preserve"> and </w:t>
      </w:r>
      <w:hyperlink r:id="rId109" w:history="1">
        <w:r>
          <w:rPr>
            <w:rStyle w:val="Hyperlink"/>
          </w:rPr>
          <w:t>2010/31/EU</w:t>
        </w:r>
      </w:hyperlink>
      <w:r>
        <w:t>.</w:t>
      </w:r>
    </w:p>
  </w:footnote>
  <w:footnote w:id="78">
    <w:p>
      <w:pPr>
        <w:pStyle w:val="FootnoteText"/>
      </w:pPr>
      <w:r>
        <w:rPr>
          <w:rStyle w:val="FootnoteReference"/>
        </w:rPr>
        <w:footnoteRef/>
      </w:r>
      <w:r>
        <w:t xml:space="preserve"> </w:t>
      </w:r>
      <w:r>
        <w:tab/>
        <w:t xml:space="preserve">Directives </w:t>
      </w:r>
      <w:hyperlink r:id="rId110" w:history="1">
        <w:r>
          <w:rPr>
            <w:rStyle w:val="Hyperlink"/>
          </w:rPr>
          <w:t>2012/27/EU</w:t>
        </w:r>
      </w:hyperlink>
      <w:r>
        <w:t xml:space="preserve"> and </w:t>
      </w:r>
      <w:hyperlink r:id="rId111" w:history="1">
        <w:r>
          <w:rPr>
            <w:rStyle w:val="Hyperlink"/>
          </w:rPr>
          <w:t>2013/30/EU</w:t>
        </w:r>
      </w:hyperlink>
      <w:r>
        <w:t>.</w:t>
      </w:r>
    </w:p>
  </w:footnote>
  <w:footnote w:id="79">
    <w:p>
      <w:pPr>
        <w:pStyle w:val="FootnoteText"/>
      </w:pPr>
      <w:r>
        <w:rPr>
          <w:rStyle w:val="FootnoteReference"/>
        </w:rPr>
        <w:footnoteRef/>
      </w:r>
      <w:r>
        <w:t xml:space="preserve"> </w:t>
      </w:r>
      <w:r>
        <w:tab/>
        <w:t>Regulation (EU) No </w:t>
      </w:r>
      <w:hyperlink r:id="rId112" w:history="1">
        <w:r>
          <w:rPr>
            <w:rStyle w:val="Hyperlink"/>
          </w:rPr>
          <w:t>1367/2006</w:t>
        </w:r>
      </w:hyperlink>
      <w:r>
        <w:t xml:space="preserve">, case </w:t>
      </w:r>
      <w:hyperlink r:id="rId113" w:history="1">
        <w:r>
          <w:rPr>
            <w:rStyle w:val="Hyperlink"/>
          </w:rPr>
          <w:t>T-307/16</w:t>
        </w:r>
      </w:hyperlink>
      <w:r>
        <w:t>.</w:t>
      </w:r>
    </w:p>
  </w:footnote>
  <w:footnote w:id="80">
    <w:p>
      <w:pPr>
        <w:pStyle w:val="FootnoteText"/>
        <w:rPr>
          <w:lang w:val="fr-BE"/>
        </w:rPr>
      </w:pPr>
      <w:r>
        <w:rPr>
          <w:rStyle w:val="FootnoteReference"/>
        </w:rPr>
        <w:footnoteRef/>
      </w:r>
      <w:r>
        <w:rPr>
          <w:lang w:val="fr-BE"/>
        </w:rPr>
        <w:t xml:space="preserve"> </w:t>
      </w:r>
      <w:r>
        <w:rPr>
          <w:lang w:val="fr-BE"/>
        </w:rPr>
        <w:tab/>
        <w:t xml:space="preserve">Directive </w:t>
      </w:r>
      <w:hyperlink r:id="rId114" w:history="1">
        <w:r>
          <w:rPr>
            <w:rStyle w:val="Hyperlink"/>
            <w:lang w:val="fr-BE"/>
          </w:rPr>
          <w:t>92/43/EEC</w:t>
        </w:r>
      </w:hyperlink>
      <w:r>
        <w:rPr>
          <w:lang w:val="fr-BE"/>
        </w:rPr>
        <w:t>.</w:t>
      </w:r>
    </w:p>
  </w:footnote>
  <w:footnote w:id="81">
    <w:p>
      <w:pPr>
        <w:pStyle w:val="FootnoteText"/>
        <w:rPr>
          <w:lang w:val="fr-BE"/>
        </w:rPr>
      </w:pPr>
      <w:r>
        <w:rPr>
          <w:rStyle w:val="FootnoteReference"/>
        </w:rPr>
        <w:footnoteRef/>
      </w:r>
      <w:r>
        <w:rPr>
          <w:lang w:val="fr-BE"/>
        </w:rPr>
        <w:t xml:space="preserve"> </w:t>
      </w:r>
      <w:r>
        <w:rPr>
          <w:lang w:val="fr-BE"/>
        </w:rPr>
        <w:tab/>
        <w:t xml:space="preserve">Directive </w:t>
      </w:r>
      <w:hyperlink r:id="rId115" w:history="1">
        <w:r>
          <w:rPr>
            <w:rStyle w:val="Hyperlink"/>
            <w:lang w:val="fr-BE"/>
          </w:rPr>
          <w:t>2008/98/EC.</w:t>
        </w:r>
      </w:hyperlink>
    </w:p>
  </w:footnote>
  <w:footnote w:id="82">
    <w:p>
      <w:pPr>
        <w:pStyle w:val="FootnoteText"/>
        <w:rPr>
          <w:lang w:val="fr-BE"/>
        </w:rPr>
      </w:pPr>
      <w:r>
        <w:rPr>
          <w:rStyle w:val="FootnoteReference"/>
        </w:rPr>
        <w:footnoteRef/>
      </w:r>
      <w:r>
        <w:rPr>
          <w:lang w:val="fr-BE"/>
        </w:rPr>
        <w:t xml:space="preserve"> </w:t>
      </w:r>
      <w:r>
        <w:rPr>
          <w:lang w:val="fr-BE"/>
        </w:rPr>
        <w:tab/>
        <w:t xml:space="preserve">Directive </w:t>
      </w:r>
      <w:hyperlink r:id="rId116" w:history="1">
        <w:r>
          <w:rPr>
            <w:rStyle w:val="Hyperlink"/>
            <w:lang w:val="fr-BE"/>
          </w:rPr>
          <w:t>1999/31/EC</w:t>
        </w:r>
      </w:hyperlink>
      <w:r>
        <w:rPr>
          <w:lang w:val="fr-BE"/>
        </w:rPr>
        <w:t>.</w:t>
      </w:r>
    </w:p>
  </w:footnote>
  <w:footnote w:id="83">
    <w:p>
      <w:pPr>
        <w:pStyle w:val="FootnoteText"/>
        <w:rPr>
          <w:lang w:val="fr-BE"/>
        </w:rPr>
      </w:pPr>
      <w:r>
        <w:rPr>
          <w:rStyle w:val="FootnoteReference"/>
        </w:rPr>
        <w:footnoteRef/>
      </w:r>
      <w:r>
        <w:rPr>
          <w:lang w:val="fr-BE"/>
        </w:rPr>
        <w:t xml:space="preserve"> </w:t>
      </w:r>
      <w:r>
        <w:rPr>
          <w:lang w:val="fr-BE"/>
        </w:rPr>
        <w:tab/>
        <w:t xml:space="preserve">Directive </w:t>
      </w:r>
      <w:hyperlink r:id="rId117" w:history="1">
        <w:r>
          <w:rPr>
            <w:rStyle w:val="Hyperlink"/>
            <w:lang w:val="fr-BE"/>
          </w:rPr>
          <w:t>2000/60/EC</w:t>
        </w:r>
      </w:hyperlink>
      <w:r>
        <w:rPr>
          <w:lang w:val="fr-BE"/>
        </w:rPr>
        <w:t>.</w:t>
      </w:r>
    </w:p>
  </w:footnote>
  <w:footnote w:id="84">
    <w:p>
      <w:pPr>
        <w:pStyle w:val="FootnoteText"/>
        <w:rPr>
          <w:lang w:val="fr-BE"/>
        </w:rPr>
      </w:pPr>
      <w:r>
        <w:rPr>
          <w:rStyle w:val="FootnoteReference"/>
        </w:rPr>
        <w:footnoteRef/>
      </w:r>
      <w:r>
        <w:rPr>
          <w:lang w:val="fr-BE"/>
        </w:rPr>
        <w:t xml:space="preserve"> </w:t>
      </w:r>
      <w:r>
        <w:rPr>
          <w:lang w:val="fr-BE"/>
        </w:rPr>
        <w:tab/>
        <w:t xml:space="preserve">Directive </w:t>
      </w:r>
      <w:hyperlink r:id="rId118" w:history="1">
        <w:r>
          <w:rPr>
            <w:rStyle w:val="Hyperlink"/>
            <w:lang w:val="fr-BE"/>
          </w:rPr>
          <w:t>2007/60/EC</w:t>
        </w:r>
      </w:hyperlink>
      <w:r>
        <w:rPr>
          <w:lang w:val="fr-BE"/>
        </w:rPr>
        <w:t>.</w:t>
      </w:r>
    </w:p>
  </w:footnote>
  <w:footnote w:id="85">
    <w:p>
      <w:pPr>
        <w:pStyle w:val="FootnoteText"/>
        <w:rPr>
          <w:lang w:val="fr-BE"/>
        </w:rPr>
      </w:pPr>
      <w:r>
        <w:rPr>
          <w:rStyle w:val="FootnoteReference"/>
        </w:rPr>
        <w:footnoteRef/>
      </w:r>
      <w:r>
        <w:rPr>
          <w:lang w:val="fr-BE"/>
        </w:rPr>
        <w:t xml:space="preserve"> </w:t>
      </w:r>
      <w:r>
        <w:rPr>
          <w:lang w:val="fr-BE"/>
        </w:rPr>
        <w:tab/>
        <w:t xml:space="preserve">Directive </w:t>
      </w:r>
      <w:hyperlink r:id="rId119" w:history="1">
        <w:r>
          <w:rPr>
            <w:rStyle w:val="Hyperlink"/>
            <w:lang w:val="fr-BE"/>
          </w:rPr>
          <w:t>2006/118/EC</w:t>
        </w:r>
      </w:hyperlink>
      <w:r>
        <w:rPr>
          <w:lang w:val="fr-BE"/>
        </w:rPr>
        <w:t>.</w:t>
      </w:r>
    </w:p>
  </w:footnote>
  <w:footnote w:id="86">
    <w:p>
      <w:pPr>
        <w:pStyle w:val="FootnoteText"/>
        <w:rPr>
          <w:lang w:val="fr-BE"/>
        </w:rPr>
      </w:pPr>
      <w:r>
        <w:rPr>
          <w:rStyle w:val="FootnoteReference"/>
        </w:rPr>
        <w:footnoteRef/>
      </w:r>
      <w:r>
        <w:rPr>
          <w:lang w:val="fr-BE"/>
        </w:rPr>
        <w:t xml:space="preserve"> </w:t>
      </w:r>
      <w:r>
        <w:rPr>
          <w:lang w:val="fr-BE"/>
        </w:rPr>
        <w:tab/>
        <w:t xml:space="preserve">Directive </w:t>
      </w:r>
      <w:hyperlink r:id="rId120" w:history="1">
        <w:r>
          <w:rPr>
            <w:rStyle w:val="Hyperlink"/>
            <w:lang w:val="fr-BE"/>
          </w:rPr>
          <w:t>2008/56/EC</w:t>
        </w:r>
      </w:hyperlink>
      <w:r>
        <w:rPr>
          <w:lang w:val="fr-BE"/>
        </w:rPr>
        <w:t>.</w:t>
      </w:r>
    </w:p>
  </w:footnote>
  <w:footnote w:id="87">
    <w:p>
      <w:pPr>
        <w:pStyle w:val="FootnoteText"/>
        <w:rPr>
          <w:lang w:val="fr-BE"/>
        </w:rPr>
      </w:pPr>
      <w:r>
        <w:rPr>
          <w:rStyle w:val="FootnoteReference"/>
        </w:rPr>
        <w:footnoteRef/>
      </w:r>
      <w:r>
        <w:rPr>
          <w:lang w:val="fr-BE"/>
        </w:rPr>
        <w:t xml:space="preserve"> </w:t>
      </w:r>
      <w:r>
        <w:rPr>
          <w:lang w:val="fr-BE"/>
        </w:rPr>
        <w:tab/>
        <w:t xml:space="preserve">Directive </w:t>
      </w:r>
      <w:hyperlink r:id="rId121" w:history="1">
        <w:r>
          <w:rPr>
            <w:rStyle w:val="Hyperlink"/>
            <w:lang w:val="fr-BE"/>
          </w:rPr>
          <w:t>2002/49/EC</w:t>
        </w:r>
      </w:hyperlink>
      <w:r>
        <w:rPr>
          <w:lang w:val="fr-BE"/>
        </w:rPr>
        <w:t>.</w:t>
      </w:r>
    </w:p>
  </w:footnote>
  <w:footnote w:id="88">
    <w:p>
      <w:pPr>
        <w:pStyle w:val="FootnoteText"/>
        <w:rPr>
          <w:lang w:val="fr-BE"/>
        </w:rPr>
      </w:pPr>
      <w:r>
        <w:rPr>
          <w:rStyle w:val="FootnoteReference"/>
        </w:rPr>
        <w:footnoteRef/>
      </w:r>
      <w:r>
        <w:rPr>
          <w:lang w:val="fr-BE"/>
        </w:rPr>
        <w:t xml:space="preserve"> </w:t>
      </w:r>
      <w:r>
        <w:rPr>
          <w:lang w:val="fr-BE"/>
        </w:rPr>
        <w:tab/>
        <w:t xml:space="preserve">Directive </w:t>
      </w:r>
      <w:hyperlink r:id="rId122" w:history="1">
        <w:r>
          <w:rPr>
            <w:rStyle w:val="Hyperlink"/>
            <w:lang w:val="fr-BE"/>
          </w:rPr>
          <w:t>2010/75/EU</w:t>
        </w:r>
      </w:hyperlink>
      <w:r>
        <w:rPr>
          <w:lang w:val="fr-BE"/>
        </w:rPr>
        <w:t>.</w:t>
      </w:r>
    </w:p>
  </w:footnote>
  <w:footnote w:id="89">
    <w:p>
      <w:pPr>
        <w:pStyle w:val="FootnoteText"/>
        <w:rPr>
          <w:lang w:val="fr-BE"/>
        </w:rPr>
      </w:pPr>
      <w:r>
        <w:rPr>
          <w:rStyle w:val="FootnoteReference"/>
        </w:rPr>
        <w:footnoteRef/>
      </w:r>
      <w:r>
        <w:rPr>
          <w:lang w:val="fr-BE"/>
        </w:rPr>
        <w:t xml:space="preserve"> </w:t>
      </w:r>
      <w:r>
        <w:rPr>
          <w:lang w:val="fr-BE"/>
        </w:rPr>
        <w:tab/>
        <w:t xml:space="preserve">Directive </w:t>
      </w:r>
      <w:hyperlink r:id="rId123" w:history="1">
        <w:r>
          <w:rPr>
            <w:rStyle w:val="Hyperlink"/>
            <w:lang w:val="fr-BE"/>
          </w:rPr>
          <w:t>2004/35/EC</w:t>
        </w:r>
      </w:hyperlink>
      <w:r>
        <w:rPr>
          <w:lang w:val="fr-BE"/>
        </w:rPr>
        <w:t>.</w:t>
      </w:r>
    </w:p>
  </w:footnote>
  <w:footnote w:id="90">
    <w:p>
      <w:pPr>
        <w:pStyle w:val="FootnoteText"/>
        <w:rPr>
          <w:lang w:val="fr-BE"/>
        </w:rPr>
      </w:pPr>
      <w:r>
        <w:rPr>
          <w:rStyle w:val="FootnoteReference"/>
        </w:rPr>
        <w:footnoteRef/>
      </w:r>
      <w:r>
        <w:rPr>
          <w:lang w:val="fr-BE"/>
        </w:rPr>
        <w:t xml:space="preserve"> </w:t>
      </w:r>
      <w:r>
        <w:rPr>
          <w:lang w:val="fr-BE"/>
        </w:rPr>
        <w:tab/>
        <w:t xml:space="preserve">Directive </w:t>
      </w:r>
      <w:hyperlink r:id="rId124" w:history="1">
        <w:r>
          <w:rPr>
            <w:rStyle w:val="Hyperlink"/>
            <w:lang w:val="fr-BE"/>
          </w:rPr>
          <w:t>2008/50/EC</w:t>
        </w:r>
      </w:hyperlink>
      <w:r>
        <w:rPr>
          <w:lang w:val="fr-BE"/>
        </w:rPr>
        <w:t>.</w:t>
      </w:r>
    </w:p>
  </w:footnote>
  <w:footnote w:id="91">
    <w:p>
      <w:pPr>
        <w:pStyle w:val="FootnoteText"/>
        <w:rPr>
          <w:lang w:val="fr-BE"/>
        </w:rPr>
      </w:pPr>
      <w:r>
        <w:rPr>
          <w:rStyle w:val="FootnoteReference"/>
        </w:rPr>
        <w:footnoteRef/>
      </w:r>
      <w:r>
        <w:rPr>
          <w:lang w:val="fr-BE"/>
        </w:rPr>
        <w:t xml:space="preserve"> </w:t>
      </w:r>
      <w:r>
        <w:rPr>
          <w:lang w:val="fr-BE"/>
        </w:rPr>
        <w:tab/>
      </w:r>
      <w:hyperlink r:id="rId125" w:history="1">
        <w:r>
          <w:rPr>
            <w:rStyle w:val="Hyperlink"/>
            <w:lang w:val="fr-BE"/>
          </w:rPr>
          <w:t>MEMO/16/3644</w:t>
        </w:r>
      </w:hyperlink>
      <w:r>
        <w:rPr>
          <w:lang w:val="fr-BE"/>
        </w:rPr>
        <w:t>.</w:t>
      </w:r>
    </w:p>
  </w:footnote>
  <w:footnote w:id="92">
    <w:p>
      <w:pPr>
        <w:pStyle w:val="FootnoteText"/>
        <w:rPr>
          <w:lang w:val="fr-BE"/>
        </w:rPr>
      </w:pPr>
      <w:r>
        <w:rPr>
          <w:rStyle w:val="FootnoteReference"/>
        </w:rPr>
        <w:footnoteRef/>
      </w:r>
      <w:r>
        <w:rPr>
          <w:lang w:val="fr-BE"/>
        </w:rPr>
        <w:t xml:space="preserve"> </w:t>
      </w:r>
      <w:r>
        <w:rPr>
          <w:lang w:val="fr-BE"/>
        </w:rPr>
        <w:tab/>
      </w:r>
      <w:hyperlink r:id="rId126" w:history="1">
        <w:r>
          <w:rPr>
            <w:rStyle w:val="Hyperlink"/>
            <w:lang w:val="fr-BE"/>
          </w:rPr>
          <w:t>MEMO/16/1452</w:t>
        </w:r>
      </w:hyperlink>
      <w:r>
        <w:rPr>
          <w:lang w:val="fr-BE"/>
        </w:rPr>
        <w:t>.</w:t>
      </w:r>
    </w:p>
  </w:footnote>
  <w:footnote w:id="93">
    <w:p>
      <w:pPr>
        <w:pStyle w:val="FootnoteText"/>
        <w:rPr>
          <w:lang w:val="fr-BE"/>
        </w:rPr>
      </w:pPr>
      <w:r>
        <w:rPr>
          <w:rStyle w:val="FootnoteReference"/>
        </w:rPr>
        <w:footnoteRef/>
      </w:r>
      <w:r>
        <w:rPr>
          <w:lang w:val="fr-BE"/>
        </w:rPr>
        <w:t xml:space="preserve"> </w:t>
      </w:r>
      <w:r>
        <w:rPr>
          <w:lang w:val="fr-BE"/>
        </w:rPr>
        <w:tab/>
      </w:r>
      <w:hyperlink r:id="rId127" w:history="1">
        <w:r>
          <w:rPr>
            <w:rStyle w:val="Hyperlink"/>
            <w:lang w:val="fr-BE"/>
          </w:rPr>
          <w:t>MEMO/16/4211</w:t>
        </w:r>
      </w:hyperlink>
      <w:r>
        <w:rPr>
          <w:lang w:val="fr-BE"/>
        </w:rPr>
        <w:t>.</w:t>
      </w:r>
    </w:p>
  </w:footnote>
  <w:footnote w:id="94">
    <w:p>
      <w:pPr>
        <w:pStyle w:val="FootnoteText"/>
        <w:rPr>
          <w:lang w:val="fr-BE"/>
        </w:rPr>
      </w:pPr>
      <w:r>
        <w:rPr>
          <w:rStyle w:val="FootnoteReference"/>
        </w:rPr>
        <w:footnoteRef/>
      </w:r>
      <w:r>
        <w:rPr>
          <w:lang w:val="fr-BE"/>
        </w:rPr>
        <w:t xml:space="preserve"> </w:t>
      </w:r>
      <w:r>
        <w:rPr>
          <w:lang w:val="fr-BE"/>
        </w:rPr>
        <w:tab/>
      </w:r>
      <w:hyperlink r:id="rId128" w:history="1">
        <w:r>
          <w:rPr>
            <w:rStyle w:val="Hyperlink"/>
            <w:lang w:val="fr-BE"/>
          </w:rPr>
          <w:t>MEMO/16/1823</w:t>
        </w:r>
      </w:hyperlink>
      <w:r>
        <w:rPr>
          <w:lang w:val="fr-BE"/>
        </w:rPr>
        <w:t>.</w:t>
      </w:r>
    </w:p>
  </w:footnote>
  <w:footnote w:id="95">
    <w:p>
      <w:pPr>
        <w:pStyle w:val="FootnoteText"/>
        <w:rPr>
          <w:lang w:val="pt-PT"/>
        </w:rPr>
      </w:pPr>
      <w:r>
        <w:rPr>
          <w:rStyle w:val="FootnoteReference"/>
        </w:rPr>
        <w:footnoteRef/>
      </w:r>
      <w:r>
        <w:rPr>
          <w:lang w:val="pt-PT"/>
        </w:rPr>
        <w:t xml:space="preserve"> </w:t>
      </w:r>
      <w:r>
        <w:rPr>
          <w:lang w:val="pt-PT"/>
        </w:rPr>
        <w:tab/>
        <w:t xml:space="preserve">Directive </w:t>
      </w:r>
      <w:hyperlink r:id="rId129" w:history="1">
        <w:r>
          <w:rPr>
            <w:rStyle w:val="Hyperlink"/>
            <w:lang w:val="pt-PT"/>
          </w:rPr>
          <w:t>2008/98/EC</w:t>
        </w:r>
      </w:hyperlink>
      <w:r>
        <w:rPr>
          <w:lang w:val="pt-PT"/>
        </w:rPr>
        <w:t>.</w:t>
      </w:r>
    </w:p>
  </w:footnote>
  <w:footnote w:id="96">
    <w:p>
      <w:pPr>
        <w:pStyle w:val="FootnoteText"/>
        <w:rPr>
          <w:lang w:val="pt-PT"/>
        </w:rPr>
      </w:pPr>
      <w:r>
        <w:rPr>
          <w:rStyle w:val="FootnoteReference"/>
        </w:rPr>
        <w:footnoteRef/>
      </w:r>
      <w:r>
        <w:rPr>
          <w:lang w:val="pt-PT"/>
        </w:rPr>
        <w:t xml:space="preserve"> </w:t>
      </w:r>
      <w:r>
        <w:rPr>
          <w:lang w:val="pt-PT"/>
        </w:rPr>
        <w:tab/>
      </w:r>
      <w:hyperlink r:id="rId130" w:history="1">
        <w:r>
          <w:rPr>
            <w:rStyle w:val="Hyperlink"/>
            <w:lang w:val="pt-PT"/>
          </w:rPr>
          <w:t>MEMO/16/3125</w:t>
        </w:r>
      </w:hyperlink>
      <w:r>
        <w:rPr>
          <w:lang w:val="pt-PT"/>
        </w:rPr>
        <w:t>.</w:t>
      </w:r>
    </w:p>
  </w:footnote>
  <w:footnote w:id="97">
    <w:p>
      <w:pPr>
        <w:pStyle w:val="FootnoteText"/>
        <w:rPr>
          <w:lang w:val="pt-PT"/>
        </w:rPr>
      </w:pPr>
      <w:r>
        <w:rPr>
          <w:rStyle w:val="FootnoteReference"/>
        </w:rPr>
        <w:footnoteRef/>
      </w:r>
      <w:r>
        <w:rPr>
          <w:lang w:val="pt-PT"/>
        </w:rPr>
        <w:t xml:space="preserve"> </w:t>
      </w:r>
      <w:r>
        <w:rPr>
          <w:lang w:val="pt-PT"/>
        </w:rPr>
        <w:tab/>
        <w:t xml:space="preserve">Directive </w:t>
      </w:r>
      <w:hyperlink r:id="rId131" w:history="1">
        <w:r>
          <w:rPr>
            <w:rStyle w:val="Hyperlink"/>
            <w:lang w:val="pt-PT"/>
          </w:rPr>
          <w:t>2008/50/EC</w:t>
        </w:r>
      </w:hyperlink>
      <w:r>
        <w:rPr>
          <w:lang w:val="pt-PT"/>
        </w:rPr>
        <w:t>.</w:t>
      </w:r>
    </w:p>
  </w:footnote>
  <w:footnote w:id="98">
    <w:p>
      <w:pPr>
        <w:pStyle w:val="FootnoteText"/>
        <w:rPr>
          <w:lang w:val="pt-PT"/>
        </w:rPr>
      </w:pPr>
      <w:r>
        <w:rPr>
          <w:rStyle w:val="FootnoteReference"/>
        </w:rPr>
        <w:footnoteRef/>
      </w:r>
      <w:r>
        <w:rPr>
          <w:lang w:val="pt-PT"/>
        </w:rPr>
        <w:t xml:space="preserve"> </w:t>
      </w:r>
      <w:r>
        <w:rPr>
          <w:lang w:val="pt-PT"/>
        </w:rPr>
        <w:tab/>
        <w:t xml:space="preserve">Directive </w:t>
      </w:r>
      <w:hyperlink r:id="rId132" w:history="1">
        <w:r>
          <w:rPr>
            <w:rStyle w:val="Hyperlink"/>
            <w:lang w:val="pt-PT"/>
          </w:rPr>
          <w:t>2004/35/EC</w:t>
        </w:r>
      </w:hyperlink>
      <w:r>
        <w:rPr>
          <w:lang w:val="pt-PT"/>
        </w:rPr>
        <w:t>.</w:t>
      </w:r>
    </w:p>
  </w:footnote>
  <w:footnote w:id="99">
    <w:p>
      <w:pPr>
        <w:pStyle w:val="FootnoteText"/>
        <w:rPr>
          <w:lang w:val="pt-PT"/>
        </w:rPr>
      </w:pPr>
      <w:r>
        <w:rPr>
          <w:rStyle w:val="FootnoteReference"/>
        </w:rPr>
        <w:footnoteRef/>
      </w:r>
      <w:r>
        <w:rPr>
          <w:lang w:val="pt-PT"/>
        </w:rPr>
        <w:t xml:space="preserve"> </w:t>
      </w:r>
      <w:r>
        <w:rPr>
          <w:lang w:val="pt-PT"/>
        </w:rPr>
        <w:tab/>
        <w:t xml:space="preserve">Directive </w:t>
      </w:r>
      <w:hyperlink r:id="rId133" w:history="1">
        <w:r>
          <w:rPr>
            <w:rStyle w:val="Hyperlink"/>
            <w:lang w:val="pt-PT"/>
          </w:rPr>
          <w:t>2002/49/EC</w:t>
        </w:r>
      </w:hyperlink>
      <w:r>
        <w:rPr>
          <w:lang w:val="pt-PT"/>
        </w:rPr>
        <w:t>.</w:t>
      </w:r>
    </w:p>
  </w:footnote>
  <w:footnote w:id="100">
    <w:p>
      <w:pPr>
        <w:pStyle w:val="FootnoteText"/>
        <w:rPr>
          <w:lang w:val="pt-PT"/>
        </w:rPr>
      </w:pPr>
      <w:r>
        <w:rPr>
          <w:rStyle w:val="FootnoteReference"/>
        </w:rPr>
        <w:footnoteRef/>
      </w:r>
      <w:r>
        <w:rPr>
          <w:lang w:val="pt-PT"/>
        </w:rPr>
        <w:t xml:space="preserve"> </w:t>
      </w:r>
      <w:r>
        <w:rPr>
          <w:lang w:val="pt-PT"/>
        </w:rPr>
        <w:tab/>
      </w:r>
      <w:hyperlink r:id="rId134" w:history="1">
        <w:r>
          <w:rPr>
            <w:rStyle w:val="Hyperlink"/>
            <w:lang w:val="pt-PT"/>
          </w:rPr>
          <w:t>MEMO/16/1452</w:t>
        </w:r>
      </w:hyperlink>
      <w:r>
        <w:rPr>
          <w:lang w:val="pt-PT"/>
        </w:rPr>
        <w:t>.</w:t>
      </w:r>
    </w:p>
  </w:footnote>
  <w:footnote w:id="101">
    <w:p>
      <w:pPr>
        <w:pStyle w:val="FootnoteText"/>
        <w:rPr>
          <w:lang w:val="pt-PT"/>
        </w:rPr>
      </w:pPr>
      <w:r>
        <w:rPr>
          <w:rStyle w:val="FootnoteReference"/>
        </w:rPr>
        <w:footnoteRef/>
      </w:r>
      <w:r>
        <w:rPr>
          <w:lang w:val="pt-PT"/>
        </w:rPr>
        <w:t xml:space="preserve"> </w:t>
      </w:r>
      <w:r>
        <w:rPr>
          <w:lang w:val="pt-PT"/>
        </w:rPr>
        <w:tab/>
      </w:r>
      <w:hyperlink r:id="rId135" w:history="1">
        <w:r>
          <w:rPr>
            <w:rStyle w:val="Hyperlink"/>
            <w:lang w:val="pt-PT"/>
          </w:rPr>
          <w:t>MEMO/16/319</w:t>
        </w:r>
      </w:hyperlink>
      <w:r>
        <w:rPr>
          <w:lang w:val="pt-PT"/>
        </w:rPr>
        <w:t>.</w:t>
      </w:r>
    </w:p>
  </w:footnote>
  <w:footnote w:id="102">
    <w:p>
      <w:pPr>
        <w:pStyle w:val="FootnoteText"/>
        <w:rPr>
          <w:lang w:val="pt-PT"/>
        </w:rPr>
      </w:pPr>
      <w:r>
        <w:rPr>
          <w:rStyle w:val="FootnoteReference"/>
        </w:rPr>
        <w:footnoteRef/>
      </w:r>
      <w:r>
        <w:rPr>
          <w:lang w:val="pt-PT"/>
        </w:rPr>
        <w:t xml:space="preserve"> </w:t>
      </w:r>
      <w:r>
        <w:rPr>
          <w:lang w:val="pt-PT"/>
        </w:rPr>
        <w:tab/>
      </w:r>
      <w:hyperlink r:id="rId136" w:history="1">
        <w:r>
          <w:rPr>
            <w:rStyle w:val="Hyperlink"/>
            <w:lang w:val="pt-PT"/>
          </w:rPr>
          <w:t>MEMO/16/1823</w:t>
        </w:r>
      </w:hyperlink>
      <w:r>
        <w:rPr>
          <w:lang w:val="pt-PT"/>
        </w:rPr>
        <w:t>.</w:t>
      </w:r>
    </w:p>
  </w:footnote>
  <w:footnote w:id="103">
    <w:p>
      <w:pPr>
        <w:pStyle w:val="FootnoteText"/>
        <w:rPr>
          <w:lang w:val="pt-PT"/>
        </w:rPr>
      </w:pPr>
      <w:r>
        <w:rPr>
          <w:rStyle w:val="FootnoteReference"/>
        </w:rPr>
        <w:footnoteRef/>
      </w:r>
      <w:r>
        <w:rPr>
          <w:lang w:val="pt-PT"/>
        </w:rPr>
        <w:t xml:space="preserve"> </w:t>
      </w:r>
      <w:r>
        <w:rPr>
          <w:lang w:val="pt-PT"/>
        </w:rPr>
        <w:tab/>
        <w:t xml:space="preserve">Directive </w:t>
      </w:r>
      <w:hyperlink r:id="rId137" w:history="1">
        <w:r>
          <w:rPr>
            <w:rStyle w:val="Hyperlink"/>
            <w:lang w:val="pt-PT"/>
          </w:rPr>
          <w:t>92/43/EEC</w:t>
        </w:r>
      </w:hyperlink>
      <w:r>
        <w:rPr>
          <w:lang w:val="pt-PT"/>
        </w:rPr>
        <w:t>.</w:t>
      </w:r>
    </w:p>
  </w:footnote>
  <w:footnote w:id="104">
    <w:p>
      <w:pPr>
        <w:pStyle w:val="FootnoteText"/>
        <w:rPr>
          <w:lang w:val="pt-PT"/>
        </w:rPr>
      </w:pPr>
      <w:r>
        <w:rPr>
          <w:rStyle w:val="FootnoteReference"/>
        </w:rPr>
        <w:footnoteRef/>
      </w:r>
      <w:r>
        <w:rPr>
          <w:lang w:val="pt-PT"/>
        </w:rPr>
        <w:t xml:space="preserve"> </w:t>
      </w:r>
      <w:r>
        <w:rPr>
          <w:lang w:val="pt-PT"/>
        </w:rPr>
        <w:tab/>
        <w:t xml:space="preserve">Directive </w:t>
      </w:r>
      <w:hyperlink r:id="rId138" w:history="1">
        <w:r>
          <w:rPr>
            <w:rStyle w:val="Hyperlink"/>
            <w:lang w:val="pt-PT"/>
          </w:rPr>
          <w:t>2007/60/EC</w:t>
        </w:r>
      </w:hyperlink>
      <w:r>
        <w:rPr>
          <w:lang w:val="pt-PT"/>
        </w:rPr>
        <w:t xml:space="preserve">, </w:t>
      </w:r>
      <w:hyperlink r:id="rId139" w:history="1">
        <w:r>
          <w:rPr>
            <w:rStyle w:val="Hyperlink"/>
            <w:lang w:val="pt-PT"/>
          </w:rPr>
          <w:t>MEMO/16/3644</w:t>
        </w:r>
      </w:hyperlink>
      <w:r>
        <w:rPr>
          <w:lang w:val="pt-PT"/>
        </w:rPr>
        <w:t>.</w:t>
      </w:r>
    </w:p>
  </w:footnote>
  <w:footnote w:id="105">
    <w:p>
      <w:pPr>
        <w:pStyle w:val="FootnoteText"/>
        <w:rPr>
          <w:lang w:val="pt-PT"/>
        </w:rPr>
      </w:pPr>
      <w:r>
        <w:rPr>
          <w:rStyle w:val="FootnoteReference"/>
        </w:rPr>
        <w:footnoteRef/>
      </w:r>
      <w:r>
        <w:rPr>
          <w:lang w:val="pt-PT"/>
        </w:rPr>
        <w:t xml:space="preserve"> </w:t>
      </w:r>
      <w:r>
        <w:rPr>
          <w:lang w:val="pt-PT"/>
        </w:rPr>
        <w:tab/>
      </w:r>
      <w:hyperlink r:id="rId140" w:history="1">
        <w:r>
          <w:rPr>
            <w:rStyle w:val="Hyperlink"/>
            <w:lang w:val="pt-PT"/>
          </w:rPr>
          <w:t>MEMO/16/1452</w:t>
        </w:r>
      </w:hyperlink>
      <w:r>
        <w:rPr>
          <w:lang w:val="pt-PT"/>
        </w:rPr>
        <w:t>.</w:t>
      </w:r>
    </w:p>
  </w:footnote>
  <w:footnote w:id="106">
    <w:p>
      <w:pPr>
        <w:pStyle w:val="FootnoteText"/>
        <w:rPr>
          <w:lang w:val="pt-PT"/>
        </w:rPr>
      </w:pPr>
      <w:r>
        <w:rPr>
          <w:rStyle w:val="FootnoteReference"/>
        </w:rPr>
        <w:footnoteRef/>
      </w:r>
      <w:r>
        <w:rPr>
          <w:lang w:val="pt-PT"/>
        </w:rPr>
        <w:t xml:space="preserve"> </w:t>
      </w:r>
      <w:r>
        <w:rPr>
          <w:lang w:val="pt-PT"/>
        </w:rPr>
        <w:tab/>
        <w:t xml:space="preserve">Directive </w:t>
      </w:r>
      <w:hyperlink r:id="rId141" w:history="1">
        <w:r>
          <w:rPr>
            <w:rStyle w:val="Hyperlink"/>
            <w:lang w:val="pt-PT"/>
          </w:rPr>
          <w:t>2006/21/EC</w:t>
        </w:r>
      </w:hyperlink>
      <w:r>
        <w:rPr>
          <w:lang w:val="pt-PT"/>
        </w:rPr>
        <w:t>.</w:t>
      </w:r>
    </w:p>
  </w:footnote>
  <w:footnote w:id="107">
    <w:p>
      <w:pPr>
        <w:pStyle w:val="FootnoteText"/>
        <w:rPr>
          <w:lang w:val="pt-PT"/>
        </w:rPr>
      </w:pPr>
      <w:r>
        <w:rPr>
          <w:rStyle w:val="FootnoteReference"/>
        </w:rPr>
        <w:footnoteRef/>
      </w:r>
      <w:r>
        <w:rPr>
          <w:lang w:val="pt-PT"/>
        </w:rPr>
        <w:t xml:space="preserve"> </w:t>
      </w:r>
      <w:r>
        <w:rPr>
          <w:lang w:val="pt-PT"/>
        </w:rPr>
        <w:tab/>
      </w:r>
      <w:hyperlink r:id="rId142" w:history="1">
        <w:r>
          <w:rPr>
            <w:rStyle w:val="Hyperlink"/>
            <w:lang w:val="pt-PT"/>
          </w:rPr>
          <w:t>MEMO/16/2490</w:t>
        </w:r>
      </w:hyperlink>
      <w:r>
        <w:rPr>
          <w:lang w:val="pt-PT"/>
        </w:rPr>
        <w:t>.</w:t>
      </w:r>
    </w:p>
  </w:footnote>
  <w:footnote w:id="108">
    <w:p>
      <w:pPr>
        <w:pStyle w:val="FootnoteText"/>
        <w:rPr>
          <w:lang w:val="pt-PT"/>
        </w:rPr>
      </w:pPr>
      <w:r>
        <w:rPr>
          <w:rStyle w:val="FootnoteReference"/>
        </w:rPr>
        <w:footnoteRef/>
      </w:r>
      <w:r>
        <w:rPr>
          <w:lang w:val="pt-PT"/>
        </w:rPr>
        <w:t xml:space="preserve"> </w:t>
      </w:r>
      <w:r>
        <w:rPr>
          <w:lang w:val="pt-PT"/>
        </w:rPr>
        <w:tab/>
        <w:t xml:space="preserve">Directive </w:t>
      </w:r>
      <w:hyperlink r:id="rId143" w:history="1">
        <w:r>
          <w:rPr>
            <w:rStyle w:val="Hyperlink"/>
            <w:lang w:val="pt-PT"/>
          </w:rPr>
          <w:t>2008/98/EC</w:t>
        </w:r>
      </w:hyperlink>
      <w:r>
        <w:rPr>
          <w:lang w:val="pt-PT"/>
        </w:rPr>
        <w:t>.</w:t>
      </w:r>
    </w:p>
  </w:footnote>
  <w:footnote w:id="109">
    <w:p>
      <w:pPr>
        <w:pStyle w:val="FootnoteText"/>
      </w:pPr>
      <w:r>
        <w:rPr>
          <w:rStyle w:val="FootnoteReference"/>
        </w:rPr>
        <w:footnoteRef/>
      </w:r>
      <w:r>
        <w:t xml:space="preserve"> </w:t>
      </w:r>
      <w:r>
        <w:tab/>
        <w:t>PM</w:t>
      </w:r>
      <w:r>
        <w:rPr>
          <w:sz w:val="12"/>
          <w:szCs w:val="12"/>
        </w:rPr>
        <w:t xml:space="preserve">10 </w:t>
      </w:r>
      <w:r>
        <w:t xml:space="preserve">is an air pollutant consisting of small particles with an aerodynamic diameter less than or equal to a nominal 10 micrometres. The particles’ small size allows them to penetrate deep into the lungs where they may be deposited and cause adverse health effects. (Source: </w:t>
      </w:r>
      <w:hyperlink r:id="rId144" w:history="1">
        <w:r>
          <w:rPr>
            <w:rStyle w:val="Hyperlink"/>
          </w:rPr>
          <w:t>European Environment Agency</w:t>
        </w:r>
      </w:hyperlink>
      <w:r>
        <w:t>).</w:t>
      </w:r>
    </w:p>
  </w:footnote>
  <w:footnote w:id="110">
    <w:p>
      <w:pPr>
        <w:pStyle w:val="FootnoteText"/>
        <w:rPr>
          <w:lang w:val="pt-PT"/>
        </w:rPr>
      </w:pPr>
      <w:r>
        <w:rPr>
          <w:rStyle w:val="FootnoteReference"/>
        </w:rPr>
        <w:footnoteRef/>
      </w:r>
      <w:r>
        <w:rPr>
          <w:lang w:val="pt-PT"/>
        </w:rPr>
        <w:t xml:space="preserve"> </w:t>
      </w:r>
      <w:r>
        <w:rPr>
          <w:lang w:val="pt-PT"/>
        </w:rPr>
        <w:tab/>
        <w:t xml:space="preserve">Directive </w:t>
      </w:r>
      <w:hyperlink r:id="rId145" w:history="1">
        <w:r>
          <w:rPr>
            <w:rStyle w:val="Hyperlink"/>
            <w:lang w:val="pt-PT"/>
          </w:rPr>
          <w:t>2008/50/EC</w:t>
        </w:r>
      </w:hyperlink>
      <w:r>
        <w:rPr>
          <w:lang w:val="pt-PT"/>
        </w:rPr>
        <w:t>.</w:t>
      </w:r>
    </w:p>
  </w:footnote>
  <w:footnote w:id="111">
    <w:p>
      <w:pPr>
        <w:pStyle w:val="FootnoteText"/>
        <w:rPr>
          <w:lang w:val="pt-PT"/>
        </w:rPr>
      </w:pPr>
      <w:r>
        <w:rPr>
          <w:rStyle w:val="FootnoteReference"/>
        </w:rPr>
        <w:footnoteRef/>
      </w:r>
      <w:r>
        <w:rPr>
          <w:lang w:val="pt-PT"/>
        </w:rPr>
        <w:t xml:space="preserve"> </w:t>
      </w:r>
      <w:r>
        <w:rPr>
          <w:lang w:val="pt-PT"/>
        </w:rPr>
        <w:tab/>
        <w:t xml:space="preserve">Regulation (EU) </w:t>
      </w:r>
      <w:hyperlink r:id="rId146" w:history="1">
        <w:r>
          <w:rPr>
            <w:rStyle w:val="Hyperlink"/>
            <w:lang w:val="pt-PT"/>
          </w:rPr>
          <w:t>No 995/2010</w:t>
        </w:r>
      </w:hyperlink>
      <w:r>
        <w:rPr>
          <w:lang w:val="pt-PT"/>
        </w:rPr>
        <w:t>.</w:t>
      </w:r>
    </w:p>
  </w:footnote>
  <w:footnote w:id="112">
    <w:p>
      <w:pPr>
        <w:pStyle w:val="FootnoteText"/>
      </w:pPr>
      <w:r>
        <w:rPr>
          <w:rStyle w:val="FootnoteReference"/>
        </w:rPr>
        <w:footnoteRef/>
      </w:r>
      <w:r>
        <w:t xml:space="preserve"> </w:t>
      </w:r>
      <w:r>
        <w:tab/>
        <w:t xml:space="preserve">Directive </w:t>
      </w:r>
      <w:hyperlink r:id="rId147" w:history="1">
        <w:r>
          <w:rPr>
            <w:rStyle w:val="Hyperlink"/>
          </w:rPr>
          <w:t>2000/60/EC</w:t>
        </w:r>
      </w:hyperlink>
      <w:r>
        <w:t>.</w:t>
      </w:r>
    </w:p>
  </w:footnote>
  <w:footnote w:id="113">
    <w:p>
      <w:pPr>
        <w:pStyle w:val="FootnoteText"/>
      </w:pPr>
      <w:r>
        <w:rPr>
          <w:rStyle w:val="FootnoteReference"/>
        </w:rPr>
        <w:footnoteRef/>
      </w:r>
      <w:r>
        <w:t xml:space="preserve"> </w:t>
      </w:r>
      <w:r>
        <w:tab/>
        <w:t xml:space="preserve">Directive </w:t>
      </w:r>
      <w:hyperlink r:id="rId148" w:history="1">
        <w:r>
          <w:rPr>
            <w:rStyle w:val="Hyperlink"/>
          </w:rPr>
          <w:t>92/43/EEC</w:t>
        </w:r>
      </w:hyperlink>
      <w:r>
        <w:t xml:space="preserve">, Commission v Germany, </w:t>
      </w:r>
      <w:hyperlink r:id="rId149" w:history="1">
        <w:r>
          <w:rPr>
            <w:rStyle w:val="Hyperlink"/>
          </w:rPr>
          <w:t>C-142/16</w:t>
        </w:r>
      </w:hyperlink>
      <w:r>
        <w:t xml:space="preserve"> ; </w:t>
      </w:r>
      <w:hyperlink r:id="rId150" w:history="1">
        <w:r>
          <w:rPr>
            <w:rStyle w:val="Hyperlink"/>
          </w:rPr>
          <w:t>IP/15/4669</w:t>
        </w:r>
      </w:hyperlink>
      <w:r>
        <w:t>.</w:t>
      </w:r>
    </w:p>
  </w:footnote>
  <w:footnote w:id="114">
    <w:p>
      <w:pPr>
        <w:pStyle w:val="FootnoteText"/>
      </w:pPr>
      <w:r>
        <w:rPr>
          <w:rStyle w:val="FootnoteReference"/>
        </w:rPr>
        <w:footnoteRef/>
      </w:r>
      <w:r>
        <w:t xml:space="preserve"> </w:t>
      </w:r>
      <w:r>
        <w:tab/>
        <w:t xml:space="preserve">Commission v Germany, </w:t>
      </w:r>
      <w:hyperlink r:id="rId151" w:history="1">
        <w:r>
          <w:rPr>
            <w:rStyle w:val="Hyperlink"/>
          </w:rPr>
          <w:t>C-543/16</w:t>
        </w:r>
      </w:hyperlink>
      <w:r>
        <w:t xml:space="preserve">; </w:t>
      </w:r>
      <w:hyperlink r:id="rId152" w:history="1">
        <w:r>
          <w:rPr>
            <w:rStyle w:val="Hyperlink"/>
          </w:rPr>
          <w:t>IP/16/1453</w:t>
        </w:r>
      </w:hyperlink>
      <w:r>
        <w:t>.</w:t>
      </w:r>
    </w:p>
  </w:footnote>
  <w:footnote w:id="115">
    <w:p>
      <w:pPr>
        <w:pStyle w:val="FootnoteText"/>
      </w:pPr>
      <w:r>
        <w:rPr>
          <w:rStyle w:val="FootnoteReference"/>
        </w:rPr>
        <w:footnoteRef/>
      </w:r>
      <w:r>
        <w:t xml:space="preserve"> </w:t>
      </w:r>
      <w:r>
        <w:tab/>
        <w:t xml:space="preserve">Commission v Greece, </w:t>
      </w:r>
      <w:hyperlink r:id="rId153" w:history="1">
        <w:r>
          <w:rPr>
            <w:rStyle w:val="Hyperlink"/>
          </w:rPr>
          <w:t>C-202/16</w:t>
        </w:r>
      </w:hyperlink>
      <w:r>
        <w:t xml:space="preserve">; </w:t>
      </w:r>
      <w:hyperlink r:id="rId154" w:history="1">
        <w:r>
          <w:rPr>
            <w:rStyle w:val="Hyperlink"/>
          </w:rPr>
          <w:t>IP/15/6224</w:t>
        </w:r>
      </w:hyperlink>
      <w:r>
        <w:t>.</w:t>
      </w:r>
    </w:p>
  </w:footnote>
  <w:footnote w:id="116">
    <w:p>
      <w:pPr>
        <w:pStyle w:val="FootnoteText"/>
      </w:pPr>
      <w:r>
        <w:rPr>
          <w:rStyle w:val="FootnoteReference"/>
        </w:rPr>
        <w:footnoteRef/>
      </w:r>
      <w:r>
        <w:t xml:space="preserve"> </w:t>
      </w:r>
      <w:r>
        <w:tab/>
        <w:t xml:space="preserve">Directive </w:t>
      </w:r>
      <w:hyperlink r:id="rId155" w:history="1">
        <w:r>
          <w:rPr>
            <w:rStyle w:val="Hyperlink"/>
          </w:rPr>
          <w:t>2008/50/EC</w:t>
        </w:r>
      </w:hyperlink>
      <w:r>
        <w:t xml:space="preserve">, Commission v Poland, </w:t>
      </w:r>
      <w:hyperlink r:id="rId156" w:history="1">
        <w:r>
          <w:rPr>
            <w:rStyle w:val="Hyperlink"/>
          </w:rPr>
          <w:t>C-336/16</w:t>
        </w:r>
      </w:hyperlink>
      <w:r>
        <w:t xml:space="preserve">; </w:t>
      </w:r>
      <w:hyperlink r:id="rId157" w:history="1">
        <w:r>
          <w:rPr>
            <w:rStyle w:val="Hyperlink"/>
          </w:rPr>
          <w:t>IP/15/6225</w:t>
        </w:r>
      </w:hyperlink>
      <w:r>
        <w:t>.</w:t>
      </w:r>
    </w:p>
  </w:footnote>
  <w:footnote w:id="117">
    <w:p>
      <w:pPr>
        <w:pStyle w:val="FootnoteText"/>
      </w:pPr>
      <w:r>
        <w:rPr>
          <w:rStyle w:val="FootnoteReference"/>
        </w:rPr>
        <w:footnoteRef/>
      </w:r>
      <w:r>
        <w:t xml:space="preserve"> </w:t>
      </w:r>
      <w:r>
        <w:tab/>
        <w:t xml:space="preserve">Commission v Poland, </w:t>
      </w:r>
      <w:hyperlink r:id="rId158" w:history="1">
        <w:r>
          <w:rPr>
            <w:rStyle w:val="Hyperlink"/>
            <w:bCs/>
          </w:rPr>
          <w:t>C-526/16</w:t>
        </w:r>
      </w:hyperlink>
      <w:r>
        <w:t xml:space="preserve">; </w:t>
      </w:r>
      <w:hyperlink r:id="rId159" w:history="1">
        <w:r>
          <w:rPr>
            <w:rStyle w:val="Hyperlink"/>
          </w:rPr>
          <w:t>IP/16/1454</w:t>
        </w:r>
      </w:hyperlink>
      <w:r>
        <w:t>.</w:t>
      </w:r>
    </w:p>
  </w:footnote>
  <w:footnote w:id="118">
    <w:p>
      <w:pPr>
        <w:pStyle w:val="FootnoteText"/>
      </w:pPr>
      <w:r>
        <w:rPr>
          <w:rStyle w:val="FootnoteReference"/>
        </w:rPr>
        <w:footnoteRef/>
      </w:r>
      <w:r>
        <w:t xml:space="preserve"> </w:t>
      </w:r>
      <w:r>
        <w:tab/>
        <w:t xml:space="preserve">Commission v Slovenia, </w:t>
      </w:r>
      <w:hyperlink r:id="rId160" w:history="1">
        <w:r>
          <w:rPr>
            <w:rStyle w:val="Hyperlink"/>
          </w:rPr>
          <w:t>C-153/16</w:t>
        </w:r>
      </w:hyperlink>
      <w:r>
        <w:t xml:space="preserve">; </w:t>
      </w:r>
      <w:hyperlink r:id="rId161" w:history="1">
        <w:r>
          <w:rPr>
            <w:rStyle w:val="Hyperlink"/>
          </w:rPr>
          <w:t>IP/15/4671</w:t>
        </w:r>
      </w:hyperlink>
      <w:r>
        <w:t>.</w:t>
      </w:r>
    </w:p>
  </w:footnote>
  <w:footnote w:id="119">
    <w:p>
      <w:pPr>
        <w:pStyle w:val="FootnoteText"/>
        <w:rPr>
          <w:lang w:val="it-IT"/>
        </w:rPr>
      </w:pPr>
      <w:r>
        <w:rPr>
          <w:rStyle w:val="FootnoteReference"/>
        </w:rPr>
        <w:footnoteRef/>
      </w:r>
      <w:r>
        <w:rPr>
          <w:lang w:val="it-IT"/>
        </w:rPr>
        <w:t xml:space="preserve"> </w:t>
      </w:r>
      <w:r>
        <w:rPr>
          <w:lang w:val="it-IT"/>
        </w:rPr>
        <w:tab/>
        <w:t xml:space="preserve">Commission v Greece, </w:t>
      </w:r>
      <w:hyperlink r:id="rId162" w:history="1">
        <w:r>
          <w:rPr>
            <w:rStyle w:val="Hyperlink"/>
            <w:lang w:val="it-IT"/>
          </w:rPr>
          <w:t>C-328/16</w:t>
        </w:r>
      </w:hyperlink>
      <w:r>
        <w:rPr>
          <w:lang w:val="it-IT"/>
        </w:rPr>
        <w:t xml:space="preserve">; </w:t>
      </w:r>
      <w:hyperlink r:id="rId163" w:history="1">
        <w:r>
          <w:rPr>
            <w:rStyle w:val="Hyperlink"/>
            <w:lang w:val="it-IT"/>
          </w:rPr>
          <w:t>IP/15/6009</w:t>
        </w:r>
      </w:hyperlink>
      <w:r>
        <w:rPr>
          <w:lang w:val="it-IT"/>
        </w:rPr>
        <w:t>.</w:t>
      </w:r>
    </w:p>
  </w:footnote>
  <w:footnote w:id="120">
    <w:p>
      <w:pPr>
        <w:pStyle w:val="FootnoteText"/>
        <w:rPr>
          <w:lang w:val="it-IT"/>
        </w:rPr>
      </w:pPr>
      <w:r>
        <w:rPr>
          <w:rStyle w:val="FootnoteReference"/>
        </w:rPr>
        <w:footnoteRef/>
      </w:r>
      <w:r>
        <w:rPr>
          <w:lang w:val="it-IT"/>
        </w:rPr>
        <w:t xml:space="preserve"> </w:t>
      </w:r>
      <w:r>
        <w:rPr>
          <w:lang w:val="it-IT"/>
        </w:rPr>
        <w:tab/>
        <w:t xml:space="preserve">Commission v Slovakia, </w:t>
      </w:r>
      <w:hyperlink r:id="rId164" w:history="1">
        <w:r>
          <w:rPr>
            <w:rStyle w:val="Hyperlink"/>
            <w:lang w:val="it-IT"/>
          </w:rPr>
          <w:t>C-626/16</w:t>
        </w:r>
      </w:hyperlink>
      <w:r>
        <w:rPr>
          <w:lang w:val="it-IT"/>
        </w:rPr>
        <w:t xml:space="preserve">; </w:t>
      </w:r>
      <w:hyperlink r:id="rId165" w:history="1">
        <w:r>
          <w:rPr>
            <w:rStyle w:val="Hyperlink"/>
            <w:lang w:val="it-IT"/>
          </w:rPr>
          <w:t>IP/16/2099</w:t>
        </w:r>
      </w:hyperlink>
      <w:r>
        <w:rPr>
          <w:lang w:val="it-IT"/>
        </w:rPr>
        <w:t>.</w:t>
      </w:r>
    </w:p>
  </w:footnote>
  <w:footnote w:id="121">
    <w:p>
      <w:pPr>
        <w:pStyle w:val="FootnoteText"/>
      </w:pPr>
      <w:r>
        <w:rPr>
          <w:rStyle w:val="FootnoteReference"/>
        </w:rPr>
        <w:footnoteRef/>
      </w:r>
      <w:r>
        <w:t xml:space="preserve"> </w:t>
      </w:r>
      <w:r>
        <w:tab/>
        <w:t xml:space="preserve">Directive </w:t>
      </w:r>
      <w:hyperlink r:id="rId166" w:history="1">
        <w:r>
          <w:rPr>
            <w:rStyle w:val="Hyperlink"/>
          </w:rPr>
          <w:t>2015/1127/EU</w:t>
        </w:r>
      </w:hyperlink>
      <w:r>
        <w:t xml:space="preserve"> .</w:t>
      </w:r>
    </w:p>
  </w:footnote>
  <w:footnote w:id="122">
    <w:p>
      <w:pPr>
        <w:pStyle w:val="FootnoteText"/>
      </w:pPr>
      <w:r>
        <w:rPr>
          <w:rStyle w:val="FootnoteReference"/>
        </w:rPr>
        <w:footnoteRef/>
      </w:r>
      <w:r>
        <w:t xml:space="preserve"> </w:t>
      </w:r>
      <w:r>
        <w:tab/>
        <w:t xml:space="preserve">Directive </w:t>
      </w:r>
      <w:hyperlink r:id="rId167" w:history="1">
        <w:r>
          <w:rPr>
            <w:rStyle w:val="Hyperlink"/>
          </w:rPr>
          <w:t>2008/98/EC</w:t>
        </w:r>
      </w:hyperlink>
      <w:r>
        <w:t>.</w:t>
      </w:r>
    </w:p>
  </w:footnote>
  <w:footnote w:id="123">
    <w:p>
      <w:pPr>
        <w:pStyle w:val="FootnoteText"/>
      </w:pPr>
      <w:r>
        <w:rPr>
          <w:rStyle w:val="FootnoteReference"/>
        </w:rPr>
        <w:footnoteRef/>
      </w:r>
      <w:r>
        <w:t xml:space="preserve"> </w:t>
      </w:r>
      <w:r>
        <w:tab/>
        <w:t xml:space="preserve">Directive </w:t>
      </w:r>
      <w:hyperlink r:id="rId168" w:history="1">
        <w:r>
          <w:rPr>
            <w:rStyle w:val="Hyperlink"/>
          </w:rPr>
          <w:t>2014/99/EU</w:t>
        </w:r>
      </w:hyperlink>
      <w:r>
        <w:t>.</w:t>
      </w:r>
    </w:p>
  </w:footnote>
  <w:footnote w:id="124">
    <w:p>
      <w:pPr>
        <w:pStyle w:val="FootnoteText"/>
      </w:pPr>
      <w:r>
        <w:rPr>
          <w:rStyle w:val="FootnoteReference"/>
        </w:rPr>
        <w:footnoteRef/>
      </w:r>
      <w:r>
        <w:t xml:space="preserve"> </w:t>
      </w:r>
      <w:r>
        <w:tab/>
        <w:t xml:space="preserve">Directive </w:t>
      </w:r>
      <w:hyperlink r:id="rId169" w:history="1">
        <w:r>
          <w:rPr>
            <w:rStyle w:val="Hyperlink"/>
          </w:rPr>
          <w:t>2009/126/EC</w:t>
        </w:r>
      </w:hyperlink>
      <w:r>
        <w:t>.</w:t>
      </w:r>
    </w:p>
  </w:footnote>
  <w:footnote w:id="125">
    <w:p>
      <w:pPr>
        <w:pStyle w:val="FootnoteText"/>
      </w:pPr>
      <w:r>
        <w:rPr>
          <w:rStyle w:val="FootnoteReference"/>
        </w:rPr>
        <w:footnoteRef/>
      </w:r>
      <w:r>
        <w:t xml:space="preserve"> </w:t>
      </w:r>
      <w:r>
        <w:tab/>
        <w:t xml:space="preserve">Directive </w:t>
      </w:r>
      <w:hyperlink r:id="rId170" w:history="1">
        <w:r>
          <w:rPr>
            <w:rStyle w:val="Hyperlink"/>
          </w:rPr>
          <w:t>2014/80/EU</w:t>
        </w:r>
      </w:hyperlink>
      <w:r>
        <w:t>.</w:t>
      </w:r>
    </w:p>
  </w:footnote>
  <w:footnote w:id="126">
    <w:p>
      <w:pPr>
        <w:pStyle w:val="FootnoteText"/>
      </w:pPr>
      <w:r>
        <w:rPr>
          <w:rStyle w:val="FootnoteReference"/>
        </w:rPr>
        <w:footnoteRef/>
      </w:r>
      <w:r>
        <w:t xml:space="preserve"> </w:t>
      </w:r>
      <w:r>
        <w:tab/>
        <w:t xml:space="preserve">Directive </w:t>
      </w:r>
      <w:hyperlink r:id="rId171" w:history="1">
        <w:r>
          <w:rPr>
            <w:rStyle w:val="Hyperlink"/>
          </w:rPr>
          <w:t>2006/118/EC</w:t>
        </w:r>
      </w:hyperlink>
      <w:r>
        <w:t>.</w:t>
      </w:r>
    </w:p>
  </w:footnote>
  <w:footnote w:id="127">
    <w:p>
      <w:pPr>
        <w:pStyle w:val="FootnoteText"/>
      </w:pPr>
      <w:r>
        <w:rPr>
          <w:rStyle w:val="FootnoteReference"/>
        </w:rPr>
        <w:footnoteRef/>
      </w:r>
      <w:r>
        <w:t xml:space="preserve"> </w:t>
      </w:r>
      <w:r>
        <w:tab/>
        <w:t xml:space="preserve">Directive </w:t>
      </w:r>
      <w:hyperlink r:id="rId172" w:history="1">
        <w:r>
          <w:rPr>
            <w:rStyle w:val="Hyperlink"/>
          </w:rPr>
          <w:t>2012/33/EU</w:t>
        </w:r>
      </w:hyperlink>
      <w:r>
        <w:t xml:space="preserve">, Commission v Romania, </w:t>
      </w:r>
      <w:hyperlink r:id="rId173" w:history="1">
        <w:r>
          <w:rPr>
            <w:rStyle w:val="Hyperlink"/>
          </w:rPr>
          <w:t>C-62/16</w:t>
        </w:r>
      </w:hyperlink>
      <w:r>
        <w:t xml:space="preserve">; </w:t>
      </w:r>
      <w:hyperlink r:id="rId174" w:history="1">
        <w:r>
          <w:rPr>
            <w:rStyle w:val="Hyperlink"/>
          </w:rPr>
          <w:t>IP/15/6008</w:t>
        </w:r>
      </w:hyperlink>
      <w:r>
        <w:t>. Romania subsequently adopted the necessary legislative measures and the Commission has therefore withdrawn this case from the Court.</w:t>
      </w:r>
    </w:p>
  </w:footnote>
  <w:footnote w:id="128">
    <w:p>
      <w:pPr>
        <w:pStyle w:val="FootnoteText"/>
      </w:pPr>
      <w:r>
        <w:rPr>
          <w:rStyle w:val="FootnoteReference"/>
        </w:rPr>
        <w:footnoteRef/>
      </w:r>
      <w:r>
        <w:t xml:space="preserve"> </w:t>
      </w:r>
      <w:r>
        <w:tab/>
        <w:t xml:space="preserve">Directive </w:t>
      </w:r>
      <w:hyperlink r:id="rId175" w:history="1">
        <w:r>
          <w:rPr>
            <w:rStyle w:val="Hyperlink"/>
          </w:rPr>
          <w:t>2012/18/EU</w:t>
        </w:r>
      </w:hyperlink>
      <w:r>
        <w:t>.</w:t>
      </w:r>
    </w:p>
  </w:footnote>
  <w:footnote w:id="129">
    <w:p>
      <w:pPr>
        <w:pStyle w:val="FootnoteText"/>
      </w:pPr>
      <w:r>
        <w:rPr>
          <w:rStyle w:val="FootnoteReference"/>
        </w:rPr>
        <w:footnoteRef/>
      </w:r>
      <w:r>
        <w:t xml:space="preserve"> </w:t>
      </w:r>
      <w:r>
        <w:tab/>
        <w:t xml:space="preserve">Directive </w:t>
      </w:r>
      <w:hyperlink r:id="rId176" w:history="1">
        <w:r>
          <w:rPr>
            <w:rStyle w:val="Hyperlink"/>
          </w:rPr>
          <w:t>2008/98/EC</w:t>
        </w:r>
      </w:hyperlink>
      <w:r>
        <w:t>.</w:t>
      </w:r>
    </w:p>
  </w:footnote>
  <w:footnote w:id="130">
    <w:p>
      <w:pPr>
        <w:pStyle w:val="FootnoteText"/>
      </w:pPr>
      <w:r>
        <w:rPr>
          <w:rStyle w:val="FootnoteReference"/>
        </w:rPr>
        <w:footnoteRef/>
      </w:r>
      <w:r>
        <w:t xml:space="preserve"> </w:t>
      </w:r>
      <w:r>
        <w:tab/>
        <w:t xml:space="preserve">Directive </w:t>
      </w:r>
      <w:hyperlink r:id="rId177" w:history="1">
        <w:r>
          <w:rPr>
            <w:rStyle w:val="Hyperlink"/>
          </w:rPr>
          <w:t>2006/118/EC</w:t>
        </w:r>
      </w:hyperlink>
      <w:r>
        <w:t>.</w:t>
      </w:r>
    </w:p>
  </w:footnote>
  <w:footnote w:id="131">
    <w:p>
      <w:pPr>
        <w:pStyle w:val="FootnoteText"/>
      </w:pPr>
      <w:r>
        <w:rPr>
          <w:rStyle w:val="FootnoteReference"/>
        </w:rPr>
        <w:footnoteRef/>
      </w:r>
      <w:r>
        <w:t xml:space="preserve"> </w:t>
      </w:r>
      <w:r>
        <w:tab/>
        <w:t xml:space="preserve">Directive </w:t>
      </w:r>
      <w:hyperlink r:id="rId178" w:history="1">
        <w:r>
          <w:rPr>
            <w:rStyle w:val="Hyperlink"/>
          </w:rPr>
          <w:t>2008/105/EC</w:t>
        </w:r>
      </w:hyperlink>
      <w:r>
        <w:t>.</w:t>
      </w:r>
    </w:p>
  </w:footnote>
  <w:footnote w:id="132">
    <w:p>
      <w:pPr>
        <w:pStyle w:val="FootnoteText"/>
      </w:pPr>
      <w:r>
        <w:rPr>
          <w:rStyle w:val="FootnoteReference"/>
        </w:rPr>
        <w:footnoteRef/>
      </w:r>
      <w:r>
        <w:t xml:space="preserve"> </w:t>
      </w:r>
      <w:r>
        <w:tab/>
        <w:t xml:space="preserve">Directives </w:t>
      </w:r>
      <w:hyperlink r:id="rId179" w:history="1">
        <w:r>
          <w:rPr>
            <w:rStyle w:val="Hyperlink"/>
          </w:rPr>
          <w:t>1999/31/EC</w:t>
        </w:r>
      </w:hyperlink>
      <w:r>
        <w:t xml:space="preserve"> and </w:t>
      </w:r>
      <w:hyperlink r:id="rId180" w:history="1">
        <w:r>
          <w:rPr>
            <w:rStyle w:val="Hyperlink"/>
          </w:rPr>
          <w:t>2008/98/EC</w:t>
        </w:r>
      </w:hyperlink>
      <w:r>
        <w:t>.</w:t>
      </w:r>
    </w:p>
  </w:footnote>
  <w:footnote w:id="133">
    <w:p>
      <w:pPr>
        <w:pStyle w:val="FootnoteText"/>
      </w:pPr>
      <w:r>
        <w:rPr>
          <w:rStyle w:val="FootnoteReference"/>
        </w:rPr>
        <w:footnoteRef/>
      </w:r>
      <w:r>
        <w:t xml:space="preserve"> </w:t>
      </w:r>
      <w:r>
        <w:tab/>
        <w:t xml:space="preserve">Directive </w:t>
      </w:r>
      <w:hyperlink r:id="rId181" w:history="1">
        <w:r>
          <w:rPr>
            <w:rStyle w:val="Hyperlink"/>
          </w:rPr>
          <w:t>2011/92/EU</w:t>
        </w:r>
      </w:hyperlink>
      <w:r>
        <w:t>.</w:t>
      </w:r>
    </w:p>
  </w:footnote>
  <w:footnote w:id="134">
    <w:p>
      <w:pPr>
        <w:pStyle w:val="FootnoteText"/>
      </w:pPr>
      <w:r>
        <w:rPr>
          <w:rStyle w:val="FootnoteReference"/>
        </w:rPr>
        <w:footnoteRef/>
      </w:r>
      <w:r>
        <w:t xml:space="preserve"> </w:t>
      </w:r>
      <w:r>
        <w:tab/>
        <w:t xml:space="preserve">Directive </w:t>
      </w:r>
      <w:hyperlink r:id="rId182" w:history="1">
        <w:r>
          <w:rPr>
            <w:rStyle w:val="Hyperlink"/>
          </w:rPr>
          <w:t>2009/147/EC</w:t>
        </w:r>
      </w:hyperlink>
      <w:r>
        <w:t>.</w:t>
      </w:r>
    </w:p>
  </w:footnote>
  <w:footnote w:id="135">
    <w:p>
      <w:pPr>
        <w:pStyle w:val="FootnoteText"/>
      </w:pPr>
      <w:r>
        <w:rPr>
          <w:rStyle w:val="FootnoteReference"/>
        </w:rPr>
        <w:footnoteRef/>
      </w:r>
      <w:r>
        <w:t xml:space="preserve"> </w:t>
      </w:r>
      <w:r>
        <w:tab/>
        <w:t xml:space="preserve">Directive </w:t>
      </w:r>
      <w:hyperlink r:id="rId183" w:history="1">
        <w:r>
          <w:rPr>
            <w:rStyle w:val="Hyperlink"/>
          </w:rPr>
          <w:t>2013/56/EU</w:t>
        </w:r>
      </w:hyperlink>
      <w:r>
        <w:t>.</w:t>
      </w:r>
    </w:p>
  </w:footnote>
  <w:footnote w:id="136">
    <w:p>
      <w:pPr>
        <w:pStyle w:val="FootnoteText"/>
      </w:pPr>
      <w:r>
        <w:rPr>
          <w:rStyle w:val="FootnoteReference"/>
        </w:rPr>
        <w:footnoteRef/>
      </w:r>
      <w:r>
        <w:t xml:space="preserve"> </w:t>
      </w:r>
      <w:r>
        <w:tab/>
        <w:t xml:space="preserve">Directive </w:t>
      </w:r>
      <w:hyperlink r:id="rId184" w:history="1">
        <w:r>
          <w:rPr>
            <w:rStyle w:val="Hyperlink"/>
          </w:rPr>
          <w:t>2013/39/EU</w:t>
        </w:r>
      </w:hyperlink>
      <w:r>
        <w:t>.</w:t>
      </w:r>
    </w:p>
  </w:footnote>
  <w:footnote w:id="137">
    <w:p>
      <w:pPr>
        <w:pStyle w:val="FootnoteText"/>
      </w:pPr>
      <w:r>
        <w:rPr>
          <w:rStyle w:val="FootnoteReference"/>
        </w:rPr>
        <w:footnoteRef/>
      </w:r>
      <w:r>
        <w:t xml:space="preserve"> </w:t>
      </w:r>
      <w:r>
        <w:tab/>
        <w:t>Regulation (EU) No </w:t>
      </w:r>
      <w:hyperlink r:id="rId185" w:history="1">
        <w:r>
          <w:rPr>
            <w:rStyle w:val="Hyperlink"/>
          </w:rPr>
          <w:t>995/2010</w:t>
        </w:r>
      </w:hyperlink>
      <w:r>
        <w:t xml:space="preserve"> and Regulation (EC) No </w:t>
      </w:r>
      <w:hyperlink r:id="rId186" w:history="1">
        <w:r>
          <w:rPr>
            <w:rStyle w:val="Hyperlink"/>
          </w:rPr>
          <w:t>2173/2005</w:t>
        </w:r>
      </w:hyperlink>
      <w:r>
        <w:t>.</w:t>
      </w:r>
    </w:p>
  </w:footnote>
  <w:footnote w:id="138">
    <w:p>
      <w:pPr>
        <w:pStyle w:val="FootnoteText"/>
      </w:pPr>
      <w:r>
        <w:rPr>
          <w:rStyle w:val="FootnoteReference"/>
        </w:rPr>
        <w:footnoteRef/>
      </w:r>
      <w:r>
        <w:t xml:space="preserve"> </w:t>
      </w:r>
      <w:r>
        <w:tab/>
        <w:t xml:space="preserve">Directive </w:t>
      </w:r>
      <w:hyperlink r:id="rId187" w:history="1">
        <w:r>
          <w:rPr>
            <w:rStyle w:val="Hyperlink"/>
          </w:rPr>
          <w:t>2010/75/EU</w:t>
        </w:r>
      </w:hyperlink>
      <w:r>
        <w:t>.</w:t>
      </w:r>
    </w:p>
  </w:footnote>
  <w:footnote w:id="139">
    <w:p>
      <w:pPr>
        <w:pStyle w:val="FootnoteText"/>
      </w:pPr>
      <w:r>
        <w:rPr>
          <w:rStyle w:val="FootnoteReference"/>
        </w:rPr>
        <w:footnoteRef/>
      </w:r>
      <w:r>
        <w:t xml:space="preserve"> </w:t>
      </w:r>
      <w:r>
        <w:tab/>
        <w:t xml:space="preserve">Directives </w:t>
      </w:r>
      <w:hyperlink r:id="rId188" w:history="1">
        <w:r>
          <w:rPr>
            <w:rStyle w:val="Hyperlink"/>
          </w:rPr>
          <w:t>2011/92/EU</w:t>
        </w:r>
      </w:hyperlink>
      <w:r>
        <w:t xml:space="preserve"> and </w:t>
      </w:r>
      <w:hyperlink r:id="rId189" w:history="1">
        <w:r>
          <w:rPr>
            <w:rStyle w:val="Hyperlink"/>
          </w:rPr>
          <w:t>92/43/EEC</w:t>
        </w:r>
      </w:hyperlink>
      <w:r>
        <w:t>.</w:t>
      </w:r>
    </w:p>
  </w:footnote>
  <w:footnote w:id="140">
    <w:p>
      <w:pPr>
        <w:pStyle w:val="FootnoteText"/>
      </w:pPr>
      <w:r>
        <w:rPr>
          <w:rStyle w:val="FootnoteReference"/>
        </w:rPr>
        <w:footnoteRef/>
      </w:r>
      <w:r>
        <w:t xml:space="preserve"> </w:t>
      </w:r>
      <w:r>
        <w:tab/>
        <w:t xml:space="preserve">Directive </w:t>
      </w:r>
      <w:hyperlink r:id="rId190" w:history="1">
        <w:r>
          <w:rPr>
            <w:rStyle w:val="Hyperlink"/>
          </w:rPr>
          <w:t>2012/19/EU</w:t>
        </w:r>
      </w:hyperlink>
      <w:r>
        <w:t>.</w:t>
      </w:r>
    </w:p>
  </w:footnote>
  <w:footnote w:id="141">
    <w:p>
      <w:pPr>
        <w:pStyle w:val="FootnoteText"/>
      </w:pPr>
      <w:r>
        <w:rPr>
          <w:rStyle w:val="FootnoteReference"/>
        </w:rPr>
        <w:footnoteRef/>
      </w:r>
      <w:r>
        <w:t xml:space="preserve"> </w:t>
      </w:r>
      <w:r>
        <w:tab/>
        <w:t xml:space="preserve">Directive </w:t>
      </w:r>
      <w:hyperlink r:id="rId191" w:history="1">
        <w:r>
          <w:rPr>
            <w:rStyle w:val="Hyperlink"/>
          </w:rPr>
          <w:t>1999/31/EC</w:t>
        </w:r>
      </w:hyperlink>
      <w:r>
        <w:t>.</w:t>
      </w:r>
    </w:p>
  </w:footnote>
  <w:footnote w:id="142">
    <w:p>
      <w:pPr>
        <w:pStyle w:val="FootnoteText"/>
      </w:pPr>
      <w:r>
        <w:rPr>
          <w:rStyle w:val="FootnoteReference"/>
        </w:rPr>
        <w:footnoteRef/>
      </w:r>
      <w:r>
        <w:t xml:space="preserve"> </w:t>
      </w:r>
      <w:r>
        <w:tab/>
        <w:t xml:space="preserve">Directive </w:t>
      </w:r>
      <w:hyperlink r:id="rId192" w:history="1">
        <w:r>
          <w:rPr>
            <w:rStyle w:val="Hyperlink"/>
          </w:rPr>
          <w:t>2011/92/EU</w:t>
        </w:r>
      </w:hyperlink>
      <w:r>
        <w:t>.</w:t>
      </w:r>
    </w:p>
  </w:footnote>
  <w:footnote w:id="143">
    <w:p>
      <w:pPr>
        <w:pStyle w:val="FootnoteText"/>
      </w:pPr>
      <w:r>
        <w:rPr>
          <w:rStyle w:val="FootnoteReference"/>
        </w:rPr>
        <w:footnoteRef/>
      </w:r>
      <w:r>
        <w:t xml:space="preserve"> </w:t>
      </w:r>
      <w:r>
        <w:tab/>
        <w:t xml:space="preserve">Directive </w:t>
      </w:r>
      <w:hyperlink r:id="rId193" w:history="1">
        <w:r>
          <w:rPr>
            <w:rStyle w:val="Hyperlink"/>
          </w:rPr>
          <w:t>2008/98/EC</w:t>
        </w:r>
      </w:hyperlink>
      <w:r>
        <w:t>.</w:t>
      </w:r>
    </w:p>
  </w:footnote>
  <w:footnote w:id="144">
    <w:p>
      <w:pPr>
        <w:pStyle w:val="FootnoteText"/>
      </w:pPr>
      <w:r>
        <w:rPr>
          <w:rStyle w:val="FootnoteReference"/>
        </w:rPr>
        <w:footnoteRef/>
      </w:r>
      <w:r>
        <w:t xml:space="preserve"> </w:t>
      </w:r>
      <w:r>
        <w:tab/>
        <w:t xml:space="preserve">Directive </w:t>
      </w:r>
      <w:hyperlink r:id="rId194" w:history="1">
        <w:r>
          <w:rPr>
            <w:rStyle w:val="Hyperlink"/>
          </w:rPr>
          <w:t>92/43/EEC</w:t>
        </w:r>
      </w:hyperlink>
      <w:r>
        <w:t>.</w:t>
      </w:r>
    </w:p>
  </w:footnote>
  <w:footnote w:id="145">
    <w:p>
      <w:pPr>
        <w:pStyle w:val="FootnoteText"/>
      </w:pPr>
      <w:r>
        <w:rPr>
          <w:rStyle w:val="FootnoteReference"/>
        </w:rPr>
        <w:footnoteRef/>
      </w:r>
      <w:r>
        <w:t xml:space="preserve"> </w:t>
      </w:r>
      <w:r>
        <w:tab/>
        <w:t xml:space="preserve">Directive </w:t>
      </w:r>
      <w:hyperlink r:id="rId195" w:history="1">
        <w:r>
          <w:rPr>
            <w:rStyle w:val="Hyperlink"/>
          </w:rPr>
          <w:t>2007/60/EC</w:t>
        </w:r>
      </w:hyperlink>
      <w:r>
        <w:t>.</w:t>
      </w:r>
    </w:p>
  </w:footnote>
  <w:footnote w:id="146">
    <w:p>
      <w:pPr>
        <w:pStyle w:val="FootnoteText"/>
      </w:pPr>
      <w:r>
        <w:rPr>
          <w:rStyle w:val="FootnoteReference"/>
        </w:rPr>
        <w:footnoteRef/>
      </w:r>
      <w:r>
        <w:t xml:space="preserve"> </w:t>
      </w:r>
      <w:r>
        <w:tab/>
        <w:t xml:space="preserve">Directive </w:t>
      </w:r>
      <w:hyperlink r:id="rId196" w:history="1">
        <w:r>
          <w:rPr>
            <w:rStyle w:val="Hyperlink"/>
          </w:rPr>
          <w:t>2000/60/EC</w:t>
        </w:r>
      </w:hyperlink>
      <w:r>
        <w:t>.</w:t>
      </w:r>
    </w:p>
  </w:footnote>
  <w:footnote w:id="147">
    <w:p>
      <w:pPr>
        <w:pStyle w:val="FootnoteText"/>
      </w:pPr>
      <w:r>
        <w:rPr>
          <w:rStyle w:val="FootnoteReference"/>
        </w:rPr>
        <w:footnoteRef/>
      </w:r>
      <w:r>
        <w:t xml:space="preserve"> </w:t>
      </w:r>
      <w:r>
        <w:tab/>
        <w:t xml:space="preserve">Directive </w:t>
      </w:r>
      <w:hyperlink r:id="rId197" w:history="1">
        <w:r>
          <w:rPr>
            <w:rStyle w:val="Hyperlink"/>
          </w:rPr>
          <w:t>2010/75/EU</w:t>
        </w:r>
      </w:hyperlink>
      <w:r>
        <w:t>.</w:t>
      </w:r>
    </w:p>
  </w:footnote>
  <w:footnote w:id="148">
    <w:p>
      <w:pPr>
        <w:pStyle w:val="FootnoteText"/>
      </w:pPr>
      <w:r>
        <w:rPr>
          <w:rStyle w:val="FootnoteReference"/>
        </w:rPr>
        <w:footnoteRef/>
      </w:r>
      <w:r>
        <w:t xml:space="preserve"> </w:t>
      </w:r>
      <w:r>
        <w:tab/>
        <w:t xml:space="preserve">Directive </w:t>
      </w:r>
      <w:hyperlink r:id="rId198" w:history="1">
        <w:r>
          <w:rPr>
            <w:rStyle w:val="Hyperlink"/>
          </w:rPr>
          <w:t>92/43/EEC</w:t>
        </w:r>
      </w:hyperlink>
      <w:r>
        <w:t>.</w:t>
      </w:r>
    </w:p>
  </w:footnote>
  <w:footnote w:id="149">
    <w:p>
      <w:pPr>
        <w:pStyle w:val="FootnoteText"/>
      </w:pPr>
      <w:r>
        <w:rPr>
          <w:rStyle w:val="FootnoteReference"/>
        </w:rPr>
        <w:footnoteRef/>
      </w:r>
      <w:r>
        <w:t xml:space="preserve"> </w:t>
      </w:r>
      <w:r>
        <w:tab/>
        <w:t>These rulings are almost exclusively handed down on infringement procedures.</w:t>
      </w:r>
    </w:p>
  </w:footnote>
  <w:footnote w:id="150">
    <w:p>
      <w:pPr>
        <w:pStyle w:val="FootnoteText"/>
      </w:pPr>
      <w:r>
        <w:rPr>
          <w:rStyle w:val="FootnoteReference"/>
        </w:rPr>
        <w:footnoteRef/>
      </w:r>
      <w:r>
        <w:t xml:space="preserve"> </w:t>
      </w:r>
      <w:r>
        <w:tab/>
        <w:t xml:space="preserve">Directives </w:t>
      </w:r>
      <w:hyperlink r:id="rId199" w:history="1">
        <w:r>
          <w:rPr>
            <w:rStyle w:val="Hyperlink"/>
            <w:bCs/>
          </w:rPr>
          <w:t>2009/147/EC</w:t>
        </w:r>
      </w:hyperlink>
      <w:r>
        <w:rPr>
          <w:bCs/>
        </w:rPr>
        <w:t xml:space="preserve">, </w:t>
      </w:r>
      <w:hyperlink r:id="rId200" w:history="1">
        <w:r>
          <w:rPr>
            <w:rStyle w:val="Hyperlink"/>
            <w:bCs/>
          </w:rPr>
          <w:t>92/43/EEC</w:t>
        </w:r>
      </w:hyperlink>
      <w:r>
        <w:rPr>
          <w:bCs/>
        </w:rPr>
        <w:t xml:space="preserve"> and </w:t>
      </w:r>
      <w:hyperlink r:id="rId201" w:history="1">
        <w:r>
          <w:rPr>
            <w:rStyle w:val="Hyperlink"/>
            <w:bCs/>
          </w:rPr>
          <w:t>2011/92/EU</w:t>
        </w:r>
      </w:hyperlink>
      <w:r>
        <w:t xml:space="preserve">, Commission v Bulgaria, </w:t>
      </w:r>
      <w:hyperlink r:id="rId202" w:history="1">
        <w:r>
          <w:rPr>
            <w:rStyle w:val="Hyperlink"/>
          </w:rPr>
          <w:t>C-141/14</w:t>
        </w:r>
      </w:hyperlink>
      <w:r>
        <w:rPr>
          <w:rStyle w:val="Hyperlink"/>
          <w:u w:val="none"/>
        </w:rPr>
        <w:t>.</w:t>
      </w:r>
    </w:p>
  </w:footnote>
  <w:footnote w:id="151">
    <w:p>
      <w:pPr>
        <w:pStyle w:val="FootnoteText"/>
      </w:pPr>
      <w:r>
        <w:rPr>
          <w:rStyle w:val="FootnoteReference"/>
        </w:rPr>
        <w:footnoteRef/>
      </w:r>
      <w:r>
        <w:t xml:space="preserve"> </w:t>
      </w:r>
      <w:r>
        <w:tab/>
        <w:t xml:space="preserve">Directive </w:t>
      </w:r>
      <w:hyperlink r:id="rId203" w:history="1">
        <w:r>
          <w:rPr>
            <w:rStyle w:val="Hyperlink"/>
            <w:bCs/>
          </w:rPr>
          <w:t>92/43/EEC</w:t>
        </w:r>
      </w:hyperlink>
      <w:r>
        <w:rPr>
          <w:bCs/>
        </w:rPr>
        <w:t xml:space="preserve">, </w:t>
      </w:r>
      <w:r>
        <w:t xml:space="preserve">Commission v Greece, </w:t>
      </w:r>
      <w:hyperlink r:id="rId204" w:history="1">
        <w:r>
          <w:rPr>
            <w:rStyle w:val="Hyperlink"/>
          </w:rPr>
          <w:t>C-504/14</w:t>
        </w:r>
      </w:hyperlink>
      <w:r>
        <w:rPr>
          <w:rStyle w:val="Hyperlink"/>
          <w:u w:val="none"/>
        </w:rPr>
        <w:t>.</w:t>
      </w:r>
    </w:p>
  </w:footnote>
  <w:footnote w:id="152">
    <w:p>
      <w:pPr>
        <w:pStyle w:val="FootnoteText"/>
      </w:pPr>
      <w:r>
        <w:rPr>
          <w:rStyle w:val="FootnoteReference"/>
        </w:rPr>
        <w:footnoteRef/>
      </w:r>
      <w:r>
        <w:t xml:space="preserve"> </w:t>
      </w:r>
      <w:r>
        <w:tab/>
        <w:t xml:space="preserve">Commission v Greece, </w:t>
      </w:r>
      <w:hyperlink r:id="rId205" w:history="1">
        <w:r>
          <w:rPr>
            <w:rStyle w:val="Hyperlink"/>
          </w:rPr>
          <w:t>C-584/14</w:t>
        </w:r>
      </w:hyperlink>
      <w:r>
        <w:rPr>
          <w:rStyle w:val="Hyperlink"/>
          <w:u w:val="none"/>
        </w:rPr>
        <w:t xml:space="preserve"> </w:t>
      </w:r>
      <w:r>
        <w:rPr>
          <w:rStyle w:val="Hyperlink"/>
          <w:color w:val="auto"/>
          <w:u w:val="none"/>
        </w:rPr>
        <w:t xml:space="preserve">and Court press release </w:t>
      </w:r>
      <w:hyperlink r:id="rId206" w:history="1">
        <w:r>
          <w:rPr>
            <w:rStyle w:val="Hyperlink"/>
          </w:rPr>
          <w:t>No 87/16</w:t>
        </w:r>
      </w:hyperlink>
      <w:r>
        <w:rPr>
          <w:rStyle w:val="Hyperlink"/>
          <w:color w:val="auto"/>
          <w:u w:val="none"/>
        </w:rPr>
        <w:t>.</w:t>
      </w:r>
    </w:p>
  </w:footnote>
  <w:footnote w:id="153">
    <w:p>
      <w:pPr>
        <w:pStyle w:val="FootnoteText"/>
      </w:pPr>
      <w:r>
        <w:rPr>
          <w:rStyle w:val="FootnoteReference"/>
        </w:rPr>
        <w:footnoteRef/>
      </w:r>
      <w:r>
        <w:t xml:space="preserve"> </w:t>
      </w:r>
      <w:r>
        <w:tab/>
        <w:t xml:space="preserve">Directive </w:t>
      </w:r>
      <w:hyperlink r:id="rId207" w:history="1">
        <w:r>
          <w:rPr>
            <w:rStyle w:val="Hyperlink"/>
          </w:rPr>
          <w:t>91/271/EEC</w:t>
        </w:r>
      </w:hyperlink>
      <w:r>
        <w:t xml:space="preserve"> , Commission v Spain, </w:t>
      </w:r>
      <w:hyperlink r:id="rId208" w:history="1">
        <w:r>
          <w:rPr>
            <w:rStyle w:val="Hyperlink"/>
          </w:rPr>
          <w:t>C-38/15</w:t>
        </w:r>
      </w:hyperlink>
      <w:r>
        <w:rPr>
          <w:rStyle w:val="Hyperlink"/>
          <w:color w:val="auto"/>
          <w:u w:val="none"/>
        </w:rPr>
        <w:t>.</w:t>
      </w:r>
    </w:p>
  </w:footnote>
  <w:footnote w:id="154">
    <w:p>
      <w:pPr>
        <w:pStyle w:val="FootnoteText"/>
      </w:pPr>
      <w:r>
        <w:rPr>
          <w:rStyle w:val="FootnoteReference"/>
        </w:rPr>
        <w:footnoteRef/>
      </w:r>
      <w:r>
        <w:t xml:space="preserve"> </w:t>
      </w:r>
      <w:r>
        <w:tab/>
        <w:t xml:space="preserve">Directives </w:t>
      </w:r>
      <w:hyperlink r:id="rId209" w:history="1">
        <w:r>
          <w:rPr>
            <w:rStyle w:val="Hyperlink"/>
          </w:rPr>
          <w:t>2009/147/EC</w:t>
        </w:r>
      </w:hyperlink>
      <w:r>
        <w:t xml:space="preserve"> and </w:t>
      </w:r>
      <w:hyperlink r:id="rId210" w:history="1">
        <w:r>
          <w:rPr>
            <w:rStyle w:val="Hyperlink"/>
          </w:rPr>
          <w:t>92/43/EEC</w:t>
        </w:r>
      </w:hyperlink>
      <w:r>
        <w:t xml:space="preserve"> , Commission v Spain, </w:t>
      </w:r>
      <w:hyperlink r:id="rId211" w:history="1">
        <w:r>
          <w:rPr>
            <w:rStyle w:val="Hyperlink"/>
          </w:rPr>
          <w:t>C-461/14</w:t>
        </w:r>
      </w:hyperlink>
      <w:r>
        <w:rPr>
          <w:rStyle w:val="Hyperlink"/>
          <w:color w:val="auto"/>
          <w:u w:val="none"/>
        </w:rPr>
        <w:t>.</w:t>
      </w:r>
    </w:p>
  </w:footnote>
  <w:footnote w:id="155">
    <w:p>
      <w:pPr>
        <w:pStyle w:val="FootnoteText"/>
      </w:pPr>
      <w:r>
        <w:rPr>
          <w:rStyle w:val="FootnoteReference"/>
        </w:rPr>
        <w:footnoteRef/>
      </w:r>
      <w:r>
        <w:t xml:space="preserve"> </w:t>
      </w:r>
      <w:r>
        <w:tab/>
        <w:t xml:space="preserve">Directive </w:t>
      </w:r>
      <w:hyperlink r:id="rId212" w:history="1">
        <w:r>
          <w:rPr>
            <w:rStyle w:val="Hyperlink"/>
          </w:rPr>
          <w:t>1999/31/EC</w:t>
        </w:r>
      </w:hyperlink>
      <w:r>
        <w:t xml:space="preserve">, Commission v Spain, </w:t>
      </w:r>
      <w:hyperlink r:id="rId213" w:history="1">
        <w:r>
          <w:rPr>
            <w:rStyle w:val="Hyperlink"/>
          </w:rPr>
          <w:t>C-454/14</w:t>
        </w:r>
      </w:hyperlink>
      <w:r>
        <w:rPr>
          <w:rStyle w:val="Hyperlink"/>
          <w:color w:val="auto"/>
          <w:u w:val="none"/>
        </w:rPr>
        <w:t>.</w:t>
      </w:r>
    </w:p>
  </w:footnote>
  <w:footnote w:id="156">
    <w:p>
      <w:pPr>
        <w:pStyle w:val="FootnoteText"/>
        <w:rPr>
          <w:lang w:val="fr-BE"/>
        </w:rPr>
      </w:pPr>
      <w:r>
        <w:rPr>
          <w:rStyle w:val="FootnoteReference"/>
        </w:rPr>
        <w:footnoteRef/>
      </w:r>
      <w:r>
        <w:rPr>
          <w:lang w:val="fr-BE"/>
        </w:rPr>
        <w:t xml:space="preserve"> </w:t>
      </w:r>
      <w:r>
        <w:rPr>
          <w:lang w:val="fr-BE"/>
        </w:rPr>
        <w:tab/>
        <w:t xml:space="preserve">Directive </w:t>
      </w:r>
      <w:hyperlink r:id="rId214" w:history="1">
        <w:r>
          <w:rPr>
            <w:rStyle w:val="Hyperlink"/>
            <w:lang w:val="fr-BE"/>
          </w:rPr>
          <w:t>91/271/EEC</w:t>
        </w:r>
      </w:hyperlink>
      <w:r>
        <w:rPr>
          <w:lang w:val="fr-BE"/>
        </w:rPr>
        <w:t xml:space="preserve">, Commission v France, </w:t>
      </w:r>
      <w:hyperlink r:id="rId215" w:history="1">
        <w:r>
          <w:rPr>
            <w:rStyle w:val="Hyperlink"/>
            <w:lang w:val="fr-BE"/>
          </w:rPr>
          <w:t>C-314/15</w:t>
        </w:r>
      </w:hyperlink>
      <w:r>
        <w:rPr>
          <w:rStyle w:val="Hyperlink"/>
          <w:color w:val="auto"/>
          <w:u w:val="none"/>
          <w:lang w:val="fr-BE"/>
        </w:rPr>
        <w:t>.</w:t>
      </w:r>
    </w:p>
  </w:footnote>
  <w:footnote w:id="157">
    <w:p>
      <w:pPr>
        <w:pStyle w:val="FootnoteText"/>
      </w:pPr>
      <w:r>
        <w:rPr>
          <w:rStyle w:val="FootnoteReference"/>
        </w:rPr>
        <w:footnoteRef/>
      </w:r>
      <w:r>
        <w:t xml:space="preserve"> </w:t>
      </w:r>
      <w:r>
        <w:tab/>
        <w:t xml:space="preserve">Directive </w:t>
      </w:r>
      <w:hyperlink r:id="rId216" w:history="1">
        <w:r>
          <w:rPr>
            <w:rStyle w:val="Hyperlink"/>
          </w:rPr>
          <w:t>2000/60/EC</w:t>
        </w:r>
      </w:hyperlink>
      <w:r>
        <w:t xml:space="preserve">, Commission v Austria, </w:t>
      </w:r>
      <w:hyperlink r:id="rId217" w:history="1">
        <w:r>
          <w:rPr>
            <w:rStyle w:val="Hyperlink"/>
          </w:rPr>
          <w:t>C-346/14</w:t>
        </w:r>
      </w:hyperlink>
      <w:r>
        <w:rPr>
          <w:rStyle w:val="Hyperlink"/>
          <w:u w:val="none"/>
        </w:rPr>
        <w:t>.</w:t>
      </w:r>
    </w:p>
  </w:footnote>
  <w:footnote w:id="158">
    <w:p>
      <w:pPr>
        <w:pStyle w:val="FootnoteText"/>
      </w:pPr>
      <w:r>
        <w:rPr>
          <w:rStyle w:val="FootnoteReference"/>
        </w:rPr>
        <w:footnoteRef/>
      </w:r>
      <w:r>
        <w:t xml:space="preserve"> </w:t>
      </w:r>
      <w:r>
        <w:tab/>
        <w:t xml:space="preserve">Directive </w:t>
      </w:r>
      <w:hyperlink r:id="rId218" w:history="1">
        <w:r>
          <w:rPr>
            <w:rStyle w:val="Hyperlink"/>
            <w:bCs/>
          </w:rPr>
          <w:t>2000/60/EC</w:t>
        </w:r>
      </w:hyperlink>
      <w:r>
        <w:rPr>
          <w:bCs/>
        </w:rPr>
        <w:t xml:space="preserve">, </w:t>
      </w:r>
      <w:r>
        <w:t xml:space="preserve">Commission v Poland, </w:t>
      </w:r>
      <w:hyperlink r:id="rId219" w:history="1">
        <w:r>
          <w:rPr>
            <w:rStyle w:val="Hyperlink"/>
          </w:rPr>
          <w:t>C</w:t>
        </w:r>
        <w:r>
          <w:rPr>
            <w:rStyle w:val="Hyperlink"/>
          </w:rPr>
          <w:noBreakHyphen/>
          <w:t>648/13</w:t>
        </w:r>
      </w:hyperlink>
      <w:r>
        <w:t>.</w:t>
      </w:r>
    </w:p>
  </w:footnote>
  <w:footnote w:id="159">
    <w:p>
      <w:pPr>
        <w:pStyle w:val="FootnoteText"/>
      </w:pPr>
      <w:r>
        <w:rPr>
          <w:rStyle w:val="FootnoteReference"/>
        </w:rPr>
        <w:footnoteRef/>
      </w:r>
      <w:r>
        <w:t xml:space="preserve"> </w:t>
      </w:r>
      <w:r>
        <w:tab/>
        <w:t xml:space="preserve">Directive </w:t>
      </w:r>
      <w:hyperlink r:id="rId220" w:history="1">
        <w:r>
          <w:rPr>
            <w:rStyle w:val="Hyperlink"/>
          </w:rPr>
          <w:t>91/271/EEC</w:t>
        </w:r>
      </w:hyperlink>
      <w:r>
        <w:t xml:space="preserve">, Commission v Portugal, </w:t>
      </w:r>
      <w:hyperlink r:id="rId221" w:history="1">
        <w:r>
          <w:rPr>
            <w:rStyle w:val="Hyperlink"/>
          </w:rPr>
          <w:t>C-557/14</w:t>
        </w:r>
      </w:hyperlink>
      <w:r>
        <w:rPr>
          <w:rStyle w:val="Hyperlink"/>
          <w:color w:val="auto"/>
          <w:u w:val="none"/>
        </w:rPr>
        <w:t xml:space="preserve"> and Court press release </w:t>
      </w:r>
      <w:hyperlink r:id="rId222" w:history="1">
        <w:r>
          <w:rPr>
            <w:rStyle w:val="Hyperlink"/>
          </w:rPr>
          <w:t>No 67/16</w:t>
        </w:r>
      </w:hyperlink>
      <w:r>
        <w:rPr>
          <w:rStyle w:val="Hyperlink"/>
          <w:color w:val="auto"/>
          <w:u w:val="none"/>
        </w:rPr>
        <w:t>.</w:t>
      </w:r>
    </w:p>
  </w:footnote>
  <w:footnote w:id="160">
    <w:p>
      <w:pPr>
        <w:pStyle w:val="FootnoteText"/>
        <w:rPr>
          <w:lang w:val="fr-BE"/>
        </w:rPr>
      </w:pPr>
      <w:r>
        <w:rPr>
          <w:rStyle w:val="FootnoteReference"/>
        </w:rPr>
        <w:footnoteRef/>
      </w:r>
      <w:r>
        <w:rPr>
          <w:lang w:val="fr-BE"/>
        </w:rPr>
        <w:t xml:space="preserve"> </w:t>
      </w:r>
      <w:r>
        <w:rPr>
          <w:lang w:val="fr-BE"/>
        </w:rPr>
        <w:tab/>
        <w:t xml:space="preserve">Directive </w:t>
      </w:r>
      <w:hyperlink r:id="rId223" w:history="1">
        <w:r>
          <w:rPr>
            <w:rStyle w:val="Hyperlink"/>
            <w:lang w:val="fr-BE"/>
          </w:rPr>
          <w:t>91/271/EEC</w:t>
        </w:r>
      </w:hyperlink>
      <w:r>
        <w:rPr>
          <w:lang w:val="fr-BE"/>
        </w:rPr>
        <w:t xml:space="preserve">, Commission v Portugal, </w:t>
      </w:r>
      <w:hyperlink r:id="rId224" w:history="1">
        <w:r>
          <w:rPr>
            <w:rStyle w:val="Hyperlink"/>
            <w:lang w:val="fr-BE"/>
          </w:rPr>
          <w:t>C-398/14</w:t>
        </w:r>
      </w:hyperlink>
      <w:r>
        <w:rPr>
          <w:rStyle w:val="Hyperlink"/>
          <w:color w:val="auto"/>
          <w:u w:val="none"/>
          <w:lang w:val="fr-BE"/>
        </w:rPr>
        <w:t>.</w:t>
      </w:r>
    </w:p>
  </w:footnote>
  <w:footnote w:id="161">
    <w:p>
      <w:pPr>
        <w:pStyle w:val="FootnoteText"/>
      </w:pPr>
      <w:r>
        <w:rPr>
          <w:rStyle w:val="FootnoteReference"/>
        </w:rPr>
        <w:footnoteRef/>
      </w:r>
      <w:r>
        <w:t xml:space="preserve"> </w:t>
      </w:r>
      <w:r>
        <w:tab/>
        <w:t xml:space="preserve">Directive </w:t>
      </w:r>
      <w:hyperlink r:id="rId225" w:history="1">
        <w:r>
          <w:rPr>
            <w:rStyle w:val="Hyperlink"/>
          </w:rPr>
          <w:t>2006/21/EC</w:t>
        </w:r>
      </w:hyperlink>
      <w:r>
        <w:t xml:space="preserve">, Commission v Romania, </w:t>
      </w:r>
      <w:hyperlink r:id="rId226" w:history="1">
        <w:r>
          <w:rPr>
            <w:rStyle w:val="Hyperlink"/>
          </w:rPr>
          <w:t>C-104/15</w:t>
        </w:r>
      </w:hyperlink>
      <w:r>
        <w:rPr>
          <w:rStyle w:val="Hyperlink"/>
          <w:color w:val="auto"/>
          <w:u w:val="none"/>
        </w:rPr>
        <w:t>.</w:t>
      </w:r>
    </w:p>
  </w:footnote>
  <w:footnote w:id="162">
    <w:p>
      <w:pPr>
        <w:pStyle w:val="FootnoteText"/>
      </w:pPr>
      <w:r>
        <w:rPr>
          <w:rStyle w:val="FootnoteReference"/>
        </w:rPr>
        <w:footnoteRef/>
      </w:r>
      <w:r>
        <w:t xml:space="preserve"> </w:t>
      </w:r>
      <w:r>
        <w:tab/>
        <w:t xml:space="preserve">Directive </w:t>
      </w:r>
      <w:hyperlink r:id="rId227" w:history="1">
        <w:r>
          <w:rPr>
            <w:rStyle w:val="Hyperlink"/>
          </w:rPr>
          <w:t>2001/80/EC</w:t>
        </w:r>
      </w:hyperlink>
      <w:r>
        <w:t xml:space="preserve">, Commission v United Kingdom, </w:t>
      </w:r>
      <w:hyperlink r:id="rId228" w:history="1">
        <w:r>
          <w:rPr>
            <w:rStyle w:val="Hyperlink"/>
          </w:rPr>
          <w:t>C-304/15</w:t>
        </w:r>
      </w:hyperlink>
      <w:r>
        <w:rPr>
          <w:rStyle w:val="Hyperlink"/>
          <w:color w:val="auto"/>
          <w:u w:val="none"/>
        </w:rPr>
        <w:t>.</w:t>
      </w:r>
    </w:p>
  </w:footnote>
  <w:footnote w:id="163">
    <w:p>
      <w:pPr>
        <w:pStyle w:val="FootnoteText"/>
      </w:pPr>
      <w:r>
        <w:rPr>
          <w:rStyle w:val="FootnoteReference"/>
        </w:rPr>
        <w:footnoteRef/>
      </w:r>
      <w:r>
        <w:t xml:space="preserve"> </w:t>
      </w:r>
      <w:r>
        <w:tab/>
        <w:t xml:space="preserve">Directive </w:t>
      </w:r>
      <w:hyperlink r:id="rId229" w:history="1">
        <w:r>
          <w:rPr>
            <w:rStyle w:val="Hyperlink"/>
          </w:rPr>
          <w:t>92/43/EEC</w:t>
        </w:r>
      </w:hyperlink>
      <w:r>
        <w:t xml:space="preserve">, Orleans and Others, joined cases </w:t>
      </w:r>
      <w:hyperlink r:id="rId230" w:history="1">
        <w:r>
          <w:rPr>
            <w:rStyle w:val="Hyperlink"/>
          </w:rPr>
          <w:t>C-387/15</w:t>
        </w:r>
      </w:hyperlink>
      <w:r>
        <w:t xml:space="preserve"> and </w:t>
      </w:r>
      <w:hyperlink r:id="rId231" w:history="1">
        <w:r>
          <w:rPr>
            <w:rStyle w:val="Hyperlink"/>
          </w:rPr>
          <w:t>C-388/15</w:t>
        </w:r>
      </w:hyperlink>
      <w:r>
        <w:t>.</w:t>
      </w:r>
    </w:p>
  </w:footnote>
  <w:footnote w:id="164">
    <w:p>
      <w:pPr>
        <w:pStyle w:val="FootnoteText"/>
      </w:pPr>
      <w:r>
        <w:rPr>
          <w:rStyle w:val="FootnoteReference"/>
        </w:rPr>
        <w:footnoteRef/>
      </w:r>
      <w:r>
        <w:t xml:space="preserve"> </w:t>
      </w:r>
      <w:r>
        <w:tab/>
        <w:t>Directive</w:t>
      </w:r>
      <w:r>
        <w:rPr>
          <w:rFonts w:cs="Times New Roman"/>
          <w:b/>
          <w:bCs/>
          <w:sz w:val="22"/>
          <w:szCs w:val="20"/>
        </w:rPr>
        <w:t xml:space="preserve"> </w:t>
      </w:r>
      <w:hyperlink r:id="rId232" w:history="1">
        <w:r>
          <w:rPr>
            <w:rStyle w:val="Hyperlink"/>
            <w:bCs/>
          </w:rPr>
          <w:t>2001/42/EC</w:t>
        </w:r>
      </w:hyperlink>
      <w:r>
        <w:rPr>
          <w:bCs/>
        </w:rPr>
        <w:t>,</w:t>
      </w:r>
      <w:r>
        <w:t xml:space="preserve"> D’Oultremont and Others, </w:t>
      </w:r>
      <w:hyperlink r:id="rId233" w:history="1">
        <w:r>
          <w:rPr>
            <w:rStyle w:val="Hyperlink"/>
          </w:rPr>
          <w:t>C-290/15</w:t>
        </w:r>
      </w:hyperlink>
      <w:r>
        <w:t>.</w:t>
      </w:r>
    </w:p>
  </w:footnote>
  <w:footnote w:id="165">
    <w:p>
      <w:pPr>
        <w:pStyle w:val="FootnoteText"/>
      </w:pPr>
      <w:r>
        <w:rPr>
          <w:rStyle w:val="FootnoteReference"/>
        </w:rPr>
        <w:footnoteRef/>
      </w:r>
      <w:r>
        <w:t xml:space="preserve"> </w:t>
      </w:r>
      <w:r>
        <w:tab/>
      </w:r>
      <w:r>
        <w:rPr>
          <w:bCs/>
        </w:rPr>
        <w:t xml:space="preserve">Directive </w:t>
      </w:r>
      <w:hyperlink r:id="rId234" w:history="1">
        <w:r>
          <w:rPr>
            <w:rStyle w:val="Hyperlink"/>
            <w:bCs/>
          </w:rPr>
          <w:t>92/43/EEC</w:t>
        </w:r>
      </w:hyperlink>
      <w:r>
        <w:rPr>
          <w:bCs/>
        </w:rPr>
        <w:t>,</w:t>
      </w:r>
      <w:r>
        <w:t xml:space="preserve"> Grüne Liga Sachsen and Others, </w:t>
      </w:r>
      <w:hyperlink r:id="rId235" w:history="1">
        <w:r>
          <w:rPr>
            <w:rStyle w:val="Hyperlink"/>
          </w:rPr>
          <w:t>C-399/14</w:t>
        </w:r>
      </w:hyperlink>
      <w:r>
        <w:t>.</w:t>
      </w:r>
    </w:p>
  </w:footnote>
  <w:footnote w:id="166">
    <w:p>
      <w:pPr>
        <w:pStyle w:val="FootnoteText"/>
        <w:rPr>
          <w:lang w:val="de-DE"/>
        </w:rPr>
      </w:pPr>
      <w:r>
        <w:rPr>
          <w:rStyle w:val="FootnoteReference"/>
        </w:rPr>
        <w:footnoteRef/>
      </w:r>
      <w:r>
        <w:rPr>
          <w:lang w:val="de-DE"/>
        </w:rPr>
        <w:t xml:space="preserve"> </w:t>
      </w:r>
      <w:r>
        <w:rPr>
          <w:lang w:val="de-DE"/>
        </w:rPr>
        <w:tab/>
      </w:r>
      <w:r>
        <w:rPr>
          <w:rStyle w:val="affairetitle"/>
          <w:lang w:val="de-DE"/>
        </w:rPr>
        <w:t>Bund Naturschutz in Bayern and Wilde</w:t>
      </w:r>
      <w:r>
        <w:rPr>
          <w:lang w:val="de-DE"/>
        </w:rPr>
        <w:t xml:space="preserve">, </w:t>
      </w:r>
      <w:hyperlink r:id="rId236" w:history="1">
        <w:r>
          <w:rPr>
            <w:rStyle w:val="Hyperlink"/>
            <w:lang w:val="de-DE"/>
          </w:rPr>
          <w:t>C-645/15</w:t>
        </w:r>
      </w:hyperlink>
      <w:r>
        <w:rPr>
          <w:lang w:val="de-DE"/>
        </w:rPr>
        <w:t>.</w:t>
      </w:r>
    </w:p>
  </w:footnote>
  <w:footnote w:id="167">
    <w:p>
      <w:pPr>
        <w:pStyle w:val="FootnoteText"/>
      </w:pPr>
      <w:r>
        <w:rPr>
          <w:rStyle w:val="FootnoteReference"/>
        </w:rPr>
        <w:footnoteRef/>
      </w:r>
      <w:r>
        <w:t xml:space="preserve"> </w:t>
      </w:r>
      <w:r>
        <w:tab/>
        <w:t xml:space="preserve">Directive </w:t>
      </w:r>
      <w:hyperlink r:id="rId237" w:history="1">
        <w:r>
          <w:rPr>
            <w:rStyle w:val="Hyperlink"/>
          </w:rPr>
          <w:t>94/62/EC</w:t>
        </w:r>
      </w:hyperlink>
      <w:r>
        <w:t xml:space="preserve">, Eco-Emballages, joined cases </w:t>
      </w:r>
      <w:hyperlink r:id="rId238" w:tgtFrame="_blank" w:history="1">
        <w:r>
          <w:rPr>
            <w:rStyle w:val="Hyperlink"/>
          </w:rPr>
          <w:t>C-313/15</w:t>
        </w:r>
      </w:hyperlink>
      <w:r>
        <w:t xml:space="preserve"> and </w:t>
      </w:r>
      <w:hyperlink r:id="rId239" w:history="1">
        <w:r>
          <w:rPr>
            <w:rStyle w:val="Hyperlink"/>
          </w:rPr>
          <w:t>C-530/15</w:t>
        </w:r>
      </w:hyperlink>
      <w:r>
        <w:t>.</w:t>
      </w:r>
    </w:p>
  </w:footnote>
  <w:footnote w:id="168">
    <w:p>
      <w:pPr>
        <w:pStyle w:val="FootnoteText"/>
        <w:rPr>
          <w:lang w:val="fr-BE"/>
        </w:rPr>
      </w:pPr>
      <w:r>
        <w:rPr>
          <w:rStyle w:val="FootnoteReference"/>
        </w:rPr>
        <w:footnoteRef/>
      </w:r>
      <w:r>
        <w:rPr>
          <w:lang w:val="fr-BE"/>
        </w:rPr>
        <w:t xml:space="preserve"> </w:t>
      </w:r>
      <w:r>
        <w:rPr>
          <w:lang w:val="fr-BE"/>
        </w:rPr>
        <w:tab/>
        <w:t>Directive</w:t>
      </w:r>
      <w:r>
        <w:rPr>
          <w:rFonts w:cs="Times New Roman"/>
          <w:b/>
          <w:bCs/>
          <w:sz w:val="22"/>
          <w:szCs w:val="20"/>
          <w:lang w:val="fr-BE"/>
        </w:rPr>
        <w:t xml:space="preserve"> </w:t>
      </w:r>
      <w:hyperlink r:id="rId240" w:history="1">
        <w:r>
          <w:rPr>
            <w:rStyle w:val="Hyperlink"/>
            <w:bCs/>
            <w:lang w:val="fr-BE"/>
          </w:rPr>
          <w:t>2001/42/EC</w:t>
        </w:r>
      </w:hyperlink>
      <w:r>
        <w:rPr>
          <w:bCs/>
          <w:lang w:val="fr-BE"/>
        </w:rPr>
        <w:t xml:space="preserve">, </w:t>
      </w:r>
      <w:r>
        <w:rPr>
          <w:lang w:val="fr-BE"/>
        </w:rPr>
        <w:t xml:space="preserve">Association France Nature Environnement, </w:t>
      </w:r>
      <w:hyperlink r:id="rId241" w:history="1">
        <w:r>
          <w:rPr>
            <w:rStyle w:val="Hyperlink"/>
            <w:lang w:val="fr-BE"/>
          </w:rPr>
          <w:t>C-379/15</w:t>
        </w:r>
      </w:hyperlink>
      <w:r>
        <w:rPr>
          <w:lang w:val="fr-BE"/>
        </w:rPr>
        <w:t>.</w:t>
      </w:r>
    </w:p>
  </w:footnote>
  <w:footnote w:id="169">
    <w:p>
      <w:pPr>
        <w:pStyle w:val="FootnoteText"/>
        <w:rPr>
          <w:lang w:val="fr-BE"/>
        </w:rPr>
      </w:pPr>
      <w:r>
        <w:rPr>
          <w:rStyle w:val="FootnoteReference"/>
        </w:rPr>
        <w:footnoteRef/>
      </w:r>
      <w:r>
        <w:rPr>
          <w:lang w:val="fr-BE"/>
        </w:rPr>
        <w:t xml:space="preserve"> </w:t>
      </w:r>
      <w:r>
        <w:rPr>
          <w:lang w:val="fr-BE"/>
        </w:rPr>
        <w:tab/>
        <w:t xml:space="preserve">Directive </w:t>
      </w:r>
      <w:hyperlink r:id="rId242" w:history="1">
        <w:r>
          <w:rPr>
            <w:rStyle w:val="Hyperlink"/>
            <w:lang w:val="fr-BE"/>
          </w:rPr>
          <w:t>2000/60/EC</w:t>
        </w:r>
      </w:hyperlink>
      <w:r>
        <w:rPr>
          <w:lang w:val="fr-BE"/>
        </w:rPr>
        <w:t xml:space="preserve">, Vodoopskrba i odvodnja, </w:t>
      </w:r>
      <w:hyperlink r:id="rId243" w:history="1">
        <w:r>
          <w:rPr>
            <w:rStyle w:val="Hyperlink"/>
            <w:lang w:val="fr-BE"/>
          </w:rPr>
          <w:t>C-686/15</w:t>
        </w:r>
      </w:hyperlink>
      <w:r>
        <w:rPr>
          <w:rStyle w:val="Hyperlink"/>
          <w:lang w:val="fr-BE"/>
        </w:rPr>
        <w:t>.</w:t>
      </w:r>
    </w:p>
  </w:footnote>
  <w:footnote w:id="170">
    <w:p>
      <w:pPr>
        <w:pStyle w:val="FootnoteText"/>
        <w:rPr>
          <w:lang w:val="fr-BE"/>
        </w:rPr>
      </w:pPr>
      <w:r>
        <w:rPr>
          <w:rStyle w:val="FootnoteReference"/>
        </w:rPr>
        <w:footnoteRef/>
      </w:r>
      <w:r>
        <w:rPr>
          <w:lang w:val="fr-BE"/>
        </w:rPr>
        <w:t xml:space="preserve"> </w:t>
      </w:r>
      <w:r>
        <w:rPr>
          <w:lang w:val="fr-BE"/>
        </w:rPr>
        <w:tab/>
        <w:t xml:space="preserve">Directives </w:t>
      </w:r>
      <w:hyperlink r:id="rId244" w:history="1">
        <w:r>
          <w:rPr>
            <w:rStyle w:val="Hyperlink"/>
            <w:lang w:val="fr-BE"/>
          </w:rPr>
          <w:t>2006/21/EC</w:t>
        </w:r>
      </w:hyperlink>
      <w:r>
        <w:rPr>
          <w:lang w:val="fr-BE"/>
        </w:rPr>
        <w:t xml:space="preserve"> and </w:t>
      </w:r>
      <w:hyperlink r:id="rId245" w:history="1">
        <w:r>
          <w:rPr>
            <w:rStyle w:val="Hyperlink"/>
            <w:lang w:val="fr-BE"/>
          </w:rPr>
          <w:t>1999/31/EC</w:t>
        </w:r>
      </w:hyperlink>
      <w:r>
        <w:rPr>
          <w:lang w:val="fr-BE"/>
        </w:rPr>
        <w:t xml:space="preserve">, Edilizia Mastrodonato, </w:t>
      </w:r>
      <w:hyperlink r:id="rId246" w:history="1">
        <w:r>
          <w:rPr>
            <w:rStyle w:val="Hyperlink"/>
            <w:lang w:val="fr-BE"/>
          </w:rPr>
          <w:t>C-147/15</w:t>
        </w:r>
      </w:hyperlink>
      <w:r>
        <w:rPr>
          <w:lang w:val="fr-BE"/>
        </w:rPr>
        <w:t>.</w:t>
      </w:r>
    </w:p>
  </w:footnote>
  <w:footnote w:id="171">
    <w:p>
      <w:pPr>
        <w:pStyle w:val="FootnoteText"/>
        <w:rPr>
          <w:lang w:val="fr-BE"/>
        </w:rPr>
      </w:pPr>
      <w:r>
        <w:rPr>
          <w:rStyle w:val="FootnoteReference"/>
        </w:rPr>
        <w:footnoteRef/>
      </w:r>
      <w:r>
        <w:rPr>
          <w:lang w:val="fr-BE"/>
        </w:rPr>
        <w:t xml:space="preserve"> </w:t>
      </w:r>
      <w:r>
        <w:rPr>
          <w:lang w:val="fr-BE"/>
        </w:rPr>
        <w:tab/>
        <w:t>Directive</w:t>
      </w:r>
      <w:r>
        <w:rPr>
          <w:b/>
          <w:sz w:val="22"/>
          <w:lang w:val="fr-BE"/>
        </w:rPr>
        <w:t xml:space="preserve"> </w:t>
      </w:r>
      <w:hyperlink r:id="rId247" w:history="1">
        <w:r>
          <w:rPr>
            <w:rStyle w:val="Hyperlink"/>
            <w:lang w:val="fr-BE"/>
          </w:rPr>
          <w:t>2001/42/EC</w:t>
        </w:r>
      </w:hyperlink>
      <w:r>
        <w:rPr>
          <w:lang w:val="fr-BE"/>
        </w:rPr>
        <w:t xml:space="preserve">, Associazione Italia Nostra Onlus, </w:t>
      </w:r>
      <w:hyperlink r:id="rId248" w:history="1">
        <w:r>
          <w:rPr>
            <w:rStyle w:val="Hyperlink"/>
            <w:lang w:val="fr-BE"/>
          </w:rPr>
          <w:t>C-444/15</w:t>
        </w:r>
      </w:hyperlink>
      <w:r>
        <w:rPr>
          <w:lang w:val="fr-BE"/>
        </w:rPr>
        <w:t>.</w:t>
      </w:r>
    </w:p>
  </w:footnote>
  <w:footnote w:id="172">
    <w:p>
      <w:pPr>
        <w:pStyle w:val="FootnoteText"/>
        <w:rPr>
          <w:lang w:val="fr-BE"/>
        </w:rPr>
      </w:pPr>
      <w:r>
        <w:rPr>
          <w:rStyle w:val="FootnoteReference"/>
        </w:rPr>
        <w:footnoteRef/>
      </w:r>
      <w:r>
        <w:rPr>
          <w:lang w:val="fr-BE"/>
        </w:rPr>
        <w:t xml:space="preserve"> </w:t>
      </w:r>
      <w:r>
        <w:rPr>
          <w:lang w:val="fr-BE"/>
        </w:rPr>
        <w:tab/>
        <w:t>Regulation (EC) No </w:t>
      </w:r>
      <w:hyperlink r:id="rId249" w:history="1">
        <w:r>
          <w:rPr>
            <w:rStyle w:val="Hyperlink"/>
            <w:lang w:val="fr-BE"/>
          </w:rPr>
          <w:t>1013/2006</w:t>
        </w:r>
      </w:hyperlink>
      <w:r>
        <w:rPr>
          <w:lang w:val="fr-BE"/>
        </w:rPr>
        <w:t xml:space="preserve">, Nutrivet, </w:t>
      </w:r>
      <w:hyperlink r:id="rId250" w:history="1">
        <w:r>
          <w:rPr>
            <w:rStyle w:val="Hyperlink"/>
            <w:lang w:val="fr-BE"/>
          </w:rPr>
          <w:t>C-69/15</w:t>
        </w:r>
      </w:hyperlink>
      <w:r>
        <w:rPr>
          <w:lang w:val="fr-BE"/>
        </w:rPr>
        <w:t>.</w:t>
      </w:r>
    </w:p>
  </w:footnote>
  <w:footnote w:id="173">
    <w:p>
      <w:pPr>
        <w:pStyle w:val="FootnoteText"/>
        <w:rPr>
          <w:lang w:val="fr-BE"/>
        </w:rPr>
      </w:pPr>
      <w:r>
        <w:rPr>
          <w:rStyle w:val="FootnoteReference"/>
        </w:rPr>
        <w:footnoteRef/>
      </w:r>
      <w:r>
        <w:rPr>
          <w:lang w:val="fr-BE"/>
        </w:rPr>
        <w:t xml:space="preserve"> </w:t>
      </w:r>
      <w:r>
        <w:rPr>
          <w:lang w:val="fr-BE"/>
        </w:rPr>
        <w:tab/>
        <w:t xml:space="preserve">Bayer CropScience and Stichting De Bijenstichting, </w:t>
      </w:r>
      <w:hyperlink r:id="rId251" w:history="1">
        <w:r>
          <w:rPr>
            <w:rStyle w:val="Hyperlink"/>
            <w:lang w:val="fr-BE"/>
          </w:rPr>
          <w:t>C-442/14</w:t>
        </w:r>
      </w:hyperlink>
      <w:r>
        <w:rPr>
          <w:lang w:val="fr-BE"/>
        </w:rPr>
        <w:t xml:space="preserve"> and Court press release </w:t>
      </w:r>
      <w:hyperlink r:id="rId252" w:history="1">
        <w:r>
          <w:rPr>
            <w:rStyle w:val="Hyperlink"/>
            <w:lang w:val="fr-BE"/>
          </w:rPr>
          <w:t>No 128/16</w:t>
        </w:r>
      </w:hyperlink>
      <w:r>
        <w:rPr>
          <w:lang w:val="fr-BE"/>
        </w:rPr>
        <w:t>.</w:t>
      </w:r>
    </w:p>
  </w:footnote>
  <w:footnote w:id="174">
    <w:p>
      <w:pPr>
        <w:pStyle w:val="FootnoteText"/>
      </w:pPr>
      <w:r>
        <w:rPr>
          <w:rStyle w:val="FootnoteReference"/>
        </w:rPr>
        <w:footnoteRef/>
      </w:r>
      <w:r>
        <w:t xml:space="preserve"> </w:t>
      </w:r>
      <w:r>
        <w:tab/>
        <w:t xml:space="preserve">Directive </w:t>
      </w:r>
      <w:hyperlink r:id="rId253" w:history="1">
        <w:r>
          <w:rPr>
            <w:rStyle w:val="Hyperlink"/>
          </w:rPr>
          <w:t>85/337/EEC</w:t>
        </w:r>
      </w:hyperlink>
      <w:r>
        <w:t xml:space="preserve"> amended by Directive </w:t>
      </w:r>
      <w:hyperlink r:id="rId254" w:history="1">
        <w:r>
          <w:rPr>
            <w:rStyle w:val="Hyperlink"/>
          </w:rPr>
          <w:t>97/11/EC</w:t>
        </w:r>
      </w:hyperlink>
      <w:r>
        <w:t xml:space="preserve">, Stadt Wiener Neustadt, </w:t>
      </w:r>
      <w:hyperlink r:id="rId255" w:history="1">
        <w:r>
          <w:rPr>
            <w:rStyle w:val="Hyperlink"/>
          </w:rPr>
          <w:t>C-348/15</w:t>
        </w:r>
      </w:hyperlink>
      <w:r>
        <w:t>.</w:t>
      </w:r>
    </w:p>
  </w:footnote>
  <w:footnote w:id="175">
    <w:p>
      <w:pPr>
        <w:pStyle w:val="FootnoteText"/>
      </w:pPr>
      <w:r>
        <w:rPr>
          <w:rStyle w:val="FootnoteReference"/>
        </w:rPr>
        <w:footnoteRef/>
      </w:r>
      <w:r>
        <w:t xml:space="preserve"> </w:t>
      </w:r>
      <w:r>
        <w:tab/>
        <w:t xml:space="preserve">Lesoochranárske zoskupenie VLK, </w:t>
      </w:r>
      <w:hyperlink r:id="rId256" w:history="1">
        <w:r>
          <w:rPr>
            <w:rStyle w:val="Hyperlink"/>
          </w:rPr>
          <w:t>C-243/15</w:t>
        </w:r>
      </w:hyperlink>
      <w:r>
        <w:t xml:space="preserve"> .</w:t>
      </w:r>
    </w:p>
  </w:footnote>
  <w:footnote w:id="176">
    <w:p>
      <w:pPr>
        <w:pStyle w:val="FootnoteText"/>
      </w:pPr>
      <w:r>
        <w:rPr>
          <w:rStyle w:val="FootnoteReference"/>
        </w:rPr>
        <w:footnoteRef/>
      </w:r>
      <w:r>
        <w:t xml:space="preserve"> </w:t>
      </w:r>
      <w:r>
        <w:tab/>
        <w:t xml:space="preserve">Directive (EU) </w:t>
      </w:r>
      <w:hyperlink r:id="rId257" w:history="1">
        <w:r>
          <w:rPr>
            <w:rStyle w:val="Hyperlink"/>
          </w:rPr>
          <w:t>2015/720</w:t>
        </w:r>
      </w:hyperlink>
      <w:r>
        <w:t xml:space="preserve"> amending Directive </w:t>
      </w:r>
      <w:hyperlink r:id="rId258" w:history="1">
        <w:r>
          <w:rPr>
            <w:rStyle w:val="Hyperlink"/>
          </w:rPr>
          <w:t>94/62/EC</w:t>
        </w:r>
      </w:hyperlink>
      <w:r>
        <w:t>.</w:t>
      </w:r>
    </w:p>
  </w:footnote>
  <w:footnote w:id="177">
    <w:p>
      <w:pPr>
        <w:pStyle w:val="FootnoteText"/>
      </w:pPr>
      <w:r>
        <w:rPr>
          <w:rStyle w:val="FootnoteReference"/>
        </w:rPr>
        <w:footnoteRef/>
      </w:r>
      <w:r>
        <w:t xml:space="preserve"> </w:t>
      </w:r>
      <w:r>
        <w:tab/>
        <w:t xml:space="preserve">Directive </w:t>
      </w:r>
      <w:hyperlink r:id="rId259" w:history="1">
        <w:r>
          <w:rPr>
            <w:rStyle w:val="Hyperlink"/>
          </w:rPr>
          <w:t>92/43/EEC</w:t>
        </w:r>
      </w:hyperlink>
      <w:r>
        <w:t>.</w:t>
      </w:r>
    </w:p>
  </w:footnote>
  <w:footnote w:id="178">
    <w:p>
      <w:pPr>
        <w:pStyle w:val="FootnoteText"/>
      </w:pPr>
      <w:r>
        <w:rPr>
          <w:rStyle w:val="FootnoteReference"/>
        </w:rPr>
        <w:footnoteRef/>
      </w:r>
      <w:r>
        <w:t xml:space="preserve"> </w:t>
      </w:r>
      <w:r>
        <w:tab/>
        <w:t xml:space="preserve">Directive </w:t>
      </w:r>
      <w:hyperlink r:id="rId260" w:history="1">
        <w:r>
          <w:rPr>
            <w:rStyle w:val="Hyperlink"/>
          </w:rPr>
          <w:t>2014/52/EU</w:t>
        </w:r>
      </w:hyperlink>
      <w:r>
        <w:t>.</w:t>
      </w:r>
    </w:p>
  </w:footnote>
  <w:footnote w:id="179">
    <w:p>
      <w:pPr>
        <w:pStyle w:val="FootnoteText"/>
      </w:pPr>
      <w:r>
        <w:rPr>
          <w:rStyle w:val="FootnoteReference"/>
        </w:rPr>
        <w:footnoteRef/>
      </w:r>
      <w:r>
        <w:t xml:space="preserve"> </w:t>
      </w:r>
      <w:r>
        <w:tab/>
        <w:t xml:space="preserve">Directive </w:t>
      </w:r>
      <w:hyperlink r:id="rId261" w:history="1">
        <w:r>
          <w:rPr>
            <w:rStyle w:val="Hyperlink"/>
          </w:rPr>
          <w:t>2011/92/EU</w:t>
        </w:r>
      </w:hyperlink>
      <w:r>
        <w:t>.</w:t>
      </w:r>
    </w:p>
  </w:footnote>
  <w:footnote w:id="180">
    <w:p>
      <w:pPr>
        <w:pStyle w:val="FootnoteText"/>
      </w:pPr>
      <w:r>
        <w:rPr>
          <w:rStyle w:val="FootnoteReference"/>
        </w:rPr>
        <w:footnoteRef/>
      </w:r>
      <w:r>
        <w:t xml:space="preserve"> </w:t>
      </w:r>
      <w:r>
        <w:tab/>
        <w:t xml:space="preserve">Directive </w:t>
      </w:r>
      <w:hyperlink r:id="rId262" w:history="1">
        <w:r>
          <w:rPr>
            <w:rStyle w:val="Hyperlink"/>
          </w:rPr>
          <w:t>2011/92/EU</w:t>
        </w:r>
      </w:hyperlink>
      <w:r>
        <w:t>. In 2016, Spain, Greece and Cyprus submitted in total 20 notifications concerning exemptions of certain projects. 15 notifications concerned projects aimed at responding to civil emergencies resulting from natural disasters. Out of the other five notifications, one concerned erection of windfarms (Spain), two concerned waste management projects (Spain and Greece), one concerned a liquefied natural gas plant (Spain) and one concerned road improvements (Cyprus). For 18 notifications the conditions on exemptions under the Directive were met. For two notifications the Commission is in contact with the respective Member States to verify if the conditions for exemptions were properly applied.</w:t>
      </w:r>
    </w:p>
  </w:footnote>
  <w:footnote w:id="181">
    <w:p>
      <w:pPr>
        <w:pStyle w:val="FootnoteText"/>
      </w:pPr>
      <w:r>
        <w:rPr>
          <w:rStyle w:val="FootnoteReference"/>
        </w:rPr>
        <w:footnoteRef/>
      </w:r>
      <w:r>
        <w:t xml:space="preserve"> </w:t>
      </w:r>
      <w:r>
        <w:tab/>
        <w:t xml:space="preserve">Directive </w:t>
      </w:r>
      <w:hyperlink r:id="rId263" w:history="1">
        <w:r>
          <w:rPr>
            <w:rStyle w:val="Hyperlink"/>
          </w:rPr>
          <w:t>2001/42/EC</w:t>
        </w:r>
      </w:hyperlink>
      <w:r>
        <w:t>.</w:t>
      </w:r>
    </w:p>
  </w:footnote>
  <w:footnote w:id="182">
    <w:p>
      <w:pPr>
        <w:pStyle w:val="FootnoteText"/>
      </w:pPr>
      <w:r>
        <w:rPr>
          <w:rStyle w:val="FootnoteReference"/>
        </w:rPr>
        <w:footnoteRef/>
      </w:r>
      <w:r>
        <w:t xml:space="preserve"> </w:t>
      </w:r>
      <w:r>
        <w:tab/>
        <w:t xml:space="preserve">Directive </w:t>
      </w:r>
      <w:hyperlink r:id="rId264" w:history="1">
        <w:r>
          <w:rPr>
            <w:rStyle w:val="Hyperlink"/>
          </w:rPr>
          <w:t>2000/60/EC</w:t>
        </w:r>
      </w:hyperlink>
      <w:r>
        <w:t>.</w:t>
      </w:r>
    </w:p>
  </w:footnote>
  <w:footnote w:id="183">
    <w:p>
      <w:pPr>
        <w:pStyle w:val="FootnoteText"/>
        <w:rPr>
          <w:lang w:val="fr-BE"/>
        </w:rPr>
      </w:pPr>
      <w:r>
        <w:rPr>
          <w:rStyle w:val="FootnoteReference"/>
        </w:rPr>
        <w:footnoteRef/>
      </w:r>
      <w:r>
        <w:t xml:space="preserve"> </w:t>
      </w:r>
      <w:r>
        <w:tab/>
        <w:t>PM</w:t>
      </w:r>
      <w:r>
        <w:rPr>
          <w:sz w:val="12"/>
          <w:szCs w:val="12"/>
        </w:rPr>
        <w:t xml:space="preserve">10 </w:t>
      </w:r>
      <w:r>
        <w:t xml:space="preserve">is an air pollutant consisting of small particles with an aerodynamic diameter less than or equal to a nominal 10 micrometres. The particles’ small size allows them to penetrate deep into the lungs where they may be deposited and cause adverse health effects. </w:t>
      </w:r>
      <w:r>
        <w:rPr>
          <w:lang w:val="fr-BE"/>
        </w:rPr>
        <w:t xml:space="preserve">(Source: </w:t>
      </w:r>
      <w:hyperlink r:id="rId265" w:history="1">
        <w:r>
          <w:rPr>
            <w:rStyle w:val="Hyperlink"/>
            <w:lang w:val="fr-BE"/>
          </w:rPr>
          <w:t>European Environment Agency</w:t>
        </w:r>
      </w:hyperlink>
      <w:r>
        <w:rPr>
          <w:lang w:val="fr-BE"/>
        </w:rPr>
        <w:t>).</w:t>
      </w:r>
    </w:p>
  </w:footnote>
  <w:footnote w:id="184">
    <w:p>
      <w:pPr>
        <w:pStyle w:val="FootnoteText"/>
        <w:rPr>
          <w:lang w:val="fr-BE"/>
        </w:rPr>
      </w:pPr>
      <w:r>
        <w:rPr>
          <w:rStyle w:val="FootnoteReference"/>
        </w:rPr>
        <w:footnoteRef/>
      </w:r>
      <w:r>
        <w:rPr>
          <w:lang w:val="fr-FR"/>
        </w:rPr>
        <w:t xml:space="preserve"> </w:t>
      </w:r>
      <w:r>
        <w:rPr>
          <w:lang w:val="fr-FR"/>
        </w:rPr>
        <w:tab/>
        <w:t xml:space="preserve">Directive </w:t>
      </w:r>
      <w:hyperlink r:id="rId266" w:history="1">
        <w:r>
          <w:rPr>
            <w:rStyle w:val="Hyperlink"/>
            <w:lang w:val="fr-FR"/>
          </w:rPr>
          <w:t>2008/50/EC</w:t>
        </w:r>
      </w:hyperlink>
      <w:r>
        <w:rPr>
          <w:lang w:val="fr-FR"/>
        </w:rPr>
        <w:t>.</w:t>
      </w:r>
    </w:p>
  </w:footnote>
  <w:footnote w:id="185">
    <w:p>
      <w:pPr>
        <w:pStyle w:val="FootnoteText"/>
        <w:rPr>
          <w:lang w:val="fr-BE"/>
        </w:rPr>
      </w:pPr>
      <w:r>
        <w:rPr>
          <w:rStyle w:val="FootnoteReference"/>
        </w:rPr>
        <w:footnoteRef/>
      </w:r>
      <w:r>
        <w:rPr>
          <w:lang w:val="fr-FR"/>
        </w:rPr>
        <w:t xml:space="preserve"> </w:t>
      </w:r>
      <w:r>
        <w:rPr>
          <w:lang w:val="fr-FR"/>
        </w:rPr>
        <w:tab/>
        <w:t xml:space="preserve">Directive </w:t>
      </w:r>
      <w:hyperlink r:id="rId267" w:history="1">
        <w:r>
          <w:rPr>
            <w:rStyle w:val="Hyperlink"/>
            <w:lang w:val="fr-FR"/>
          </w:rPr>
          <w:t>2002/49/EC</w:t>
        </w:r>
      </w:hyperlink>
      <w:r>
        <w:rPr>
          <w:lang w:val="fr-FR"/>
        </w:rPr>
        <w:t>.</w:t>
      </w:r>
    </w:p>
  </w:footnote>
  <w:footnote w:id="186">
    <w:p>
      <w:pPr>
        <w:pStyle w:val="FootnoteText"/>
        <w:rPr>
          <w:lang w:val="fr-BE"/>
        </w:rPr>
      </w:pPr>
      <w:r>
        <w:rPr>
          <w:rStyle w:val="FootnoteReference"/>
        </w:rPr>
        <w:footnoteRef/>
      </w:r>
      <w:r>
        <w:rPr>
          <w:lang w:val="fr-FR"/>
        </w:rPr>
        <w:t xml:space="preserve"> </w:t>
      </w:r>
      <w:r>
        <w:rPr>
          <w:lang w:val="fr-FR"/>
        </w:rPr>
        <w:tab/>
        <w:t xml:space="preserve">Directive </w:t>
      </w:r>
      <w:hyperlink r:id="rId268" w:history="1">
        <w:r>
          <w:rPr>
            <w:rStyle w:val="Hyperlink"/>
            <w:lang w:val="fr-FR"/>
          </w:rPr>
          <w:t>2010/75/EU</w:t>
        </w:r>
      </w:hyperlink>
      <w:r>
        <w:rPr>
          <w:lang w:val="fr-FR"/>
        </w:rPr>
        <w:t>.</w:t>
      </w:r>
    </w:p>
  </w:footnote>
  <w:footnote w:id="187">
    <w:p>
      <w:pPr>
        <w:pStyle w:val="FootnoteText"/>
      </w:pPr>
      <w:r>
        <w:rPr>
          <w:rStyle w:val="FootnoteReference"/>
        </w:rPr>
        <w:footnoteRef/>
      </w:r>
      <w:r>
        <w:t xml:space="preserve"> </w:t>
      </w:r>
      <w:r>
        <w:tab/>
        <w:t xml:space="preserve">Directive </w:t>
      </w:r>
      <w:hyperlink r:id="rId269" w:history="1">
        <w:r>
          <w:rPr>
            <w:rStyle w:val="Hyperlink"/>
          </w:rPr>
          <w:t>2004/35/EC</w:t>
        </w:r>
      </w:hyperlink>
      <w:r>
        <w:t>.</w:t>
      </w:r>
    </w:p>
  </w:footnote>
  <w:footnote w:id="188">
    <w:p>
      <w:pPr>
        <w:pStyle w:val="FootnoteText"/>
      </w:pPr>
      <w:r>
        <w:rPr>
          <w:rStyle w:val="FootnoteReference"/>
        </w:rPr>
        <w:footnoteRef/>
      </w:r>
      <w:r>
        <w:t xml:space="preserve"> </w:t>
      </w:r>
      <w:r>
        <w:tab/>
        <w:t>The Directorate-General for Financial Stability, Financial Services and Capital Markets Union (DG FISMA) was created on 1 January 2015 as part of a reorganisation of the Commission. Consequently historical data for this area are available only from the above date.</w:t>
      </w:r>
    </w:p>
  </w:footnote>
  <w:footnote w:id="189">
    <w:p>
      <w:pPr>
        <w:pStyle w:val="FootnoteText"/>
      </w:pPr>
      <w:r>
        <w:rPr>
          <w:rStyle w:val="FootnoteReference"/>
        </w:rPr>
        <w:footnoteRef/>
      </w:r>
      <w:r>
        <w:t xml:space="preserve"> </w:t>
      </w:r>
      <w:r>
        <w:tab/>
        <w:t xml:space="preserve">Directive </w:t>
      </w:r>
      <w:hyperlink r:id="rId270" w:history="1">
        <w:r>
          <w:rPr>
            <w:rStyle w:val="Hyperlink"/>
          </w:rPr>
          <w:t>2014/59/EU</w:t>
        </w:r>
      </w:hyperlink>
      <w:r>
        <w:t xml:space="preserve"> and press release </w:t>
      </w:r>
      <w:hyperlink r:id="rId271" w:history="1">
        <w:r>
          <w:rPr>
            <w:rStyle w:val="Hyperlink"/>
          </w:rPr>
          <w:t>MEMO/16/1452</w:t>
        </w:r>
      </w:hyperlink>
      <w:r>
        <w:t>.</w:t>
      </w:r>
    </w:p>
  </w:footnote>
  <w:footnote w:id="190">
    <w:p>
      <w:pPr>
        <w:pStyle w:val="FootnoteText"/>
      </w:pPr>
      <w:r>
        <w:rPr>
          <w:rStyle w:val="FootnoteReference"/>
        </w:rPr>
        <w:footnoteRef/>
      </w:r>
      <w:r>
        <w:t xml:space="preserve"> </w:t>
      </w:r>
      <w:r>
        <w:tab/>
        <w:t xml:space="preserve">Directive </w:t>
      </w:r>
      <w:hyperlink r:id="rId272" w:history="1">
        <w:r>
          <w:rPr>
            <w:rStyle w:val="Hyperlink"/>
          </w:rPr>
          <w:t>2013/36/EU</w:t>
        </w:r>
      </w:hyperlink>
      <w:r>
        <w:t xml:space="preserve"> and press release </w:t>
      </w:r>
      <w:hyperlink r:id="rId273" w:history="1">
        <w:r>
          <w:rPr>
            <w:rStyle w:val="Hyperlink"/>
          </w:rPr>
          <w:t>MEMO/16/1452</w:t>
        </w:r>
      </w:hyperlink>
      <w:r>
        <w:t>.</w:t>
      </w:r>
    </w:p>
  </w:footnote>
  <w:footnote w:id="191">
    <w:p>
      <w:pPr>
        <w:pStyle w:val="FootnoteText"/>
      </w:pPr>
      <w:r>
        <w:rPr>
          <w:rStyle w:val="FootnoteReference"/>
        </w:rPr>
        <w:footnoteRef/>
      </w:r>
      <w:r>
        <w:t xml:space="preserve"> </w:t>
      </w:r>
      <w:r>
        <w:tab/>
        <w:t xml:space="preserve">Directive </w:t>
      </w:r>
      <w:hyperlink r:id="rId274" w:history="1">
        <w:r>
          <w:rPr>
            <w:rStyle w:val="Hyperlink"/>
          </w:rPr>
          <w:t>2013/34/EU</w:t>
        </w:r>
      </w:hyperlink>
      <w:r>
        <w:t xml:space="preserve">, and press releases </w:t>
      </w:r>
      <w:hyperlink r:id="rId275" w:history="1">
        <w:r>
          <w:rPr>
            <w:rStyle w:val="Hyperlink"/>
          </w:rPr>
          <w:t>MEMO/16/2097</w:t>
        </w:r>
      </w:hyperlink>
      <w:r>
        <w:t xml:space="preserve"> and </w:t>
      </w:r>
      <w:hyperlink r:id="rId276" w:history="1">
        <w:r>
          <w:rPr>
            <w:rStyle w:val="Hyperlink"/>
          </w:rPr>
          <w:t>MEMO/16/3644</w:t>
        </w:r>
      </w:hyperlink>
      <w:r>
        <w:t>.</w:t>
      </w:r>
    </w:p>
  </w:footnote>
  <w:footnote w:id="192">
    <w:p>
      <w:pPr>
        <w:pStyle w:val="FootnoteText"/>
      </w:pPr>
      <w:r>
        <w:rPr>
          <w:rStyle w:val="FootnoteReference"/>
        </w:rPr>
        <w:footnoteRef/>
      </w:r>
      <w:r>
        <w:t xml:space="preserve"> </w:t>
      </w:r>
      <w:r>
        <w:tab/>
        <w:t xml:space="preserve">Press releases </w:t>
      </w:r>
      <w:hyperlink r:id="rId277" w:history="1">
        <w:r>
          <w:rPr>
            <w:rStyle w:val="Hyperlink"/>
          </w:rPr>
          <w:t>IP/16/1827</w:t>
        </w:r>
      </w:hyperlink>
      <w:r>
        <w:t xml:space="preserve"> and </w:t>
      </w:r>
      <w:hyperlink r:id="rId278" w:history="1">
        <w:r>
          <w:rPr>
            <w:rStyle w:val="Hyperlink"/>
          </w:rPr>
          <w:t>MEMO/16/1823</w:t>
        </w:r>
      </w:hyperlink>
      <w:r>
        <w:t>.</w:t>
      </w:r>
    </w:p>
  </w:footnote>
  <w:footnote w:id="193">
    <w:p>
      <w:pPr>
        <w:pStyle w:val="FootnoteText"/>
      </w:pPr>
      <w:r>
        <w:rPr>
          <w:rStyle w:val="FootnoteReference"/>
        </w:rPr>
        <w:footnoteRef/>
      </w:r>
      <w:r>
        <w:t xml:space="preserve"> </w:t>
      </w:r>
      <w:r>
        <w:tab/>
        <w:t xml:space="preserve">Directive </w:t>
      </w:r>
      <w:hyperlink r:id="rId279" w:history="1">
        <w:r>
          <w:rPr>
            <w:rStyle w:val="Hyperlink"/>
          </w:rPr>
          <w:t>2013/50/EU</w:t>
        </w:r>
      </w:hyperlink>
      <w:r>
        <w:t xml:space="preserve"> and press release </w:t>
      </w:r>
      <w:hyperlink r:id="rId280" w:history="1">
        <w:r>
          <w:rPr>
            <w:rStyle w:val="Hyperlink"/>
          </w:rPr>
          <w:t>MEMO/16/3644</w:t>
        </w:r>
      </w:hyperlink>
      <w:r>
        <w:t>.</w:t>
      </w:r>
    </w:p>
  </w:footnote>
  <w:footnote w:id="194">
    <w:p>
      <w:pPr>
        <w:pStyle w:val="FootnoteText"/>
      </w:pPr>
      <w:r>
        <w:rPr>
          <w:rStyle w:val="FootnoteReference"/>
        </w:rPr>
        <w:footnoteRef/>
      </w:r>
      <w:r>
        <w:t xml:space="preserve"> </w:t>
      </w:r>
      <w:r>
        <w:tab/>
        <w:t xml:space="preserve">Directive </w:t>
      </w:r>
      <w:hyperlink r:id="rId281" w:history="1">
        <w:r>
          <w:rPr>
            <w:rStyle w:val="Hyperlink"/>
          </w:rPr>
          <w:t>2014/56/EU</w:t>
        </w:r>
      </w:hyperlink>
      <w:r>
        <w:t xml:space="preserve"> and press release </w:t>
      </w:r>
      <w:hyperlink r:id="rId282" w:history="1">
        <w:r>
          <w:rPr>
            <w:rStyle w:val="Hyperlink"/>
          </w:rPr>
          <w:t>MEMO/16/3644</w:t>
        </w:r>
      </w:hyperlink>
      <w:r>
        <w:t>.</w:t>
      </w:r>
    </w:p>
  </w:footnote>
  <w:footnote w:id="195">
    <w:p>
      <w:pPr>
        <w:pStyle w:val="FootnoteText"/>
      </w:pPr>
      <w:r>
        <w:rPr>
          <w:rStyle w:val="FootnoteReference"/>
        </w:rPr>
        <w:footnoteRef/>
      </w:r>
      <w:r>
        <w:t xml:space="preserve"> </w:t>
      </w:r>
      <w:r>
        <w:tab/>
        <w:t xml:space="preserve">Directive </w:t>
      </w:r>
      <w:hyperlink r:id="rId283" w:history="1">
        <w:r>
          <w:rPr>
            <w:rStyle w:val="Hyperlink"/>
          </w:rPr>
          <w:t>2014/17/EU</w:t>
        </w:r>
      </w:hyperlink>
      <w:r>
        <w:t xml:space="preserve">, and press releases </w:t>
      </w:r>
      <w:hyperlink r:id="rId284" w:history="1">
        <w:r>
          <w:rPr>
            <w:rStyle w:val="Hyperlink"/>
          </w:rPr>
          <w:t>MEMO/16/3644</w:t>
        </w:r>
      </w:hyperlink>
      <w:r>
        <w:t xml:space="preserve"> and </w:t>
      </w:r>
      <w:hyperlink r:id="rId285" w:history="1">
        <w:r>
          <w:rPr>
            <w:rStyle w:val="Hyperlink"/>
          </w:rPr>
          <w:t>MEMO/16/4211</w:t>
        </w:r>
      </w:hyperlink>
      <w:r>
        <w:t>.</w:t>
      </w:r>
    </w:p>
  </w:footnote>
  <w:footnote w:id="196">
    <w:p>
      <w:pPr>
        <w:pStyle w:val="FootnoteText"/>
      </w:pPr>
      <w:r>
        <w:rPr>
          <w:rStyle w:val="FootnoteReference"/>
        </w:rPr>
        <w:footnoteRef/>
      </w:r>
      <w:r>
        <w:t xml:space="preserve"> </w:t>
      </w:r>
      <w:r>
        <w:tab/>
        <w:t xml:space="preserve">Press release </w:t>
      </w:r>
      <w:hyperlink r:id="rId286" w:history="1">
        <w:r>
          <w:rPr>
            <w:rStyle w:val="Hyperlink"/>
          </w:rPr>
          <w:t>MEMO/16/4211</w:t>
        </w:r>
      </w:hyperlink>
      <w:r>
        <w:t>.</w:t>
      </w:r>
    </w:p>
  </w:footnote>
  <w:footnote w:id="197">
    <w:p>
      <w:pPr>
        <w:pStyle w:val="FootnoteText"/>
      </w:pPr>
      <w:r>
        <w:rPr>
          <w:rStyle w:val="FootnoteReference"/>
        </w:rPr>
        <w:footnoteRef/>
      </w:r>
      <w:r>
        <w:t xml:space="preserve"> </w:t>
      </w:r>
      <w:r>
        <w:tab/>
        <w:t xml:space="preserve">Press release </w:t>
      </w:r>
      <w:hyperlink r:id="rId287" w:history="1">
        <w:r>
          <w:rPr>
            <w:rStyle w:val="Hyperlink"/>
          </w:rPr>
          <w:t>MEMO/16/3125</w:t>
        </w:r>
      </w:hyperlink>
      <w:r>
        <w:t>.</w:t>
      </w:r>
    </w:p>
  </w:footnote>
  <w:footnote w:id="198">
    <w:p>
      <w:pPr>
        <w:pStyle w:val="FootnoteText"/>
      </w:pPr>
      <w:r>
        <w:rPr>
          <w:rStyle w:val="FootnoteReference"/>
        </w:rPr>
        <w:footnoteRef/>
      </w:r>
      <w:r>
        <w:t xml:space="preserve"> </w:t>
      </w:r>
      <w:r>
        <w:tab/>
        <w:t xml:space="preserve">Directive </w:t>
      </w:r>
      <w:hyperlink r:id="rId288" w:history="1">
        <w:r>
          <w:rPr>
            <w:rStyle w:val="Hyperlink"/>
            <w:lang w:val="en"/>
          </w:rPr>
          <w:t>2013/50/EU</w:t>
        </w:r>
      </w:hyperlink>
      <w:r>
        <w:rPr>
          <w:lang w:val="en"/>
        </w:rPr>
        <w:t>.</w:t>
      </w:r>
    </w:p>
  </w:footnote>
  <w:footnote w:id="199">
    <w:p>
      <w:pPr>
        <w:pStyle w:val="FootnoteText"/>
      </w:pPr>
      <w:r>
        <w:rPr>
          <w:rStyle w:val="FootnoteReference"/>
        </w:rPr>
        <w:footnoteRef/>
      </w:r>
      <w:r>
        <w:t xml:space="preserve"> </w:t>
      </w:r>
      <w:r>
        <w:tab/>
        <w:t xml:space="preserve">Directive </w:t>
      </w:r>
      <w:hyperlink r:id="rId289" w:history="1">
        <w:r>
          <w:rPr>
            <w:rStyle w:val="Hyperlink"/>
          </w:rPr>
          <w:t>2014/91/EU</w:t>
        </w:r>
      </w:hyperlink>
      <w:r>
        <w:t xml:space="preserve"> (so-called UCITS V).</w:t>
      </w:r>
    </w:p>
  </w:footnote>
  <w:footnote w:id="200">
    <w:p>
      <w:pPr>
        <w:pStyle w:val="FootnoteText"/>
      </w:pPr>
      <w:r>
        <w:rPr>
          <w:rStyle w:val="FootnoteReference"/>
        </w:rPr>
        <w:footnoteRef/>
      </w:r>
      <w:r>
        <w:t xml:space="preserve"> </w:t>
      </w:r>
      <w:r>
        <w:tab/>
        <w:t xml:space="preserve">Directive </w:t>
      </w:r>
      <w:hyperlink r:id="rId290" w:history="1">
        <w:r>
          <w:rPr>
            <w:rStyle w:val="Hyperlink"/>
          </w:rPr>
          <w:t>2014/17/EU</w:t>
        </w:r>
      </w:hyperlink>
      <w:r>
        <w:t>.</w:t>
      </w:r>
    </w:p>
  </w:footnote>
  <w:footnote w:id="201">
    <w:p>
      <w:pPr>
        <w:pStyle w:val="FootnoteText"/>
      </w:pPr>
      <w:r>
        <w:rPr>
          <w:rStyle w:val="FootnoteReference"/>
        </w:rPr>
        <w:footnoteRef/>
      </w:r>
      <w:r>
        <w:t xml:space="preserve"> </w:t>
      </w:r>
      <w:r>
        <w:tab/>
        <w:t xml:space="preserve">Directive </w:t>
      </w:r>
      <w:hyperlink r:id="rId291" w:history="1">
        <w:r>
          <w:rPr>
            <w:rStyle w:val="Hyperlink"/>
          </w:rPr>
          <w:t>2014/56/EU</w:t>
        </w:r>
      </w:hyperlink>
      <w:r>
        <w:t>.</w:t>
      </w:r>
    </w:p>
  </w:footnote>
  <w:footnote w:id="202">
    <w:p>
      <w:pPr>
        <w:pStyle w:val="FootnoteText"/>
      </w:pPr>
      <w:r>
        <w:rPr>
          <w:rStyle w:val="FootnoteReference"/>
        </w:rPr>
        <w:footnoteRef/>
      </w:r>
      <w:r>
        <w:t xml:space="preserve"> </w:t>
      </w:r>
      <w:r>
        <w:tab/>
        <w:t xml:space="preserve">Directive </w:t>
      </w:r>
      <w:hyperlink r:id="rId292" w:history="1">
        <w:r>
          <w:rPr>
            <w:rStyle w:val="Hyperlink"/>
          </w:rPr>
          <w:t>2014/92/EU</w:t>
        </w:r>
      </w:hyperlink>
      <w:r>
        <w:rPr>
          <w:rStyle w:val="Hyperlink"/>
        </w:rPr>
        <w:t>.</w:t>
      </w:r>
    </w:p>
  </w:footnote>
  <w:footnote w:id="203">
    <w:p>
      <w:pPr>
        <w:pStyle w:val="FootnoteText"/>
      </w:pPr>
      <w:r>
        <w:rPr>
          <w:rStyle w:val="FootnoteReference"/>
        </w:rPr>
        <w:footnoteRef/>
      </w:r>
      <w:r>
        <w:t xml:space="preserve"> </w:t>
      </w:r>
      <w:r>
        <w:tab/>
        <w:t xml:space="preserve">Directive </w:t>
      </w:r>
      <w:hyperlink r:id="rId293" w:history="1">
        <w:r>
          <w:rPr>
            <w:rStyle w:val="Hyperlink"/>
          </w:rPr>
          <w:t>2013/36/EU</w:t>
        </w:r>
      </w:hyperlink>
      <w:r>
        <w:t>.</w:t>
      </w:r>
    </w:p>
  </w:footnote>
  <w:footnote w:id="204">
    <w:p>
      <w:pPr>
        <w:pStyle w:val="FootnoteText"/>
      </w:pPr>
      <w:r>
        <w:rPr>
          <w:rStyle w:val="FootnoteReference"/>
        </w:rPr>
        <w:footnoteRef/>
      </w:r>
      <w:r>
        <w:t xml:space="preserve"> </w:t>
      </w:r>
      <w:r>
        <w:tab/>
        <w:t xml:space="preserve">Directive </w:t>
      </w:r>
      <w:hyperlink r:id="rId294" w:history="1">
        <w:r>
          <w:rPr>
            <w:rStyle w:val="Hyperlink"/>
          </w:rPr>
          <w:t>2014/59/EU</w:t>
        </w:r>
      </w:hyperlink>
      <w:r>
        <w:t>.</w:t>
      </w:r>
    </w:p>
  </w:footnote>
  <w:footnote w:id="205">
    <w:p>
      <w:pPr>
        <w:pStyle w:val="FootnoteText"/>
      </w:pPr>
      <w:r>
        <w:rPr>
          <w:rStyle w:val="FootnoteReference"/>
        </w:rPr>
        <w:footnoteRef/>
      </w:r>
      <w:r>
        <w:t xml:space="preserve"> </w:t>
      </w:r>
      <w:r>
        <w:tab/>
        <w:t xml:space="preserve">Directive </w:t>
      </w:r>
      <w:hyperlink r:id="rId295" w:history="1">
        <w:r>
          <w:rPr>
            <w:rStyle w:val="Hyperlink"/>
          </w:rPr>
          <w:t>2014/49/EU</w:t>
        </w:r>
      </w:hyperlink>
      <w:r>
        <w:t>.</w:t>
      </w:r>
    </w:p>
  </w:footnote>
  <w:footnote w:id="206">
    <w:p>
      <w:pPr>
        <w:pStyle w:val="FootnoteText"/>
      </w:pPr>
      <w:r>
        <w:rPr>
          <w:rStyle w:val="FootnoteReference"/>
        </w:rPr>
        <w:footnoteRef/>
      </w:r>
      <w:r>
        <w:t xml:space="preserve"> </w:t>
      </w:r>
      <w:r>
        <w:tab/>
        <w:t>These rulings are almost exclusively handed down on infringement procedures.</w:t>
      </w:r>
    </w:p>
  </w:footnote>
  <w:footnote w:id="207">
    <w:p>
      <w:pPr>
        <w:pStyle w:val="FootnoteText"/>
      </w:pPr>
      <w:r>
        <w:rPr>
          <w:rStyle w:val="FootnoteReference"/>
        </w:rPr>
        <w:footnoteRef/>
      </w:r>
      <w:r>
        <w:t xml:space="preserve"> </w:t>
      </w:r>
      <w:r>
        <w:tab/>
        <w:t xml:space="preserve">Directive </w:t>
      </w:r>
      <w:hyperlink r:id="rId296" w:history="1">
        <w:r>
          <w:rPr>
            <w:rStyle w:val="Hyperlink"/>
          </w:rPr>
          <w:t>2002/47/EC</w:t>
        </w:r>
      </w:hyperlink>
      <w:r>
        <w:t>.</w:t>
      </w:r>
    </w:p>
  </w:footnote>
  <w:footnote w:id="208">
    <w:p>
      <w:pPr>
        <w:pStyle w:val="FootnoteText"/>
      </w:pPr>
      <w:r>
        <w:rPr>
          <w:rStyle w:val="FootnoteReference"/>
        </w:rPr>
        <w:footnoteRef/>
      </w:r>
      <w:r>
        <w:t xml:space="preserve"> </w:t>
      </w:r>
      <w:r>
        <w:tab/>
        <w:t xml:space="preserve">Private Equity Insurance Group, </w:t>
      </w:r>
      <w:hyperlink r:id="rId297" w:history="1">
        <w:r>
          <w:rPr>
            <w:rStyle w:val="Hyperlink"/>
          </w:rPr>
          <w:t>C-156/15</w:t>
        </w:r>
      </w:hyperlink>
      <w:r>
        <w:t>.</w:t>
      </w:r>
    </w:p>
  </w:footnote>
  <w:footnote w:id="209">
    <w:p>
      <w:pPr>
        <w:pStyle w:val="FootnoteText"/>
      </w:pPr>
      <w:r>
        <w:rPr>
          <w:rStyle w:val="FootnoteReference"/>
        </w:rPr>
        <w:footnoteRef/>
      </w:r>
      <w:r>
        <w:t xml:space="preserve"> </w:t>
      </w:r>
      <w:r>
        <w:tab/>
        <w:t xml:space="preserve">Directive </w:t>
      </w:r>
      <w:hyperlink r:id="rId298" w:history="1">
        <w:r>
          <w:rPr>
            <w:rStyle w:val="Hyperlink"/>
          </w:rPr>
          <w:t>2014/91/EU</w:t>
        </w:r>
      </w:hyperlink>
      <w:r>
        <w:t xml:space="preserve"> (so-called UCITS V).</w:t>
      </w:r>
    </w:p>
  </w:footnote>
  <w:footnote w:id="210">
    <w:p>
      <w:pPr>
        <w:pStyle w:val="FootnoteText"/>
      </w:pPr>
      <w:r>
        <w:rPr>
          <w:rStyle w:val="FootnoteReference"/>
        </w:rPr>
        <w:footnoteRef/>
      </w:r>
      <w:r>
        <w:t xml:space="preserve"> </w:t>
      </w:r>
      <w:r>
        <w:tab/>
        <w:t xml:space="preserve">Directive </w:t>
      </w:r>
      <w:hyperlink r:id="rId299" w:history="1">
        <w:r>
          <w:rPr>
            <w:rStyle w:val="Hyperlink"/>
          </w:rPr>
          <w:t>2014/17/EU</w:t>
        </w:r>
      </w:hyperlink>
      <w:r>
        <w:t>.</w:t>
      </w:r>
    </w:p>
  </w:footnote>
  <w:footnote w:id="211">
    <w:p>
      <w:pPr>
        <w:pStyle w:val="FootnoteText"/>
      </w:pPr>
      <w:r>
        <w:rPr>
          <w:rStyle w:val="FootnoteReference"/>
        </w:rPr>
        <w:footnoteRef/>
      </w:r>
      <w:r>
        <w:t xml:space="preserve"> </w:t>
      </w:r>
      <w:r>
        <w:tab/>
        <w:t xml:space="preserve">Directive </w:t>
      </w:r>
      <w:hyperlink r:id="rId300" w:history="1">
        <w:r>
          <w:rPr>
            <w:rStyle w:val="Hyperlink"/>
          </w:rPr>
          <w:t>2014/92/EU</w:t>
        </w:r>
      </w:hyperlink>
      <w:r>
        <w:t>.</w:t>
      </w:r>
    </w:p>
  </w:footnote>
  <w:footnote w:id="212">
    <w:p>
      <w:pPr>
        <w:pStyle w:val="FootnoteText"/>
      </w:pPr>
      <w:r>
        <w:rPr>
          <w:rStyle w:val="FootnoteReference"/>
        </w:rPr>
        <w:footnoteRef/>
      </w:r>
      <w:r>
        <w:t xml:space="preserve"> </w:t>
      </w:r>
      <w:r>
        <w:tab/>
        <w:t xml:space="preserve">Directive </w:t>
      </w:r>
      <w:hyperlink r:id="rId301" w:history="1">
        <w:r>
          <w:rPr>
            <w:rStyle w:val="Hyperlink"/>
          </w:rPr>
          <w:t>2014/56/EU</w:t>
        </w:r>
      </w:hyperlink>
      <w:r>
        <w:t>.</w:t>
      </w:r>
    </w:p>
  </w:footnote>
  <w:footnote w:id="213">
    <w:p>
      <w:pPr>
        <w:pStyle w:val="FootnoteText"/>
      </w:pPr>
      <w:r>
        <w:rPr>
          <w:rStyle w:val="FootnoteReference"/>
        </w:rPr>
        <w:footnoteRef/>
      </w:r>
      <w:r>
        <w:t xml:space="preserve"> </w:t>
      </w:r>
      <w:r>
        <w:tab/>
        <w:t xml:space="preserve">Directive </w:t>
      </w:r>
      <w:hyperlink r:id="rId302" w:history="1">
        <w:r>
          <w:rPr>
            <w:rStyle w:val="Hyperlink"/>
          </w:rPr>
          <w:t>2014/49/EU</w:t>
        </w:r>
      </w:hyperlink>
      <w:r>
        <w:t>.</w:t>
      </w:r>
    </w:p>
  </w:footnote>
  <w:footnote w:id="214">
    <w:p>
      <w:pPr>
        <w:pStyle w:val="FootnoteText"/>
      </w:pPr>
      <w:r>
        <w:rPr>
          <w:rStyle w:val="FootnoteReference"/>
        </w:rPr>
        <w:footnoteRef/>
      </w:r>
      <w:r>
        <w:t xml:space="preserve"> </w:t>
      </w:r>
      <w:r>
        <w:tab/>
        <w:t xml:space="preserve">Directive </w:t>
      </w:r>
      <w:hyperlink r:id="rId303" w:history="1">
        <w:r>
          <w:rPr>
            <w:rStyle w:val="Hyperlink"/>
          </w:rPr>
          <w:t>2014/95/EU</w:t>
        </w:r>
      </w:hyperlink>
      <w:r>
        <w:t>.</w:t>
      </w:r>
    </w:p>
  </w:footnote>
  <w:footnote w:id="215">
    <w:p>
      <w:pPr>
        <w:pStyle w:val="FootnoteText"/>
      </w:pPr>
      <w:r>
        <w:rPr>
          <w:rStyle w:val="FootnoteReference"/>
        </w:rPr>
        <w:footnoteRef/>
      </w:r>
      <w:r>
        <w:t xml:space="preserve"> </w:t>
      </w:r>
      <w:r>
        <w:tab/>
        <w:t>Regulation No </w:t>
      </w:r>
      <w:hyperlink r:id="rId304" w:history="1">
        <w:r>
          <w:rPr>
            <w:rStyle w:val="Hyperlink"/>
          </w:rPr>
          <w:t>853/2004</w:t>
        </w:r>
      </w:hyperlink>
      <w:r>
        <w:t xml:space="preserve"> and in Regulation No </w:t>
      </w:r>
      <w:hyperlink r:id="rId305" w:history="1">
        <w:r>
          <w:rPr>
            <w:rStyle w:val="Hyperlink"/>
          </w:rPr>
          <w:t>854/2004</w:t>
        </w:r>
      </w:hyperlink>
      <w:r>
        <w:t>.</w:t>
      </w:r>
    </w:p>
  </w:footnote>
  <w:footnote w:id="216">
    <w:p>
      <w:pPr>
        <w:pStyle w:val="FootnoteText"/>
      </w:pPr>
      <w:r>
        <w:rPr>
          <w:rStyle w:val="FootnoteReference"/>
        </w:rPr>
        <w:footnoteRef/>
      </w:r>
      <w:r>
        <w:t xml:space="preserve"> </w:t>
      </w:r>
      <w:r>
        <w:tab/>
        <w:t xml:space="preserve">Directive </w:t>
      </w:r>
      <w:hyperlink r:id="rId306" w:history="1">
        <w:r>
          <w:rPr>
            <w:rStyle w:val="Hyperlink"/>
          </w:rPr>
          <w:t>2014/40/EU</w:t>
        </w:r>
      </w:hyperlink>
      <w:r>
        <w:t xml:space="preserve">; </w:t>
      </w:r>
      <w:hyperlink r:id="rId307" w:history="1">
        <w:r>
          <w:rPr>
            <w:rStyle w:val="Hyperlink"/>
          </w:rPr>
          <w:t>MEMO/16/4211</w:t>
        </w:r>
      </w:hyperlink>
      <w:r>
        <w:t>.</w:t>
      </w:r>
    </w:p>
  </w:footnote>
  <w:footnote w:id="217">
    <w:p>
      <w:pPr>
        <w:pStyle w:val="FootnoteText"/>
      </w:pPr>
      <w:r>
        <w:rPr>
          <w:rStyle w:val="FootnoteReference"/>
        </w:rPr>
        <w:footnoteRef/>
      </w:r>
      <w:r>
        <w:t xml:space="preserve"> </w:t>
      </w:r>
      <w:r>
        <w:tab/>
        <w:t xml:space="preserve">Commission Implementing </w:t>
      </w:r>
      <w:hyperlink r:id="rId308" w:history="1">
        <w:r>
          <w:rPr>
            <w:rStyle w:val="Hyperlink"/>
          </w:rPr>
          <w:t>Decision (EU) 2015/789</w:t>
        </w:r>
      </w:hyperlink>
      <w:r>
        <w:t>.</w:t>
      </w:r>
    </w:p>
  </w:footnote>
  <w:footnote w:id="218">
    <w:p>
      <w:pPr>
        <w:pStyle w:val="FootnoteText"/>
      </w:pPr>
      <w:r>
        <w:rPr>
          <w:rStyle w:val="FootnoteReference"/>
        </w:rPr>
        <w:footnoteRef/>
      </w:r>
      <w:r>
        <w:t xml:space="preserve"> </w:t>
      </w:r>
      <w:r>
        <w:tab/>
      </w:r>
      <w:r>
        <w:rPr>
          <w:i/>
        </w:rPr>
        <w:t>Xylella fastidiosa</w:t>
      </w:r>
      <w:r>
        <w:t xml:space="preserve"> is one of the most dangerous plant bacteria worldwide, causing a variety of diseases, with huge economic impact for agriculture; </w:t>
      </w:r>
      <w:hyperlink r:id="rId309" w:history="1">
        <w:r>
          <w:rPr>
            <w:rStyle w:val="Hyperlink"/>
          </w:rPr>
          <w:t>MEMO/16/2490</w:t>
        </w:r>
      </w:hyperlink>
      <w:r>
        <w:t>.</w:t>
      </w:r>
    </w:p>
  </w:footnote>
  <w:footnote w:id="219">
    <w:p>
      <w:pPr>
        <w:pStyle w:val="FootnoteText"/>
        <w:rPr>
          <w:lang w:val="pt-PT"/>
        </w:rPr>
      </w:pPr>
      <w:r>
        <w:rPr>
          <w:rStyle w:val="FootnoteReference"/>
        </w:rPr>
        <w:footnoteRef/>
      </w:r>
      <w:r>
        <w:rPr>
          <w:lang w:val="pt-PT"/>
        </w:rPr>
        <w:t xml:space="preserve"> </w:t>
      </w:r>
      <w:r>
        <w:rPr>
          <w:lang w:val="pt-PT"/>
        </w:rPr>
        <w:tab/>
        <w:t xml:space="preserve">Directive </w:t>
      </w:r>
      <w:hyperlink r:id="rId310" w:history="1">
        <w:r>
          <w:rPr>
            <w:rStyle w:val="Hyperlink"/>
            <w:lang w:val="pt-PT"/>
          </w:rPr>
          <w:t>2011/24/EU</w:t>
        </w:r>
      </w:hyperlink>
      <w:r>
        <w:rPr>
          <w:rStyle w:val="Hyperlink"/>
          <w:lang w:val="pt-PT"/>
        </w:rPr>
        <w:t xml:space="preserve">; </w:t>
      </w:r>
      <w:hyperlink r:id="rId311" w:history="1">
        <w:r>
          <w:rPr>
            <w:rStyle w:val="Hyperlink"/>
            <w:lang w:val="pt-PT"/>
          </w:rPr>
          <w:t>MEMO/16/1452</w:t>
        </w:r>
      </w:hyperlink>
      <w:r>
        <w:rPr>
          <w:lang w:val="pt-PT"/>
        </w:rPr>
        <w:t>.</w:t>
      </w:r>
    </w:p>
  </w:footnote>
  <w:footnote w:id="220">
    <w:p>
      <w:pPr>
        <w:pStyle w:val="FootnoteText"/>
        <w:rPr>
          <w:lang w:val="pt-PT"/>
        </w:rPr>
      </w:pPr>
      <w:r>
        <w:rPr>
          <w:rStyle w:val="FootnoteReference"/>
        </w:rPr>
        <w:footnoteRef/>
      </w:r>
      <w:r>
        <w:rPr>
          <w:lang w:val="pt-PT"/>
        </w:rPr>
        <w:t xml:space="preserve"> </w:t>
      </w:r>
      <w:r>
        <w:rPr>
          <w:lang w:val="pt-PT"/>
        </w:rPr>
        <w:tab/>
        <w:t xml:space="preserve">Directives </w:t>
      </w:r>
      <w:hyperlink r:id="rId312" w:history="1">
        <w:r>
          <w:rPr>
            <w:rStyle w:val="Hyperlink"/>
            <w:lang w:val="pt-PT"/>
          </w:rPr>
          <w:t>2015/565/EU</w:t>
        </w:r>
      </w:hyperlink>
      <w:r>
        <w:rPr>
          <w:lang w:val="pt-PT"/>
        </w:rPr>
        <w:t xml:space="preserve"> and </w:t>
      </w:r>
      <w:hyperlink r:id="rId313" w:history="1">
        <w:r>
          <w:rPr>
            <w:rStyle w:val="Hyperlink"/>
            <w:lang w:val="pt-PT"/>
          </w:rPr>
          <w:t>2015/566/EU</w:t>
        </w:r>
      </w:hyperlink>
      <w:r>
        <w:rPr>
          <w:lang w:val="pt-PT"/>
        </w:rPr>
        <w:t>.</w:t>
      </w:r>
    </w:p>
  </w:footnote>
  <w:footnote w:id="221">
    <w:p>
      <w:pPr>
        <w:pStyle w:val="FootnoteText"/>
      </w:pPr>
      <w:r>
        <w:rPr>
          <w:rStyle w:val="FootnoteReference"/>
        </w:rPr>
        <w:footnoteRef/>
      </w:r>
      <w:r>
        <w:t xml:space="preserve"> </w:t>
      </w:r>
      <w:r>
        <w:tab/>
        <w:t xml:space="preserve">Directives </w:t>
      </w:r>
      <w:hyperlink r:id="rId314" w:history="1">
        <w:r>
          <w:rPr>
            <w:rStyle w:val="Hyperlink"/>
          </w:rPr>
          <w:t>2014/40/EU</w:t>
        </w:r>
      </w:hyperlink>
      <w:r>
        <w:t xml:space="preserve">; </w:t>
      </w:r>
      <w:hyperlink r:id="rId315" w:history="1">
        <w:r>
          <w:rPr>
            <w:rStyle w:val="Hyperlink"/>
          </w:rPr>
          <w:t>2014/109/EU</w:t>
        </w:r>
      </w:hyperlink>
      <w:r>
        <w:t>.</w:t>
      </w:r>
    </w:p>
  </w:footnote>
  <w:footnote w:id="222">
    <w:p>
      <w:pPr>
        <w:pStyle w:val="FootnoteText"/>
      </w:pPr>
      <w:r>
        <w:rPr>
          <w:rStyle w:val="FootnoteReference"/>
        </w:rPr>
        <w:footnoteRef/>
      </w:r>
      <w:r>
        <w:t xml:space="preserve"> </w:t>
      </w:r>
      <w:r>
        <w:tab/>
        <w:t xml:space="preserve">Directive </w:t>
      </w:r>
      <w:hyperlink r:id="rId316" w:history="1">
        <w:r>
          <w:rPr>
            <w:rStyle w:val="Hyperlink"/>
          </w:rPr>
          <w:t>2002/98/EC</w:t>
        </w:r>
      </w:hyperlink>
      <w:r>
        <w:t>.</w:t>
      </w:r>
    </w:p>
  </w:footnote>
  <w:footnote w:id="223">
    <w:p>
      <w:pPr>
        <w:pStyle w:val="FootnoteText"/>
      </w:pPr>
      <w:r>
        <w:rPr>
          <w:rStyle w:val="FootnoteReference"/>
        </w:rPr>
        <w:footnoteRef/>
      </w:r>
      <w:r>
        <w:t xml:space="preserve"> </w:t>
      </w:r>
      <w:r>
        <w:tab/>
        <w:t xml:space="preserve">Directive </w:t>
      </w:r>
      <w:hyperlink r:id="rId317" w:history="1">
        <w:r>
          <w:rPr>
            <w:rStyle w:val="Hyperlink"/>
          </w:rPr>
          <w:t>2008/120/EC</w:t>
        </w:r>
      </w:hyperlink>
      <w:r>
        <w:t>.</w:t>
      </w:r>
    </w:p>
  </w:footnote>
  <w:footnote w:id="224">
    <w:p>
      <w:pPr>
        <w:pStyle w:val="FootnoteText"/>
      </w:pPr>
      <w:r>
        <w:rPr>
          <w:rStyle w:val="FootnoteReference"/>
        </w:rPr>
        <w:footnoteRef/>
      </w:r>
      <w:r>
        <w:t xml:space="preserve"> </w:t>
      </w:r>
      <w:r>
        <w:tab/>
        <w:t>These rulings are almost exclusively handed down on infringement procedures.</w:t>
      </w:r>
    </w:p>
  </w:footnote>
  <w:footnote w:id="225">
    <w:p>
      <w:pPr>
        <w:pStyle w:val="FootnoteText"/>
      </w:pPr>
      <w:r>
        <w:rPr>
          <w:rStyle w:val="FootnoteReference"/>
        </w:rPr>
        <w:footnoteRef/>
      </w:r>
      <w:r>
        <w:t xml:space="preserve"> </w:t>
      </w:r>
      <w:r>
        <w:tab/>
        <w:t xml:space="preserve">Joined cases Pesce and Others, </w:t>
      </w:r>
      <w:hyperlink r:id="rId318" w:history="1">
        <w:r>
          <w:rPr>
            <w:rStyle w:val="Hyperlink"/>
          </w:rPr>
          <w:t>C-78/16</w:t>
        </w:r>
      </w:hyperlink>
      <w:r>
        <w:t>.</w:t>
      </w:r>
    </w:p>
  </w:footnote>
  <w:footnote w:id="226">
    <w:p>
      <w:pPr>
        <w:pStyle w:val="FootnoteText"/>
        <w:rPr>
          <w:lang w:val="hu-HU"/>
        </w:rPr>
      </w:pPr>
      <w:r>
        <w:rPr>
          <w:rStyle w:val="FootnoteReference"/>
        </w:rPr>
        <w:footnoteRef/>
      </w:r>
      <w:r>
        <w:rPr>
          <w:lang w:val="de-DE"/>
        </w:rPr>
        <w:t xml:space="preserve"> </w:t>
      </w:r>
      <w:r>
        <w:rPr>
          <w:lang w:val="de-DE"/>
        </w:rPr>
        <w:tab/>
        <w:t xml:space="preserve">Directive </w:t>
      </w:r>
      <w:hyperlink r:id="rId319" w:history="1">
        <w:r>
          <w:rPr>
            <w:rStyle w:val="Hyperlink"/>
            <w:lang w:val="de-DE"/>
          </w:rPr>
          <w:t>2000/13/EC</w:t>
        </w:r>
      </w:hyperlink>
      <w:r>
        <w:rPr>
          <w:lang w:val="de-DE"/>
        </w:rPr>
        <w:t>.</w:t>
      </w:r>
    </w:p>
  </w:footnote>
  <w:footnote w:id="227">
    <w:p>
      <w:pPr>
        <w:pStyle w:val="FootnoteText"/>
        <w:rPr>
          <w:lang w:val="de-DE"/>
        </w:rPr>
      </w:pPr>
      <w:r>
        <w:rPr>
          <w:rStyle w:val="FootnoteReference"/>
        </w:rPr>
        <w:footnoteRef/>
      </w:r>
      <w:r>
        <w:rPr>
          <w:lang w:val="de-DE"/>
        </w:rPr>
        <w:t xml:space="preserve"> </w:t>
      </w:r>
      <w:r>
        <w:rPr>
          <w:lang w:val="de-DE"/>
        </w:rPr>
        <w:tab/>
        <w:t xml:space="preserve">Breitsamer und Ulrich, </w:t>
      </w:r>
      <w:hyperlink r:id="rId320" w:history="1">
        <w:r>
          <w:rPr>
            <w:rStyle w:val="Hyperlink"/>
            <w:lang w:val="de-DE"/>
          </w:rPr>
          <w:t>C-113/15</w:t>
        </w:r>
      </w:hyperlink>
      <w:r>
        <w:rPr>
          <w:lang w:val="de-DE"/>
        </w:rPr>
        <w:t>.</w:t>
      </w:r>
    </w:p>
  </w:footnote>
  <w:footnote w:id="228">
    <w:p>
      <w:pPr>
        <w:pStyle w:val="FootnoteText"/>
        <w:rPr>
          <w:lang w:val="pt-PT"/>
        </w:rPr>
      </w:pPr>
      <w:r>
        <w:rPr>
          <w:rStyle w:val="FootnoteReference"/>
        </w:rPr>
        <w:footnoteRef/>
      </w:r>
      <w:r>
        <w:rPr>
          <w:lang w:val="pt-PT"/>
        </w:rPr>
        <w:t xml:space="preserve"> </w:t>
      </w:r>
      <w:r>
        <w:rPr>
          <w:lang w:val="pt-PT"/>
        </w:rPr>
        <w:tab/>
        <w:t xml:space="preserve">Davitas, </w:t>
      </w:r>
      <w:hyperlink r:id="rId321" w:history="1">
        <w:r>
          <w:rPr>
            <w:rStyle w:val="Hyperlink"/>
            <w:lang w:val="pt-PT"/>
          </w:rPr>
          <w:t>C-448/14</w:t>
        </w:r>
      </w:hyperlink>
      <w:r>
        <w:rPr>
          <w:lang w:val="pt-PT"/>
        </w:rPr>
        <w:t>.</w:t>
      </w:r>
    </w:p>
  </w:footnote>
  <w:footnote w:id="229">
    <w:p>
      <w:pPr>
        <w:pStyle w:val="FootnoteText"/>
        <w:rPr>
          <w:lang w:val="pt-PT"/>
        </w:rPr>
      </w:pPr>
      <w:r>
        <w:rPr>
          <w:rStyle w:val="FootnoteReference"/>
        </w:rPr>
        <w:footnoteRef/>
      </w:r>
      <w:r>
        <w:rPr>
          <w:lang w:val="pt-PT"/>
        </w:rPr>
        <w:t xml:space="preserve"> </w:t>
      </w:r>
      <w:r>
        <w:rPr>
          <w:lang w:val="pt-PT"/>
        </w:rPr>
        <w:tab/>
        <w:t xml:space="preserve">Directives </w:t>
      </w:r>
      <w:hyperlink r:id="rId322" w:history="1">
        <w:r>
          <w:rPr>
            <w:rStyle w:val="Hyperlink"/>
            <w:lang w:val="pt-PT"/>
          </w:rPr>
          <w:t>2011/24/EU</w:t>
        </w:r>
      </w:hyperlink>
      <w:r>
        <w:rPr>
          <w:rStyle w:val="Hyperlink"/>
          <w:lang w:val="pt-PT"/>
        </w:rPr>
        <w:t xml:space="preserve"> </w:t>
      </w:r>
      <w:r>
        <w:rPr>
          <w:rStyle w:val="Hyperlink"/>
          <w:color w:val="auto"/>
          <w:u w:val="none"/>
          <w:lang w:val="pt-PT"/>
        </w:rPr>
        <w:t>and</w:t>
      </w:r>
      <w:r>
        <w:rPr>
          <w:rStyle w:val="Hyperlink"/>
          <w:u w:val="none"/>
          <w:lang w:val="pt-PT"/>
        </w:rPr>
        <w:t xml:space="preserve"> </w:t>
      </w:r>
      <w:hyperlink r:id="rId323" w:history="1">
        <w:r>
          <w:rPr>
            <w:rStyle w:val="Hyperlink"/>
            <w:lang w:val="pt-PT"/>
          </w:rPr>
          <w:t>2014/40/EU</w:t>
        </w:r>
      </w:hyperlink>
      <w:r>
        <w:rPr>
          <w:lang w:val="pt-PT"/>
        </w:rPr>
        <w:t>.</w:t>
      </w:r>
    </w:p>
  </w:footnote>
  <w:footnote w:id="230">
    <w:p>
      <w:pPr>
        <w:pStyle w:val="FootnoteText"/>
      </w:pPr>
      <w:r>
        <w:rPr>
          <w:rStyle w:val="FootnoteReference"/>
        </w:rPr>
        <w:footnoteRef/>
      </w:r>
      <w:r>
        <w:t xml:space="preserve"> </w:t>
      </w:r>
      <w:r>
        <w:tab/>
      </w:r>
      <w:r>
        <w:rPr>
          <w:rStyle w:val="st"/>
        </w:rPr>
        <w:t>The Directorate-General for Internal Market, Industry, Entrepreneurship and SMEs (</w:t>
      </w:r>
      <w:r>
        <w:t xml:space="preserve">DG GROW) was created on 1 January 2015 as part of a reorganisation of the Commission. Consequently historical data for this area are not available. An overview of the practical management of the Single Market is available at:      </w:t>
      </w:r>
      <w:hyperlink r:id="rId324" w:history="1">
        <w:r>
          <w:rPr>
            <w:rStyle w:val="Hyperlink"/>
          </w:rPr>
          <w:t>http://ec.europa.eu/internal_market/scoreboard/</w:t>
        </w:r>
      </w:hyperlink>
      <w:r>
        <w:t>.</w:t>
      </w:r>
    </w:p>
  </w:footnote>
  <w:footnote w:id="231">
    <w:p>
      <w:pPr>
        <w:pStyle w:val="FootnoteText"/>
      </w:pPr>
      <w:r>
        <w:rPr>
          <w:rStyle w:val="FootnoteReference"/>
        </w:rPr>
        <w:footnoteRef/>
      </w:r>
      <w:r>
        <w:t xml:space="preserve"> </w:t>
      </w:r>
      <w:r>
        <w:tab/>
        <w:t>See footnote 1.</w:t>
      </w:r>
    </w:p>
  </w:footnote>
  <w:footnote w:id="232">
    <w:p>
      <w:pPr>
        <w:pStyle w:val="FootnoteText"/>
      </w:pPr>
      <w:r>
        <w:rPr>
          <w:rStyle w:val="FootnoteReference"/>
        </w:rPr>
        <w:footnoteRef/>
      </w:r>
      <w:r>
        <w:t xml:space="preserve"> </w:t>
      </w:r>
      <w:r>
        <w:tab/>
        <w:t xml:space="preserve">Directive </w:t>
      </w:r>
      <w:hyperlink r:id="rId325" w:history="1">
        <w:r>
          <w:rPr>
            <w:rStyle w:val="Hyperlink"/>
          </w:rPr>
          <w:t>2007/46/EC</w:t>
        </w:r>
      </w:hyperlink>
      <w:r>
        <w:t xml:space="preserve"> and Regulation </w:t>
      </w:r>
      <w:hyperlink r:id="rId326" w:history="1">
        <w:r>
          <w:rPr>
            <w:rStyle w:val="Hyperlink"/>
          </w:rPr>
          <w:t>715/2007</w:t>
        </w:r>
      </w:hyperlink>
      <w:r>
        <w:t>.</w:t>
      </w:r>
    </w:p>
  </w:footnote>
  <w:footnote w:id="233">
    <w:p>
      <w:pPr>
        <w:pStyle w:val="FootnoteText"/>
      </w:pPr>
      <w:r>
        <w:rPr>
          <w:rStyle w:val="FootnoteReference"/>
        </w:rPr>
        <w:footnoteRef/>
      </w:r>
      <w:r>
        <w:t xml:space="preserve"> </w:t>
      </w:r>
      <w:r>
        <w:tab/>
        <w:t xml:space="preserve">Directive </w:t>
      </w:r>
      <w:hyperlink r:id="rId327" w:history="1">
        <w:r>
          <w:rPr>
            <w:rStyle w:val="Hyperlink"/>
          </w:rPr>
          <w:t>2006/123/EC</w:t>
        </w:r>
      </w:hyperlink>
      <w:r>
        <w:t xml:space="preserve">; </w:t>
      </w:r>
      <w:hyperlink r:id="rId328" w:history="1">
        <w:r>
          <w:rPr>
            <w:rStyle w:val="Hyperlink"/>
          </w:rPr>
          <w:t>IP/16/323</w:t>
        </w:r>
      </w:hyperlink>
      <w:r>
        <w:rPr>
          <w:rStyle w:val="Hyperlink"/>
        </w:rPr>
        <w:t>,</w:t>
      </w:r>
      <w:r>
        <w:t xml:space="preserve"> </w:t>
      </w:r>
      <w:hyperlink r:id="rId329" w:history="1">
        <w:r>
          <w:rPr>
            <w:rStyle w:val="Hyperlink"/>
          </w:rPr>
          <w:t>MEMO/16/319</w:t>
        </w:r>
      </w:hyperlink>
      <w:r>
        <w:t xml:space="preserve">, </w:t>
      </w:r>
      <w:hyperlink r:id="rId330" w:history="1">
        <w:r>
          <w:rPr>
            <w:rStyle w:val="Hyperlink"/>
          </w:rPr>
          <w:t>IP/16/3646</w:t>
        </w:r>
      </w:hyperlink>
      <w:r>
        <w:rPr>
          <w:rStyle w:val="Hyperlink"/>
        </w:rPr>
        <w:t xml:space="preserve"> </w:t>
      </w:r>
      <w:r>
        <w:t xml:space="preserve">and </w:t>
      </w:r>
      <w:hyperlink r:id="rId331" w:history="1">
        <w:r>
          <w:rPr>
            <w:rStyle w:val="Hyperlink"/>
          </w:rPr>
          <w:t>MEMO/16/3644</w:t>
        </w:r>
      </w:hyperlink>
      <w:r>
        <w:t>.</w:t>
      </w:r>
    </w:p>
  </w:footnote>
  <w:footnote w:id="234">
    <w:p>
      <w:pPr>
        <w:pStyle w:val="FootnoteText"/>
        <w:rPr>
          <w:lang w:val="pt-PT"/>
        </w:rPr>
      </w:pPr>
      <w:r>
        <w:rPr>
          <w:rStyle w:val="FootnoteReference"/>
        </w:rPr>
        <w:footnoteRef/>
      </w:r>
      <w:r>
        <w:rPr>
          <w:lang w:val="pt-PT"/>
        </w:rPr>
        <w:t xml:space="preserve"> </w:t>
      </w:r>
      <w:r>
        <w:rPr>
          <w:lang w:val="pt-PT"/>
        </w:rPr>
        <w:tab/>
        <w:t xml:space="preserve">Directives </w:t>
      </w:r>
      <w:hyperlink r:id="rId332" w:history="1">
        <w:r>
          <w:rPr>
            <w:rStyle w:val="Hyperlink"/>
            <w:lang w:val="pt-PT"/>
          </w:rPr>
          <w:t>2014/23/EU</w:t>
        </w:r>
      </w:hyperlink>
      <w:r>
        <w:rPr>
          <w:lang w:val="pt-PT"/>
        </w:rPr>
        <w:t xml:space="preserve">, </w:t>
      </w:r>
      <w:hyperlink r:id="rId333" w:history="1">
        <w:r>
          <w:rPr>
            <w:rStyle w:val="Hyperlink"/>
            <w:lang w:val="pt-PT"/>
          </w:rPr>
          <w:t>2014/24/EU</w:t>
        </w:r>
      </w:hyperlink>
      <w:r>
        <w:rPr>
          <w:lang w:val="pt-PT"/>
        </w:rPr>
        <w:t xml:space="preserve"> and </w:t>
      </w:r>
      <w:hyperlink r:id="rId334" w:history="1">
        <w:r>
          <w:rPr>
            <w:rStyle w:val="Hyperlink"/>
            <w:lang w:val="pt-PT"/>
          </w:rPr>
          <w:t>2014/25/EU</w:t>
        </w:r>
      </w:hyperlink>
      <w:r>
        <w:rPr>
          <w:lang w:val="pt-PT"/>
        </w:rPr>
        <w:t xml:space="preserve">; </w:t>
      </w:r>
      <w:hyperlink r:id="rId335" w:history="1">
        <w:r>
          <w:rPr>
            <w:rStyle w:val="Hyperlink"/>
            <w:lang w:val="pt-PT"/>
          </w:rPr>
          <w:t>MEMO/16/1823</w:t>
        </w:r>
      </w:hyperlink>
      <w:r>
        <w:rPr>
          <w:lang w:val="pt-PT"/>
        </w:rPr>
        <w:t>.</w:t>
      </w:r>
    </w:p>
  </w:footnote>
  <w:footnote w:id="235">
    <w:p>
      <w:pPr>
        <w:pStyle w:val="FootnoteText"/>
      </w:pPr>
      <w:r>
        <w:rPr>
          <w:rStyle w:val="FootnoteReference"/>
        </w:rPr>
        <w:footnoteRef/>
      </w:r>
      <w:r>
        <w:t xml:space="preserve"> </w:t>
      </w:r>
      <w:r>
        <w:tab/>
        <w:t xml:space="preserve">Directive </w:t>
      </w:r>
      <w:hyperlink r:id="rId336" w:history="1">
        <w:r>
          <w:rPr>
            <w:rStyle w:val="Hyperlink"/>
          </w:rPr>
          <w:t>2007/46/EC</w:t>
        </w:r>
      </w:hyperlink>
      <w:r>
        <w:t xml:space="preserve"> and Regulation </w:t>
      </w:r>
      <w:hyperlink r:id="rId337" w:history="1">
        <w:r>
          <w:rPr>
            <w:rStyle w:val="Hyperlink"/>
          </w:rPr>
          <w:t>2007/715/EC</w:t>
        </w:r>
      </w:hyperlink>
      <w:r>
        <w:t xml:space="preserve">; </w:t>
      </w:r>
      <w:hyperlink r:id="rId338" w:history="1">
        <w:r>
          <w:rPr>
            <w:rStyle w:val="Hyperlink"/>
          </w:rPr>
          <w:t>IP/16/4214</w:t>
        </w:r>
      </w:hyperlink>
      <w:r>
        <w:t>.</w:t>
      </w:r>
    </w:p>
  </w:footnote>
  <w:footnote w:id="236">
    <w:p>
      <w:pPr>
        <w:pStyle w:val="FootnoteText"/>
      </w:pPr>
      <w:r>
        <w:rPr>
          <w:rStyle w:val="FootnoteReference"/>
        </w:rPr>
        <w:footnoteRef/>
      </w:r>
      <w:r>
        <w:t xml:space="preserve"> </w:t>
      </w:r>
      <w:r>
        <w:tab/>
        <w:t xml:space="preserve">Directive </w:t>
      </w:r>
      <w:hyperlink r:id="rId339" w:history="1">
        <w:r>
          <w:rPr>
            <w:rStyle w:val="Hyperlink"/>
          </w:rPr>
          <w:t>2006/123/EC</w:t>
        </w:r>
      </w:hyperlink>
      <w:r>
        <w:rPr>
          <w:rStyle w:val="Hyperlink"/>
        </w:rPr>
        <w:t>.</w:t>
      </w:r>
    </w:p>
  </w:footnote>
  <w:footnote w:id="237">
    <w:p>
      <w:pPr>
        <w:pStyle w:val="FootnoteText"/>
      </w:pPr>
      <w:r>
        <w:rPr>
          <w:rStyle w:val="FootnoteReference"/>
        </w:rPr>
        <w:footnoteRef/>
      </w:r>
      <w:r>
        <w:t xml:space="preserve"> </w:t>
      </w:r>
      <w:r>
        <w:tab/>
        <w:t xml:space="preserve">Directive </w:t>
      </w:r>
      <w:hyperlink r:id="rId340" w:history="1">
        <w:r>
          <w:rPr>
            <w:rStyle w:val="Hyperlink"/>
          </w:rPr>
          <w:t>2005/36/EC</w:t>
        </w:r>
      </w:hyperlink>
      <w:r>
        <w:rPr>
          <w:rStyle w:val="Hyperlink"/>
        </w:rPr>
        <w:t>.</w:t>
      </w:r>
    </w:p>
  </w:footnote>
  <w:footnote w:id="238">
    <w:p>
      <w:pPr>
        <w:pStyle w:val="FootnoteText"/>
      </w:pPr>
      <w:r>
        <w:rPr>
          <w:rStyle w:val="FootnoteReference"/>
        </w:rPr>
        <w:footnoteRef/>
      </w:r>
      <w:r>
        <w:t xml:space="preserve"> </w:t>
      </w:r>
      <w:r>
        <w:tab/>
        <w:t xml:space="preserve">Directive </w:t>
      </w:r>
      <w:hyperlink r:id="rId341" w:history="1">
        <w:r>
          <w:rPr>
            <w:rStyle w:val="Hyperlink"/>
          </w:rPr>
          <w:t>2006/123/EC</w:t>
        </w:r>
      </w:hyperlink>
      <w:r>
        <w:rPr>
          <w:rStyle w:val="Hyperlink"/>
        </w:rPr>
        <w:t xml:space="preserve">; </w:t>
      </w:r>
      <w:hyperlink r:id="rId342" w:history="1">
        <w:r>
          <w:rPr>
            <w:rStyle w:val="Hyperlink"/>
          </w:rPr>
          <w:t>MEMO/16/3125</w:t>
        </w:r>
      </w:hyperlink>
      <w:r>
        <w:rPr>
          <w:rStyle w:val="Hyperlink"/>
          <w:color w:val="auto"/>
          <w:u w:val="none"/>
        </w:rPr>
        <w:t>.</w:t>
      </w:r>
    </w:p>
  </w:footnote>
  <w:footnote w:id="239">
    <w:p>
      <w:pPr>
        <w:pStyle w:val="FootnoteText"/>
      </w:pPr>
      <w:r>
        <w:rPr>
          <w:rStyle w:val="FootnoteReference"/>
        </w:rPr>
        <w:footnoteRef/>
      </w:r>
      <w:r>
        <w:t xml:space="preserve"> </w:t>
      </w:r>
      <w:r>
        <w:tab/>
      </w:r>
      <w:hyperlink r:id="rId343" w:history="1">
        <w:r>
          <w:rPr>
            <w:rStyle w:val="Hyperlink"/>
            <w:color w:val="auto"/>
            <w:u w:val="none"/>
          </w:rPr>
          <w:t xml:space="preserve">Directive </w:t>
        </w:r>
        <w:r>
          <w:rPr>
            <w:rStyle w:val="Hyperlink"/>
          </w:rPr>
          <w:t>92/13/EEC</w:t>
        </w:r>
      </w:hyperlink>
      <w:r>
        <w:rPr>
          <w:rStyle w:val="Hyperlink"/>
          <w:color w:val="auto"/>
          <w:u w:val="none"/>
        </w:rPr>
        <w:t>;</w:t>
      </w:r>
      <w:r>
        <w:t xml:space="preserve"> </w:t>
      </w:r>
      <w:hyperlink r:id="rId344" w:history="1">
        <w:r>
          <w:rPr>
            <w:rStyle w:val="Hyperlink"/>
          </w:rPr>
          <w:t>MEMO/16/3125</w:t>
        </w:r>
      </w:hyperlink>
      <w:r>
        <w:t>.</w:t>
      </w:r>
    </w:p>
  </w:footnote>
  <w:footnote w:id="240">
    <w:p>
      <w:pPr>
        <w:pStyle w:val="FootnoteText"/>
      </w:pPr>
      <w:r>
        <w:rPr>
          <w:rStyle w:val="FootnoteReference"/>
        </w:rPr>
        <w:footnoteRef/>
      </w:r>
      <w:r>
        <w:t xml:space="preserve"> </w:t>
      </w:r>
      <w:r>
        <w:tab/>
        <w:t xml:space="preserve">Commission v Czech Republic, </w:t>
      </w:r>
      <w:hyperlink r:id="rId345" w:history="1">
        <w:r>
          <w:rPr>
            <w:rStyle w:val="Hyperlink"/>
          </w:rPr>
          <w:t>C-575/16</w:t>
        </w:r>
      </w:hyperlink>
      <w:r>
        <w:t xml:space="preserve">; </w:t>
      </w:r>
      <w:hyperlink r:id="rId346" w:history="1">
        <w:r>
          <w:rPr>
            <w:rStyle w:val="Hyperlink"/>
          </w:rPr>
          <w:t>IP/16/322</w:t>
        </w:r>
      </w:hyperlink>
      <w:r>
        <w:t xml:space="preserve"> and </w:t>
      </w:r>
      <w:hyperlink r:id="rId347" w:history="1">
        <w:r>
          <w:rPr>
            <w:rStyle w:val="Hyperlink"/>
          </w:rPr>
          <w:t>MEMO/16/319</w:t>
        </w:r>
      </w:hyperlink>
      <w:r>
        <w:rPr>
          <w:rStyle w:val="Hyperlink"/>
        </w:rPr>
        <w:t>.</w:t>
      </w:r>
    </w:p>
  </w:footnote>
  <w:footnote w:id="241">
    <w:p>
      <w:pPr>
        <w:pStyle w:val="FootnoteText"/>
      </w:pPr>
      <w:r>
        <w:rPr>
          <w:rStyle w:val="FootnoteReference"/>
        </w:rPr>
        <w:footnoteRef/>
      </w:r>
      <w:r>
        <w:t xml:space="preserve"> </w:t>
      </w:r>
      <w:r>
        <w:tab/>
        <w:t xml:space="preserve">Directives </w:t>
      </w:r>
      <w:hyperlink r:id="rId348" w:history="1">
        <w:r>
          <w:rPr>
            <w:rStyle w:val="Hyperlink"/>
          </w:rPr>
          <w:t>92/50/EC</w:t>
        </w:r>
      </w:hyperlink>
      <w:r>
        <w:t xml:space="preserve"> and </w:t>
      </w:r>
      <w:hyperlink r:id="rId349" w:history="1">
        <w:r>
          <w:rPr>
            <w:rStyle w:val="Hyperlink"/>
          </w:rPr>
          <w:t>2004/18/EC</w:t>
        </w:r>
      </w:hyperlink>
      <w:r>
        <w:t xml:space="preserve">; Commission v Austria, </w:t>
      </w:r>
      <w:hyperlink r:id="rId350" w:history="1">
        <w:r>
          <w:rPr>
            <w:rStyle w:val="Hyperlink"/>
          </w:rPr>
          <w:t>C-187/16</w:t>
        </w:r>
      </w:hyperlink>
      <w:r>
        <w:t xml:space="preserve">; </w:t>
      </w:r>
      <w:hyperlink r:id="rId351" w:history="1">
        <w:r>
          <w:rPr>
            <w:rStyle w:val="Hyperlink"/>
          </w:rPr>
          <w:t>IP/15/6226</w:t>
        </w:r>
      </w:hyperlink>
      <w:r>
        <w:rPr>
          <w:rStyle w:val="Hyperlink"/>
        </w:rPr>
        <w:t>.</w:t>
      </w:r>
    </w:p>
  </w:footnote>
  <w:footnote w:id="242">
    <w:p>
      <w:pPr>
        <w:pStyle w:val="FootnoteText"/>
        <w:rPr>
          <w:lang w:val="pt-PT"/>
        </w:rPr>
      </w:pPr>
      <w:r>
        <w:rPr>
          <w:rStyle w:val="FootnoteReference"/>
        </w:rPr>
        <w:footnoteRef/>
      </w:r>
      <w:r>
        <w:rPr>
          <w:lang w:val="pt-PT"/>
        </w:rPr>
        <w:t xml:space="preserve"> </w:t>
      </w:r>
      <w:r>
        <w:rPr>
          <w:lang w:val="pt-PT"/>
        </w:rPr>
        <w:tab/>
        <w:t xml:space="preserve">Directives </w:t>
      </w:r>
      <w:hyperlink r:id="rId352" w:history="1">
        <w:r>
          <w:rPr>
            <w:rStyle w:val="Hyperlink"/>
            <w:lang w:val="pt-PT"/>
          </w:rPr>
          <w:t>2014/23/EU</w:t>
        </w:r>
      </w:hyperlink>
      <w:r>
        <w:rPr>
          <w:lang w:val="pt-PT"/>
        </w:rPr>
        <w:t xml:space="preserve">, </w:t>
      </w:r>
      <w:hyperlink r:id="rId353" w:history="1">
        <w:r>
          <w:rPr>
            <w:rStyle w:val="Hyperlink"/>
            <w:lang w:val="pt-PT"/>
          </w:rPr>
          <w:t>2014/24/EU</w:t>
        </w:r>
      </w:hyperlink>
      <w:r>
        <w:rPr>
          <w:lang w:val="pt-PT"/>
        </w:rPr>
        <w:t xml:space="preserve"> and </w:t>
      </w:r>
      <w:hyperlink r:id="rId354" w:history="1">
        <w:r>
          <w:rPr>
            <w:rStyle w:val="Hyperlink"/>
            <w:lang w:val="pt-PT"/>
          </w:rPr>
          <w:t>2014/25/EU</w:t>
        </w:r>
      </w:hyperlink>
      <w:r>
        <w:rPr>
          <w:lang w:val="pt-PT"/>
        </w:rPr>
        <w:t xml:space="preserve">; </w:t>
      </w:r>
      <w:hyperlink r:id="rId355" w:history="1">
        <w:r>
          <w:rPr>
            <w:rStyle w:val="Hyperlink"/>
            <w:lang w:val="pt-PT"/>
          </w:rPr>
          <w:t>MEMO/16/1823</w:t>
        </w:r>
      </w:hyperlink>
      <w:r>
        <w:rPr>
          <w:lang w:val="pt-PT"/>
        </w:rPr>
        <w:t>.</w:t>
      </w:r>
    </w:p>
  </w:footnote>
  <w:footnote w:id="243">
    <w:p>
      <w:pPr>
        <w:pStyle w:val="FootnoteText"/>
        <w:rPr>
          <w:lang w:val="pt-PT"/>
        </w:rPr>
      </w:pPr>
      <w:r>
        <w:rPr>
          <w:rStyle w:val="FootnoteReference"/>
        </w:rPr>
        <w:footnoteRef/>
      </w:r>
      <w:r>
        <w:rPr>
          <w:lang w:val="pt-PT"/>
        </w:rPr>
        <w:t xml:space="preserve"> </w:t>
      </w:r>
      <w:r>
        <w:rPr>
          <w:lang w:val="pt-PT"/>
        </w:rPr>
        <w:tab/>
        <w:t xml:space="preserve">Directives </w:t>
      </w:r>
      <w:hyperlink r:id="rId356" w:history="1">
        <w:r>
          <w:rPr>
            <w:rStyle w:val="Hyperlink"/>
            <w:lang w:val="pt-PT"/>
          </w:rPr>
          <w:t>2014/31/EU</w:t>
        </w:r>
      </w:hyperlink>
      <w:r>
        <w:rPr>
          <w:lang w:val="pt-PT"/>
        </w:rPr>
        <w:t xml:space="preserve">, </w:t>
      </w:r>
      <w:hyperlink r:id="rId357" w:history="1">
        <w:r>
          <w:rPr>
            <w:rStyle w:val="Hyperlink"/>
            <w:lang w:val="pt-PT"/>
          </w:rPr>
          <w:t>2014/32/EU</w:t>
        </w:r>
      </w:hyperlink>
      <w:r>
        <w:rPr>
          <w:lang w:val="pt-PT"/>
        </w:rPr>
        <w:t xml:space="preserve"> and </w:t>
      </w:r>
      <w:hyperlink r:id="rId358" w:history="1">
        <w:r>
          <w:rPr>
            <w:rStyle w:val="Hyperlink"/>
            <w:lang w:val="pt-PT"/>
          </w:rPr>
          <w:t>2015/13/EU</w:t>
        </w:r>
      </w:hyperlink>
      <w:r>
        <w:rPr>
          <w:lang w:val="pt-PT"/>
        </w:rPr>
        <w:t xml:space="preserve">. </w:t>
      </w:r>
      <w:r>
        <w:rPr>
          <w:rFonts w:eastAsia="Calibri"/>
          <w:lang w:val="pt-PT"/>
        </w:rPr>
        <w:t>.</w:t>
      </w:r>
    </w:p>
  </w:footnote>
  <w:footnote w:id="244">
    <w:p>
      <w:pPr>
        <w:pStyle w:val="FootnoteText"/>
        <w:rPr>
          <w:lang w:val="pt-PT"/>
        </w:rPr>
      </w:pPr>
      <w:r>
        <w:rPr>
          <w:rStyle w:val="FootnoteReference"/>
        </w:rPr>
        <w:footnoteRef/>
      </w:r>
      <w:r>
        <w:rPr>
          <w:lang w:val="pt-PT"/>
        </w:rPr>
        <w:t xml:space="preserve"> </w:t>
      </w:r>
      <w:r>
        <w:rPr>
          <w:lang w:val="pt-PT"/>
        </w:rPr>
        <w:tab/>
        <w:t xml:space="preserve">Directives </w:t>
      </w:r>
      <w:hyperlink r:id="rId359" w:history="1">
        <w:r>
          <w:rPr>
            <w:rStyle w:val="Hyperlink"/>
            <w:lang w:val="pt-PT"/>
          </w:rPr>
          <w:t>2013/53/EU</w:t>
        </w:r>
      </w:hyperlink>
      <w:r>
        <w:rPr>
          <w:lang w:val="pt-PT"/>
        </w:rPr>
        <w:t xml:space="preserve">, </w:t>
      </w:r>
      <w:hyperlink r:id="rId360" w:history="1">
        <w:r>
          <w:rPr>
            <w:rStyle w:val="Hyperlink"/>
            <w:lang w:val="pt-PT"/>
          </w:rPr>
          <w:t>2014/29/EU</w:t>
        </w:r>
      </w:hyperlink>
      <w:r>
        <w:rPr>
          <w:lang w:val="pt-PT"/>
        </w:rPr>
        <w:t xml:space="preserve">, </w:t>
      </w:r>
      <w:hyperlink r:id="rId361" w:history="1">
        <w:r>
          <w:rPr>
            <w:rStyle w:val="Hyperlink"/>
            <w:lang w:val="pt-PT"/>
          </w:rPr>
          <w:t>2014/30/EU</w:t>
        </w:r>
      </w:hyperlink>
      <w:r>
        <w:rPr>
          <w:lang w:val="pt-PT"/>
        </w:rPr>
        <w:t xml:space="preserve">, </w:t>
      </w:r>
      <w:hyperlink r:id="rId362" w:history="1">
        <w:r>
          <w:rPr>
            <w:rStyle w:val="Hyperlink"/>
            <w:lang w:val="pt-PT"/>
          </w:rPr>
          <w:t>2014/33/EU</w:t>
        </w:r>
      </w:hyperlink>
      <w:r>
        <w:rPr>
          <w:lang w:val="pt-PT"/>
        </w:rPr>
        <w:t xml:space="preserve">, </w:t>
      </w:r>
      <w:hyperlink r:id="rId363" w:history="1">
        <w:r>
          <w:rPr>
            <w:rStyle w:val="Hyperlink"/>
            <w:lang w:val="pt-PT"/>
          </w:rPr>
          <w:t>2014/34/EU</w:t>
        </w:r>
      </w:hyperlink>
      <w:r>
        <w:rPr>
          <w:lang w:val="pt-PT"/>
        </w:rPr>
        <w:t xml:space="preserve">, </w:t>
      </w:r>
      <w:hyperlink r:id="rId364" w:history="1">
        <w:r>
          <w:rPr>
            <w:rStyle w:val="Hyperlink"/>
            <w:lang w:val="pt-PT"/>
          </w:rPr>
          <w:t>2014/35/EU</w:t>
        </w:r>
      </w:hyperlink>
      <w:r>
        <w:rPr>
          <w:lang w:val="pt-PT"/>
        </w:rPr>
        <w:t xml:space="preserve">, </w:t>
      </w:r>
      <w:hyperlink r:id="rId365" w:history="1">
        <w:r>
          <w:rPr>
            <w:rStyle w:val="Hyperlink"/>
            <w:lang w:val="pt-PT"/>
          </w:rPr>
          <w:t>2014/53/EU</w:t>
        </w:r>
      </w:hyperlink>
      <w:r>
        <w:rPr>
          <w:lang w:val="pt-PT"/>
        </w:rPr>
        <w:t xml:space="preserve"> and </w:t>
      </w:r>
      <w:hyperlink r:id="rId366" w:history="1">
        <w:r>
          <w:rPr>
            <w:rStyle w:val="Hyperlink"/>
            <w:lang w:val="pt-PT"/>
          </w:rPr>
          <w:t>2014/68/EU</w:t>
        </w:r>
      </w:hyperlink>
      <w:r>
        <w:rPr>
          <w:lang w:val="pt-PT"/>
        </w:rPr>
        <w:t>.</w:t>
      </w:r>
    </w:p>
  </w:footnote>
  <w:footnote w:id="245">
    <w:p>
      <w:pPr>
        <w:pStyle w:val="FootnoteText"/>
      </w:pPr>
      <w:r>
        <w:rPr>
          <w:rStyle w:val="FootnoteReference"/>
        </w:rPr>
        <w:footnoteRef/>
      </w:r>
      <w:r>
        <w:t xml:space="preserve"> </w:t>
      </w:r>
      <w:r>
        <w:tab/>
        <w:t xml:space="preserve">Directives </w:t>
      </w:r>
      <w:hyperlink r:id="rId367" w:history="1">
        <w:r>
          <w:rPr>
            <w:rStyle w:val="Hyperlink"/>
          </w:rPr>
          <w:t>2014/28/EU</w:t>
        </w:r>
      </w:hyperlink>
      <w:r>
        <w:t xml:space="preserve"> and </w:t>
      </w:r>
      <w:hyperlink r:id="rId368" w:history="1">
        <w:r>
          <w:rPr>
            <w:rStyle w:val="Hyperlink"/>
          </w:rPr>
          <w:t>2016/970/EU</w:t>
        </w:r>
      </w:hyperlink>
      <w:r>
        <w:t>.</w:t>
      </w:r>
    </w:p>
  </w:footnote>
  <w:footnote w:id="246">
    <w:p>
      <w:pPr>
        <w:pStyle w:val="FootnoteText"/>
      </w:pPr>
      <w:r>
        <w:rPr>
          <w:rStyle w:val="FootnoteReference"/>
        </w:rPr>
        <w:footnoteRef/>
      </w:r>
      <w:r>
        <w:t xml:space="preserve"> </w:t>
      </w:r>
      <w:r>
        <w:tab/>
        <w:t xml:space="preserve">Directive </w:t>
      </w:r>
      <w:hyperlink r:id="rId369" w:history="1">
        <w:r>
          <w:rPr>
            <w:rStyle w:val="Hyperlink"/>
          </w:rPr>
          <w:t>2013/55/EU</w:t>
        </w:r>
      </w:hyperlink>
      <w:r>
        <w:t>.</w:t>
      </w:r>
    </w:p>
  </w:footnote>
  <w:footnote w:id="247">
    <w:p>
      <w:pPr>
        <w:pStyle w:val="FootnoteText"/>
      </w:pPr>
      <w:r>
        <w:rPr>
          <w:rStyle w:val="FootnoteReference"/>
        </w:rPr>
        <w:footnoteRef/>
      </w:r>
      <w:r>
        <w:t xml:space="preserve"> </w:t>
      </w:r>
      <w:r>
        <w:tab/>
        <w:t>These rulings are almost exclusively handed down on infringement procedures.</w:t>
      </w:r>
    </w:p>
  </w:footnote>
  <w:footnote w:id="248">
    <w:p>
      <w:pPr>
        <w:pStyle w:val="FootnoteText"/>
      </w:pPr>
      <w:r>
        <w:rPr>
          <w:rStyle w:val="FootnoteReference"/>
        </w:rPr>
        <w:footnoteRef/>
      </w:r>
      <w:r>
        <w:t xml:space="preserve"> </w:t>
      </w:r>
      <w:r>
        <w:tab/>
        <w:t xml:space="preserve">Commission v Czech Republic, </w:t>
      </w:r>
      <w:hyperlink r:id="rId370" w:history="1">
        <w:r>
          <w:rPr>
            <w:rStyle w:val="Hyperlink"/>
          </w:rPr>
          <w:t>C-525/14</w:t>
        </w:r>
      </w:hyperlink>
      <w:r>
        <w:rPr>
          <w:rStyle w:val="Hyperlink"/>
        </w:rPr>
        <w:t>.</w:t>
      </w:r>
    </w:p>
  </w:footnote>
  <w:footnote w:id="249">
    <w:p>
      <w:pPr>
        <w:pStyle w:val="FootnoteText"/>
      </w:pPr>
      <w:r>
        <w:rPr>
          <w:rStyle w:val="FootnoteReference"/>
        </w:rPr>
        <w:footnoteRef/>
      </w:r>
      <w:r>
        <w:t xml:space="preserve"> </w:t>
      </w:r>
      <w:r>
        <w:tab/>
        <w:t xml:space="preserve">Directive </w:t>
      </w:r>
      <w:hyperlink r:id="rId371" w:history="1">
        <w:r>
          <w:rPr>
            <w:rStyle w:val="Hyperlink"/>
          </w:rPr>
          <w:t>2007/23/EC</w:t>
        </w:r>
      </w:hyperlink>
      <w:r>
        <w:t>.</w:t>
      </w:r>
    </w:p>
  </w:footnote>
  <w:footnote w:id="250">
    <w:p>
      <w:pPr>
        <w:pStyle w:val="FootnoteText"/>
      </w:pPr>
      <w:r>
        <w:rPr>
          <w:rStyle w:val="FootnoteReference"/>
        </w:rPr>
        <w:footnoteRef/>
      </w:r>
      <w:r>
        <w:t xml:space="preserve"> </w:t>
      </w:r>
      <w:r>
        <w:tab/>
        <w:t xml:space="preserve">Commission v Germany, </w:t>
      </w:r>
      <w:hyperlink r:id="rId372" w:history="1">
        <w:r>
          <w:rPr>
            <w:rStyle w:val="Hyperlink"/>
          </w:rPr>
          <w:t>C-220/15</w:t>
        </w:r>
      </w:hyperlink>
      <w:r>
        <w:rPr>
          <w:rStyle w:val="Hyperlink"/>
        </w:rPr>
        <w:t>.</w:t>
      </w:r>
    </w:p>
  </w:footnote>
  <w:footnote w:id="251">
    <w:p>
      <w:pPr>
        <w:pStyle w:val="FootnoteText"/>
      </w:pPr>
      <w:r>
        <w:rPr>
          <w:rStyle w:val="FootnoteReference"/>
        </w:rPr>
        <w:footnoteRef/>
      </w:r>
      <w:r>
        <w:t xml:space="preserve"> </w:t>
      </w:r>
      <w:r>
        <w:tab/>
        <w:t xml:space="preserve">Directive </w:t>
      </w:r>
      <w:hyperlink r:id="rId373" w:history="1">
        <w:r>
          <w:rPr>
            <w:rStyle w:val="Hyperlink"/>
          </w:rPr>
          <w:t>2006/123/EC</w:t>
        </w:r>
      </w:hyperlink>
      <w:r>
        <w:rPr>
          <w:rStyle w:val="Hyperlink"/>
        </w:rPr>
        <w:t>.</w:t>
      </w:r>
    </w:p>
  </w:footnote>
  <w:footnote w:id="252">
    <w:p>
      <w:pPr>
        <w:pStyle w:val="FootnoteText"/>
      </w:pPr>
      <w:r>
        <w:rPr>
          <w:rStyle w:val="FootnoteReference"/>
        </w:rPr>
        <w:footnoteRef/>
      </w:r>
      <w:r>
        <w:t xml:space="preserve"> </w:t>
      </w:r>
      <w:r>
        <w:tab/>
        <w:t xml:space="preserve">Commission v Hungary, </w:t>
      </w:r>
      <w:hyperlink r:id="rId374" w:history="1">
        <w:r>
          <w:rPr>
            <w:rStyle w:val="Hyperlink"/>
          </w:rPr>
          <w:t>C-179/14</w:t>
        </w:r>
      </w:hyperlink>
      <w:r>
        <w:rPr>
          <w:rStyle w:val="Hyperlink"/>
        </w:rPr>
        <w:t>.</w:t>
      </w:r>
    </w:p>
  </w:footnote>
  <w:footnote w:id="253">
    <w:p>
      <w:pPr>
        <w:pStyle w:val="FootnoteText"/>
      </w:pPr>
      <w:r>
        <w:rPr>
          <w:rStyle w:val="FootnoteReference"/>
        </w:rPr>
        <w:footnoteRef/>
      </w:r>
      <w:r>
        <w:t xml:space="preserve"> </w:t>
      </w:r>
      <w:r>
        <w:tab/>
      </w:r>
      <w:r>
        <w:rPr>
          <w:rStyle w:val="affairetitle"/>
        </w:rPr>
        <w:t xml:space="preserve">Etablissements Fr. Colruyt, </w:t>
      </w:r>
      <w:hyperlink r:id="rId375" w:history="1">
        <w:r>
          <w:rPr>
            <w:rStyle w:val="Hyperlink"/>
          </w:rPr>
          <w:t>C-221/15</w:t>
        </w:r>
      </w:hyperlink>
      <w:r>
        <w:t>.</w:t>
      </w:r>
    </w:p>
  </w:footnote>
  <w:footnote w:id="254">
    <w:p>
      <w:pPr>
        <w:pStyle w:val="FootnoteText"/>
      </w:pPr>
      <w:r>
        <w:rPr>
          <w:rStyle w:val="FootnoteReference"/>
        </w:rPr>
        <w:footnoteRef/>
      </w:r>
      <w:r>
        <w:t xml:space="preserve"> </w:t>
      </w:r>
      <w:r>
        <w:tab/>
      </w:r>
      <w:r>
        <w:rPr>
          <w:rStyle w:val="affairetitle"/>
        </w:rPr>
        <w:t xml:space="preserve">New Valmar, </w:t>
      </w:r>
      <w:hyperlink r:id="rId376" w:history="1">
        <w:r>
          <w:rPr>
            <w:rStyle w:val="Hyperlink"/>
          </w:rPr>
          <w:t>C-15/15</w:t>
        </w:r>
      </w:hyperlink>
      <w:r>
        <w:t>, Court press release No </w:t>
      </w:r>
      <w:hyperlink r:id="rId377" w:history="1">
        <w:r>
          <w:rPr>
            <w:rStyle w:val="Hyperlink"/>
          </w:rPr>
          <w:t>66/2016</w:t>
        </w:r>
      </w:hyperlink>
      <w:r>
        <w:t>.</w:t>
      </w:r>
    </w:p>
  </w:footnote>
  <w:footnote w:id="255">
    <w:p>
      <w:pPr>
        <w:pStyle w:val="FootnoteText"/>
      </w:pPr>
      <w:r>
        <w:rPr>
          <w:rStyle w:val="FootnoteReference"/>
        </w:rPr>
        <w:footnoteRef/>
      </w:r>
      <w:r>
        <w:t xml:space="preserve"> </w:t>
      </w:r>
      <w:r>
        <w:tab/>
      </w:r>
      <w:r>
        <w:rPr>
          <w:rStyle w:val="affairetitle"/>
        </w:rPr>
        <w:t xml:space="preserve">Deutsche Parkinson Vereinigung, </w:t>
      </w:r>
      <w:hyperlink r:id="rId378" w:history="1">
        <w:r>
          <w:rPr>
            <w:rStyle w:val="Hyperlink"/>
          </w:rPr>
          <w:t>C-148/15</w:t>
        </w:r>
      </w:hyperlink>
      <w:r>
        <w:t>, Court press release No </w:t>
      </w:r>
      <w:hyperlink r:id="rId379" w:history="1">
        <w:r>
          <w:rPr>
            <w:rStyle w:val="Hyperlink"/>
          </w:rPr>
          <w:t>113/2016</w:t>
        </w:r>
      </w:hyperlink>
      <w:r>
        <w:t>.</w:t>
      </w:r>
    </w:p>
  </w:footnote>
  <w:footnote w:id="256">
    <w:p>
      <w:pPr>
        <w:pStyle w:val="FootnoteText"/>
      </w:pPr>
      <w:r>
        <w:rPr>
          <w:rStyle w:val="FootnoteReference"/>
        </w:rPr>
        <w:footnoteRef/>
      </w:r>
      <w:r>
        <w:t xml:space="preserve"> </w:t>
      </w:r>
      <w:r>
        <w:tab/>
        <w:t xml:space="preserve">Directive </w:t>
      </w:r>
      <w:hyperlink r:id="rId380" w:history="1">
        <w:r>
          <w:rPr>
            <w:rStyle w:val="Hyperlink"/>
          </w:rPr>
          <w:t>98/59/EC</w:t>
        </w:r>
      </w:hyperlink>
      <w:r>
        <w:t>.</w:t>
      </w:r>
    </w:p>
  </w:footnote>
  <w:footnote w:id="257">
    <w:p>
      <w:pPr>
        <w:pStyle w:val="FootnoteText"/>
      </w:pPr>
      <w:r>
        <w:rPr>
          <w:rStyle w:val="FootnoteReference"/>
        </w:rPr>
        <w:footnoteRef/>
      </w:r>
      <w:r>
        <w:t xml:space="preserve"> </w:t>
      </w:r>
      <w:r>
        <w:tab/>
        <w:t xml:space="preserve">AGET Iraklis, </w:t>
      </w:r>
      <w:hyperlink r:id="rId381" w:history="1">
        <w:r>
          <w:rPr>
            <w:rStyle w:val="Hyperlink"/>
          </w:rPr>
          <w:t>C-201/15</w:t>
        </w:r>
      </w:hyperlink>
      <w:r>
        <w:t xml:space="preserve"> and Court press release No </w:t>
      </w:r>
      <w:hyperlink r:id="rId382" w:history="1">
        <w:r>
          <w:rPr>
            <w:rStyle w:val="Hyperlink"/>
          </w:rPr>
          <w:t>143/2016</w:t>
        </w:r>
      </w:hyperlink>
      <w:r>
        <w:t>.</w:t>
      </w:r>
    </w:p>
  </w:footnote>
  <w:footnote w:id="258">
    <w:p>
      <w:pPr>
        <w:pStyle w:val="FootnoteText"/>
      </w:pPr>
      <w:r>
        <w:rPr>
          <w:rStyle w:val="FootnoteReference"/>
        </w:rPr>
        <w:footnoteRef/>
      </w:r>
      <w:r>
        <w:t xml:space="preserve"> </w:t>
      </w:r>
      <w:r>
        <w:tab/>
        <w:t xml:space="preserve">Directive </w:t>
      </w:r>
      <w:hyperlink r:id="rId383" w:history="1">
        <w:r>
          <w:rPr>
            <w:rStyle w:val="Hyperlink"/>
          </w:rPr>
          <w:t>2006/123/EC</w:t>
        </w:r>
      </w:hyperlink>
      <w:r>
        <w:t>.</w:t>
      </w:r>
    </w:p>
  </w:footnote>
  <w:footnote w:id="259">
    <w:p>
      <w:pPr>
        <w:pStyle w:val="FootnoteText"/>
      </w:pPr>
      <w:r>
        <w:rPr>
          <w:rStyle w:val="FootnoteReference"/>
        </w:rPr>
        <w:footnoteRef/>
      </w:r>
      <w:r>
        <w:t xml:space="preserve"> </w:t>
      </w:r>
      <w:r>
        <w:tab/>
        <w:t xml:space="preserve">Joined cases </w:t>
      </w:r>
      <w:r>
        <w:rPr>
          <w:rStyle w:val="affairetitle"/>
        </w:rPr>
        <w:t xml:space="preserve">Promoimpresa, </w:t>
      </w:r>
      <w:hyperlink r:id="rId384" w:history="1">
        <w:r>
          <w:rPr>
            <w:rStyle w:val="Hyperlink"/>
          </w:rPr>
          <w:t>C-458/14</w:t>
        </w:r>
      </w:hyperlink>
      <w:r>
        <w:t xml:space="preserve"> and </w:t>
      </w:r>
      <w:r>
        <w:rPr>
          <w:rStyle w:val="affairetitle"/>
        </w:rPr>
        <w:t>Melis and Others,</w:t>
      </w:r>
      <w:r>
        <w:t xml:space="preserve"> </w:t>
      </w:r>
      <w:hyperlink r:id="rId385" w:history="1">
        <w:r>
          <w:rPr>
            <w:rStyle w:val="Hyperlink"/>
          </w:rPr>
          <w:t>C-67/15</w:t>
        </w:r>
      </w:hyperlink>
      <w:r>
        <w:t>, Court press release No </w:t>
      </w:r>
      <w:hyperlink r:id="rId386" w:history="1">
        <w:r>
          <w:rPr>
            <w:rStyle w:val="Hyperlink"/>
          </w:rPr>
          <w:t>77/2016</w:t>
        </w:r>
      </w:hyperlink>
      <w:r>
        <w:t>.</w:t>
      </w:r>
    </w:p>
  </w:footnote>
  <w:footnote w:id="260">
    <w:p>
      <w:pPr>
        <w:pStyle w:val="FootnoteText"/>
      </w:pPr>
      <w:r>
        <w:rPr>
          <w:rStyle w:val="FootnoteReference"/>
        </w:rPr>
        <w:footnoteRef/>
      </w:r>
      <w:r>
        <w:t xml:space="preserve"> </w:t>
      </w:r>
      <w:r>
        <w:tab/>
        <w:t xml:space="preserve">Directive </w:t>
      </w:r>
      <w:hyperlink r:id="rId387" w:history="1">
        <w:r>
          <w:rPr>
            <w:rStyle w:val="Hyperlink"/>
          </w:rPr>
          <w:t>97/67/EC</w:t>
        </w:r>
      </w:hyperlink>
      <w:r>
        <w:t xml:space="preserve">, </w:t>
      </w:r>
      <w:r>
        <w:rPr>
          <w:rStyle w:val="affairetitle"/>
        </w:rPr>
        <w:t>DHL Express (Austria),</w:t>
      </w:r>
      <w:r>
        <w:t xml:space="preserve"> </w:t>
      </w:r>
      <w:hyperlink r:id="rId388" w:history="1">
        <w:r>
          <w:rPr>
            <w:rStyle w:val="Hyperlink"/>
          </w:rPr>
          <w:t>C-2/15</w:t>
        </w:r>
      </w:hyperlink>
      <w:r>
        <w:t>.</w:t>
      </w:r>
    </w:p>
  </w:footnote>
  <w:footnote w:id="261">
    <w:p>
      <w:pPr>
        <w:pStyle w:val="FootnoteText"/>
        <w:rPr>
          <w:lang w:val="pt-PT"/>
        </w:rPr>
      </w:pPr>
      <w:r>
        <w:rPr>
          <w:rStyle w:val="FootnoteReference"/>
        </w:rPr>
        <w:footnoteRef/>
      </w:r>
      <w:r>
        <w:rPr>
          <w:lang w:val="pt-PT"/>
        </w:rPr>
        <w:t xml:space="preserve"> </w:t>
      </w:r>
      <w:r>
        <w:rPr>
          <w:lang w:val="pt-PT"/>
        </w:rPr>
        <w:tab/>
        <w:t xml:space="preserve">Directive </w:t>
      </w:r>
      <w:hyperlink r:id="rId389" w:history="1">
        <w:r>
          <w:rPr>
            <w:rStyle w:val="Hyperlink"/>
            <w:lang w:val="pt-PT"/>
          </w:rPr>
          <w:t>2015/1535/EU</w:t>
        </w:r>
      </w:hyperlink>
      <w:r>
        <w:rPr>
          <w:lang w:val="pt-PT"/>
        </w:rPr>
        <w:t xml:space="preserve">, </w:t>
      </w:r>
      <w:r>
        <w:rPr>
          <w:rStyle w:val="affairetitle"/>
          <w:lang w:val="pt-PT"/>
        </w:rPr>
        <w:t xml:space="preserve">M. and S., </w:t>
      </w:r>
      <w:hyperlink r:id="rId390" w:history="1">
        <w:r>
          <w:rPr>
            <w:rStyle w:val="Hyperlink"/>
            <w:lang w:val="pt-PT"/>
          </w:rPr>
          <w:t>C-303/15</w:t>
        </w:r>
      </w:hyperlink>
      <w:r>
        <w:rPr>
          <w:lang w:val="pt-PT"/>
        </w:rPr>
        <w:t>.</w:t>
      </w:r>
    </w:p>
  </w:footnote>
  <w:footnote w:id="262">
    <w:p>
      <w:pPr>
        <w:pStyle w:val="FootnoteText"/>
      </w:pPr>
      <w:r>
        <w:rPr>
          <w:rStyle w:val="FootnoteReference"/>
        </w:rPr>
        <w:footnoteRef/>
      </w:r>
      <w:r>
        <w:t xml:space="preserve"> </w:t>
      </w:r>
      <w:r>
        <w:tab/>
        <w:t xml:space="preserve">Directive </w:t>
      </w:r>
      <w:hyperlink r:id="rId391" w:history="1">
        <w:r>
          <w:rPr>
            <w:rStyle w:val="Hyperlink"/>
          </w:rPr>
          <w:t>2000/35/EC</w:t>
        </w:r>
      </w:hyperlink>
      <w:r>
        <w:t>.</w:t>
      </w:r>
    </w:p>
  </w:footnote>
  <w:footnote w:id="263">
    <w:p>
      <w:pPr>
        <w:pStyle w:val="FootnoteText"/>
      </w:pPr>
      <w:r>
        <w:rPr>
          <w:rStyle w:val="FootnoteReference"/>
        </w:rPr>
        <w:footnoteRef/>
      </w:r>
      <w:r>
        <w:t xml:space="preserve"> </w:t>
      </w:r>
      <w:r>
        <w:tab/>
      </w:r>
      <w:r>
        <w:rPr>
          <w:rStyle w:val="affairetitle"/>
        </w:rPr>
        <w:t>Nemec,</w:t>
      </w:r>
      <w:hyperlink r:id="rId392" w:history="1">
        <w:r>
          <w:rPr>
            <w:rStyle w:val="Hyperlink"/>
          </w:rPr>
          <w:t>C-256/15</w:t>
        </w:r>
      </w:hyperlink>
      <w:r>
        <w:t>.</w:t>
      </w:r>
    </w:p>
  </w:footnote>
  <w:footnote w:id="264">
    <w:p>
      <w:pPr>
        <w:pStyle w:val="FootnoteText"/>
      </w:pPr>
      <w:r>
        <w:rPr>
          <w:rStyle w:val="FootnoteReference"/>
        </w:rPr>
        <w:footnoteRef/>
      </w:r>
      <w:r>
        <w:t xml:space="preserve"> </w:t>
      </w:r>
      <w:r>
        <w:tab/>
      </w:r>
      <w:hyperlink r:id="rId393" w:history="1">
        <w:r>
          <w:rPr>
            <w:rStyle w:val="Hyperlink"/>
          </w:rPr>
          <w:t>2006/123/EC</w:t>
        </w:r>
      </w:hyperlink>
      <w:r>
        <w:t xml:space="preserve">, </w:t>
      </w:r>
      <w:r>
        <w:rPr>
          <w:rStyle w:val="affairetitle"/>
        </w:rPr>
        <w:t>Hemming and Others,</w:t>
      </w:r>
      <w:r>
        <w:t xml:space="preserve"> </w:t>
      </w:r>
      <w:hyperlink r:id="rId394" w:history="1">
        <w:r>
          <w:rPr>
            <w:rStyle w:val="Hyperlink"/>
          </w:rPr>
          <w:t>C-316/15</w:t>
        </w:r>
      </w:hyperlink>
      <w:r>
        <w:t>, Court press release No </w:t>
      </w:r>
      <w:hyperlink r:id="rId395" w:history="1">
        <w:r>
          <w:rPr>
            <w:rStyle w:val="Hyperlink"/>
          </w:rPr>
          <w:t>127/2016</w:t>
        </w:r>
      </w:hyperlink>
      <w:r>
        <w:t>.</w:t>
      </w:r>
    </w:p>
  </w:footnote>
  <w:footnote w:id="265">
    <w:p>
      <w:pPr>
        <w:pStyle w:val="FootnoteText"/>
      </w:pPr>
      <w:r>
        <w:rPr>
          <w:rStyle w:val="FootnoteReference"/>
        </w:rPr>
        <w:footnoteRef/>
      </w:r>
      <w:r>
        <w:t xml:space="preserve"> </w:t>
      </w:r>
      <w:r>
        <w:tab/>
      </w:r>
      <w:r>
        <w:rPr>
          <w:rStyle w:val="affairetitle"/>
        </w:rPr>
        <w:t xml:space="preserve">European Federation for Cosmetic Ingredients, </w:t>
      </w:r>
      <w:hyperlink r:id="rId396" w:history="1">
        <w:r>
          <w:rPr>
            <w:rStyle w:val="Hyperlink"/>
          </w:rPr>
          <w:t>C-592/14</w:t>
        </w:r>
      </w:hyperlink>
      <w:r>
        <w:t>, Court press release No </w:t>
      </w:r>
      <w:hyperlink r:id="rId397" w:history="1">
        <w:r>
          <w:rPr>
            <w:rStyle w:val="Hyperlink"/>
          </w:rPr>
          <w:t>105/2016</w:t>
        </w:r>
      </w:hyperlink>
      <w:r>
        <w:t>.</w:t>
      </w:r>
    </w:p>
  </w:footnote>
  <w:footnote w:id="266">
    <w:p>
      <w:pPr>
        <w:pStyle w:val="FootnoteText"/>
      </w:pPr>
      <w:r>
        <w:rPr>
          <w:rStyle w:val="FootnoteReference"/>
        </w:rPr>
        <w:footnoteRef/>
      </w:r>
      <w:r>
        <w:t xml:space="preserve"> </w:t>
      </w:r>
      <w:r>
        <w:tab/>
        <w:t xml:space="preserve">Directive </w:t>
      </w:r>
      <w:hyperlink r:id="rId398" w:history="1">
        <w:r>
          <w:rPr>
            <w:rStyle w:val="Hyperlink"/>
          </w:rPr>
          <w:t>2015/2115/EU</w:t>
        </w:r>
      </w:hyperlink>
      <w:r>
        <w:t>.</w:t>
      </w:r>
    </w:p>
  </w:footnote>
  <w:footnote w:id="267">
    <w:p>
      <w:pPr>
        <w:pStyle w:val="FootnoteText"/>
      </w:pPr>
      <w:r>
        <w:rPr>
          <w:rStyle w:val="FootnoteReference"/>
        </w:rPr>
        <w:footnoteRef/>
      </w:r>
      <w:r>
        <w:t xml:space="preserve"> </w:t>
      </w:r>
      <w:r>
        <w:tab/>
        <w:t xml:space="preserve">Directive </w:t>
      </w:r>
      <w:hyperlink r:id="rId399" w:history="1">
        <w:r>
          <w:rPr>
            <w:rStyle w:val="Hyperlink"/>
          </w:rPr>
          <w:t>2015/2116/EU</w:t>
        </w:r>
      </w:hyperlink>
      <w:r>
        <w:t>.</w:t>
      </w:r>
    </w:p>
  </w:footnote>
  <w:footnote w:id="268">
    <w:p>
      <w:pPr>
        <w:pStyle w:val="FootnoteText"/>
      </w:pPr>
      <w:r>
        <w:rPr>
          <w:rStyle w:val="FootnoteReference"/>
        </w:rPr>
        <w:footnoteRef/>
      </w:r>
      <w:r>
        <w:t xml:space="preserve"> </w:t>
      </w:r>
      <w:r>
        <w:tab/>
        <w:t xml:space="preserve">Directive </w:t>
      </w:r>
      <w:hyperlink r:id="rId400" w:history="1">
        <w:r>
          <w:rPr>
            <w:rStyle w:val="Hyperlink"/>
          </w:rPr>
          <w:t>2015/2117/EU</w:t>
        </w:r>
      </w:hyperlink>
      <w:r>
        <w:t>.</w:t>
      </w:r>
    </w:p>
  </w:footnote>
  <w:footnote w:id="269">
    <w:p>
      <w:pPr>
        <w:pStyle w:val="FootnoteText"/>
      </w:pPr>
      <w:r>
        <w:rPr>
          <w:rStyle w:val="FootnoteReference"/>
        </w:rPr>
        <w:footnoteRef/>
      </w:r>
      <w:r>
        <w:t xml:space="preserve"> </w:t>
      </w:r>
      <w:r>
        <w:tab/>
        <w:t xml:space="preserve">Directive </w:t>
      </w:r>
      <w:hyperlink r:id="rId401" w:history="1">
        <w:r>
          <w:rPr>
            <w:rStyle w:val="Hyperlink"/>
          </w:rPr>
          <w:t>2016/2037/EU</w:t>
        </w:r>
      </w:hyperlink>
      <w:r>
        <w:t>.</w:t>
      </w:r>
    </w:p>
  </w:footnote>
  <w:footnote w:id="270">
    <w:p>
      <w:pPr>
        <w:pStyle w:val="FootnoteText"/>
      </w:pPr>
      <w:r>
        <w:rPr>
          <w:rStyle w:val="FootnoteReference"/>
        </w:rPr>
        <w:footnoteRef/>
      </w:r>
      <w:r>
        <w:t xml:space="preserve"> </w:t>
      </w:r>
      <w:r>
        <w:tab/>
        <w:t xml:space="preserve">Directive </w:t>
      </w:r>
      <w:hyperlink r:id="rId402" w:history="1">
        <w:r>
          <w:rPr>
            <w:rStyle w:val="Hyperlink"/>
          </w:rPr>
          <w:t>2000/35</w:t>
        </w:r>
      </w:hyperlink>
      <w:r>
        <w:t xml:space="preserve">, </w:t>
      </w:r>
      <w:r>
        <w:rPr>
          <w:rStyle w:val="affairetitle"/>
        </w:rPr>
        <w:t xml:space="preserve">IOS Finance EFC, </w:t>
      </w:r>
      <w:hyperlink r:id="rId403" w:history="1">
        <w:r>
          <w:rPr>
            <w:rStyle w:val="Hyperlink"/>
          </w:rPr>
          <w:t>C-555/14</w:t>
        </w:r>
      </w:hyperlink>
      <w:r>
        <w:t xml:space="preserve"> and </w:t>
      </w:r>
      <w:hyperlink r:id="rId404" w:history="1">
        <w:r>
          <w:rPr>
            <w:rStyle w:val="Hyperlink"/>
          </w:rPr>
          <w:t>C-229/16</w:t>
        </w:r>
      </w:hyperlink>
      <w:r>
        <w:t>.</w:t>
      </w:r>
    </w:p>
  </w:footnote>
  <w:footnote w:id="271">
    <w:p>
      <w:pPr>
        <w:pStyle w:val="FootnoteText"/>
      </w:pPr>
      <w:r>
        <w:rPr>
          <w:rStyle w:val="FootnoteReference"/>
        </w:rPr>
        <w:footnoteRef/>
      </w:r>
      <w:r>
        <w:t xml:space="preserve"> </w:t>
      </w:r>
      <w:r>
        <w:tab/>
        <w:t xml:space="preserve">Directive </w:t>
      </w:r>
      <w:hyperlink r:id="rId405" w:history="1">
        <w:r>
          <w:rPr>
            <w:rStyle w:val="Hyperlink"/>
          </w:rPr>
          <w:t>2005/29/EC</w:t>
        </w:r>
      </w:hyperlink>
      <w:r>
        <w:t>.</w:t>
      </w:r>
    </w:p>
  </w:footnote>
  <w:footnote w:id="272">
    <w:p>
      <w:pPr>
        <w:pStyle w:val="FootnoteText"/>
      </w:pPr>
      <w:r>
        <w:rPr>
          <w:rStyle w:val="FootnoteReference"/>
        </w:rPr>
        <w:footnoteRef/>
      </w:r>
      <w:r>
        <w:t xml:space="preserve"> </w:t>
      </w:r>
      <w:r>
        <w:tab/>
        <w:t xml:space="preserve">Directive </w:t>
      </w:r>
      <w:hyperlink r:id="rId406" w:history="1">
        <w:r>
          <w:rPr>
            <w:rStyle w:val="Hyperlink"/>
          </w:rPr>
          <w:t>2011/83/EU</w:t>
        </w:r>
      </w:hyperlink>
      <w:r>
        <w:t>.</w:t>
      </w:r>
    </w:p>
  </w:footnote>
  <w:footnote w:id="273">
    <w:p>
      <w:pPr>
        <w:pStyle w:val="FootnoteText"/>
      </w:pPr>
      <w:r>
        <w:rPr>
          <w:rStyle w:val="FootnoteReference"/>
        </w:rPr>
        <w:footnoteRef/>
      </w:r>
      <w:r>
        <w:t xml:space="preserve"> </w:t>
      </w:r>
      <w:r>
        <w:tab/>
        <w:t xml:space="preserve">Directive </w:t>
      </w:r>
      <w:hyperlink r:id="rId407" w:history="1">
        <w:r>
          <w:rPr>
            <w:rStyle w:val="Hyperlink"/>
          </w:rPr>
          <w:t>2013/11/EU</w:t>
        </w:r>
      </w:hyperlink>
      <w:r>
        <w:t>.</w:t>
      </w:r>
    </w:p>
  </w:footnote>
  <w:footnote w:id="274">
    <w:p>
      <w:pPr>
        <w:pStyle w:val="FootnoteText"/>
      </w:pPr>
      <w:r>
        <w:rPr>
          <w:rStyle w:val="FootnoteReference"/>
        </w:rPr>
        <w:footnoteRef/>
      </w:r>
      <w:r>
        <w:t xml:space="preserve"> </w:t>
      </w:r>
      <w:r>
        <w:tab/>
        <w:t xml:space="preserve">Directive </w:t>
      </w:r>
      <w:hyperlink r:id="rId408" w:history="1">
        <w:r>
          <w:rPr>
            <w:rStyle w:val="Hyperlink"/>
          </w:rPr>
          <w:t>2011/99/EU</w:t>
        </w:r>
      </w:hyperlink>
      <w:r>
        <w:t xml:space="preserve">; </w:t>
      </w:r>
      <w:hyperlink r:id="rId409" w:history="1">
        <w:r>
          <w:rPr>
            <w:rStyle w:val="Hyperlink"/>
          </w:rPr>
          <w:t>MEMO/16/2490</w:t>
        </w:r>
      </w:hyperlink>
      <w:r>
        <w:t>.</w:t>
      </w:r>
    </w:p>
  </w:footnote>
  <w:footnote w:id="275">
    <w:p>
      <w:pPr>
        <w:pStyle w:val="FootnoteText"/>
        <w:rPr>
          <w:lang w:val="pt-PT"/>
        </w:rPr>
      </w:pPr>
      <w:r>
        <w:rPr>
          <w:rStyle w:val="FootnoteReference"/>
        </w:rPr>
        <w:footnoteRef/>
      </w:r>
      <w:r>
        <w:rPr>
          <w:lang w:val="pt-PT"/>
        </w:rPr>
        <w:t xml:space="preserve"> </w:t>
      </w:r>
      <w:r>
        <w:rPr>
          <w:lang w:val="pt-PT"/>
        </w:rPr>
        <w:tab/>
        <w:t xml:space="preserve">Directive </w:t>
      </w:r>
      <w:hyperlink r:id="rId410" w:history="1">
        <w:r>
          <w:rPr>
            <w:rStyle w:val="Hyperlink"/>
            <w:lang w:val="pt-PT"/>
          </w:rPr>
          <w:t>93/13/EEC</w:t>
        </w:r>
      </w:hyperlink>
      <w:r>
        <w:rPr>
          <w:lang w:val="pt-PT"/>
        </w:rPr>
        <w:t xml:space="preserve">; </w:t>
      </w:r>
      <w:hyperlink r:id="rId411" w:history="1">
        <w:r>
          <w:rPr>
            <w:rStyle w:val="Hyperlink"/>
            <w:lang w:val="pt-PT"/>
          </w:rPr>
          <w:t>MEMO/16/1452</w:t>
        </w:r>
      </w:hyperlink>
      <w:r>
        <w:rPr>
          <w:lang w:val="pt-PT"/>
        </w:rPr>
        <w:t>.</w:t>
      </w:r>
    </w:p>
  </w:footnote>
  <w:footnote w:id="276">
    <w:p>
      <w:pPr>
        <w:pStyle w:val="FootnoteText"/>
        <w:rPr>
          <w:lang w:val="pt-PT"/>
        </w:rPr>
      </w:pPr>
      <w:r>
        <w:rPr>
          <w:rStyle w:val="FootnoteReference"/>
        </w:rPr>
        <w:footnoteRef/>
      </w:r>
      <w:r>
        <w:rPr>
          <w:lang w:val="pt-PT"/>
        </w:rPr>
        <w:t xml:space="preserve"> </w:t>
      </w:r>
      <w:r>
        <w:rPr>
          <w:lang w:val="pt-PT"/>
        </w:rPr>
        <w:tab/>
        <w:t xml:space="preserve">Directive </w:t>
      </w:r>
      <w:hyperlink r:id="rId412" w:history="1">
        <w:r>
          <w:rPr>
            <w:rStyle w:val="Hyperlink"/>
            <w:lang w:val="pt-PT"/>
          </w:rPr>
          <w:t>79/7/EEC</w:t>
        </w:r>
      </w:hyperlink>
      <w:r>
        <w:rPr>
          <w:lang w:val="pt-PT"/>
        </w:rPr>
        <w:t>.</w:t>
      </w:r>
    </w:p>
  </w:footnote>
  <w:footnote w:id="277">
    <w:p>
      <w:pPr>
        <w:pStyle w:val="FootnoteText"/>
      </w:pPr>
      <w:r>
        <w:rPr>
          <w:rStyle w:val="FootnoteReference"/>
        </w:rPr>
        <w:footnoteRef/>
      </w:r>
      <w:r>
        <w:t xml:space="preserve"> </w:t>
      </w:r>
      <w:r>
        <w:tab/>
        <w:t xml:space="preserve">Directive </w:t>
      </w:r>
      <w:hyperlink r:id="rId413" w:history="1">
        <w:r>
          <w:rPr>
            <w:rStyle w:val="Hyperlink"/>
          </w:rPr>
          <w:t>2010/64/EU</w:t>
        </w:r>
      </w:hyperlink>
      <w:r>
        <w:t xml:space="preserve">; </w:t>
      </w:r>
      <w:hyperlink r:id="rId414" w:history="1">
        <w:r>
          <w:rPr>
            <w:rStyle w:val="Hyperlink"/>
          </w:rPr>
          <w:t>MEMO/16/3644</w:t>
        </w:r>
      </w:hyperlink>
      <w:r>
        <w:t>.</w:t>
      </w:r>
    </w:p>
  </w:footnote>
  <w:footnote w:id="278">
    <w:p>
      <w:pPr>
        <w:pStyle w:val="FootnoteText"/>
      </w:pPr>
      <w:r>
        <w:rPr>
          <w:rStyle w:val="FootnoteReference"/>
        </w:rPr>
        <w:footnoteRef/>
      </w:r>
      <w:r>
        <w:t xml:space="preserve"> </w:t>
      </w:r>
      <w:r>
        <w:tab/>
      </w:r>
      <w:hyperlink r:id="rId415" w:history="1">
        <w:r>
          <w:rPr>
            <w:rStyle w:val="Hyperlink"/>
          </w:rPr>
          <w:t>MEMO/16/1823</w:t>
        </w:r>
      </w:hyperlink>
      <w:r>
        <w:t>.</w:t>
      </w:r>
    </w:p>
  </w:footnote>
  <w:footnote w:id="279">
    <w:p>
      <w:pPr>
        <w:pStyle w:val="FootnoteText"/>
      </w:pPr>
      <w:r>
        <w:rPr>
          <w:rStyle w:val="FootnoteReference"/>
        </w:rPr>
        <w:footnoteRef/>
      </w:r>
      <w:r>
        <w:t xml:space="preserve"> </w:t>
      </w:r>
      <w:r>
        <w:tab/>
        <w:t xml:space="preserve">Directive </w:t>
      </w:r>
      <w:hyperlink r:id="rId416" w:history="1">
        <w:r>
          <w:rPr>
            <w:rStyle w:val="Hyperlink"/>
          </w:rPr>
          <w:t>2014/57/EU</w:t>
        </w:r>
      </w:hyperlink>
      <w:r>
        <w:t>.</w:t>
      </w:r>
    </w:p>
  </w:footnote>
  <w:footnote w:id="280">
    <w:p>
      <w:pPr>
        <w:pStyle w:val="FootnoteText"/>
      </w:pPr>
      <w:r>
        <w:rPr>
          <w:rStyle w:val="FootnoteReference"/>
        </w:rPr>
        <w:footnoteRef/>
      </w:r>
      <w:r>
        <w:t xml:space="preserve"> </w:t>
      </w:r>
      <w:r>
        <w:tab/>
        <w:t xml:space="preserve">Directive </w:t>
      </w:r>
      <w:hyperlink r:id="rId417" w:history="1">
        <w:r>
          <w:rPr>
            <w:rStyle w:val="Hyperlink"/>
          </w:rPr>
          <w:t>2012/29/EU</w:t>
        </w:r>
      </w:hyperlink>
      <w:r>
        <w:t xml:space="preserve">. </w:t>
      </w:r>
    </w:p>
  </w:footnote>
  <w:footnote w:id="281">
    <w:p>
      <w:pPr>
        <w:pStyle w:val="FootnoteText"/>
      </w:pPr>
      <w:r>
        <w:rPr>
          <w:rStyle w:val="FootnoteReference"/>
        </w:rPr>
        <w:footnoteRef/>
      </w:r>
      <w:r>
        <w:t xml:space="preserve"> </w:t>
      </w:r>
      <w:r>
        <w:tab/>
        <w:t xml:space="preserve">Directives </w:t>
      </w:r>
      <w:hyperlink r:id="rId418" w:history="1">
        <w:r>
          <w:rPr>
            <w:rStyle w:val="Hyperlink"/>
          </w:rPr>
          <w:t>2000/43</w:t>
        </w:r>
      </w:hyperlink>
      <w:r>
        <w:t xml:space="preserve">, </w:t>
      </w:r>
      <w:hyperlink r:id="rId419" w:history="1">
        <w:r>
          <w:rPr>
            <w:rStyle w:val="Hyperlink"/>
          </w:rPr>
          <w:t>2004/113</w:t>
        </w:r>
      </w:hyperlink>
      <w:r>
        <w:t xml:space="preserve"> and </w:t>
      </w:r>
      <w:hyperlink r:id="rId420" w:history="1">
        <w:r>
          <w:rPr>
            <w:rStyle w:val="Hyperlink"/>
          </w:rPr>
          <w:t>2006/54</w:t>
        </w:r>
      </w:hyperlink>
      <w:r>
        <w:t>.</w:t>
      </w:r>
    </w:p>
  </w:footnote>
  <w:footnote w:id="282">
    <w:p>
      <w:pPr>
        <w:pStyle w:val="FootnoteText"/>
      </w:pPr>
      <w:r>
        <w:rPr>
          <w:rStyle w:val="FootnoteReference"/>
        </w:rPr>
        <w:footnoteRef/>
      </w:r>
      <w:r>
        <w:t xml:space="preserve"> </w:t>
      </w:r>
      <w:r>
        <w:tab/>
        <w:t>These rulings are almost exclusively handed down on infringement procedures.</w:t>
      </w:r>
    </w:p>
  </w:footnote>
  <w:footnote w:id="283">
    <w:p>
      <w:pPr>
        <w:pStyle w:val="FootnoteText"/>
      </w:pPr>
      <w:r>
        <w:rPr>
          <w:rStyle w:val="FootnoteReference"/>
        </w:rPr>
        <w:footnoteRef/>
      </w:r>
      <w:r>
        <w:t xml:space="preserve"> </w:t>
      </w:r>
      <w:r>
        <w:tab/>
        <w:t xml:space="preserve">Directive </w:t>
      </w:r>
      <w:hyperlink r:id="rId421" w:history="1">
        <w:r>
          <w:rPr>
            <w:rStyle w:val="Hyperlink"/>
          </w:rPr>
          <w:t>2004/80/EC</w:t>
        </w:r>
      </w:hyperlink>
      <w:r>
        <w:t>.</w:t>
      </w:r>
    </w:p>
  </w:footnote>
  <w:footnote w:id="284">
    <w:p>
      <w:pPr>
        <w:pStyle w:val="FootnoteText"/>
      </w:pPr>
      <w:r>
        <w:rPr>
          <w:rStyle w:val="FootnoteReference"/>
        </w:rPr>
        <w:footnoteRef/>
      </w:r>
      <w:r>
        <w:t xml:space="preserve"> </w:t>
      </w:r>
      <w:r>
        <w:tab/>
        <w:t xml:space="preserve">Commission v Italy, </w:t>
      </w:r>
      <w:hyperlink r:id="rId422" w:history="1">
        <w:r>
          <w:rPr>
            <w:rStyle w:val="Hyperlink"/>
          </w:rPr>
          <w:t>C-601/14</w:t>
        </w:r>
      </w:hyperlink>
      <w:r>
        <w:t xml:space="preserve"> and Court press release </w:t>
      </w:r>
      <w:hyperlink r:id="rId423" w:history="1">
        <w:r>
          <w:rPr>
            <w:rStyle w:val="Hyperlink"/>
          </w:rPr>
          <w:t>No 109/16</w:t>
        </w:r>
      </w:hyperlink>
      <w:r>
        <w:t>.</w:t>
      </w:r>
    </w:p>
  </w:footnote>
  <w:footnote w:id="285">
    <w:p>
      <w:pPr>
        <w:pStyle w:val="FootnoteText"/>
      </w:pPr>
      <w:r>
        <w:rPr>
          <w:rStyle w:val="FootnoteReference"/>
        </w:rPr>
        <w:footnoteRef/>
      </w:r>
      <w:r>
        <w:t xml:space="preserve"> </w:t>
      </w:r>
      <w:r>
        <w:tab/>
        <w:t xml:space="preserve">Directive </w:t>
      </w:r>
      <w:hyperlink r:id="rId424" w:history="1">
        <w:r>
          <w:rPr>
            <w:rStyle w:val="Hyperlink"/>
          </w:rPr>
          <w:t>1999/44/EC</w:t>
        </w:r>
      </w:hyperlink>
      <w:r>
        <w:t>.</w:t>
      </w:r>
    </w:p>
  </w:footnote>
  <w:footnote w:id="286">
    <w:p>
      <w:pPr>
        <w:pStyle w:val="FootnoteText"/>
      </w:pPr>
      <w:r>
        <w:rPr>
          <w:rStyle w:val="FootnoteReference"/>
        </w:rPr>
        <w:footnoteRef/>
      </w:r>
      <w:r>
        <w:t xml:space="preserve"> </w:t>
      </w:r>
      <w:r>
        <w:tab/>
        <w:t xml:space="preserve">Wathelet, </w:t>
      </w:r>
      <w:hyperlink r:id="rId425" w:history="1">
        <w:r>
          <w:rPr>
            <w:rStyle w:val="Hyperlink"/>
          </w:rPr>
          <w:t>C-149/15</w:t>
        </w:r>
      </w:hyperlink>
      <w:r>
        <w:t>.</w:t>
      </w:r>
    </w:p>
  </w:footnote>
  <w:footnote w:id="287">
    <w:p>
      <w:pPr>
        <w:pStyle w:val="FootnoteText"/>
      </w:pPr>
      <w:r>
        <w:rPr>
          <w:rStyle w:val="FootnoteReference"/>
        </w:rPr>
        <w:footnoteRef/>
      </w:r>
      <w:r>
        <w:t xml:space="preserve"> </w:t>
      </w:r>
      <w:r>
        <w:tab/>
      </w:r>
      <w:r>
        <w:rPr>
          <w:rStyle w:val="affairetitle"/>
        </w:rPr>
        <w:t>Ognyanov</w:t>
      </w:r>
      <w:r>
        <w:t xml:space="preserve">, </w:t>
      </w:r>
      <w:hyperlink r:id="rId426" w:history="1">
        <w:r>
          <w:rPr>
            <w:rStyle w:val="Hyperlink"/>
          </w:rPr>
          <w:t>C-554/14</w:t>
        </w:r>
      </w:hyperlink>
      <w:r>
        <w:t xml:space="preserve"> and Court press release </w:t>
      </w:r>
      <w:hyperlink r:id="rId427" w:history="1">
        <w:r>
          <w:rPr>
            <w:rStyle w:val="Hyperlink"/>
          </w:rPr>
          <w:t>No 117/16</w:t>
        </w:r>
      </w:hyperlink>
      <w:r>
        <w:t>.</w:t>
      </w:r>
    </w:p>
  </w:footnote>
  <w:footnote w:id="288">
    <w:p>
      <w:pPr>
        <w:pStyle w:val="FootnoteText"/>
      </w:pPr>
      <w:r>
        <w:rPr>
          <w:rStyle w:val="FootnoteReference"/>
        </w:rPr>
        <w:footnoteRef/>
      </w:r>
      <w:r>
        <w:t xml:space="preserve"> </w:t>
      </w:r>
      <w:r>
        <w:tab/>
      </w:r>
      <w:r>
        <w:rPr>
          <w:rStyle w:val="affairetitle"/>
        </w:rPr>
        <w:t>García-Nieto and Others</w:t>
      </w:r>
      <w:r>
        <w:t xml:space="preserve">, </w:t>
      </w:r>
      <w:hyperlink r:id="rId428" w:history="1">
        <w:r>
          <w:rPr>
            <w:rStyle w:val="Hyperlink"/>
          </w:rPr>
          <w:t>C-299/14</w:t>
        </w:r>
      </w:hyperlink>
      <w:r>
        <w:rPr>
          <w:rStyle w:val="Hyperlink"/>
        </w:rPr>
        <w:t>,</w:t>
      </w:r>
      <w:r>
        <w:t xml:space="preserve"> Court press release </w:t>
      </w:r>
      <w:hyperlink r:id="rId429" w:history="1">
        <w:r>
          <w:rPr>
            <w:rStyle w:val="Hyperlink"/>
          </w:rPr>
          <w:t>No 18/16</w:t>
        </w:r>
      </w:hyperlink>
      <w:r>
        <w:t>.</w:t>
      </w:r>
    </w:p>
  </w:footnote>
  <w:footnote w:id="289">
    <w:p>
      <w:pPr>
        <w:pStyle w:val="FootnoteText"/>
      </w:pPr>
      <w:r>
        <w:rPr>
          <w:rStyle w:val="FootnoteReference"/>
        </w:rPr>
        <w:footnoteRef/>
      </w:r>
      <w:r>
        <w:t xml:space="preserve"> </w:t>
      </w:r>
      <w:r>
        <w:tab/>
        <w:t xml:space="preserve">Bogendorff von Wolffersdorff, </w:t>
      </w:r>
      <w:hyperlink r:id="rId430" w:history="1">
        <w:r>
          <w:rPr>
            <w:rStyle w:val="Hyperlink"/>
          </w:rPr>
          <w:t>C-438/14</w:t>
        </w:r>
      </w:hyperlink>
      <w:r>
        <w:t xml:space="preserve">, Court press release </w:t>
      </w:r>
      <w:hyperlink r:id="rId431" w:history="1">
        <w:r>
          <w:rPr>
            <w:rStyle w:val="Hyperlink"/>
          </w:rPr>
          <w:t>No 119/16</w:t>
        </w:r>
      </w:hyperlink>
      <w:r>
        <w:t>.</w:t>
      </w:r>
    </w:p>
  </w:footnote>
  <w:footnote w:id="290">
    <w:p>
      <w:pPr>
        <w:pStyle w:val="FootnoteText"/>
      </w:pPr>
      <w:r>
        <w:rPr>
          <w:rStyle w:val="FootnoteReference"/>
        </w:rPr>
        <w:footnoteRef/>
      </w:r>
      <w:r>
        <w:t xml:space="preserve"> </w:t>
      </w:r>
      <w:r>
        <w:tab/>
        <w:t xml:space="preserve">Aranyosi and Căldăraru, joined cases </w:t>
      </w:r>
      <w:hyperlink r:id="rId432" w:history="1">
        <w:r>
          <w:rPr>
            <w:rStyle w:val="Hyperlink"/>
          </w:rPr>
          <w:t>C-404/15</w:t>
        </w:r>
      </w:hyperlink>
      <w:r>
        <w:t xml:space="preserve"> and </w:t>
      </w:r>
      <w:hyperlink r:id="rId433" w:history="1">
        <w:r>
          <w:rPr>
            <w:rStyle w:val="Hyperlink"/>
          </w:rPr>
          <w:t>C-659/15</w:t>
        </w:r>
      </w:hyperlink>
      <w:r>
        <w:rPr>
          <w:rStyle w:val="Hyperlink"/>
        </w:rPr>
        <w:t>,</w:t>
      </w:r>
      <w:r>
        <w:t xml:space="preserve"> Court press release </w:t>
      </w:r>
      <w:hyperlink r:id="rId434" w:history="1">
        <w:r>
          <w:rPr>
            <w:rStyle w:val="Hyperlink"/>
          </w:rPr>
          <w:t>No 36/16.</w:t>
        </w:r>
      </w:hyperlink>
    </w:p>
  </w:footnote>
  <w:footnote w:id="291">
    <w:p>
      <w:pPr>
        <w:pStyle w:val="FootnoteText"/>
      </w:pPr>
      <w:r>
        <w:rPr>
          <w:rStyle w:val="FootnoteReference"/>
        </w:rPr>
        <w:footnoteRef/>
      </w:r>
      <w:r>
        <w:t xml:space="preserve"> </w:t>
      </w:r>
      <w:r>
        <w:tab/>
        <w:t xml:space="preserve">Gutiérrez Naranjo, joined cases </w:t>
      </w:r>
      <w:hyperlink r:id="rId435" w:history="1">
        <w:r>
          <w:rPr>
            <w:rStyle w:val="Hyperlink"/>
          </w:rPr>
          <w:t>C-154/15</w:t>
        </w:r>
      </w:hyperlink>
      <w:r>
        <w:t xml:space="preserve">, </w:t>
      </w:r>
      <w:hyperlink r:id="rId436" w:history="1">
        <w:r>
          <w:rPr>
            <w:rStyle w:val="Hyperlink"/>
          </w:rPr>
          <w:t>C-307/15</w:t>
        </w:r>
      </w:hyperlink>
      <w:r>
        <w:t xml:space="preserve"> and </w:t>
      </w:r>
      <w:hyperlink r:id="rId437" w:history="1">
        <w:r>
          <w:rPr>
            <w:rStyle w:val="Hyperlink"/>
          </w:rPr>
          <w:t>C-308/15</w:t>
        </w:r>
      </w:hyperlink>
      <w:r>
        <w:t>.</w:t>
      </w:r>
    </w:p>
  </w:footnote>
  <w:footnote w:id="292">
    <w:p>
      <w:pPr>
        <w:pStyle w:val="FootnoteText"/>
      </w:pPr>
      <w:r>
        <w:rPr>
          <w:rStyle w:val="FootnoteReference"/>
        </w:rPr>
        <w:footnoteRef/>
      </w:r>
      <w:r>
        <w:t xml:space="preserve"> </w:t>
      </w:r>
      <w:r>
        <w:tab/>
        <w:t xml:space="preserve">Directive </w:t>
      </w:r>
      <w:hyperlink r:id="rId438" w:history="1">
        <w:r>
          <w:rPr>
            <w:rStyle w:val="Hyperlink"/>
          </w:rPr>
          <w:t>2005/60/EC</w:t>
        </w:r>
      </w:hyperlink>
      <w:r>
        <w:t>.</w:t>
      </w:r>
    </w:p>
  </w:footnote>
  <w:footnote w:id="293">
    <w:p>
      <w:pPr>
        <w:pStyle w:val="FootnoteText"/>
      </w:pPr>
      <w:r>
        <w:rPr>
          <w:rStyle w:val="FootnoteReference"/>
        </w:rPr>
        <w:footnoteRef/>
      </w:r>
      <w:r>
        <w:t xml:space="preserve"> </w:t>
      </w:r>
      <w:r>
        <w:tab/>
        <w:t xml:space="preserve">Safe Interenvios, </w:t>
      </w:r>
      <w:hyperlink r:id="rId439" w:history="1">
        <w:r>
          <w:rPr>
            <w:rStyle w:val="Hyperlink"/>
          </w:rPr>
          <w:t>C-235/14</w:t>
        </w:r>
      </w:hyperlink>
      <w:r>
        <w:t>.</w:t>
      </w:r>
    </w:p>
  </w:footnote>
  <w:footnote w:id="294">
    <w:p>
      <w:pPr>
        <w:pStyle w:val="FootnoteText"/>
      </w:pPr>
      <w:r>
        <w:rPr>
          <w:rStyle w:val="FootnoteReference"/>
        </w:rPr>
        <w:footnoteRef/>
      </w:r>
      <w:r>
        <w:t xml:space="preserve"> </w:t>
      </w:r>
      <w:r>
        <w:tab/>
        <w:t xml:space="preserve">Rendón Marín and CS, joined cases </w:t>
      </w:r>
      <w:hyperlink r:id="rId440" w:history="1">
        <w:r>
          <w:rPr>
            <w:rStyle w:val="Hyperlink"/>
          </w:rPr>
          <w:t>C-165/14</w:t>
        </w:r>
      </w:hyperlink>
      <w:r>
        <w:t xml:space="preserve"> and </w:t>
      </w:r>
      <w:hyperlink r:id="rId441" w:history="1">
        <w:r>
          <w:rPr>
            <w:rStyle w:val="Hyperlink"/>
          </w:rPr>
          <w:t>C-304/14</w:t>
        </w:r>
      </w:hyperlink>
      <w:r>
        <w:t xml:space="preserve"> and Court press release </w:t>
      </w:r>
      <w:hyperlink r:id="rId442" w:history="1">
        <w:r>
          <w:rPr>
            <w:rStyle w:val="Hyperlink"/>
          </w:rPr>
          <w:t>No 95/16.</w:t>
        </w:r>
      </w:hyperlink>
    </w:p>
  </w:footnote>
  <w:footnote w:id="295">
    <w:p>
      <w:pPr>
        <w:pStyle w:val="FootnoteText"/>
      </w:pPr>
      <w:r>
        <w:rPr>
          <w:rStyle w:val="FootnoteReference"/>
        </w:rPr>
        <w:footnoteRef/>
      </w:r>
      <w:r>
        <w:t xml:space="preserve"> </w:t>
      </w:r>
      <w:r>
        <w:tab/>
        <w:t xml:space="preserve">Petruhhin, </w:t>
      </w:r>
      <w:hyperlink r:id="rId443" w:history="1">
        <w:r>
          <w:rPr>
            <w:rStyle w:val="Hyperlink"/>
          </w:rPr>
          <w:t>C-182/15</w:t>
        </w:r>
      </w:hyperlink>
      <w:r>
        <w:t xml:space="preserve">, Court press release </w:t>
      </w:r>
      <w:hyperlink r:id="rId444" w:history="1">
        <w:r>
          <w:rPr>
            <w:rStyle w:val="Hyperlink"/>
          </w:rPr>
          <w:t>No 84/16</w:t>
        </w:r>
      </w:hyperlink>
      <w:r>
        <w:t>.</w:t>
      </w:r>
    </w:p>
  </w:footnote>
  <w:footnote w:id="296">
    <w:p>
      <w:pPr>
        <w:pStyle w:val="FootnoteText"/>
        <w:rPr>
          <w:lang w:val="de-DE"/>
        </w:rPr>
      </w:pPr>
      <w:r>
        <w:rPr>
          <w:rStyle w:val="FootnoteReference"/>
        </w:rPr>
        <w:footnoteRef/>
      </w:r>
      <w:r>
        <w:rPr>
          <w:lang w:val="de-DE"/>
        </w:rPr>
        <w:t xml:space="preserve"> </w:t>
      </w:r>
      <w:r>
        <w:rPr>
          <w:lang w:val="de-DE"/>
        </w:rPr>
        <w:tab/>
      </w:r>
      <w:r>
        <w:rPr>
          <w:rStyle w:val="affairetitle"/>
          <w:lang w:val="de-DE"/>
        </w:rPr>
        <w:t>Verein für Konsumenteninformation</w:t>
      </w:r>
      <w:r>
        <w:rPr>
          <w:lang w:val="de-DE"/>
        </w:rPr>
        <w:t xml:space="preserve">, </w:t>
      </w:r>
      <w:hyperlink r:id="rId445" w:history="1">
        <w:r>
          <w:rPr>
            <w:rStyle w:val="Hyperlink"/>
            <w:lang w:val="de-DE"/>
          </w:rPr>
          <w:t>C-191/15</w:t>
        </w:r>
      </w:hyperlink>
      <w:r>
        <w:rPr>
          <w:lang w:val="de-DE"/>
        </w:rPr>
        <w:t>.</w:t>
      </w:r>
    </w:p>
  </w:footnote>
  <w:footnote w:id="297">
    <w:p>
      <w:pPr>
        <w:pStyle w:val="FootnoteText"/>
        <w:rPr>
          <w:lang w:val="de-DE"/>
        </w:rPr>
      </w:pPr>
      <w:r>
        <w:rPr>
          <w:rStyle w:val="FootnoteReference"/>
        </w:rPr>
        <w:footnoteRef/>
      </w:r>
      <w:r>
        <w:rPr>
          <w:lang w:val="de-DE"/>
        </w:rPr>
        <w:t xml:space="preserve"> </w:t>
      </w:r>
      <w:r>
        <w:rPr>
          <w:lang w:val="de-DE"/>
        </w:rPr>
        <w:tab/>
        <w:t xml:space="preserve">Directive </w:t>
      </w:r>
      <w:hyperlink r:id="rId446" w:history="1">
        <w:r>
          <w:rPr>
            <w:rStyle w:val="Hyperlink"/>
            <w:lang w:val="de-DE"/>
          </w:rPr>
          <w:t>93/13/EEC</w:t>
        </w:r>
      </w:hyperlink>
      <w:r>
        <w:rPr>
          <w:lang w:val="de-DE"/>
        </w:rPr>
        <w:t>.</w:t>
      </w:r>
    </w:p>
  </w:footnote>
  <w:footnote w:id="298">
    <w:p>
      <w:pPr>
        <w:pStyle w:val="FootnoteText"/>
      </w:pPr>
      <w:r>
        <w:rPr>
          <w:rStyle w:val="FootnoteReference"/>
        </w:rPr>
        <w:footnoteRef/>
      </w:r>
      <w:r>
        <w:t xml:space="preserve"> </w:t>
      </w:r>
      <w:r>
        <w:tab/>
        <w:t xml:space="preserve">Directive </w:t>
      </w:r>
      <w:hyperlink r:id="rId447" w:history="1">
        <w:r>
          <w:rPr>
            <w:rStyle w:val="Hyperlink"/>
          </w:rPr>
          <w:t>2008/48/EC</w:t>
        </w:r>
      </w:hyperlink>
      <w:r>
        <w:t>.</w:t>
      </w:r>
    </w:p>
  </w:footnote>
  <w:footnote w:id="299">
    <w:p>
      <w:pPr>
        <w:pStyle w:val="FootnoteText"/>
      </w:pPr>
      <w:r>
        <w:rPr>
          <w:rStyle w:val="FootnoteReference"/>
        </w:rPr>
        <w:footnoteRef/>
      </w:r>
      <w:r>
        <w:t xml:space="preserve"> </w:t>
      </w:r>
      <w:r>
        <w:tab/>
        <w:t xml:space="preserve">Home Credit Slovakia, </w:t>
      </w:r>
      <w:hyperlink r:id="rId448" w:history="1">
        <w:r>
          <w:rPr>
            <w:rStyle w:val="Hyperlink"/>
          </w:rPr>
          <w:t>C-42/15</w:t>
        </w:r>
      </w:hyperlink>
      <w:r>
        <w:t xml:space="preserve"> and Court press release </w:t>
      </w:r>
      <w:hyperlink r:id="rId449" w:history="1">
        <w:r>
          <w:rPr>
            <w:rStyle w:val="Hyperlink"/>
          </w:rPr>
          <w:t>No 56/16</w:t>
        </w:r>
      </w:hyperlink>
      <w:r>
        <w:t>.</w:t>
      </w:r>
    </w:p>
  </w:footnote>
  <w:footnote w:id="300">
    <w:p>
      <w:pPr>
        <w:pStyle w:val="FootnoteText"/>
      </w:pPr>
      <w:r>
        <w:rPr>
          <w:rStyle w:val="FootnoteReference"/>
        </w:rPr>
        <w:footnoteRef/>
      </w:r>
      <w:r>
        <w:t xml:space="preserve"> </w:t>
      </w:r>
      <w:r>
        <w:tab/>
        <w:t xml:space="preserve">Directive </w:t>
      </w:r>
      <w:hyperlink r:id="rId450" w:history="1">
        <w:r>
          <w:rPr>
            <w:rStyle w:val="Hyperlink"/>
          </w:rPr>
          <w:t>2014/41/EU</w:t>
        </w:r>
      </w:hyperlink>
      <w:r>
        <w:t>.</w:t>
      </w:r>
    </w:p>
  </w:footnote>
  <w:footnote w:id="301">
    <w:p>
      <w:pPr>
        <w:pStyle w:val="FootnoteText"/>
      </w:pPr>
      <w:r>
        <w:rPr>
          <w:rStyle w:val="FootnoteReference"/>
        </w:rPr>
        <w:footnoteRef/>
      </w:r>
      <w:r>
        <w:t xml:space="preserve"> </w:t>
      </w:r>
      <w:r>
        <w:tab/>
        <w:t xml:space="preserve">Directive </w:t>
      </w:r>
      <w:hyperlink r:id="rId451" w:history="1">
        <w:r>
          <w:rPr>
            <w:rStyle w:val="Hyperlink"/>
          </w:rPr>
          <w:t>2015/849/EU</w:t>
        </w:r>
      </w:hyperlink>
      <w:r>
        <w:t>.</w:t>
      </w:r>
    </w:p>
  </w:footnote>
  <w:footnote w:id="302">
    <w:p>
      <w:pPr>
        <w:pStyle w:val="FootnoteText"/>
      </w:pPr>
      <w:r>
        <w:rPr>
          <w:rStyle w:val="FootnoteReference"/>
        </w:rPr>
        <w:footnoteRef/>
      </w:r>
      <w:r>
        <w:t xml:space="preserve"> </w:t>
      </w:r>
      <w:r>
        <w:tab/>
        <w:t xml:space="preserve">Directive </w:t>
      </w:r>
      <w:hyperlink r:id="rId452" w:history="1">
        <w:r>
          <w:rPr>
            <w:rStyle w:val="Hyperlink"/>
          </w:rPr>
          <w:t>2012/29/EU</w:t>
        </w:r>
      </w:hyperlink>
      <w:r>
        <w:t>.</w:t>
      </w:r>
    </w:p>
  </w:footnote>
  <w:footnote w:id="303">
    <w:p>
      <w:pPr>
        <w:pStyle w:val="FootnoteText"/>
      </w:pPr>
      <w:r>
        <w:rPr>
          <w:rStyle w:val="FootnoteReference"/>
        </w:rPr>
        <w:footnoteRef/>
      </w:r>
      <w:r>
        <w:t xml:space="preserve"> </w:t>
      </w:r>
      <w:r>
        <w:tab/>
        <w:t xml:space="preserve">Framework Decision </w:t>
      </w:r>
      <w:hyperlink r:id="rId453" w:history="1">
        <w:r>
          <w:rPr>
            <w:rStyle w:val="Hyperlink"/>
          </w:rPr>
          <w:t>2002/584/JHA</w:t>
        </w:r>
      </w:hyperlink>
      <w:r>
        <w:t>.</w:t>
      </w:r>
    </w:p>
  </w:footnote>
  <w:footnote w:id="304">
    <w:p>
      <w:pPr>
        <w:pStyle w:val="FootnoteText"/>
      </w:pPr>
      <w:r>
        <w:rPr>
          <w:rStyle w:val="FootnoteReference"/>
        </w:rPr>
        <w:footnoteRef/>
      </w:r>
      <w:r>
        <w:t xml:space="preserve"> </w:t>
      </w:r>
      <w:r>
        <w:tab/>
        <w:t xml:space="preserve">Directive </w:t>
      </w:r>
      <w:hyperlink r:id="rId454" w:history="1">
        <w:r>
          <w:rPr>
            <w:rStyle w:val="Hyperlink"/>
          </w:rPr>
          <w:t>2014/92/EU</w:t>
        </w:r>
      </w:hyperlink>
      <w:r>
        <w:t>.</w:t>
      </w:r>
    </w:p>
  </w:footnote>
  <w:footnote w:id="305">
    <w:p>
      <w:pPr>
        <w:pStyle w:val="FootnoteText"/>
      </w:pPr>
      <w:r>
        <w:rPr>
          <w:rStyle w:val="FootnoteReference"/>
        </w:rPr>
        <w:footnoteRef/>
      </w:r>
      <w:r>
        <w:t xml:space="preserve"> </w:t>
      </w:r>
      <w:r>
        <w:tab/>
        <w:t xml:space="preserve">Directive </w:t>
      </w:r>
      <w:hyperlink r:id="rId455" w:history="1">
        <w:r>
          <w:rPr>
            <w:rStyle w:val="Hyperlink"/>
          </w:rPr>
          <w:t>2014/89/EU</w:t>
        </w:r>
      </w:hyperlink>
      <w:r>
        <w:t>.</w:t>
      </w:r>
    </w:p>
  </w:footnote>
  <w:footnote w:id="306">
    <w:p>
      <w:pPr>
        <w:pStyle w:val="FootnoteText"/>
      </w:pPr>
      <w:r>
        <w:rPr>
          <w:rStyle w:val="FootnoteReference"/>
        </w:rPr>
        <w:footnoteRef/>
      </w:r>
      <w:r>
        <w:t xml:space="preserve"> </w:t>
      </w:r>
      <w:r>
        <w:tab/>
        <w:t xml:space="preserve">Regulation </w:t>
      </w:r>
      <w:hyperlink r:id="rId456" w:history="1">
        <w:r>
          <w:rPr>
            <w:rStyle w:val="Hyperlink"/>
          </w:rPr>
          <w:t>(EC) No 1967/2006</w:t>
        </w:r>
      </w:hyperlink>
      <w:r>
        <w:t>.</w:t>
      </w:r>
    </w:p>
  </w:footnote>
  <w:footnote w:id="307">
    <w:p>
      <w:pPr>
        <w:pStyle w:val="FootnoteText"/>
      </w:pPr>
      <w:r>
        <w:rPr>
          <w:rStyle w:val="FootnoteReference"/>
        </w:rPr>
        <w:footnoteRef/>
      </w:r>
      <w:r>
        <w:t xml:space="preserve"> </w:t>
      </w:r>
      <w:r>
        <w:tab/>
        <w:t>These rulings are almost exclusively handed down on infringement procedures.</w:t>
      </w:r>
    </w:p>
  </w:footnote>
  <w:footnote w:id="308">
    <w:p>
      <w:pPr>
        <w:pStyle w:val="FootnoteText"/>
        <w:rPr>
          <w:lang w:val="pt-PT"/>
        </w:rPr>
      </w:pPr>
      <w:r>
        <w:rPr>
          <w:rStyle w:val="FootnoteReference"/>
        </w:rPr>
        <w:footnoteRef/>
      </w:r>
      <w:r>
        <w:rPr>
          <w:lang w:val="pt-PT"/>
        </w:rPr>
        <w:t xml:space="preserve"> </w:t>
      </w:r>
      <w:r>
        <w:rPr>
          <w:lang w:val="pt-PT"/>
        </w:rPr>
        <w:tab/>
        <w:t xml:space="preserve">Directive </w:t>
      </w:r>
      <w:hyperlink r:id="rId457" w:history="1">
        <w:r>
          <w:rPr>
            <w:rStyle w:val="Hyperlink"/>
            <w:lang w:val="pt-PT"/>
          </w:rPr>
          <w:t>2014/89/EU</w:t>
        </w:r>
      </w:hyperlink>
      <w:r>
        <w:rPr>
          <w:lang w:val="pt-PT"/>
        </w:rPr>
        <w:t>.</w:t>
      </w:r>
    </w:p>
  </w:footnote>
  <w:footnote w:id="309">
    <w:p>
      <w:pPr>
        <w:pStyle w:val="FootnoteText"/>
        <w:rPr>
          <w:lang w:val="pt-PT"/>
        </w:rPr>
      </w:pPr>
      <w:r>
        <w:rPr>
          <w:rStyle w:val="FootnoteReference"/>
        </w:rPr>
        <w:footnoteRef/>
      </w:r>
      <w:r>
        <w:rPr>
          <w:lang w:val="pt-PT"/>
        </w:rPr>
        <w:t xml:space="preserve"> </w:t>
      </w:r>
      <w:r>
        <w:rPr>
          <w:lang w:val="pt-PT"/>
        </w:rPr>
        <w:tab/>
        <w:t xml:space="preserve">Regulation </w:t>
      </w:r>
      <w:hyperlink r:id="rId458" w:history="1">
        <w:r>
          <w:rPr>
            <w:rStyle w:val="Hyperlink"/>
            <w:lang w:val="pt-PT"/>
          </w:rPr>
          <w:t>(EC) No 1224/2009</w:t>
        </w:r>
      </w:hyperlink>
      <w:r>
        <w:rPr>
          <w:lang w:val="pt-PT"/>
        </w:rPr>
        <w:t>.</w:t>
      </w:r>
    </w:p>
  </w:footnote>
  <w:footnote w:id="310">
    <w:p>
      <w:pPr>
        <w:pStyle w:val="FootnoteText"/>
        <w:rPr>
          <w:lang w:val="pt-PT"/>
        </w:rPr>
      </w:pPr>
      <w:r>
        <w:rPr>
          <w:rStyle w:val="FootnoteReference"/>
        </w:rPr>
        <w:footnoteRef/>
      </w:r>
      <w:r>
        <w:rPr>
          <w:lang w:val="pt-PT"/>
        </w:rPr>
        <w:t xml:space="preserve"> </w:t>
      </w:r>
      <w:r>
        <w:rPr>
          <w:lang w:val="pt-PT"/>
        </w:rPr>
        <w:tab/>
        <w:t xml:space="preserve">Regulation </w:t>
      </w:r>
      <w:hyperlink r:id="rId459" w:history="1">
        <w:r>
          <w:rPr>
            <w:rStyle w:val="Hyperlink"/>
            <w:lang w:val="pt-PT"/>
          </w:rPr>
          <w:t>(EC) No 1224/2009</w:t>
        </w:r>
      </w:hyperlink>
      <w:r>
        <w:rPr>
          <w:lang w:val="pt-PT"/>
        </w:rPr>
        <w:t>.</w:t>
      </w:r>
    </w:p>
  </w:footnote>
  <w:footnote w:id="311">
    <w:p>
      <w:pPr>
        <w:pStyle w:val="FootnoteText"/>
        <w:rPr>
          <w:lang w:val="pt-PT"/>
        </w:rPr>
      </w:pPr>
      <w:r>
        <w:rPr>
          <w:rStyle w:val="FootnoteReference"/>
        </w:rPr>
        <w:footnoteRef/>
      </w:r>
      <w:r>
        <w:rPr>
          <w:lang w:val="pt-PT"/>
        </w:rPr>
        <w:t xml:space="preserve"> </w:t>
      </w:r>
      <w:r>
        <w:rPr>
          <w:lang w:val="pt-PT"/>
        </w:rPr>
        <w:tab/>
        <w:t xml:space="preserve">Regulation </w:t>
      </w:r>
      <w:hyperlink r:id="rId460" w:history="1">
        <w:r>
          <w:rPr>
            <w:rStyle w:val="Hyperlink"/>
            <w:lang w:val="pt-PT"/>
          </w:rPr>
          <w:t>(EU) No 1380/2013</w:t>
        </w:r>
      </w:hyperlink>
      <w:r>
        <w:rPr>
          <w:lang w:val="pt-PT"/>
        </w:rPr>
        <w:t>.</w:t>
      </w:r>
    </w:p>
  </w:footnote>
  <w:footnote w:id="312">
    <w:p>
      <w:pPr>
        <w:pStyle w:val="FootnoteText"/>
        <w:rPr>
          <w:lang w:val="pt-PT"/>
        </w:rPr>
      </w:pPr>
      <w:r>
        <w:rPr>
          <w:rStyle w:val="FootnoteReference"/>
        </w:rPr>
        <w:footnoteRef/>
      </w:r>
      <w:r>
        <w:rPr>
          <w:lang w:val="pt-PT"/>
        </w:rPr>
        <w:t xml:space="preserve"> </w:t>
      </w:r>
      <w:r>
        <w:rPr>
          <w:lang w:val="pt-PT"/>
        </w:rPr>
        <w:tab/>
        <w:t xml:space="preserve">Directive </w:t>
      </w:r>
      <w:hyperlink r:id="rId461" w:history="1">
        <w:r>
          <w:rPr>
            <w:rStyle w:val="Hyperlink"/>
            <w:lang w:val="pt-PT"/>
          </w:rPr>
          <w:t>2013/40/EU</w:t>
        </w:r>
      </w:hyperlink>
      <w:r>
        <w:rPr>
          <w:lang w:val="pt-PT"/>
        </w:rPr>
        <w:t xml:space="preserve">; </w:t>
      </w:r>
      <w:hyperlink r:id="rId462" w:history="1">
        <w:r>
          <w:rPr>
            <w:rStyle w:val="Hyperlink"/>
            <w:lang w:val="pt-PT"/>
          </w:rPr>
          <w:t>MEMO/16/4211</w:t>
        </w:r>
      </w:hyperlink>
      <w:r>
        <w:rPr>
          <w:lang w:val="pt-PT"/>
        </w:rPr>
        <w:t>.</w:t>
      </w:r>
    </w:p>
  </w:footnote>
  <w:footnote w:id="313">
    <w:p>
      <w:pPr>
        <w:pStyle w:val="FootnoteText"/>
        <w:rPr>
          <w:lang w:val="pt-PT"/>
        </w:rPr>
      </w:pPr>
      <w:r>
        <w:rPr>
          <w:rStyle w:val="FootnoteReference"/>
        </w:rPr>
        <w:footnoteRef/>
      </w:r>
      <w:r>
        <w:rPr>
          <w:lang w:val="pt-PT"/>
        </w:rPr>
        <w:t xml:space="preserve"> </w:t>
      </w:r>
      <w:r>
        <w:rPr>
          <w:lang w:val="pt-PT"/>
        </w:rPr>
        <w:tab/>
        <w:t xml:space="preserve">Directive </w:t>
      </w:r>
      <w:hyperlink r:id="rId463" w:history="1">
        <w:r>
          <w:rPr>
            <w:color w:val="0000FF" w:themeColor="hyperlink"/>
            <w:u w:val="single"/>
            <w:lang w:val="pt-PT"/>
          </w:rPr>
          <w:t>2003/109/EC</w:t>
        </w:r>
      </w:hyperlink>
      <w:r>
        <w:rPr>
          <w:lang w:val="pt-PT"/>
        </w:rPr>
        <w:t>.</w:t>
      </w:r>
    </w:p>
  </w:footnote>
  <w:footnote w:id="314">
    <w:p>
      <w:pPr>
        <w:pStyle w:val="FootnoteText"/>
        <w:rPr>
          <w:lang w:val="pt-PT"/>
        </w:rPr>
      </w:pPr>
      <w:r>
        <w:rPr>
          <w:rStyle w:val="FootnoteReference"/>
        </w:rPr>
        <w:footnoteRef/>
      </w:r>
      <w:r>
        <w:rPr>
          <w:lang w:val="pt-PT"/>
        </w:rPr>
        <w:t xml:space="preserve"> </w:t>
      </w:r>
      <w:r>
        <w:rPr>
          <w:lang w:val="pt-PT"/>
        </w:rPr>
        <w:tab/>
        <w:t xml:space="preserve">Directives </w:t>
      </w:r>
      <w:hyperlink r:id="rId464" w:history="1">
        <w:r>
          <w:rPr>
            <w:color w:val="0000FF" w:themeColor="hyperlink"/>
            <w:u w:val="single"/>
            <w:lang w:val="pt-PT"/>
          </w:rPr>
          <w:t>2013/32/EU</w:t>
        </w:r>
      </w:hyperlink>
      <w:r>
        <w:rPr>
          <w:lang w:val="pt-PT"/>
        </w:rPr>
        <w:t xml:space="preserve"> and </w:t>
      </w:r>
      <w:hyperlink r:id="rId465" w:history="1">
        <w:r>
          <w:rPr>
            <w:color w:val="0000FF" w:themeColor="hyperlink"/>
            <w:u w:val="single"/>
            <w:lang w:val="pt-PT"/>
          </w:rPr>
          <w:t>2013/33/EU</w:t>
        </w:r>
      </w:hyperlink>
      <w:r>
        <w:rPr>
          <w:lang w:val="pt-PT"/>
        </w:rPr>
        <w:t>.</w:t>
      </w:r>
    </w:p>
  </w:footnote>
  <w:footnote w:id="315">
    <w:p>
      <w:pPr>
        <w:pStyle w:val="FootnoteText"/>
        <w:rPr>
          <w:lang w:val="pt-PT"/>
        </w:rPr>
      </w:pPr>
      <w:r>
        <w:rPr>
          <w:rStyle w:val="FootnoteReference"/>
        </w:rPr>
        <w:footnoteRef/>
      </w:r>
      <w:r>
        <w:rPr>
          <w:lang w:val="pt-PT"/>
        </w:rPr>
        <w:t xml:space="preserve"> </w:t>
      </w:r>
      <w:r>
        <w:rPr>
          <w:lang w:val="pt-PT"/>
        </w:rPr>
        <w:tab/>
        <w:t xml:space="preserve">Council Decisions </w:t>
      </w:r>
      <w:hyperlink r:id="rId466" w:history="1">
        <w:r>
          <w:rPr>
            <w:color w:val="0000FF" w:themeColor="hyperlink"/>
            <w:u w:val="single"/>
            <w:lang w:val="pt-PT"/>
          </w:rPr>
          <w:t>2008/615/JHA</w:t>
        </w:r>
      </w:hyperlink>
      <w:r>
        <w:rPr>
          <w:lang w:val="pt-PT"/>
        </w:rPr>
        <w:t xml:space="preserve"> and </w:t>
      </w:r>
      <w:hyperlink r:id="rId467" w:history="1">
        <w:r>
          <w:rPr>
            <w:color w:val="0000FF" w:themeColor="hyperlink"/>
            <w:u w:val="single"/>
            <w:lang w:val="pt-PT"/>
          </w:rPr>
          <w:t>2008/616/JHA</w:t>
        </w:r>
      </w:hyperlink>
      <w:r>
        <w:rPr>
          <w:lang w:val="pt-PT"/>
        </w:rPr>
        <w:t xml:space="preserve">; </w:t>
      </w:r>
      <w:hyperlink r:id="rId468" w:history="1">
        <w:r>
          <w:rPr>
            <w:color w:val="0000FF" w:themeColor="hyperlink"/>
            <w:u w:val="single"/>
            <w:lang w:val="pt-PT"/>
          </w:rPr>
          <w:t>MEMO/16/3125</w:t>
        </w:r>
      </w:hyperlink>
      <w:r>
        <w:rPr>
          <w:lang w:val="pt-PT"/>
        </w:rPr>
        <w:t>.</w:t>
      </w:r>
    </w:p>
  </w:footnote>
  <w:footnote w:id="316">
    <w:p>
      <w:pPr>
        <w:pStyle w:val="FootnoteText"/>
        <w:rPr>
          <w:lang w:val="pt-PT"/>
        </w:rPr>
      </w:pPr>
      <w:r>
        <w:rPr>
          <w:rStyle w:val="FootnoteReference"/>
        </w:rPr>
        <w:footnoteRef/>
      </w:r>
      <w:r>
        <w:rPr>
          <w:lang w:val="pt-PT"/>
        </w:rPr>
        <w:t xml:space="preserve"> </w:t>
      </w:r>
      <w:r>
        <w:rPr>
          <w:lang w:val="pt-PT"/>
        </w:rPr>
        <w:tab/>
        <w:t xml:space="preserve">Regulation </w:t>
      </w:r>
      <w:hyperlink r:id="rId469" w:history="1">
        <w:r>
          <w:rPr>
            <w:color w:val="0000FF" w:themeColor="hyperlink"/>
            <w:u w:val="single"/>
            <w:lang w:val="pt-PT"/>
          </w:rPr>
          <w:t>(EU) No 98/2013</w:t>
        </w:r>
      </w:hyperlink>
      <w:r>
        <w:rPr>
          <w:lang w:val="pt-PT"/>
        </w:rPr>
        <w:t xml:space="preserve">; </w:t>
      </w:r>
      <w:hyperlink r:id="rId470" w:history="1">
        <w:r>
          <w:rPr>
            <w:color w:val="0000FF" w:themeColor="hyperlink"/>
            <w:u w:val="single"/>
            <w:lang w:val="pt-PT"/>
          </w:rPr>
          <w:t>MEMO/16/3125</w:t>
        </w:r>
      </w:hyperlink>
      <w:r>
        <w:rPr>
          <w:lang w:val="pt-PT"/>
        </w:rPr>
        <w:t>.</w:t>
      </w:r>
    </w:p>
  </w:footnote>
  <w:footnote w:id="317">
    <w:p>
      <w:pPr>
        <w:pStyle w:val="FootnoteText"/>
        <w:rPr>
          <w:lang w:val="pt-PT"/>
        </w:rPr>
      </w:pPr>
      <w:r>
        <w:rPr>
          <w:rStyle w:val="FootnoteReference"/>
        </w:rPr>
        <w:footnoteRef/>
      </w:r>
      <w:r>
        <w:rPr>
          <w:lang w:val="pt-PT"/>
        </w:rPr>
        <w:t xml:space="preserve"> </w:t>
      </w:r>
      <w:r>
        <w:rPr>
          <w:lang w:val="pt-PT"/>
        </w:rPr>
        <w:tab/>
        <w:t xml:space="preserve">Directive </w:t>
      </w:r>
      <w:hyperlink r:id="rId471" w:history="1">
        <w:r>
          <w:rPr>
            <w:color w:val="0000FF" w:themeColor="hyperlink"/>
            <w:u w:val="single"/>
            <w:lang w:val="pt-PT"/>
          </w:rPr>
          <w:t>2008/115/EC</w:t>
        </w:r>
      </w:hyperlink>
      <w:r>
        <w:rPr>
          <w:lang w:val="pt-PT"/>
        </w:rPr>
        <w:t>.</w:t>
      </w:r>
    </w:p>
  </w:footnote>
  <w:footnote w:id="318">
    <w:p>
      <w:pPr>
        <w:pStyle w:val="FootnoteText"/>
        <w:rPr>
          <w:lang w:val="pt-PT"/>
        </w:rPr>
      </w:pPr>
      <w:r>
        <w:rPr>
          <w:rStyle w:val="FootnoteReference"/>
        </w:rPr>
        <w:footnoteRef/>
      </w:r>
      <w:r>
        <w:rPr>
          <w:lang w:val="pt-PT"/>
        </w:rPr>
        <w:t xml:space="preserve"> </w:t>
      </w:r>
      <w:r>
        <w:rPr>
          <w:lang w:val="pt-PT"/>
        </w:rPr>
        <w:tab/>
        <w:t xml:space="preserve">Directive </w:t>
      </w:r>
      <w:hyperlink r:id="rId472" w:history="1">
        <w:r>
          <w:rPr>
            <w:color w:val="0000FF" w:themeColor="hyperlink"/>
            <w:u w:val="single"/>
            <w:lang w:val="pt-PT"/>
          </w:rPr>
          <w:t>2011/51/EU</w:t>
        </w:r>
      </w:hyperlink>
      <w:r>
        <w:rPr>
          <w:lang w:val="pt-PT"/>
        </w:rPr>
        <w:t>.</w:t>
      </w:r>
    </w:p>
  </w:footnote>
  <w:footnote w:id="319">
    <w:p>
      <w:pPr>
        <w:pStyle w:val="FootnoteText"/>
        <w:rPr>
          <w:lang w:val="pt-PT"/>
        </w:rPr>
      </w:pPr>
      <w:r>
        <w:rPr>
          <w:rStyle w:val="FootnoteReference"/>
        </w:rPr>
        <w:footnoteRef/>
      </w:r>
      <w:r>
        <w:rPr>
          <w:lang w:val="pt-PT"/>
        </w:rPr>
        <w:t xml:space="preserve"> </w:t>
      </w:r>
      <w:r>
        <w:rPr>
          <w:lang w:val="pt-PT"/>
        </w:rPr>
        <w:tab/>
      </w:r>
      <w:r>
        <w:rPr>
          <w:rFonts w:eastAsia="Calibri"/>
          <w:kern w:val="20"/>
          <w:lang w:val="pt-PT"/>
        </w:rPr>
        <w:t xml:space="preserve">Council Framework Decision </w:t>
      </w:r>
      <w:hyperlink r:id="rId473" w:history="1">
        <w:r>
          <w:rPr>
            <w:rStyle w:val="Hyperlink"/>
            <w:rFonts w:eastAsia="Calibri"/>
            <w:kern w:val="20"/>
            <w:lang w:val="pt-PT"/>
          </w:rPr>
          <w:t>2006/960/JHA</w:t>
        </w:r>
      </w:hyperlink>
      <w:r>
        <w:rPr>
          <w:rFonts w:eastAsia="Calibri"/>
          <w:kern w:val="20"/>
          <w:lang w:val="pt-PT"/>
        </w:rPr>
        <w:t>.</w:t>
      </w:r>
    </w:p>
  </w:footnote>
  <w:footnote w:id="320">
    <w:p>
      <w:pPr>
        <w:pStyle w:val="FootnoteText"/>
        <w:rPr>
          <w:lang w:val="pt-PT"/>
        </w:rPr>
      </w:pPr>
      <w:r>
        <w:rPr>
          <w:rStyle w:val="FootnoteReference"/>
        </w:rPr>
        <w:footnoteRef/>
      </w:r>
      <w:r>
        <w:rPr>
          <w:lang w:val="pt-PT"/>
        </w:rPr>
        <w:t xml:space="preserve"> </w:t>
      </w:r>
      <w:r>
        <w:rPr>
          <w:lang w:val="pt-PT"/>
        </w:rPr>
        <w:tab/>
        <w:t xml:space="preserve">Directive </w:t>
      </w:r>
      <w:hyperlink r:id="rId474" w:history="1">
        <w:r>
          <w:rPr>
            <w:rStyle w:val="Hyperlink"/>
            <w:lang w:val="pt-PT"/>
          </w:rPr>
          <w:t>2014/36/EU</w:t>
        </w:r>
      </w:hyperlink>
      <w:r>
        <w:rPr>
          <w:lang w:val="pt-PT"/>
        </w:rPr>
        <w:t>.</w:t>
      </w:r>
    </w:p>
  </w:footnote>
  <w:footnote w:id="321">
    <w:p>
      <w:pPr>
        <w:pStyle w:val="FootnoteText"/>
        <w:rPr>
          <w:lang w:val="pt-PT"/>
        </w:rPr>
      </w:pPr>
      <w:r>
        <w:rPr>
          <w:rStyle w:val="FootnoteReference"/>
        </w:rPr>
        <w:footnoteRef/>
      </w:r>
      <w:r>
        <w:rPr>
          <w:lang w:val="pt-PT"/>
        </w:rPr>
        <w:t xml:space="preserve"> </w:t>
      </w:r>
      <w:r>
        <w:rPr>
          <w:lang w:val="pt-PT"/>
        </w:rPr>
        <w:tab/>
        <w:t xml:space="preserve">Directive </w:t>
      </w:r>
      <w:hyperlink r:id="rId475" w:history="1">
        <w:r>
          <w:rPr>
            <w:rStyle w:val="Hyperlink"/>
            <w:lang w:val="pt-PT"/>
          </w:rPr>
          <w:t>2014/42/EU</w:t>
        </w:r>
      </w:hyperlink>
      <w:r>
        <w:rPr>
          <w:lang w:val="pt-PT"/>
        </w:rPr>
        <w:t>.</w:t>
      </w:r>
    </w:p>
  </w:footnote>
  <w:footnote w:id="322">
    <w:p>
      <w:pPr>
        <w:pStyle w:val="FootnoteText"/>
        <w:rPr>
          <w:lang w:val="pt-PT"/>
        </w:rPr>
      </w:pPr>
      <w:r>
        <w:rPr>
          <w:rStyle w:val="FootnoteReference"/>
        </w:rPr>
        <w:footnoteRef/>
      </w:r>
      <w:r>
        <w:rPr>
          <w:lang w:val="pt-PT"/>
        </w:rPr>
        <w:t xml:space="preserve"> </w:t>
      </w:r>
      <w:r>
        <w:rPr>
          <w:lang w:val="pt-PT"/>
        </w:rPr>
        <w:tab/>
        <w:t xml:space="preserve">Regulation (EU) </w:t>
      </w:r>
      <w:hyperlink r:id="rId476" w:history="1">
        <w:r>
          <w:rPr>
            <w:color w:val="0000FF" w:themeColor="hyperlink"/>
            <w:u w:val="single"/>
            <w:lang w:val="pt-PT"/>
          </w:rPr>
          <w:t>603/2013</w:t>
        </w:r>
      </w:hyperlink>
      <w:r>
        <w:rPr>
          <w:lang w:val="pt-PT"/>
        </w:rPr>
        <w:t xml:space="preserve">; </w:t>
      </w:r>
      <w:hyperlink r:id="rId477" w:history="1">
        <w:r>
          <w:rPr>
            <w:color w:val="0000FF" w:themeColor="hyperlink"/>
            <w:u w:val="single"/>
            <w:lang w:val="pt-PT"/>
          </w:rPr>
          <w:t>MEMO/16/4211</w:t>
        </w:r>
      </w:hyperlink>
      <w:r>
        <w:rPr>
          <w:lang w:val="pt-PT"/>
        </w:rPr>
        <w:t>.</w:t>
      </w:r>
    </w:p>
  </w:footnote>
  <w:footnote w:id="323">
    <w:p>
      <w:pPr>
        <w:pStyle w:val="FootnoteText"/>
        <w:rPr>
          <w:lang w:val="pt-PT"/>
        </w:rPr>
      </w:pPr>
      <w:r>
        <w:rPr>
          <w:rStyle w:val="FootnoteReference"/>
        </w:rPr>
        <w:footnoteRef/>
      </w:r>
      <w:r>
        <w:rPr>
          <w:lang w:val="pt-PT"/>
        </w:rPr>
        <w:t xml:space="preserve"> </w:t>
      </w:r>
      <w:r>
        <w:rPr>
          <w:lang w:val="pt-PT"/>
        </w:rPr>
        <w:tab/>
        <w:t xml:space="preserve">Directive </w:t>
      </w:r>
      <w:hyperlink r:id="rId478" w:history="1">
        <w:r>
          <w:rPr>
            <w:rStyle w:val="Hyperlink"/>
            <w:lang w:val="pt-PT"/>
          </w:rPr>
          <w:t>2013/40/EU</w:t>
        </w:r>
      </w:hyperlink>
      <w:r>
        <w:rPr>
          <w:lang w:val="pt-PT"/>
        </w:rPr>
        <w:t xml:space="preserve">; </w:t>
      </w:r>
      <w:hyperlink r:id="rId479" w:history="1">
        <w:r>
          <w:rPr>
            <w:rStyle w:val="Hyperlink"/>
            <w:lang w:val="pt-PT"/>
          </w:rPr>
          <w:t>MEMO/16/4211</w:t>
        </w:r>
      </w:hyperlink>
      <w:r>
        <w:rPr>
          <w:lang w:val="pt-PT"/>
        </w:rPr>
        <w:t>.</w:t>
      </w:r>
    </w:p>
  </w:footnote>
  <w:footnote w:id="324">
    <w:p>
      <w:pPr>
        <w:pStyle w:val="FootnoteText"/>
        <w:rPr>
          <w:lang w:val="pt-PT"/>
        </w:rPr>
      </w:pPr>
      <w:r>
        <w:rPr>
          <w:rStyle w:val="FootnoteReference"/>
        </w:rPr>
        <w:footnoteRef/>
      </w:r>
      <w:r>
        <w:rPr>
          <w:lang w:val="pt-PT"/>
        </w:rPr>
        <w:t xml:space="preserve"> </w:t>
      </w:r>
      <w:r>
        <w:rPr>
          <w:lang w:val="pt-PT"/>
        </w:rPr>
        <w:tab/>
        <w:t>These rulings are almost exclusively handed down on infringement procedures.</w:t>
      </w:r>
    </w:p>
  </w:footnote>
  <w:footnote w:id="325">
    <w:p>
      <w:pPr>
        <w:pStyle w:val="FootnoteText"/>
      </w:pPr>
      <w:r>
        <w:rPr>
          <w:rStyle w:val="FootnoteReference"/>
        </w:rPr>
        <w:footnoteRef/>
      </w:r>
      <w:r>
        <w:t xml:space="preserve"> </w:t>
      </w:r>
      <w:r>
        <w:tab/>
        <w:t xml:space="preserve">Directive </w:t>
      </w:r>
      <w:hyperlink r:id="rId480" w:history="1">
        <w:r>
          <w:rPr>
            <w:color w:val="0000FF" w:themeColor="hyperlink"/>
            <w:u w:val="single"/>
          </w:rPr>
          <w:t>2011/95/EU</w:t>
        </w:r>
      </w:hyperlink>
      <w:r>
        <w:t>.</w:t>
      </w:r>
    </w:p>
  </w:footnote>
  <w:footnote w:id="326">
    <w:p>
      <w:pPr>
        <w:pStyle w:val="FootnoteText"/>
      </w:pPr>
      <w:r>
        <w:rPr>
          <w:rStyle w:val="FootnoteReference"/>
        </w:rPr>
        <w:footnoteRef/>
      </w:r>
      <w:r>
        <w:t xml:space="preserve"> </w:t>
      </w:r>
      <w:r>
        <w:tab/>
        <w:t xml:space="preserve">Kreis Warendorf v. Ibrahim Alo and Amira Osso v. Hannover Region, joined cases </w:t>
      </w:r>
      <w:hyperlink r:id="rId481" w:history="1">
        <w:r>
          <w:rPr>
            <w:color w:val="0000FF" w:themeColor="hyperlink"/>
            <w:u w:val="single"/>
          </w:rPr>
          <w:t>C-443/14</w:t>
        </w:r>
      </w:hyperlink>
      <w:r>
        <w:t xml:space="preserve"> and </w:t>
      </w:r>
      <w:hyperlink r:id="rId482" w:history="1">
        <w:r>
          <w:rPr>
            <w:color w:val="0000FF" w:themeColor="hyperlink"/>
            <w:u w:val="single"/>
          </w:rPr>
          <w:t>C-444/14</w:t>
        </w:r>
      </w:hyperlink>
      <w:r>
        <w:t>.</w:t>
      </w:r>
    </w:p>
  </w:footnote>
  <w:footnote w:id="327">
    <w:p>
      <w:pPr>
        <w:pStyle w:val="FootnoteText"/>
      </w:pPr>
      <w:r>
        <w:rPr>
          <w:rStyle w:val="FootnoteReference"/>
        </w:rPr>
        <w:footnoteRef/>
      </w:r>
      <w:r>
        <w:t xml:space="preserve"> </w:t>
      </w:r>
      <w:r>
        <w:tab/>
        <w:t xml:space="preserve">Danqua, </w:t>
      </w:r>
      <w:hyperlink r:id="rId483" w:history="1">
        <w:r>
          <w:rPr>
            <w:color w:val="0000FF" w:themeColor="hyperlink"/>
            <w:u w:val="single"/>
          </w:rPr>
          <w:t>C-429/15</w:t>
        </w:r>
      </w:hyperlink>
      <w:r>
        <w:t>.</w:t>
      </w:r>
    </w:p>
  </w:footnote>
  <w:footnote w:id="328">
    <w:p>
      <w:pPr>
        <w:pStyle w:val="FootnoteText"/>
      </w:pPr>
      <w:r>
        <w:rPr>
          <w:rStyle w:val="FootnoteReference"/>
        </w:rPr>
        <w:footnoteRef/>
      </w:r>
      <w:r>
        <w:t xml:space="preserve"> </w:t>
      </w:r>
      <w:r>
        <w:tab/>
        <w:t xml:space="preserve">Mimoun Khachab, </w:t>
      </w:r>
      <w:hyperlink r:id="rId484" w:history="1">
        <w:r>
          <w:rPr>
            <w:color w:val="0000FF" w:themeColor="hyperlink"/>
            <w:u w:val="single"/>
          </w:rPr>
          <w:t>C-558/14</w:t>
        </w:r>
      </w:hyperlink>
      <w:r>
        <w:t>.</w:t>
      </w:r>
    </w:p>
  </w:footnote>
  <w:footnote w:id="329">
    <w:p>
      <w:pPr>
        <w:pStyle w:val="FootnoteText"/>
        <w:rPr>
          <w:lang w:val="fr-BE"/>
        </w:rPr>
      </w:pPr>
      <w:r>
        <w:rPr>
          <w:rStyle w:val="FootnoteReference"/>
        </w:rPr>
        <w:footnoteRef/>
      </w:r>
      <w:r>
        <w:rPr>
          <w:lang w:val="fr-BE"/>
        </w:rPr>
        <w:t xml:space="preserve"> </w:t>
      </w:r>
      <w:r>
        <w:rPr>
          <w:lang w:val="fr-BE"/>
        </w:rPr>
        <w:tab/>
        <w:t xml:space="preserve">PPU - Mirza, </w:t>
      </w:r>
      <w:hyperlink r:id="rId485" w:history="1">
        <w:r>
          <w:rPr>
            <w:color w:val="0000FF" w:themeColor="hyperlink"/>
            <w:u w:val="single"/>
            <w:lang w:val="fr-BE"/>
          </w:rPr>
          <w:t>C-695/15</w:t>
        </w:r>
      </w:hyperlink>
      <w:r>
        <w:rPr>
          <w:lang w:val="fr-BE"/>
        </w:rPr>
        <w:t>.</w:t>
      </w:r>
    </w:p>
  </w:footnote>
  <w:footnote w:id="330">
    <w:p>
      <w:pPr>
        <w:pStyle w:val="FootnoteText"/>
        <w:rPr>
          <w:lang w:val="fr-BE"/>
        </w:rPr>
      </w:pPr>
      <w:r>
        <w:rPr>
          <w:rStyle w:val="FootnoteReference"/>
        </w:rPr>
        <w:footnoteRef/>
      </w:r>
      <w:r>
        <w:rPr>
          <w:lang w:val="fr-BE"/>
        </w:rPr>
        <w:t xml:space="preserve"> </w:t>
      </w:r>
      <w:r>
        <w:rPr>
          <w:lang w:val="fr-BE"/>
        </w:rPr>
        <w:tab/>
      </w:r>
      <w:hyperlink r:id="rId486" w:history="1">
        <w:r>
          <w:rPr>
            <w:rStyle w:val="Hyperlink"/>
            <w:color w:val="auto"/>
            <w:u w:val="none"/>
            <w:lang w:val="fr-BE"/>
          </w:rPr>
          <w:t>Directive</w:t>
        </w:r>
        <w:r>
          <w:rPr>
            <w:rStyle w:val="Hyperlink"/>
            <w:lang w:val="fr-BE"/>
          </w:rPr>
          <w:t xml:space="preserve"> 2013/33/EU</w:t>
        </w:r>
      </w:hyperlink>
      <w:r>
        <w:rPr>
          <w:lang w:val="fr-BE"/>
        </w:rPr>
        <w:t>.</w:t>
      </w:r>
    </w:p>
  </w:footnote>
  <w:footnote w:id="331">
    <w:p>
      <w:pPr>
        <w:pStyle w:val="FootnoteText"/>
        <w:rPr>
          <w:lang w:val="fr-BE"/>
        </w:rPr>
      </w:pPr>
      <w:r>
        <w:rPr>
          <w:rStyle w:val="FootnoteReference"/>
        </w:rPr>
        <w:footnoteRef/>
      </w:r>
      <w:r>
        <w:rPr>
          <w:lang w:val="fr-BE"/>
        </w:rPr>
        <w:t xml:space="preserve"> </w:t>
      </w:r>
      <w:r>
        <w:rPr>
          <w:lang w:val="fr-BE"/>
        </w:rPr>
        <w:tab/>
        <w:t xml:space="preserve">Directive </w:t>
      </w:r>
      <w:hyperlink r:id="rId487" w:history="1">
        <w:r>
          <w:rPr>
            <w:color w:val="0000FF" w:themeColor="hyperlink"/>
            <w:u w:val="single"/>
            <w:lang w:val="fr-BE"/>
          </w:rPr>
          <w:t>2008/115/EC</w:t>
        </w:r>
      </w:hyperlink>
      <w:r>
        <w:rPr>
          <w:lang w:val="fr-BE"/>
        </w:rPr>
        <w:t xml:space="preserve">; J.N., </w:t>
      </w:r>
      <w:hyperlink r:id="rId488" w:history="1">
        <w:r>
          <w:rPr>
            <w:color w:val="0000FF" w:themeColor="hyperlink"/>
            <w:u w:val="single"/>
            <w:lang w:val="fr-BE"/>
          </w:rPr>
          <w:t>C-601/15</w:t>
        </w:r>
      </w:hyperlink>
      <w:r>
        <w:rPr>
          <w:lang w:val="fr-BE"/>
        </w:rPr>
        <w:t xml:space="preserve">.. </w:t>
      </w:r>
    </w:p>
  </w:footnote>
  <w:footnote w:id="332">
    <w:p>
      <w:pPr>
        <w:pStyle w:val="FootnoteText"/>
        <w:rPr>
          <w:lang w:val="fr-BE"/>
        </w:rPr>
      </w:pPr>
      <w:r>
        <w:rPr>
          <w:rStyle w:val="FootnoteReference"/>
        </w:rPr>
        <w:footnoteRef/>
      </w:r>
      <w:r>
        <w:rPr>
          <w:lang w:val="fr-BE"/>
        </w:rPr>
        <w:t xml:space="preserve"> </w:t>
      </w:r>
      <w:r>
        <w:rPr>
          <w:lang w:val="fr-BE"/>
        </w:rPr>
        <w:tab/>
        <w:t xml:space="preserve">Article 19(2) of Regulation </w:t>
      </w:r>
      <w:hyperlink r:id="rId489" w:history="1">
        <w:r>
          <w:rPr>
            <w:color w:val="0000FF" w:themeColor="hyperlink"/>
            <w:u w:val="single"/>
            <w:lang w:val="fr-BE"/>
          </w:rPr>
          <w:t>(EU) 604/2013</w:t>
        </w:r>
      </w:hyperlink>
      <w:r>
        <w:rPr>
          <w:lang w:val="fr-BE"/>
        </w:rPr>
        <w:t>.</w:t>
      </w:r>
    </w:p>
  </w:footnote>
  <w:footnote w:id="333">
    <w:p>
      <w:pPr>
        <w:pStyle w:val="FootnoteText"/>
        <w:rPr>
          <w:lang w:val="pt-PT"/>
        </w:rPr>
      </w:pPr>
      <w:r>
        <w:rPr>
          <w:rStyle w:val="FootnoteReference"/>
        </w:rPr>
        <w:footnoteRef/>
      </w:r>
      <w:r>
        <w:rPr>
          <w:lang w:val="pt-PT"/>
        </w:rPr>
        <w:t xml:space="preserve"> </w:t>
      </w:r>
      <w:r>
        <w:rPr>
          <w:lang w:val="pt-PT"/>
        </w:rPr>
        <w:tab/>
        <w:t xml:space="preserve">Karim, </w:t>
      </w:r>
      <w:hyperlink r:id="rId490" w:history="1">
        <w:r>
          <w:rPr>
            <w:color w:val="0000FF" w:themeColor="hyperlink"/>
            <w:u w:val="single"/>
            <w:lang w:val="pt-PT"/>
          </w:rPr>
          <w:t>C-155/15</w:t>
        </w:r>
      </w:hyperlink>
      <w:r>
        <w:rPr>
          <w:lang w:val="pt-PT"/>
        </w:rPr>
        <w:t>.</w:t>
      </w:r>
    </w:p>
  </w:footnote>
  <w:footnote w:id="334">
    <w:p>
      <w:pPr>
        <w:pStyle w:val="FootnoteText"/>
        <w:rPr>
          <w:rFonts w:ascii="Times New Roman" w:hAnsi="Times New Roman"/>
          <w:sz w:val="20"/>
          <w:lang w:val="pt-PT"/>
        </w:rPr>
      </w:pPr>
      <w:r>
        <w:rPr>
          <w:rStyle w:val="FootnoteReference"/>
        </w:rPr>
        <w:footnoteRef/>
      </w:r>
      <w:r>
        <w:rPr>
          <w:lang w:val="pt-PT"/>
        </w:rPr>
        <w:t xml:space="preserve"> </w:t>
      </w:r>
      <w:r>
        <w:rPr>
          <w:lang w:val="pt-PT"/>
        </w:rPr>
        <w:tab/>
        <w:t>Regulation (EU) No </w:t>
      </w:r>
      <w:hyperlink r:id="rId491" w:history="1">
        <w:r>
          <w:rPr>
            <w:rStyle w:val="Hyperlink"/>
            <w:lang w:val="pt-PT"/>
          </w:rPr>
          <w:t>98/2013</w:t>
        </w:r>
      </w:hyperlink>
      <w:r>
        <w:rPr>
          <w:lang w:val="pt-PT"/>
        </w:rPr>
        <w:t>.</w:t>
      </w:r>
    </w:p>
  </w:footnote>
  <w:footnote w:id="335">
    <w:p>
      <w:pPr>
        <w:pStyle w:val="FootnoteText"/>
      </w:pPr>
      <w:r>
        <w:rPr>
          <w:rStyle w:val="FootnoteReference"/>
        </w:rPr>
        <w:footnoteRef/>
      </w:r>
      <w:r>
        <w:t xml:space="preserve"> </w:t>
      </w:r>
      <w:r>
        <w:tab/>
        <w:t xml:space="preserve">Council Decisions </w:t>
      </w:r>
      <w:hyperlink r:id="rId492" w:history="1">
        <w:r>
          <w:rPr>
            <w:rStyle w:val="Hyperlink"/>
          </w:rPr>
          <w:t>2008/615/JHA</w:t>
        </w:r>
      </w:hyperlink>
      <w:r>
        <w:rPr>
          <w:color w:val="FF0000"/>
        </w:rPr>
        <w:t xml:space="preserve"> </w:t>
      </w:r>
      <w:r>
        <w:t>and</w:t>
      </w:r>
      <w:r>
        <w:rPr>
          <w:color w:val="FF0000"/>
        </w:rPr>
        <w:t xml:space="preserve"> </w:t>
      </w:r>
      <w:hyperlink r:id="rId493" w:history="1">
        <w:r>
          <w:rPr>
            <w:rStyle w:val="Hyperlink"/>
          </w:rPr>
          <w:t>2008/616/JHA</w:t>
        </w:r>
      </w:hyperlink>
      <w:r>
        <w:rPr>
          <w:rFonts w:eastAsia="Calibri"/>
          <w:color w:val="FF0000"/>
          <w:kern w:val="20"/>
        </w:rPr>
        <w:t>.</w:t>
      </w:r>
    </w:p>
  </w:footnote>
  <w:footnote w:id="336">
    <w:p>
      <w:pPr>
        <w:pStyle w:val="FootnoteText"/>
      </w:pPr>
      <w:r>
        <w:rPr>
          <w:rStyle w:val="FootnoteReference"/>
        </w:rPr>
        <w:footnoteRef/>
      </w:r>
      <w:r>
        <w:t xml:space="preserve"> </w:t>
      </w:r>
      <w:r>
        <w:tab/>
        <w:t xml:space="preserve">Council Framework Decision </w:t>
      </w:r>
      <w:hyperlink r:id="rId494" w:history="1">
        <w:r>
          <w:rPr>
            <w:rStyle w:val="Hyperlink"/>
          </w:rPr>
          <w:t>2006/960/JHA</w:t>
        </w:r>
      </w:hyperlink>
      <w:r>
        <w:t xml:space="preserve"> </w:t>
      </w:r>
    </w:p>
  </w:footnote>
  <w:footnote w:id="337">
    <w:p>
      <w:pPr>
        <w:pStyle w:val="FootnoteText"/>
      </w:pPr>
      <w:r>
        <w:rPr>
          <w:rStyle w:val="FootnoteReference"/>
        </w:rPr>
        <w:footnoteRef/>
      </w:r>
      <w:r>
        <w:t xml:space="preserve"> </w:t>
      </w:r>
      <w:r>
        <w:tab/>
        <w:t xml:space="preserve">Council Framework </w:t>
      </w:r>
      <w:hyperlink r:id="rId495" w:history="1">
        <w:r>
          <w:rPr>
            <w:rStyle w:val="Hyperlink"/>
            <w:color w:val="auto"/>
            <w:u w:val="none"/>
          </w:rPr>
          <w:t>Decision</w:t>
        </w:r>
        <w:r>
          <w:rPr>
            <w:rStyle w:val="Hyperlink"/>
            <w:color w:val="auto"/>
          </w:rPr>
          <w:t xml:space="preserve"> </w:t>
        </w:r>
        <w:r>
          <w:rPr>
            <w:rStyle w:val="Hyperlink"/>
          </w:rPr>
          <w:t>2009/905/JHA</w:t>
        </w:r>
      </w:hyperlink>
      <w:r>
        <w:t>.</w:t>
      </w:r>
    </w:p>
  </w:footnote>
  <w:footnote w:id="338">
    <w:p>
      <w:pPr>
        <w:pStyle w:val="FootnoteText"/>
      </w:pPr>
      <w:r>
        <w:rPr>
          <w:rStyle w:val="FootnoteReference"/>
        </w:rPr>
        <w:footnoteRef/>
      </w:r>
      <w:r>
        <w:t xml:space="preserve"> </w:t>
      </w:r>
      <w:r>
        <w:tab/>
        <w:t xml:space="preserve">Directive </w:t>
      </w:r>
      <w:hyperlink r:id="rId496" w:history="1">
        <w:r>
          <w:rPr>
            <w:rStyle w:val="Hyperlink"/>
          </w:rPr>
          <w:t>2011/93/EU</w:t>
        </w:r>
      </w:hyperlink>
      <w:r>
        <w:t>.</w:t>
      </w:r>
    </w:p>
  </w:footnote>
  <w:footnote w:id="339">
    <w:p>
      <w:pPr>
        <w:pStyle w:val="FootnoteText"/>
      </w:pPr>
      <w:r>
        <w:rPr>
          <w:rStyle w:val="FootnoteReference"/>
        </w:rPr>
        <w:footnoteRef/>
      </w:r>
      <w:r>
        <w:t xml:space="preserve"> </w:t>
      </w:r>
      <w:r>
        <w:tab/>
        <w:t xml:space="preserve">Directive </w:t>
      </w:r>
      <w:hyperlink r:id="rId497" w:history="1">
        <w:r>
          <w:rPr>
            <w:rStyle w:val="Hyperlink"/>
          </w:rPr>
          <w:t>2013/40/EU</w:t>
        </w:r>
      </w:hyperlink>
      <w:r>
        <w:t>.</w:t>
      </w:r>
    </w:p>
  </w:footnote>
  <w:footnote w:id="340">
    <w:p>
      <w:pPr>
        <w:pStyle w:val="FootnoteText"/>
      </w:pPr>
      <w:r>
        <w:rPr>
          <w:rStyle w:val="FootnoteReference"/>
        </w:rPr>
        <w:footnoteRef/>
      </w:r>
      <w:r>
        <w:t xml:space="preserve"> </w:t>
      </w:r>
      <w:r>
        <w:tab/>
        <w:t xml:space="preserve">Directive </w:t>
      </w:r>
      <w:hyperlink r:id="rId498" w:history="1">
        <w:r>
          <w:rPr>
            <w:rStyle w:val="Hyperlink"/>
          </w:rPr>
          <w:t>2014/36/EU</w:t>
        </w:r>
      </w:hyperlink>
      <w:r>
        <w:t>.</w:t>
      </w:r>
    </w:p>
  </w:footnote>
  <w:footnote w:id="341">
    <w:p>
      <w:pPr>
        <w:pStyle w:val="FootnoteText"/>
      </w:pPr>
      <w:r>
        <w:rPr>
          <w:rStyle w:val="FootnoteReference"/>
        </w:rPr>
        <w:footnoteRef/>
      </w:r>
      <w:r>
        <w:t xml:space="preserve"> </w:t>
      </w:r>
      <w:r>
        <w:tab/>
        <w:t xml:space="preserve">Directive </w:t>
      </w:r>
      <w:hyperlink r:id="rId499" w:history="1">
        <w:r>
          <w:rPr>
            <w:rStyle w:val="Hyperlink"/>
          </w:rPr>
          <w:t>2014/66/EU</w:t>
        </w:r>
      </w:hyperlink>
      <w:r>
        <w:t>.</w:t>
      </w:r>
    </w:p>
  </w:footnote>
  <w:footnote w:id="342">
    <w:p>
      <w:pPr>
        <w:pStyle w:val="FootnoteText"/>
      </w:pPr>
      <w:r>
        <w:rPr>
          <w:rStyle w:val="FootnoteReference"/>
        </w:rPr>
        <w:footnoteRef/>
      </w:r>
      <w:r>
        <w:t xml:space="preserve"> </w:t>
      </w:r>
      <w:r>
        <w:tab/>
        <w:t xml:space="preserve">Directive </w:t>
      </w:r>
      <w:hyperlink r:id="rId500" w:history="1">
        <w:r>
          <w:rPr>
            <w:rStyle w:val="Hyperlink"/>
          </w:rPr>
          <w:t>2011/95/EU</w:t>
        </w:r>
      </w:hyperlink>
      <w:r>
        <w:t>.</w:t>
      </w:r>
    </w:p>
  </w:footnote>
  <w:footnote w:id="343">
    <w:p>
      <w:pPr>
        <w:pStyle w:val="FootnoteText"/>
      </w:pPr>
      <w:r>
        <w:rPr>
          <w:rStyle w:val="FootnoteReference"/>
        </w:rPr>
        <w:footnoteRef/>
      </w:r>
      <w:r>
        <w:t xml:space="preserve"> </w:t>
      </w:r>
      <w:r>
        <w:tab/>
        <w:t xml:space="preserve">Directive </w:t>
      </w:r>
      <w:hyperlink r:id="rId501" w:history="1">
        <w:r>
          <w:rPr>
            <w:color w:val="0000FF" w:themeColor="hyperlink"/>
            <w:u w:val="single"/>
          </w:rPr>
          <w:t>2011/51/EU</w:t>
        </w:r>
      </w:hyperlink>
      <w:r>
        <w:t>.</w:t>
      </w:r>
    </w:p>
  </w:footnote>
  <w:footnote w:id="344">
    <w:p>
      <w:pPr>
        <w:pStyle w:val="FootnoteText"/>
      </w:pPr>
      <w:r>
        <w:rPr>
          <w:rStyle w:val="FootnoteReference"/>
        </w:rPr>
        <w:footnoteRef/>
      </w:r>
      <w:r>
        <w:t xml:space="preserve"> </w:t>
      </w:r>
      <w:r>
        <w:tab/>
        <w:t xml:space="preserve">Directives </w:t>
      </w:r>
      <w:hyperlink r:id="rId502" w:history="1">
        <w:r>
          <w:rPr>
            <w:rStyle w:val="Hyperlink"/>
          </w:rPr>
          <w:t>2004/49/EC</w:t>
        </w:r>
      </w:hyperlink>
      <w:r>
        <w:t xml:space="preserve">, </w:t>
      </w:r>
      <w:hyperlink r:id="rId503" w:history="1">
        <w:r>
          <w:rPr>
            <w:rStyle w:val="Hyperlink"/>
          </w:rPr>
          <w:t>2008/57/EC</w:t>
        </w:r>
      </w:hyperlink>
      <w:r>
        <w:t>.</w:t>
      </w:r>
    </w:p>
  </w:footnote>
  <w:footnote w:id="345">
    <w:p>
      <w:pPr>
        <w:pStyle w:val="FootnoteText"/>
      </w:pPr>
      <w:r>
        <w:rPr>
          <w:rStyle w:val="FootnoteReference"/>
        </w:rPr>
        <w:footnoteRef/>
      </w:r>
      <w:r>
        <w:t xml:space="preserve"> </w:t>
      </w:r>
      <w:r>
        <w:tab/>
        <w:t xml:space="preserve">Directive </w:t>
      </w:r>
      <w:hyperlink r:id="rId504" w:history="1">
        <w:r>
          <w:rPr>
            <w:rStyle w:val="Hyperlink"/>
          </w:rPr>
          <w:t>2012/34/EU</w:t>
        </w:r>
      </w:hyperlink>
      <w:r>
        <w:t>.</w:t>
      </w:r>
    </w:p>
  </w:footnote>
  <w:footnote w:id="346">
    <w:p>
      <w:pPr>
        <w:pStyle w:val="FootnoteText"/>
      </w:pPr>
      <w:r>
        <w:rPr>
          <w:rStyle w:val="FootnoteReference"/>
        </w:rPr>
        <w:footnoteRef/>
      </w:r>
      <w:r>
        <w:t xml:space="preserve"> </w:t>
      </w:r>
      <w:r>
        <w:tab/>
        <w:t xml:space="preserve">Directive </w:t>
      </w:r>
      <w:hyperlink r:id="rId505" w:history="1">
        <w:r>
          <w:rPr>
            <w:rStyle w:val="Hyperlink"/>
          </w:rPr>
          <w:t>2004/52/EC</w:t>
        </w:r>
      </w:hyperlink>
      <w:r>
        <w:t>.</w:t>
      </w:r>
    </w:p>
  </w:footnote>
  <w:footnote w:id="347">
    <w:p>
      <w:pPr>
        <w:pStyle w:val="FootnoteText"/>
      </w:pPr>
      <w:r>
        <w:rPr>
          <w:rStyle w:val="FootnoteReference"/>
        </w:rPr>
        <w:footnoteRef/>
      </w:r>
      <w:r>
        <w:t xml:space="preserve"> </w:t>
      </w:r>
      <w:r>
        <w:tab/>
        <w:t xml:space="preserve">Directive </w:t>
      </w:r>
      <w:hyperlink r:id="rId506" w:history="1">
        <w:r>
          <w:rPr>
            <w:rStyle w:val="Hyperlink"/>
          </w:rPr>
          <w:t>2009/12/EC</w:t>
        </w:r>
      </w:hyperlink>
      <w:r>
        <w:t>.</w:t>
      </w:r>
    </w:p>
  </w:footnote>
  <w:footnote w:id="348">
    <w:p>
      <w:pPr>
        <w:pStyle w:val="FootnoteText"/>
      </w:pPr>
      <w:r>
        <w:rPr>
          <w:rStyle w:val="FootnoteReference"/>
        </w:rPr>
        <w:footnoteRef/>
      </w:r>
      <w:r>
        <w:t xml:space="preserve"> </w:t>
      </w:r>
      <w:r>
        <w:tab/>
        <w:t xml:space="preserve">Directive </w:t>
      </w:r>
      <w:hyperlink r:id="rId507" w:history="1">
        <w:r>
          <w:rPr>
            <w:rStyle w:val="Hyperlink"/>
          </w:rPr>
          <w:t>2009/16/EC</w:t>
        </w:r>
      </w:hyperlink>
      <w:r>
        <w:t>.</w:t>
      </w:r>
    </w:p>
  </w:footnote>
  <w:footnote w:id="349">
    <w:p>
      <w:pPr>
        <w:pStyle w:val="FootnoteText"/>
      </w:pPr>
      <w:r>
        <w:rPr>
          <w:rStyle w:val="FootnoteReference"/>
        </w:rPr>
        <w:footnoteRef/>
      </w:r>
      <w:r>
        <w:t xml:space="preserve"> </w:t>
      </w:r>
      <w:r>
        <w:tab/>
        <w:t xml:space="preserve">Directive </w:t>
      </w:r>
      <w:hyperlink r:id="rId508" w:history="1">
        <w:r>
          <w:rPr>
            <w:rStyle w:val="Hyperlink"/>
          </w:rPr>
          <w:t>2009/18/EC</w:t>
        </w:r>
      </w:hyperlink>
      <w:r>
        <w:t>.</w:t>
      </w:r>
    </w:p>
  </w:footnote>
  <w:footnote w:id="350">
    <w:p>
      <w:pPr>
        <w:pStyle w:val="FootnoteText"/>
      </w:pPr>
      <w:r>
        <w:rPr>
          <w:rStyle w:val="FootnoteReference"/>
        </w:rPr>
        <w:footnoteRef/>
      </w:r>
      <w:r>
        <w:t xml:space="preserve"> </w:t>
      </w:r>
      <w:r>
        <w:tab/>
        <w:t xml:space="preserve">Directive </w:t>
      </w:r>
      <w:hyperlink r:id="rId509" w:history="1">
        <w:r>
          <w:rPr>
            <w:rStyle w:val="Hyperlink"/>
          </w:rPr>
          <w:t>2009/21/EC</w:t>
        </w:r>
      </w:hyperlink>
      <w:r>
        <w:rPr>
          <w:sz w:val="20"/>
        </w:rPr>
        <w:t>.</w:t>
      </w:r>
    </w:p>
  </w:footnote>
  <w:footnote w:id="351">
    <w:p>
      <w:pPr>
        <w:pStyle w:val="FootnoteText"/>
      </w:pPr>
      <w:r>
        <w:rPr>
          <w:rStyle w:val="FootnoteReference"/>
        </w:rPr>
        <w:footnoteRef/>
      </w:r>
      <w:r>
        <w:t xml:space="preserve"> </w:t>
      </w:r>
      <w:r>
        <w:tab/>
        <w:t xml:space="preserve">Directive </w:t>
      </w:r>
      <w:hyperlink r:id="rId510" w:history="1">
        <w:r>
          <w:rPr>
            <w:rStyle w:val="Hyperlink"/>
          </w:rPr>
          <w:t>2009/12/EC</w:t>
        </w:r>
      </w:hyperlink>
      <w:r>
        <w:rPr>
          <w:rStyle w:val="Hyperlink"/>
        </w:rPr>
        <w:t>;</w:t>
      </w:r>
      <w:r>
        <w:t xml:space="preserve"> </w:t>
      </w:r>
      <w:hyperlink r:id="rId511" w:history="1">
        <w:r>
          <w:rPr>
            <w:rStyle w:val="Hyperlink"/>
          </w:rPr>
          <w:t>MEMO/16/319</w:t>
        </w:r>
      </w:hyperlink>
      <w:r>
        <w:t>.</w:t>
      </w:r>
    </w:p>
  </w:footnote>
  <w:footnote w:id="352">
    <w:p>
      <w:pPr>
        <w:pStyle w:val="FootnoteText"/>
      </w:pPr>
      <w:r>
        <w:rPr>
          <w:rStyle w:val="FootnoteReference"/>
        </w:rPr>
        <w:footnoteRef/>
      </w:r>
      <w:r>
        <w:t xml:space="preserve"> </w:t>
      </w:r>
      <w:r>
        <w:tab/>
        <w:t xml:space="preserve">Directive </w:t>
      </w:r>
      <w:hyperlink r:id="rId512" w:history="1">
        <w:r>
          <w:rPr>
            <w:rStyle w:val="Hyperlink"/>
          </w:rPr>
          <w:t>2009/18/EC</w:t>
        </w:r>
      </w:hyperlink>
      <w:r>
        <w:t>.</w:t>
      </w:r>
    </w:p>
  </w:footnote>
  <w:footnote w:id="353">
    <w:p>
      <w:pPr>
        <w:pStyle w:val="FootnoteText"/>
      </w:pPr>
      <w:r>
        <w:rPr>
          <w:rStyle w:val="FootnoteReference"/>
        </w:rPr>
        <w:footnoteRef/>
      </w:r>
      <w:r>
        <w:t xml:space="preserve"> </w:t>
      </w:r>
      <w:r>
        <w:tab/>
      </w:r>
      <w:hyperlink r:id="rId513" w:history="1">
        <w:r>
          <w:rPr>
            <w:rStyle w:val="Hyperlink"/>
          </w:rPr>
          <w:t>IP/16/2101</w:t>
        </w:r>
      </w:hyperlink>
      <w:r>
        <w:t xml:space="preserve"> and </w:t>
      </w:r>
      <w:hyperlink r:id="rId514" w:history="1">
        <w:r>
          <w:rPr>
            <w:rStyle w:val="Hyperlink"/>
          </w:rPr>
          <w:t>IP/16/1456</w:t>
        </w:r>
      </w:hyperlink>
      <w:r>
        <w:t>.</w:t>
      </w:r>
    </w:p>
  </w:footnote>
  <w:footnote w:id="354">
    <w:p>
      <w:pPr>
        <w:pStyle w:val="FootnoteText"/>
      </w:pPr>
      <w:r>
        <w:rPr>
          <w:rStyle w:val="FootnoteReference"/>
        </w:rPr>
        <w:footnoteRef/>
      </w:r>
      <w:r>
        <w:t xml:space="preserve"> </w:t>
      </w:r>
      <w:r>
        <w:tab/>
        <w:t>Regulation (EU) No</w:t>
      </w:r>
      <w:hyperlink r:id="rId515" w:history="1">
        <w:r>
          <w:rPr>
            <w:rStyle w:val="Hyperlink"/>
          </w:rPr>
          <w:t xml:space="preserve"> 748/2012</w:t>
        </w:r>
      </w:hyperlink>
      <w:r>
        <w:t xml:space="preserve"> and Regulation (EC) No </w:t>
      </w:r>
      <w:hyperlink r:id="rId516" w:history="1">
        <w:r>
          <w:rPr>
            <w:rStyle w:val="Hyperlink"/>
          </w:rPr>
          <w:t>1321/2014</w:t>
        </w:r>
      </w:hyperlink>
      <w:r>
        <w:rPr>
          <w:rStyle w:val="Hyperlink"/>
        </w:rPr>
        <w:t>.</w:t>
      </w:r>
    </w:p>
  </w:footnote>
  <w:footnote w:id="355">
    <w:p>
      <w:pPr>
        <w:pStyle w:val="FootnoteText"/>
      </w:pPr>
      <w:r>
        <w:rPr>
          <w:rStyle w:val="FootnoteReference"/>
        </w:rPr>
        <w:footnoteRef/>
      </w:r>
      <w:r>
        <w:t xml:space="preserve"> </w:t>
      </w:r>
      <w:r>
        <w:tab/>
        <w:t>Regulation (EU) No </w:t>
      </w:r>
      <w:hyperlink r:id="rId517" w:history="1">
        <w:r>
          <w:rPr>
            <w:rStyle w:val="Hyperlink"/>
          </w:rPr>
          <w:t>1177/2010</w:t>
        </w:r>
      </w:hyperlink>
      <w:r>
        <w:t xml:space="preserve">; </w:t>
      </w:r>
      <w:hyperlink r:id="rId518" w:history="1">
        <w:r>
          <w:rPr>
            <w:rStyle w:val="Hyperlink"/>
          </w:rPr>
          <w:t>MEMO/16/3644</w:t>
        </w:r>
      </w:hyperlink>
      <w:r>
        <w:t xml:space="preserve">. </w:t>
      </w:r>
    </w:p>
  </w:footnote>
  <w:footnote w:id="356">
    <w:p>
      <w:pPr>
        <w:pStyle w:val="FootnoteText"/>
      </w:pPr>
      <w:r>
        <w:rPr>
          <w:rStyle w:val="FootnoteReference"/>
        </w:rPr>
        <w:footnoteRef/>
      </w:r>
      <w:r>
        <w:t xml:space="preserve"> </w:t>
      </w:r>
      <w:r>
        <w:tab/>
        <w:t xml:space="preserve">Directives </w:t>
      </w:r>
      <w:hyperlink r:id="rId519" w:history="1">
        <w:r>
          <w:rPr>
            <w:rStyle w:val="Hyperlink"/>
          </w:rPr>
          <w:t>2001/12/EC</w:t>
        </w:r>
      </w:hyperlink>
      <w:r>
        <w:rPr>
          <w:rStyle w:val="st"/>
        </w:rPr>
        <w:t xml:space="preserve">, </w:t>
      </w:r>
      <w:hyperlink r:id="rId520" w:history="1">
        <w:r>
          <w:rPr>
            <w:rStyle w:val="Hyperlink"/>
          </w:rPr>
          <w:t>2001/13/EC</w:t>
        </w:r>
      </w:hyperlink>
      <w:r>
        <w:rPr>
          <w:rStyle w:val="st"/>
        </w:rPr>
        <w:t xml:space="preserve"> and </w:t>
      </w:r>
      <w:hyperlink r:id="rId521" w:history="1">
        <w:r>
          <w:rPr>
            <w:rStyle w:val="Hyperlink"/>
          </w:rPr>
          <w:t>2001/14/EC</w:t>
        </w:r>
      </w:hyperlink>
      <w:r>
        <w:rPr>
          <w:rStyle w:val="st"/>
        </w:rPr>
        <w:t>.</w:t>
      </w:r>
    </w:p>
  </w:footnote>
  <w:footnote w:id="357">
    <w:p>
      <w:pPr>
        <w:pStyle w:val="FootnoteText"/>
        <w:rPr>
          <w:lang w:val="pt-PT"/>
        </w:rPr>
      </w:pPr>
      <w:r>
        <w:rPr>
          <w:rStyle w:val="FootnoteReference"/>
        </w:rPr>
        <w:footnoteRef/>
      </w:r>
      <w:r>
        <w:rPr>
          <w:lang w:val="pt-PT"/>
        </w:rPr>
        <w:t xml:space="preserve"> </w:t>
      </w:r>
      <w:r>
        <w:rPr>
          <w:lang w:val="pt-PT"/>
        </w:rPr>
        <w:tab/>
        <w:t xml:space="preserve">Directive </w:t>
      </w:r>
      <w:hyperlink r:id="rId522" w:history="1">
        <w:r>
          <w:rPr>
            <w:rStyle w:val="Hyperlink"/>
            <w:lang w:val="pt-PT"/>
          </w:rPr>
          <w:t>2009/16/EC</w:t>
        </w:r>
      </w:hyperlink>
      <w:r>
        <w:rPr>
          <w:lang w:val="pt-PT"/>
        </w:rPr>
        <w:t xml:space="preserve">; </w:t>
      </w:r>
      <w:hyperlink r:id="rId523" w:history="1">
        <w:r>
          <w:rPr>
            <w:rStyle w:val="Hyperlink"/>
            <w:lang w:val="pt-PT"/>
          </w:rPr>
          <w:t>MEMO/16/319</w:t>
        </w:r>
      </w:hyperlink>
      <w:r>
        <w:rPr>
          <w:lang w:val="pt-PT"/>
        </w:rPr>
        <w:t>.</w:t>
      </w:r>
    </w:p>
  </w:footnote>
  <w:footnote w:id="358">
    <w:p>
      <w:pPr>
        <w:pStyle w:val="FootnoteText"/>
        <w:rPr>
          <w:lang w:val="pt-PT"/>
        </w:rPr>
      </w:pPr>
      <w:r>
        <w:rPr>
          <w:rStyle w:val="FootnoteReference"/>
        </w:rPr>
        <w:footnoteRef/>
      </w:r>
      <w:r>
        <w:rPr>
          <w:lang w:val="pt-PT"/>
        </w:rPr>
        <w:t xml:space="preserve"> </w:t>
      </w:r>
      <w:r>
        <w:rPr>
          <w:lang w:val="pt-PT"/>
        </w:rPr>
        <w:tab/>
        <w:t xml:space="preserve">Directive </w:t>
      </w:r>
      <w:hyperlink r:id="rId524" w:history="1">
        <w:r>
          <w:rPr>
            <w:rStyle w:val="Hyperlink"/>
            <w:lang w:val="pt-PT"/>
          </w:rPr>
          <w:t>2003/59/EC</w:t>
        </w:r>
      </w:hyperlink>
      <w:r>
        <w:rPr>
          <w:lang w:val="pt-PT"/>
        </w:rPr>
        <w:t>.</w:t>
      </w:r>
    </w:p>
  </w:footnote>
  <w:footnote w:id="359">
    <w:p>
      <w:pPr>
        <w:pStyle w:val="FootnoteText"/>
      </w:pPr>
      <w:r>
        <w:rPr>
          <w:rStyle w:val="FootnoteReference"/>
        </w:rPr>
        <w:footnoteRef/>
      </w:r>
      <w:r>
        <w:t xml:space="preserve"> </w:t>
      </w:r>
      <w:r>
        <w:tab/>
      </w:r>
      <w:r>
        <w:rPr>
          <w:rStyle w:val="Emphasis"/>
          <w:i w:val="0"/>
        </w:rPr>
        <w:t xml:space="preserve">Directive </w:t>
      </w:r>
      <w:hyperlink r:id="rId525" w:history="1">
        <w:r>
          <w:rPr>
            <w:rStyle w:val="Hyperlink"/>
          </w:rPr>
          <w:t>2009/21</w:t>
        </w:r>
        <w:r>
          <w:rPr>
            <w:rStyle w:val="Hyperlink"/>
            <w:i/>
          </w:rPr>
          <w:t>/</w:t>
        </w:r>
        <w:r>
          <w:rPr>
            <w:rStyle w:val="Hyperlink"/>
          </w:rPr>
          <w:t>EC</w:t>
        </w:r>
      </w:hyperlink>
      <w:r>
        <w:rPr>
          <w:rStyle w:val="Emphasis"/>
          <w:i w:val="0"/>
        </w:rPr>
        <w:t>;</w:t>
      </w:r>
      <w:r>
        <w:rPr>
          <w:rStyle w:val="Emphasis"/>
        </w:rPr>
        <w:t xml:space="preserve"> </w:t>
      </w:r>
      <w:hyperlink r:id="rId526" w:history="1">
        <w:r>
          <w:rPr>
            <w:rStyle w:val="Hyperlink"/>
          </w:rPr>
          <w:t>MEMO/16/2490</w:t>
        </w:r>
      </w:hyperlink>
      <w:r>
        <w:t xml:space="preserve"> and </w:t>
      </w:r>
      <w:hyperlink r:id="rId527" w:history="1">
        <w:r>
          <w:rPr>
            <w:rStyle w:val="Hyperlink"/>
          </w:rPr>
          <w:t>MEMO/16/3125</w:t>
        </w:r>
      </w:hyperlink>
      <w:r>
        <w:t>.</w:t>
      </w:r>
    </w:p>
  </w:footnote>
  <w:footnote w:id="360">
    <w:p>
      <w:pPr>
        <w:pStyle w:val="FootnoteText"/>
      </w:pPr>
      <w:r>
        <w:rPr>
          <w:rStyle w:val="FootnoteReference"/>
        </w:rPr>
        <w:footnoteRef/>
      </w:r>
      <w:r>
        <w:t xml:space="preserve"> </w:t>
      </w:r>
      <w:r>
        <w:tab/>
        <w:t xml:space="preserve">Directive </w:t>
      </w:r>
      <w:hyperlink r:id="rId528" w:history="1">
        <w:r>
          <w:rPr>
            <w:rStyle w:val="Hyperlink"/>
          </w:rPr>
          <w:t>2006/126/EC</w:t>
        </w:r>
      </w:hyperlink>
      <w:r>
        <w:t xml:space="preserve">; Commission v Czech Republic, </w:t>
      </w:r>
      <w:hyperlink r:id="rId529" w:history="1">
        <w:r>
          <w:rPr>
            <w:rStyle w:val="Hyperlink"/>
          </w:rPr>
          <w:t>C-314/16</w:t>
        </w:r>
      </w:hyperlink>
      <w:r>
        <w:t xml:space="preserve">; </w:t>
      </w:r>
      <w:hyperlink r:id="rId530" w:history="1">
        <w:r>
          <w:rPr>
            <w:rStyle w:val="Hyperlink"/>
          </w:rPr>
          <w:t>IP/15/6013</w:t>
        </w:r>
      </w:hyperlink>
      <w:r>
        <w:rPr>
          <w:rStyle w:val="Hyperlink"/>
          <w:color w:val="auto"/>
          <w:u w:val="none"/>
        </w:rPr>
        <w:t>.</w:t>
      </w:r>
    </w:p>
  </w:footnote>
  <w:footnote w:id="361">
    <w:p>
      <w:pPr>
        <w:pStyle w:val="FootnoteText"/>
      </w:pPr>
      <w:r>
        <w:rPr>
          <w:rStyle w:val="FootnoteReference"/>
        </w:rPr>
        <w:footnoteRef/>
      </w:r>
      <w:r>
        <w:t xml:space="preserve"> </w:t>
      </w:r>
      <w:r>
        <w:tab/>
        <w:t xml:space="preserve">Regulation </w:t>
      </w:r>
      <w:r>
        <w:rPr>
          <w:sz w:val="20"/>
          <w:szCs w:val="20"/>
        </w:rPr>
        <w:t xml:space="preserve">(EC) </w:t>
      </w:r>
      <w:hyperlink r:id="rId531" w:history="1">
        <w:r>
          <w:rPr>
            <w:rStyle w:val="Hyperlink"/>
            <w:sz w:val="20"/>
            <w:szCs w:val="20"/>
          </w:rPr>
          <w:t>1072/2009</w:t>
        </w:r>
      </w:hyperlink>
      <w:r>
        <w:rPr>
          <w:sz w:val="20"/>
          <w:szCs w:val="20"/>
        </w:rPr>
        <w:t xml:space="preserve">; </w:t>
      </w:r>
      <w:r>
        <w:t xml:space="preserve">Commission v Denmark, </w:t>
      </w:r>
      <w:hyperlink r:id="rId532" w:history="1">
        <w:r>
          <w:rPr>
            <w:rStyle w:val="Hyperlink"/>
          </w:rPr>
          <w:t>C-541/16</w:t>
        </w:r>
      </w:hyperlink>
      <w:r>
        <w:t xml:space="preserve">; </w:t>
      </w:r>
      <w:hyperlink r:id="rId533" w:history="1">
        <w:r>
          <w:rPr>
            <w:rStyle w:val="Hyperlink"/>
          </w:rPr>
          <w:t>MEMO/16/2097</w:t>
        </w:r>
      </w:hyperlink>
      <w:r>
        <w:t>.</w:t>
      </w:r>
    </w:p>
  </w:footnote>
  <w:footnote w:id="362">
    <w:p>
      <w:pPr>
        <w:pStyle w:val="FootnoteText"/>
      </w:pPr>
      <w:r>
        <w:rPr>
          <w:rStyle w:val="FootnoteReference"/>
        </w:rPr>
        <w:footnoteRef/>
      </w:r>
      <w:r>
        <w:t xml:space="preserve"> </w:t>
      </w:r>
      <w:r>
        <w:tab/>
        <w:t xml:space="preserve">Directive </w:t>
      </w:r>
      <w:hyperlink r:id="rId534" w:history="1">
        <w:r>
          <w:rPr>
            <w:rStyle w:val="Hyperlink"/>
          </w:rPr>
          <w:t>2006/126/EC</w:t>
        </w:r>
      </w:hyperlink>
      <w:r>
        <w:t xml:space="preserve">; Commission v Germany, </w:t>
      </w:r>
      <w:hyperlink r:id="rId535" w:history="1">
        <w:r>
          <w:rPr>
            <w:rStyle w:val="Hyperlink"/>
          </w:rPr>
          <w:t>C-30/16</w:t>
        </w:r>
      </w:hyperlink>
      <w:r>
        <w:t xml:space="preserve">; </w:t>
      </w:r>
      <w:hyperlink r:id="rId536" w:history="1">
        <w:r>
          <w:rPr>
            <w:rStyle w:val="Hyperlink"/>
          </w:rPr>
          <w:t>IP/15/6229</w:t>
        </w:r>
      </w:hyperlink>
      <w:r>
        <w:t xml:space="preserve"> and </w:t>
      </w:r>
      <w:hyperlink r:id="rId537" w:history="1">
        <w:r>
          <w:rPr>
            <w:rStyle w:val="Hyperlink"/>
          </w:rPr>
          <w:t>MEMO/15/6223</w:t>
        </w:r>
      </w:hyperlink>
      <w:r>
        <w:t>.</w:t>
      </w:r>
    </w:p>
  </w:footnote>
  <w:footnote w:id="363">
    <w:p>
      <w:pPr>
        <w:pStyle w:val="FootnoteText"/>
      </w:pPr>
      <w:r>
        <w:rPr>
          <w:rStyle w:val="FootnoteReference"/>
        </w:rPr>
        <w:footnoteRef/>
      </w:r>
      <w:r>
        <w:t xml:space="preserve"> </w:t>
      </w:r>
      <w:r>
        <w:tab/>
        <w:t xml:space="preserve">Directive </w:t>
      </w:r>
      <w:hyperlink r:id="rId538" w:history="1">
        <w:r>
          <w:rPr>
            <w:rStyle w:val="Hyperlink"/>
          </w:rPr>
          <w:t>2006/126/EC</w:t>
        </w:r>
      </w:hyperlink>
      <w:r>
        <w:t xml:space="preserve">; </w:t>
      </w:r>
      <w:hyperlink r:id="rId539" w:history="1">
        <w:r>
          <w:rPr>
            <w:rStyle w:val="Hyperlink"/>
          </w:rPr>
          <w:t>IP/15/6229</w:t>
        </w:r>
      </w:hyperlink>
      <w:r>
        <w:t xml:space="preserve"> and </w:t>
      </w:r>
      <w:hyperlink r:id="rId540" w:history="1">
        <w:r>
          <w:rPr>
            <w:rStyle w:val="Hyperlink"/>
          </w:rPr>
          <w:t>MEMO/15/6223</w:t>
        </w:r>
      </w:hyperlink>
      <w:r>
        <w:t>. The Commission subsequently decided to withdraw the case from the Court as Finland remedied the breach before a Court judgment was handed down.</w:t>
      </w:r>
    </w:p>
  </w:footnote>
  <w:footnote w:id="364">
    <w:p>
      <w:pPr>
        <w:pStyle w:val="FootnoteText"/>
      </w:pPr>
      <w:r>
        <w:rPr>
          <w:rStyle w:val="FootnoteReference"/>
        </w:rPr>
        <w:footnoteRef/>
      </w:r>
      <w:r>
        <w:t xml:space="preserve"> </w:t>
      </w:r>
      <w:r>
        <w:tab/>
        <w:t xml:space="preserve">Commission v Germany, </w:t>
      </w:r>
      <w:hyperlink r:id="rId541" w:history="1">
        <w:r>
          <w:rPr>
            <w:rStyle w:val="Hyperlink"/>
          </w:rPr>
          <w:t>C-620/16</w:t>
        </w:r>
      </w:hyperlink>
      <w:r>
        <w:t xml:space="preserve">; </w:t>
      </w:r>
      <w:hyperlink r:id="rId542" w:history="1">
        <w:r>
          <w:rPr>
            <w:rStyle w:val="Hyperlink"/>
          </w:rPr>
          <w:t>IP/16/2104</w:t>
        </w:r>
      </w:hyperlink>
      <w:r>
        <w:t xml:space="preserve"> and </w:t>
      </w:r>
      <w:hyperlink r:id="rId543" w:history="1">
        <w:r>
          <w:rPr>
            <w:rStyle w:val="Hyperlink"/>
          </w:rPr>
          <w:t>MEMO/16/2097</w:t>
        </w:r>
      </w:hyperlink>
      <w:r>
        <w:t>.</w:t>
      </w:r>
    </w:p>
  </w:footnote>
  <w:footnote w:id="365">
    <w:p>
      <w:pPr>
        <w:pStyle w:val="FootnoteText"/>
      </w:pPr>
      <w:r>
        <w:rPr>
          <w:rStyle w:val="FootnoteReference"/>
        </w:rPr>
        <w:footnoteRef/>
      </w:r>
      <w:r>
        <w:t xml:space="preserve"> </w:t>
      </w:r>
      <w:r>
        <w:tab/>
        <w:t xml:space="preserve">Directive </w:t>
      </w:r>
      <w:hyperlink r:id="rId544" w:history="1">
        <w:r>
          <w:rPr>
            <w:rStyle w:val="Hyperlink"/>
          </w:rPr>
          <w:t>2005/65/EC</w:t>
        </w:r>
      </w:hyperlink>
      <w:r>
        <w:t>;</w:t>
      </w:r>
      <w:r>
        <w:rPr>
          <w:sz w:val="20"/>
          <w:szCs w:val="20"/>
        </w:rPr>
        <w:t xml:space="preserve"> </w:t>
      </w:r>
      <w:r>
        <w:t xml:space="preserve">Commission v Germany, </w:t>
      </w:r>
      <w:hyperlink r:id="rId545" w:history="1">
        <w:r>
          <w:rPr>
            <w:rStyle w:val="Hyperlink"/>
          </w:rPr>
          <w:t>C-58/16</w:t>
        </w:r>
      </w:hyperlink>
      <w:r>
        <w:t>;</w:t>
      </w:r>
      <w:r>
        <w:rPr>
          <w:rStyle w:val="Hyperlink"/>
          <w:color w:val="auto"/>
          <w:u w:val="none"/>
        </w:rPr>
        <w:t xml:space="preserve"> </w:t>
      </w:r>
      <w:hyperlink r:id="rId546" w:history="1">
        <w:r>
          <w:rPr>
            <w:rStyle w:val="Hyperlink"/>
          </w:rPr>
          <w:t>IP/15/5659</w:t>
        </w:r>
      </w:hyperlink>
      <w:r>
        <w:rPr>
          <w:rStyle w:val="Hyperlink"/>
          <w:color w:val="auto"/>
          <w:u w:val="none"/>
        </w:rPr>
        <w:t xml:space="preserve"> and </w:t>
      </w:r>
      <w:hyperlink r:id="rId547" w:history="1">
        <w:r>
          <w:rPr>
            <w:rStyle w:val="Hyperlink"/>
          </w:rPr>
          <w:t>MEMO/15/5657</w:t>
        </w:r>
      </w:hyperlink>
      <w:r>
        <w:rPr>
          <w:rStyle w:val="Hyperlink"/>
          <w:color w:val="auto"/>
          <w:u w:val="none"/>
        </w:rPr>
        <w:t>.</w:t>
      </w:r>
    </w:p>
  </w:footnote>
  <w:footnote w:id="366">
    <w:p>
      <w:pPr>
        <w:pStyle w:val="FootnoteText"/>
      </w:pPr>
      <w:r>
        <w:rPr>
          <w:rStyle w:val="FootnoteReference"/>
        </w:rPr>
        <w:footnoteRef/>
      </w:r>
      <w:r>
        <w:t xml:space="preserve"> </w:t>
      </w:r>
      <w:r>
        <w:tab/>
        <w:t xml:space="preserve">Commission v Luxembourg, </w:t>
      </w:r>
      <w:hyperlink r:id="rId548" w:history="1">
        <w:r>
          <w:rPr>
            <w:rStyle w:val="Hyperlink"/>
          </w:rPr>
          <w:t>C-152/16</w:t>
        </w:r>
      </w:hyperlink>
      <w:r>
        <w:t xml:space="preserve">; </w:t>
      </w:r>
      <w:hyperlink r:id="rId549" w:history="1">
        <w:r>
          <w:rPr>
            <w:color w:val="0000FF" w:themeColor="hyperlink"/>
            <w:u w:val="single"/>
          </w:rPr>
          <w:t>IP/15/5829</w:t>
        </w:r>
      </w:hyperlink>
      <w:r>
        <w:rPr>
          <w:rStyle w:val="Hyperlink"/>
          <w:color w:val="auto"/>
          <w:u w:val="none"/>
        </w:rPr>
        <w:t xml:space="preserve"> and </w:t>
      </w:r>
      <w:hyperlink r:id="rId550" w:history="1">
        <w:r>
          <w:rPr>
            <w:rStyle w:val="Hyperlink"/>
          </w:rPr>
          <w:t>MEMO/15/5826</w:t>
        </w:r>
      </w:hyperlink>
      <w:r>
        <w:rPr>
          <w:rStyle w:val="Hyperlink"/>
          <w:color w:val="auto"/>
          <w:u w:val="none"/>
        </w:rPr>
        <w:t>.</w:t>
      </w:r>
    </w:p>
  </w:footnote>
  <w:footnote w:id="367">
    <w:p>
      <w:pPr>
        <w:pStyle w:val="FootnoteText"/>
      </w:pPr>
      <w:r>
        <w:rPr>
          <w:rStyle w:val="FootnoteReference"/>
        </w:rPr>
        <w:footnoteRef/>
      </w:r>
      <w:r>
        <w:t xml:space="preserve"> </w:t>
      </w:r>
      <w:r>
        <w:tab/>
        <w:t xml:space="preserve">Commission v Poland, </w:t>
      </w:r>
      <w:hyperlink r:id="rId551" w:history="1">
        <w:r>
          <w:rPr>
            <w:rStyle w:val="Hyperlink"/>
          </w:rPr>
          <w:t>C-23/16</w:t>
        </w:r>
      </w:hyperlink>
      <w:r>
        <w:t xml:space="preserve">; </w:t>
      </w:r>
      <w:hyperlink r:id="rId552" w:history="1">
        <w:r>
          <w:rPr>
            <w:rStyle w:val="Hyperlink"/>
          </w:rPr>
          <w:t>IP/15/6012</w:t>
        </w:r>
      </w:hyperlink>
      <w:r>
        <w:rPr>
          <w:rStyle w:val="Hyperlink"/>
          <w:color w:val="auto"/>
          <w:u w:val="none"/>
        </w:rPr>
        <w:t xml:space="preserve"> and </w:t>
      </w:r>
      <w:hyperlink r:id="rId553" w:history="1">
        <w:r>
          <w:rPr>
            <w:rStyle w:val="Hyperlink"/>
          </w:rPr>
          <w:t>MEMO/15/6006</w:t>
        </w:r>
      </w:hyperlink>
      <w:r>
        <w:rPr>
          <w:rStyle w:val="Hyperlink"/>
          <w:color w:val="auto"/>
          <w:u w:val="none"/>
        </w:rPr>
        <w:t>.</w:t>
      </w:r>
    </w:p>
  </w:footnote>
  <w:footnote w:id="368">
    <w:p>
      <w:pPr>
        <w:pStyle w:val="FootnoteText"/>
      </w:pPr>
      <w:r>
        <w:rPr>
          <w:rStyle w:val="FootnoteReference"/>
        </w:rPr>
        <w:footnoteRef/>
      </w:r>
      <w:r>
        <w:t xml:space="preserve"> </w:t>
      </w:r>
      <w:r>
        <w:tab/>
        <w:t xml:space="preserve">Commission v Poland, </w:t>
      </w:r>
      <w:hyperlink r:id="rId554" w:history="1">
        <w:r>
          <w:rPr>
            <w:rStyle w:val="Hyperlink"/>
          </w:rPr>
          <w:t>C-530/16</w:t>
        </w:r>
      </w:hyperlink>
      <w:r>
        <w:t xml:space="preserve">; </w:t>
      </w:r>
      <w:hyperlink r:id="rId555" w:history="1">
        <w:r>
          <w:rPr>
            <w:rStyle w:val="Hyperlink"/>
          </w:rPr>
          <w:t>IP/16/324</w:t>
        </w:r>
      </w:hyperlink>
      <w:r>
        <w:t xml:space="preserve"> and </w:t>
      </w:r>
      <w:hyperlink r:id="rId556" w:history="1">
        <w:r>
          <w:rPr>
            <w:rStyle w:val="Hyperlink"/>
          </w:rPr>
          <w:t>MEMO/16/319</w:t>
        </w:r>
      </w:hyperlink>
      <w:r>
        <w:rPr>
          <w:rStyle w:val="Hyperlink"/>
          <w:color w:val="auto"/>
          <w:u w:val="none"/>
        </w:rPr>
        <w:t>.</w:t>
      </w:r>
    </w:p>
  </w:footnote>
  <w:footnote w:id="369">
    <w:p>
      <w:pPr>
        <w:pStyle w:val="FootnoteText"/>
      </w:pPr>
      <w:r>
        <w:rPr>
          <w:rStyle w:val="FootnoteReference"/>
        </w:rPr>
        <w:footnoteRef/>
      </w:r>
      <w:r>
        <w:t xml:space="preserve"> </w:t>
      </w:r>
      <w:r>
        <w:tab/>
        <w:t xml:space="preserve">Commission v Spain, </w:t>
      </w:r>
      <w:hyperlink r:id="rId557" w:history="1">
        <w:r>
          <w:rPr>
            <w:rStyle w:val="Hyperlink"/>
          </w:rPr>
          <w:t>C-388/16</w:t>
        </w:r>
      </w:hyperlink>
      <w:r>
        <w:t xml:space="preserve">; </w:t>
      </w:r>
      <w:hyperlink r:id="rId558" w:history="1">
        <w:r>
          <w:rPr>
            <w:rStyle w:val="Hyperlink"/>
          </w:rPr>
          <w:t>IP/16/1455</w:t>
        </w:r>
      </w:hyperlink>
      <w:r>
        <w:t xml:space="preserve"> and </w:t>
      </w:r>
      <w:hyperlink r:id="rId559" w:history="1">
        <w:r>
          <w:rPr>
            <w:rStyle w:val="Hyperlink"/>
          </w:rPr>
          <w:t>MEMO/16/1452</w:t>
        </w:r>
      </w:hyperlink>
      <w:r>
        <w:t>.</w:t>
      </w:r>
    </w:p>
  </w:footnote>
  <w:footnote w:id="370">
    <w:p>
      <w:pPr>
        <w:pStyle w:val="FootnoteText"/>
        <w:rPr>
          <w:lang w:val="pt-PT"/>
        </w:rPr>
      </w:pPr>
      <w:r>
        <w:rPr>
          <w:rStyle w:val="FootnoteReference"/>
        </w:rPr>
        <w:footnoteRef/>
      </w:r>
      <w:r>
        <w:rPr>
          <w:lang w:val="pt-PT"/>
        </w:rPr>
        <w:t xml:space="preserve"> </w:t>
      </w:r>
      <w:r>
        <w:rPr>
          <w:lang w:val="pt-PT"/>
        </w:rPr>
        <w:tab/>
        <w:t xml:space="preserve">Directive </w:t>
      </w:r>
      <w:hyperlink r:id="rId560" w:history="1">
        <w:r>
          <w:rPr>
            <w:rStyle w:val="Hyperlink"/>
            <w:lang w:val="pt-PT"/>
          </w:rPr>
          <w:t>2014/85/EU</w:t>
        </w:r>
      </w:hyperlink>
      <w:r>
        <w:rPr>
          <w:lang w:val="pt-PT"/>
        </w:rPr>
        <w:t>.</w:t>
      </w:r>
    </w:p>
  </w:footnote>
  <w:footnote w:id="371">
    <w:p>
      <w:pPr>
        <w:pStyle w:val="FootnoteText"/>
        <w:rPr>
          <w:lang w:val="pt-PT"/>
        </w:rPr>
      </w:pPr>
      <w:r>
        <w:rPr>
          <w:rStyle w:val="FootnoteReference"/>
        </w:rPr>
        <w:footnoteRef/>
      </w:r>
      <w:r>
        <w:rPr>
          <w:lang w:val="pt-PT"/>
        </w:rPr>
        <w:t xml:space="preserve"> </w:t>
      </w:r>
      <w:r>
        <w:rPr>
          <w:lang w:val="pt-PT"/>
        </w:rPr>
        <w:tab/>
        <w:t xml:space="preserve">Directive </w:t>
      </w:r>
      <w:hyperlink r:id="rId561" w:history="1">
        <w:r>
          <w:rPr>
            <w:rStyle w:val="Hyperlink"/>
            <w:lang w:val="pt-PT"/>
          </w:rPr>
          <w:t>2014/90/EU</w:t>
        </w:r>
      </w:hyperlink>
      <w:r>
        <w:rPr>
          <w:lang w:val="pt-PT"/>
        </w:rPr>
        <w:t>.</w:t>
      </w:r>
    </w:p>
  </w:footnote>
  <w:footnote w:id="372">
    <w:p>
      <w:pPr>
        <w:pStyle w:val="FootnoteText"/>
        <w:rPr>
          <w:lang w:val="pt-PT"/>
        </w:rPr>
      </w:pPr>
      <w:r>
        <w:rPr>
          <w:rStyle w:val="FootnoteReference"/>
        </w:rPr>
        <w:footnoteRef/>
      </w:r>
      <w:r>
        <w:rPr>
          <w:lang w:val="pt-PT"/>
        </w:rPr>
        <w:t xml:space="preserve"> </w:t>
      </w:r>
      <w:r>
        <w:rPr>
          <w:lang w:val="pt-PT"/>
        </w:rPr>
        <w:tab/>
        <w:t xml:space="preserve">Directive </w:t>
      </w:r>
      <w:hyperlink r:id="rId562" w:history="1">
        <w:r>
          <w:rPr>
            <w:rStyle w:val="Hyperlink"/>
            <w:lang w:val="pt-PT"/>
          </w:rPr>
          <w:t>2016/882/EU</w:t>
        </w:r>
      </w:hyperlink>
      <w:r>
        <w:rPr>
          <w:lang w:val="pt-PT"/>
        </w:rPr>
        <w:t>.</w:t>
      </w:r>
    </w:p>
  </w:footnote>
  <w:footnote w:id="373">
    <w:p>
      <w:pPr>
        <w:pStyle w:val="FootnoteText"/>
        <w:rPr>
          <w:lang w:val="pt-PT"/>
        </w:rPr>
      </w:pPr>
      <w:r>
        <w:rPr>
          <w:rStyle w:val="FootnoteReference"/>
        </w:rPr>
        <w:footnoteRef/>
      </w:r>
      <w:r>
        <w:rPr>
          <w:lang w:val="pt-PT"/>
        </w:rPr>
        <w:t xml:space="preserve">  </w:t>
      </w:r>
      <w:r>
        <w:rPr>
          <w:lang w:val="pt-PT"/>
        </w:rPr>
        <w:tab/>
        <w:t xml:space="preserve">Directive </w:t>
      </w:r>
      <w:hyperlink r:id="rId563" w:history="1">
        <w:r>
          <w:rPr>
            <w:rStyle w:val="Hyperlink"/>
            <w:lang w:val="pt-PT"/>
          </w:rPr>
          <w:t>2012/34/EU</w:t>
        </w:r>
      </w:hyperlink>
      <w:r>
        <w:rPr>
          <w:lang w:val="pt-PT"/>
        </w:rPr>
        <w:t xml:space="preserve">; Commission v Luxembourg, </w:t>
      </w:r>
      <w:hyperlink r:id="rId564" w:history="1">
        <w:r>
          <w:rPr>
            <w:rStyle w:val="Hyperlink"/>
            <w:lang w:val="pt-PT"/>
          </w:rPr>
          <w:t>C-489/16</w:t>
        </w:r>
      </w:hyperlink>
      <w:r>
        <w:rPr>
          <w:rStyle w:val="Hyperlink"/>
          <w:lang w:val="pt-PT"/>
        </w:rPr>
        <w:t>;</w:t>
      </w:r>
      <w:r>
        <w:rPr>
          <w:lang w:val="pt-PT"/>
        </w:rPr>
        <w:t xml:space="preserve"> </w:t>
      </w:r>
      <w:hyperlink r:id="rId565" w:history="1">
        <w:r>
          <w:rPr>
            <w:rStyle w:val="Hyperlink"/>
            <w:lang w:val="pt-PT"/>
          </w:rPr>
          <w:t>IP/16/2494</w:t>
        </w:r>
      </w:hyperlink>
      <w:r>
        <w:rPr>
          <w:rStyle w:val="Hyperlink"/>
          <w:lang w:val="pt-PT"/>
        </w:rPr>
        <w:t xml:space="preserve"> and MEMO/16/2490.</w:t>
      </w:r>
    </w:p>
  </w:footnote>
  <w:footnote w:id="374">
    <w:p>
      <w:pPr>
        <w:pStyle w:val="FootnoteText"/>
        <w:rPr>
          <w:lang w:val="pt-PT"/>
        </w:rPr>
      </w:pPr>
      <w:r>
        <w:rPr>
          <w:rStyle w:val="FootnoteReference"/>
        </w:rPr>
        <w:footnoteRef/>
      </w:r>
      <w:r>
        <w:rPr>
          <w:lang w:val="pt-PT"/>
        </w:rPr>
        <w:t xml:space="preserve"> </w:t>
      </w:r>
      <w:r>
        <w:rPr>
          <w:lang w:val="pt-PT"/>
        </w:rPr>
        <w:tab/>
        <w:t xml:space="preserve">Regulation </w:t>
      </w:r>
      <w:hyperlink r:id="rId566" w:history="1">
        <w:r>
          <w:rPr>
            <w:rStyle w:val="Hyperlink"/>
            <w:lang w:val="pt-PT"/>
          </w:rPr>
          <w:t>(EU) No 1177/2010</w:t>
        </w:r>
      </w:hyperlink>
      <w:r>
        <w:rPr>
          <w:lang w:val="pt-PT"/>
        </w:rPr>
        <w:t xml:space="preserve">; </w:t>
      </w:r>
      <w:hyperlink r:id="rId567" w:history="1">
        <w:r>
          <w:rPr>
            <w:rStyle w:val="Hyperlink"/>
            <w:lang w:val="pt-PT"/>
          </w:rPr>
          <w:t>MEMO/16/1452</w:t>
        </w:r>
      </w:hyperlink>
      <w:r>
        <w:rPr>
          <w:lang w:val="pt-PT"/>
        </w:rPr>
        <w:t>.</w:t>
      </w:r>
    </w:p>
  </w:footnote>
  <w:footnote w:id="375">
    <w:p>
      <w:pPr>
        <w:pStyle w:val="FootnoteText"/>
        <w:rPr>
          <w:lang w:val="pt-PT"/>
        </w:rPr>
      </w:pPr>
      <w:r>
        <w:rPr>
          <w:rStyle w:val="FootnoteReference"/>
        </w:rPr>
        <w:footnoteRef/>
      </w:r>
      <w:r>
        <w:rPr>
          <w:lang w:val="pt-PT"/>
        </w:rPr>
        <w:t xml:space="preserve"> </w:t>
      </w:r>
      <w:r>
        <w:rPr>
          <w:lang w:val="pt-PT"/>
        </w:rPr>
        <w:tab/>
        <w:t xml:space="preserve">Regulation </w:t>
      </w:r>
      <w:hyperlink r:id="rId568" w:history="1">
        <w:r>
          <w:rPr>
            <w:rStyle w:val="Hyperlink"/>
            <w:lang w:val="pt-PT"/>
          </w:rPr>
          <w:t>(EC) No 1071/2009.</w:t>
        </w:r>
      </w:hyperlink>
    </w:p>
  </w:footnote>
  <w:footnote w:id="376">
    <w:p>
      <w:pPr>
        <w:pStyle w:val="FootnoteText"/>
        <w:rPr>
          <w:lang w:val="pt-PT"/>
        </w:rPr>
      </w:pPr>
      <w:r>
        <w:rPr>
          <w:rStyle w:val="FootnoteReference"/>
        </w:rPr>
        <w:footnoteRef/>
      </w:r>
      <w:r>
        <w:rPr>
          <w:lang w:val="pt-PT"/>
        </w:rPr>
        <w:t xml:space="preserve"> </w:t>
      </w:r>
      <w:r>
        <w:rPr>
          <w:lang w:val="pt-PT"/>
        </w:rPr>
        <w:tab/>
        <w:t xml:space="preserve">Directive </w:t>
      </w:r>
      <w:hyperlink r:id="rId569" w:history="1">
        <w:r>
          <w:rPr>
            <w:rStyle w:val="Hyperlink"/>
            <w:lang w:val="pt-PT"/>
          </w:rPr>
          <w:t>2004/52/EC</w:t>
        </w:r>
      </w:hyperlink>
      <w:r>
        <w:rPr>
          <w:lang w:val="pt-PT"/>
        </w:rPr>
        <w:t xml:space="preserve">. </w:t>
      </w:r>
    </w:p>
  </w:footnote>
  <w:footnote w:id="377">
    <w:p>
      <w:pPr>
        <w:pStyle w:val="FootnoteText"/>
        <w:rPr>
          <w:lang w:val="pt-PT"/>
        </w:rPr>
      </w:pPr>
      <w:r>
        <w:rPr>
          <w:rStyle w:val="FootnoteReference"/>
        </w:rPr>
        <w:footnoteRef/>
      </w:r>
      <w:r>
        <w:rPr>
          <w:lang w:val="pt-PT"/>
        </w:rPr>
        <w:t xml:space="preserve"> </w:t>
      </w:r>
      <w:r>
        <w:rPr>
          <w:lang w:val="pt-PT"/>
        </w:rPr>
        <w:tab/>
        <w:t xml:space="preserve">Regulations </w:t>
      </w:r>
      <w:hyperlink r:id="rId570" w:history="1">
        <w:r>
          <w:rPr>
            <w:rStyle w:val="Hyperlink"/>
            <w:lang w:val="pt-PT"/>
          </w:rPr>
          <w:t>(EC) No 300/2008</w:t>
        </w:r>
      </w:hyperlink>
      <w:r>
        <w:rPr>
          <w:lang w:val="pt-PT"/>
        </w:rPr>
        <w:t xml:space="preserve"> and </w:t>
      </w:r>
      <w:hyperlink r:id="rId571" w:history="1">
        <w:r>
          <w:rPr>
            <w:rStyle w:val="Hyperlink"/>
            <w:lang w:val="pt-PT"/>
          </w:rPr>
          <w:t>(EU) No 18/2010</w:t>
        </w:r>
      </w:hyperlink>
      <w:r>
        <w:rPr>
          <w:lang w:val="pt-PT"/>
        </w:rPr>
        <w:t>.</w:t>
      </w:r>
    </w:p>
  </w:footnote>
  <w:footnote w:id="378">
    <w:p>
      <w:pPr>
        <w:pStyle w:val="FootnoteText"/>
        <w:rPr>
          <w:lang w:val="pt-PT"/>
        </w:rPr>
      </w:pPr>
      <w:r>
        <w:rPr>
          <w:rStyle w:val="FootnoteReference"/>
        </w:rPr>
        <w:footnoteRef/>
      </w:r>
      <w:r>
        <w:rPr>
          <w:lang w:val="pt-PT"/>
        </w:rPr>
        <w:t xml:space="preserve"> </w:t>
      </w:r>
      <w:r>
        <w:rPr>
          <w:lang w:val="pt-PT"/>
        </w:rPr>
        <w:tab/>
        <w:t xml:space="preserve">Directive </w:t>
      </w:r>
      <w:hyperlink r:id="rId572" w:history="1">
        <w:r>
          <w:rPr>
            <w:rStyle w:val="Hyperlink"/>
            <w:lang w:val="pt-PT"/>
          </w:rPr>
          <w:t>2006/126/EC</w:t>
        </w:r>
      </w:hyperlink>
      <w:r>
        <w:rPr>
          <w:lang w:val="pt-PT"/>
        </w:rPr>
        <w:t xml:space="preserve">; </w:t>
      </w:r>
      <w:hyperlink r:id="rId573" w:history="1">
        <w:r>
          <w:rPr>
            <w:rStyle w:val="Hyperlink"/>
            <w:lang w:val="pt-PT"/>
          </w:rPr>
          <w:t>IP/15/6229</w:t>
        </w:r>
      </w:hyperlink>
      <w:r>
        <w:rPr>
          <w:lang w:val="pt-PT"/>
        </w:rPr>
        <w:t xml:space="preserve">, </w:t>
      </w:r>
      <w:hyperlink r:id="rId574" w:history="1">
        <w:r>
          <w:rPr>
            <w:rStyle w:val="Hyperlink"/>
            <w:lang w:val="pt-PT"/>
          </w:rPr>
          <w:t>MEMO/15/6223</w:t>
        </w:r>
      </w:hyperlink>
      <w:r>
        <w:rPr>
          <w:lang w:val="pt-PT"/>
        </w:rPr>
        <w:t xml:space="preserve"> and </w:t>
      </w:r>
      <w:hyperlink r:id="rId575" w:history="1">
        <w:r>
          <w:rPr>
            <w:rStyle w:val="Hyperlink"/>
            <w:lang w:val="pt-PT"/>
          </w:rPr>
          <w:t>IP/16/2105</w:t>
        </w:r>
      </w:hyperlink>
      <w:r>
        <w:rPr>
          <w:lang w:val="pt-PT"/>
        </w:rPr>
        <w:t xml:space="preserve">. </w:t>
      </w:r>
    </w:p>
  </w:footnote>
  <w:footnote w:id="379">
    <w:p>
      <w:pPr>
        <w:pStyle w:val="FootnoteText"/>
        <w:rPr>
          <w:lang w:val="pt-PT"/>
        </w:rPr>
      </w:pPr>
      <w:r>
        <w:rPr>
          <w:rStyle w:val="FootnoteReference"/>
        </w:rPr>
        <w:footnoteRef/>
      </w:r>
      <w:r>
        <w:rPr>
          <w:lang w:val="pt-PT"/>
        </w:rPr>
        <w:t xml:space="preserve"> </w:t>
      </w:r>
      <w:r>
        <w:rPr>
          <w:lang w:val="pt-PT"/>
        </w:rPr>
        <w:tab/>
        <w:t xml:space="preserve">Regulation </w:t>
      </w:r>
      <w:hyperlink r:id="rId576" w:history="1">
        <w:r>
          <w:rPr>
            <w:rStyle w:val="Hyperlink"/>
            <w:lang w:val="pt-PT"/>
          </w:rPr>
          <w:t>(EU) No 996/2010</w:t>
        </w:r>
      </w:hyperlink>
      <w:r>
        <w:rPr>
          <w:lang w:val="pt-PT"/>
        </w:rPr>
        <w:t>.</w:t>
      </w:r>
    </w:p>
  </w:footnote>
  <w:footnote w:id="380">
    <w:p>
      <w:pPr>
        <w:pStyle w:val="FootnoteText"/>
        <w:rPr>
          <w:lang w:val="pt-PT"/>
        </w:rPr>
      </w:pPr>
      <w:r>
        <w:rPr>
          <w:rStyle w:val="FootnoteReference"/>
        </w:rPr>
        <w:footnoteRef/>
      </w:r>
      <w:r>
        <w:rPr>
          <w:lang w:val="pt-PT"/>
        </w:rPr>
        <w:t xml:space="preserve"> </w:t>
      </w:r>
      <w:r>
        <w:rPr>
          <w:lang w:val="pt-PT"/>
        </w:rPr>
        <w:tab/>
        <w:t xml:space="preserve">Directive </w:t>
      </w:r>
      <w:hyperlink r:id="rId577" w:history="1">
        <w:r>
          <w:rPr>
            <w:rStyle w:val="Hyperlink"/>
            <w:lang w:val="pt-PT"/>
          </w:rPr>
          <w:t>2004/49/EC</w:t>
        </w:r>
      </w:hyperlink>
      <w:r>
        <w:rPr>
          <w:lang w:val="pt-PT"/>
        </w:rPr>
        <w:t>.</w:t>
      </w:r>
    </w:p>
  </w:footnote>
  <w:footnote w:id="381">
    <w:p>
      <w:pPr>
        <w:pStyle w:val="FootnoteText"/>
        <w:rPr>
          <w:lang w:val="pt-PT"/>
        </w:rPr>
      </w:pPr>
      <w:r>
        <w:rPr>
          <w:rStyle w:val="FootnoteReference"/>
        </w:rPr>
        <w:footnoteRef/>
      </w:r>
      <w:r>
        <w:rPr>
          <w:lang w:val="pt-PT"/>
        </w:rPr>
        <w:t xml:space="preserve"> </w:t>
      </w:r>
      <w:r>
        <w:rPr>
          <w:lang w:val="pt-PT"/>
        </w:rPr>
        <w:tab/>
        <w:t xml:space="preserve">Directive </w:t>
      </w:r>
      <w:hyperlink r:id="rId578" w:history="1">
        <w:r>
          <w:rPr>
            <w:rStyle w:val="Hyperlink"/>
            <w:lang w:val="pt-PT"/>
          </w:rPr>
          <w:t>2009/12/EC</w:t>
        </w:r>
      </w:hyperlink>
      <w:r>
        <w:rPr>
          <w:lang w:val="pt-PT"/>
        </w:rPr>
        <w:t>.</w:t>
      </w:r>
    </w:p>
  </w:footnote>
  <w:footnote w:id="382">
    <w:p>
      <w:pPr>
        <w:pStyle w:val="FootnoteText"/>
        <w:rPr>
          <w:lang w:val="pt-PT"/>
        </w:rPr>
      </w:pPr>
      <w:r>
        <w:rPr>
          <w:rStyle w:val="FootnoteReference"/>
        </w:rPr>
        <w:footnoteRef/>
      </w:r>
      <w:r>
        <w:rPr>
          <w:lang w:val="pt-PT"/>
        </w:rPr>
        <w:t xml:space="preserve"> </w:t>
      </w:r>
      <w:r>
        <w:rPr>
          <w:lang w:val="pt-PT"/>
        </w:rPr>
        <w:tab/>
        <w:t xml:space="preserve">Regulation </w:t>
      </w:r>
      <w:hyperlink r:id="rId579" w:history="1">
        <w:r>
          <w:rPr>
            <w:rStyle w:val="Hyperlink"/>
            <w:lang w:val="pt-PT"/>
          </w:rPr>
          <w:t>(EEC) No 3577/92</w:t>
        </w:r>
      </w:hyperlink>
      <w:r>
        <w:rPr>
          <w:lang w:val="pt-PT"/>
        </w:rPr>
        <w:t>.</w:t>
      </w:r>
    </w:p>
  </w:footnote>
  <w:footnote w:id="383">
    <w:p>
      <w:pPr>
        <w:pStyle w:val="FootnoteText"/>
        <w:rPr>
          <w:lang w:val="pt-PT"/>
        </w:rPr>
      </w:pPr>
      <w:r>
        <w:rPr>
          <w:rStyle w:val="FootnoteReference"/>
        </w:rPr>
        <w:footnoteRef/>
      </w:r>
      <w:r>
        <w:rPr>
          <w:lang w:val="pt-PT"/>
        </w:rPr>
        <w:t xml:space="preserve"> </w:t>
      </w:r>
      <w:r>
        <w:rPr>
          <w:lang w:val="pt-PT"/>
        </w:rPr>
        <w:tab/>
        <w:t xml:space="preserve">Regulation </w:t>
      </w:r>
      <w:hyperlink r:id="rId580" w:history="1">
        <w:r>
          <w:rPr>
            <w:rStyle w:val="Hyperlink"/>
            <w:lang w:val="pt-PT"/>
          </w:rPr>
          <w:t>(EU) No 492/2011</w:t>
        </w:r>
      </w:hyperlink>
      <w:r>
        <w:rPr>
          <w:lang w:val="pt-PT"/>
        </w:rPr>
        <w:t>.</w:t>
      </w:r>
    </w:p>
  </w:footnote>
  <w:footnote w:id="384">
    <w:p>
      <w:pPr>
        <w:pStyle w:val="FootnoteText"/>
        <w:rPr>
          <w:lang w:val="pt-PT"/>
        </w:rPr>
      </w:pPr>
      <w:r>
        <w:rPr>
          <w:rStyle w:val="FootnoteReference"/>
        </w:rPr>
        <w:footnoteRef/>
      </w:r>
      <w:r>
        <w:rPr>
          <w:lang w:val="pt-PT"/>
        </w:rPr>
        <w:t xml:space="preserve"> </w:t>
      </w:r>
      <w:r>
        <w:rPr>
          <w:lang w:val="pt-PT"/>
        </w:rPr>
        <w:tab/>
        <w:t xml:space="preserve">Directive </w:t>
      </w:r>
      <w:hyperlink r:id="rId581" w:history="1">
        <w:r>
          <w:rPr>
            <w:rStyle w:val="Hyperlink"/>
            <w:lang w:val="pt-PT"/>
          </w:rPr>
          <w:t>2009/18/EC</w:t>
        </w:r>
      </w:hyperlink>
      <w:r>
        <w:rPr>
          <w:lang w:val="pt-PT"/>
        </w:rPr>
        <w:t>.</w:t>
      </w:r>
    </w:p>
  </w:footnote>
  <w:footnote w:id="385">
    <w:p>
      <w:pPr>
        <w:pStyle w:val="FootnoteText"/>
      </w:pPr>
      <w:r>
        <w:rPr>
          <w:rStyle w:val="FootnoteReference"/>
        </w:rPr>
        <w:footnoteRef/>
      </w:r>
      <w:r>
        <w:t xml:space="preserve"> </w:t>
      </w:r>
      <w:r>
        <w:tab/>
        <w:t xml:space="preserve">Regulations </w:t>
      </w:r>
      <w:hyperlink r:id="rId582" w:history="1">
        <w:r>
          <w:rPr>
            <w:rStyle w:val="Hyperlink"/>
          </w:rPr>
          <w:t>(EU) 748/2012</w:t>
        </w:r>
      </w:hyperlink>
      <w:r>
        <w:t xml:space="preserve"> and </w:t>
      </w:r>
      <w:hyperlink r:id="rId583" w:history="1">
        <w:r>
          <w:rPr>
            <w:rStyle w:val="Hyperlink"/>
          </w:rPr>
          <w:t>1321/2014</w:t>
        </w:r>
      </w:hyperlink>
      <w:r>
        <w:t>.</w:t>
      </w:r>
    </w:p>
  </w:footnote>
  <w:footnote w:id="386">
    <w:p>
      <w:pPr>
        <w:pStyle w:val="FootnoteText"/>
      </w:pPr>
      <w:r>
        <w:rPr>
          <w:rStyle w:val="FootnoteReference"/>
        </w:rPr>
        <w:footnoteRef/>
      </w:r>
      <w:r>
        <w:t xml:space="preserve"> </w:t>
      </w:r>
      <w:r>
        <w:tab/>
        <w:t xml:space="preserve">Directive </w:t>
      </w:r>
      <w:hyperlink r:id="rId584" w:history="1">
        <w:r>
          <w:rPr>
            <w:rStyle w:val="Hyperlink"/>
          </w:rPr>
          <w:t>2012/34/EU</w:t>
        </w:r>
      </w:hyperlink>
      <w:r>
        <w:t>.</w:t>
      </w:r>
    </w:p>
  </w:footnote>
  <w:footnote w:id="387">
    <w:p>
      <w:pPr>
        <w:pStyle w:val="FootnoteText"/>
      </w:pPr>
      <w:r>
        <w:rPr>
          <w:rStyle w:val="FootnoteReference"/>
        </w:rPr>
        <w:footnoteRef/>
      </w:r>
      <w:r>
        <w:t xml:space="preserve"> </w:t>
      </w:r>
      <w:r>
        <w:tab/>
        <w:t xml:space="preserve">Regulation </w:t>
      </w:r>
      <w:hyperlink r:id="rId585" w:history="1">
        <w:r>
          <w:rPr>
            <w:rStyle w:val="Hyperlink"/>
          </w:rPr>
          <w:t>(EC) No 1370/2007</w:t>
        </w:r>
      </w:hyperlink>
      <w:r>
        <w:t>.</w:t>
      </w:r>
    </w:p>
  </w:footnote>
  <w:footnote w:id="388">
    <w:p>
      <w:pPr>
        <w:pStyle w:val="FootnoteText"/>
      </w:pPr>
      <w:r>
        <w:rPr>
          <w:rStyle w:val="FootnoteReference"/>
        </w:rPr>
        <w:footnoteRef/>
      </w:r>
      <w:r>
        <w:t xml:space="preserve"> </w:t>
      </w:r>
      <w:r>
        <w:tab/>
        <w:t xml:space="preserve">Directive </w:t>
      </w:r>
      <w:hyperlink r:id="rId586" w:history="1">
        <w:r>
          <w:rPr>
            <w:rStyle w:val="Hyperlink"/>
          </w:rPr>
          <w:t>2008/57/EC</w:t>
        </w:r>
      </w:hyperlink>
      <w:r>
        <w:t>.</w:t>
      </w:r>
    </w:p>
  </w:footnote>
  <w:footnote w:id="389">
    <w:p>
      <w:pPr>
        <w:pStyle w:val="FootnoteText"/>
      </w:pPr>
      <w:r>
        <w:rPr>
          <w:rStyle w:val="FootnoteReference"/>
        </w:rPr>
        <w:footnoteRef/>
      </w:r>
      <w:r>
        <w:t xml:space="preserve"> </w:t>
      </w:r>
      <w:r>
        <w:tab/>
        <w:t xml:space="preserve">Regulations </w:t>
      </w:r>
      <w:hyperlink r:id="rId587" w:history="1">
        <w:r>
          <w:rPr>
            <w:rStyle w:val="Hyperlink"/>
          </w:rPr>
          <w:t>(EC) No 1071/2009</w:t>
        </w:r>
      </w:hyperlink>
      <w:r>
        <w:t xml:space="preserve"> and </w:t>
      </w:r>
      <w:hyperlink r:id="rId588" w:history="1">
        <w:r>
          <w:rPr>
            <w:rStyle w:val="Hyperlink"/>
          </w:rPr>
          <w:t>(EC) No 1072/2009</w:t>
        </w:r>
      </w:hyperlink>
      <w:r>
        <w:t>.</w:t>
      </w:r>
    </w:p>
  </w:footnote>
  <w:footnote w:id="390">
    <w:p>
      <w:pPr>
        <w:pStyle w:val="FootnoteText"/>
      </w:pPr>
      <w:r>
        <w:rPr>
          <w:rStyle w:val="FootnoteReference"/>
        </w:rPr>
        <w:footnoteRef/>
      </w:r>
      <w:r>
        <w:t xml:space="preserve"> </w:t>
      </w:r>
      <w:r>
        <w:tab/>
        <w:t>These rulings are almost exclusively handed down on infringement procedures.</w:t>
      </w:r>
    </w:p>
  </w:footnote>
  <w:footnote w:id="391">
    <w:p>
      <w:pPr>
        <w:pStyle w:val="FootnoteText"/>
      </w:pPr>
      <w:r>
        <w:rPr>
          <w:rStyle w:val="FootnoteReference"/>
        </w:rPr>
        <w:footnoteRef/>
      </w:r>
      <w:r>
        <w:t xml:space="preserve"> </w:t>
      </w:r>
      <w:r>
        <w:tab/>
        <w:t xml:space="preserve">Regulation </w:t>
      </w:r>
      <w:hyperlink r:id="rId589" w:history="1">
        <w:r>
          <w:rPr>
            <w:rStyle w:val="Hyperlink"/>
          </w:rPr>
          <w:t>(EC) No 1071/2009</w:t>
        </w:r>
      </w:hyperlink>
      <w:r>
        <w:t xml:space="preserve">, Commission v Luxembourg, </w:t>
      </w:r>
      <w:hyperlink r:id="rId590" w:history="1">
        <w:r>
          <w:rPr>
            <w:rStyle w:val="Hyperlink"/>
          </w:rPr>
          <w:t>C-152/16</w:t>
        </w:r>
      </w:hyperlink>
      <w:r>
        <w:rPr>
          <w:rStyle w:val="Hyperlink"/>
        </w:rPr>
        <w:t>.</w:t>
      </w:r>
    </w:p>
  </w:footnote>
  <w:footnote w:id="392">
    <w:p>
      <w:pPr>
        <w:pStyle w:val="FootnoteText"/>
      </w:pPr>
      <w:r>
        <w:rPr>
          <w:rStyle w:val="FootnoteReference"/>
        </w:rPr>
        <w:footnoteRef/>
      </w:r>
      <w:r>
        <w:t xml:space="preserve"> </w:t>
      </w:r>
      <w:r>
        <w:tab/>
        <w:t xml:space="preserve">Regulation </w:t>
      </w:r>
      <w:hyperlink r:id="rId591" w:history="1">
        <w:r>
          <w:rPr>
            <w:rStyle w:val="Hyperlink"/>
          </w:rPr>
          <w:t>(EC) No 1071/2009</w:t>
        </w:r>
      </w:hyperlink>
      <w:r>
        <w:t xml:space="preserve">, Commission v Poland, </w:t>
      </w:r>
      <w:hyperlink r:id="rId592" w:history="1">
        <w:r>
          <w:rPr>
            <w:rStyle w:val="Hyperlink"/>
          </w:rPr>
          <w:t>C-23/16</w:t>
        </w:r>
      </w:hyperlink>
      <w:r>
        <w:t>.</w:t>
      </w:r>
    </w:p>
  </w:footnote>
  <w:footnote w:id="393">
    <w:p>
      <w:pPr>
        <w:pStyle w:val="FootnoteText"/>
      </w:pPr>
      <w:r>
        <w:rPr>
          <w:rStyle w:val="FootnoteReference"/>
        </w:rPr>
        <w:footnoteRef/>
      </w:r>
      <w:r>
        <w:t xml:space="preserve"> </w:t>
      </w:r>
      <w:r>
        <w:tab/>
        <w:t xml:space="preserve">Regulation </w:t>
      </w:r>
      <w:hyperlink r:id="rId593" w:history="1">
        <w:r>
          <w:rPr>
            <w:rStyle w:val="Hyperlink"/>
          </w:rPr>
          <w:t>(EC) No 1071/2009</w:t>
        </w:r>
      </w:hyperlink>
      <w:r>
        <w:t xml:space="preserve">, Commission v Portugal, </w:t>
      </w:r>
      <w:hyperlink r:id="rId594" w:history="1">
        <w:r>
          <w:rPr>
            <w:rStyle w:val="Hyperlink"/>
          </w:rPr>
          <w:t>C-583/15</w:t>
        </w:r>
      </w:hyperlink>
      <w:r>
        <w:t xml:space="preserve">. </w:t>
      </w:r>
    </w:p>
  </w:footnote>
  <w:footnote w:id="394">
    <w:p>
      <w:pPr>
        <w:pStyle w:val="FootnoteText"/>
      </w:pPr>
      <w:r>
        <w:rPr>
          <w:rStyle w:val="FootnoteReference"/>
        </w:rPr>
        <w:footnoteRef/>
      </w:r>
      <w:r>
        <w:t xml:space="preserve"> </w:t>
      </w:r>
      <w:r>
        <w:tab/>
        <w:t xml:space="preserve">Regulation </w:t>
      </w:r>
      <w:hyperlink r:id="rId595" w:history="1">
        <w:r>
          <w:rPr>
            <w:rStyle w:val="Hyperlink"/>
          </w:rPr>
          <w:t>(EEC) No 95/93</w:t>
        </w:r>
      </w:hyperlink>
      <w:r>
        <w:t xml:space="preserve">, Commission v Portugal, </w:t>
      </w:r>
      <w:hyperlink r:id="rId596" w:history="1">
        <w:r>
          <w:rPr>
            <w:rStyle w:val="Hyperlink"/>
          </w:rPr>
          <w:t>C-205/14</w:t>
        </w:r>
      </w:hyperlink>
      <w:r>
        <w:rPr>
          <w:rStyle w:val="Hyperlink"/>
        </w:rPr>
        <w:t>.</w:t>
      </w:r>
    </w:p>
  </w:footnote>
  <w:footnote w:id="395">
    <w:p>
      <w:pPr>
        <w:pStyle w:val="FootnoteText"/>
      </w:pPr>
      <w:r>
        <w:rPr>
          <w:rStyle w:val="FootnoteReference"/>
        </w:rPr>
        <w:footnoteRef/>
      </w:r>
      <w:r>
        <w:t xml:space="preserve"> </w:t>
      </w:r>
      <w:r>
        <w:tab/>
        <w:t xml:space="preserve">Demey, </w:t>
      </w:r>
      <w:hyperlink r:id="rId597" w:history="1">
        <w:r>
          <w:rPr>
            <w:rStyle w:val="Hyperlink"/>
          </w:rPr>
          <w:t>C-261/15</w:t>
        </w:r>
      </w:hyperlink>
      <w:r>
        <w:t>.</w:t>
      </w:r>
    </w:p>
  </w:footnote>
  <w:footnote w:id="396">
    <w:p>
      <w:pPr>
        <w:pStyle w:val="FootnoteText"/>
      </w:pPr>
      <w:r>
        <w:rPr>
          <w:rStyle w:val="FootnoteReference"/>
        </w:rPr>
        <w:footnoteRef/>
      </w:r>
      <w:r>
        <w:t xml:space="preserve"> </w:t>
      </w:r>
      <w:r>
        <w:tab/>
        <w:t xml:space="preserve">Directive </w:t>
      </w:r>
      <w:hyperlink r:id="rId598" w:history="1">
        <w:r>
          <w:rPr>
            <w:rStyle w:val="Hyperlink"/>
          </w:rPr>
          <w:t>96/75/EC</w:t>
        </w:r>
      </w:hyperlink>
      <w:r>
        <w:t>.</w:t>
      </w:r>
    </w:p>
  </w:footnote>
  <w:footnote w:id="397">
    <w:p>
      <w:pPr>
        <w:pStyle w:val="FootnoteText"/>
      </w:pPr>
      <w:r>
        <w:rPr>
          <w:rStyle w:val="FootnoteReference"/>
        </w:rPr>
        <w:footnoteRef/>
      </w:r>
      <w:r>
        <w:t xml:space="preserve"> </w:t>
      </w:r>
      <w:r>
        <w:tab/>
      </w:r>
      <w:r>
        <w:rPr>
          <w:rStyle w:val="affairetitle"/>
        </w:rPr>
        <w:t>Mathys</w:t>
      </w:r>
      <w:r>
        <w:t xml:space="preserve">, </w:t>
      </w:r>
      <w:hyperlink r:id="rId599" w:history="1">
        <w:r>
          <w:rPr>
            <w:rStyle w:val="Hyperlink"/>
          </w:rPr>
          <w:t>C-92/15</w:t>
        </w:r>
      </w:hyperlink>
      <w:r>
        <w:t>.</w:t>
      </w:r>
    </w:p>
  </w:footnote>
  <w:footnote w:id="398">
    <w:p>
      <w:pPr>
        <w:pStyle w:val="FootnoteText"/>
      </w:pPr>
      <w:r>
        <w:rPr>
          <w:rStyle w:val="FootnoteReference"/>
        </w:rPr>
        <w:footnoteRef/>
      </w:r>
      <w:r>
        <w:t xml:space="preserve"> </w:t>
      </w:r>
      <w:r>
        <w:tab/>
        <w:t xml:space="preserve">Directive </w:t>
      </w:r>
      <w:hyperlink r:id="rId600" w:history="1">
        <w:r>
          <w:rPr>
            <w:rStyle w:val="Hyperlink"/>
          </w:rPr>
          <w:t>2003/59/EC</w:t>
        </w:r>
      </w:hyperlink>
      <w:r>
        <w:t>.</w:t>
      </w:r>
    </w:p>
  </w:footnote>
  <w:footnote w:id="399">
    <w:p>
      <w:pPr>
        <w:pStyle w:val="FootnoteText"/>
      </w:pPr>
      <w:r>
        <w:rPr>
          <w:rStyle w:val="FootnoteReference"/>
        </w:rPr>
        <w:footnoteRef/>
      </w:r>
      <w:r>
        <w:t xml:space="preserve"> </w:t>
      </w:r>
      <w:r>
        <w:tab/>
        <w:t xml:space="preserve">Ivo Muladi v Krajský úřad Moravskoslezského kraje, </w:t>
      </w:r>
      <w:hyperlink r:id="rId601" w:history="1">
        <w:r>
          <w:rPr>
            <w:rStyle w:val="Hyperlink"/>
          </w:rPr>
          <w:t>C-447/15</w:t>
        </w:r>
      </w:hyperlink>
      <w:r>
        <w:t>.</w:t>
      </w:r>
    </w:p>
  </w:footnote>
  <w:footnote w:id="400">
    <w:p>
      <w:pPr>
        <w:pStyle w:val="FootnoteText"/>
        <w:rPr>
          <w:lang w:val="de-DE"/>
        </w:rPr>
      </w:pPr>
      <w:r>
        <w:rPr>
          <w:rStyle w:val="FootnoteReference"/>
        </w:rPr>
        <w:footnoteRef/>
      </w:r>
      <w:r>
        <w:rPr>
          <w:lang w:val="de-DE"/>
        </w:rPr>
        <w:t xml:space="preserve"> </w:t>
      </w:r>
      <w:r>
        <w:rPr>
          <w:lang w:val="de-DE"/>
        </w:rPr>
        <w:tab/>
        <w:t xml:space="preserve">Regulation </w:t>
      </w:r>
      <w:hyperlink r:id="rId602" w:history="1">
        <w:r>
          <w:rPr>
            <w:rStyle w:val="Hyperlink"/>
            <w:lang w:val="de-DE"/>
          </w:rPr>
          <w:t>(EC) No 1370/2007</w:t>
        </w:r>
      </w:hyperlink>
      <w:r>
        <w:rPr>
          <w:lang w:val="de-DE"/>
        </w:rPr>
        <w:t>.</w:t>
      </w:r>
    </w:p>
  </w:footnote>
  <w:footnote w:id="401">
    <w:p>
      <w:pPr>
        <w:pStyle w:val="FootnoteText"/>
        <w:rPr>
          <w:lang w:val="de-DE"/>
        </w:rPr>
      </w:pPr>
      <w:r>
        <w:rPr>
          <w:rStyle w:val="FootnoteReference"/>
        </w:rPr>
        <w:footnoteRef/>
      </w:r>
      <w:r>
        <w:rPr>
          <w:lang w:val="de-DE"/>
        </w:rPr>
        <w:t xml:space="preserve"> </w:t>
      </w:r>
      <w:r>
        <w:rPr>
          <w:lang w:val="de-DE"/>
        </w:rPr>
        <w:tab/>
        <w:t xml:space="preserve">Hörmann Reisen GmbH v Stadt Augsburg, Landkreis Augsburg, </w:t>
      </w:r>
      <w:hyperlink r:id="rId603" w:history="1">
        <w:r>
          <w:rPr>
            <w:rStyle w:val="Hyperlink"/>
            <w:lang w:val="de-DE"/>
          </w:rPr>
          <w:t>C-292/15</w:t>
        </w:r>
      </w:hyperlink>
      <w:r>
        <w:rPr>
          <w:lang w:val="de-DE"/>
        </w:rPr>
        <w:t>.</w:t>
      </w:r>
    </w:p>
  </w:footnote>
  <w:footnote w:id="402">
    <w:p>
      <w:pPr>
        <w:pStyle w:val="FootnoteText"/>
      </w:pPr>
      <w:r>
        <w:rPr>
          <w:rStyle w:val="FootnoteReference"/>
        </w:rPr>
        <w:footnoteRef/>
      </w:r>
      <w:r>
        <w:t xml:space="preserve"> </w:t>
      </w:r>
      <w:r>
        <w:tab/>
        <w:t xml:space="preserve">Regulation </w:t>
      </w:r>
      <w:hyperlink r:id="rId604" w:history="1">
        <w:r>
          <w:rPr>
            <w:rStyle w:val="Hyperlink"/>
          </w:rPr>
          <w:t>No 3821/85</w:t>
        </w:r>
      </w:hyperlink>
      <w:r>
        <w:t>.</w:t>
      </w:r>
    </w:p>
  </w:footnote>
  <w:footnote w:id="403">
    <w:p>
      <w:pPr>
        <w:pStyle w:val="FootnoteText"/>
      </w:pPr>
      <w:r>
        <w:rPr>
          <w:rStyle w:val="FootnoteReference"/>
        </w:rPr>
        <w:footnoteRef/>
      </w:r>
      <w:r>
        <w:t xml:space="preserve"> </w:t>
      </w:r>
      <w:r>
        <w:tab/>
        <w:t xml:space="preserve">EL-EM-2001, </w:t>
      </w:r>
      <w:hyperlink r:id="rId605" w:history="1">
        <w:r>
          <w:rPr>
            <w:rStyle w:val="Hyperlink"/>
          </w:rPr>
          <w:t>C-501/14</w:t>
        </w:r>
      </w:hyperlink>
      <w:r>
        <w:t>.</w:t>
      </w:r>
    </w:p>
  </w:footnote>
  <w:footnote w:id="404">
    <w:p>
      <w:pPr>
        <w:pStyle w:val="FootnoteText"/>
      </w:pPr>
      <w:r>
        <w:rPr>
          <w:rStyle w:val="FootnoteReference"/>
        </w:rPr>
        <w:footnoteRef/>
      </w:r>
      <w:r>
        <w:t xml:space="preserve"> </w:t>
      </w:r>
      <w:r>
        <w:tab/>
        <w:t xml:space="preserve">Air Baltic Corporation, </w:t>
      </w:r>
      <w:hyperlink r:id="rId606" w:history="1">
        <w:r>
          <w:rPr>
            <w:rStyle w:val="Hyperlink"/>
          </w:rPr>
          <w:t>C-429/14</w:t>
        </w:r>
      </w:hyperlink>
      <w:r>
        <w:t>.</w:t>
      </w:r>
    </w:p>
  </w:footnote>
  <w:footnote w:id="405">
    <w:p>
      <w:pPr>
        <w:pStyle w:val="FootnoteText"/>
        <w:rPr>
          <w:lang w:val="de-DE"/>
        </w:rPr>
      </w:pPr>
      <w:r>
        <w:rPr>
          <w:rStyle w:val="FootnoteReference"/>
        </w:rPr>
        <w:footnoteRef/>
      </w:r>
      <w:r>
        <w:rPr>
          <w:lang w:val="de-DE"/>
        </w:rPr>
        <w:t xml:space="preserve"> </w:t>
      </w:r>
      <w:r>
        <w:rPr>
          <w:lang w:val="de-DE"/>
        </w:rPr>
        <w:tab/>
        <w:t xml:space="preserve">Regulation </w:t>
      </w:r>
      <w:hyperlink r:id="rId607" w:history="1">
        <w:r>
          <w:rPr>
            <w:rStyle w:val="Hyperlink"/>
            <w:lang w:val="de-DE"/>
          </w:rPr>
          <w:t>(EC) No 561/2006</w:t>
        </w:r>
      </w:hyperlink>
      <w:r>
        <w:rPr>
          <w:lang w:val="de-DE"/>
        </w:rPr>
        <w:t xml:space="preserve">, Eurospeed, </w:t>
      </w:r>
      <w:hyperlink r:id="rId608" w:history="1">
        <w:r>
          <w:rPr>
            <w:rStyle w:val="Hyperlink"/>
            <w:lang w:val="de-DE"/>
          </w:rPr>
          <w:t>C-287/14</w:t>
        </w:r>
      </w:hyperlink>
      <w:r>
        <w:rPr>
          <w:lang w:val="de-DE"/>
        </w:rPr>
        <w:t>.</w:t>
      </w:r>
    </w:p>
  </w:footnote>
  <w:footnote w:id="406">
    <w:p>
      <w:pPr>
        <w:pStyle w:val="FootnoteText"/>
        <w:rPr>
          <w:lang w:val="de-DE"/>
        </w:rPr>
      </w:pPr>
      <w:r>
        <w:rPr>
          <w:rStyle w:val="FootnoteReference"/>
        </w:rPr>
        <w:footnoteRef/>
      </w:r>
      <w:r>
        <w:rPr>
          <w:lang w:val="de-DE"/>
        </w:rPr>
        <w:t xml:space="preserve"> </w:t>
      </w:r>
      <w:r>
        <w:rPr>
          <w:lang w:val="de-DE"/>
        </w:rPr>
        <w:tab/>
        <w:t xml:space="preserve">Steef Mennens v Emirates Direktion für Deutschland, </w:t>
      </w:r>
      <w:hyperlink r:id="rId609" w:history="1">
        <w:r>
          <w:rPr>
            <w:rStyle w:val="Hyperlink"/>
            <w:lang w:val="de-DE"/>
          </w:rPr>
          <w:t>C-255/15</w:t>
        </w:r>
      </w:hyperlink>
      <w:r>
        <w:rPr>
          <w:lang w:val="de-DE"/>
        </w:rPr>
        <w:t>.</w:t>
      </w:r>
    </w:p>
  </w:footnote>
  <w:footnote w:id="407">
    <w:p>
      <w:pPr>
        <w:pStyle w:val="FootnoteText"/>
      </w:pPr>
      <w:r>
        <w:rPr>
          <w:rStyle w:val="FootnoteReference"/>
        </w:rPr>
        <w:footnoteRef/>
      </w:r>
      <w:r>
        <w:t xml:space="preserve"> </w:t>
      </w:r>
      <w:r>
        <w:tab/>
        <w:t xml:space="preserve">Joined Cases </w:t>
      </w:r>
      <w:r>
        <w:rPr>
          <w:rStyle w:val="affairetitle"/>
        </w:rPr>
        <w:t>Ruijssenaars and Jansen</w:t>
      </w:r>
      <w:r>
        <w:t xml:space="preserve">, </w:t>
      </w:r>
      <w:hyperlink r:id="rId610" w:history="1">
        <w:r>
          <w:rPr>
            <w:rStyle w:val="Hyperlink"/>
          </w:rPr>
          <w:t>C-145/15</w:t>
        </w:r>
      </w:hyperlink>
      <w:r>
        <w:t xml:space="preserve"> and </w:t>
      </w:r>
      <w:r>
        <w:rPr>
          <w:rStyle w:val="affairetitle"/>
        </w:rPr>
        <w:t xml:space="preserve">Dees-Erf, </w:t>
      </w:r>
      <w:hyperlink r:id="rId611" w:history="1">
        <w:r>
          <w:rPr>
            <w:rStyle w:val="Hyperlink"/>
          </w:rPr>
          <w:t>C-146/15</w:t>
        </w:r>
      </w:hyperlink>
      <w:r>
        <w:t xml:space="preserve">, Court press release </w:t>
      </w:r>
      <w:hyperlink r:id="rId612" w:history="1">
        <w:r>
          <w:rPr>
            <w:rStyle w:val="Hyperlink"/>
          </w:rPr>
          <w:t>No 31/2016</w:t>
        </w:r>
      </w:hyperlink>
      <w:r>
        <w:t>.</w:t>
      </w:r>
    </w:p>
  </w:footnote>
  <w:footnote w:id="408">
    <w:p>
      <w:pPr>
        <w:pStyle w:val="FootnoteText"/>
      </w:pPr>
      <w:r>
        <w:rPr>
          <w:rStyle w:val="FootnoteReference"/>
        </w:rPr>
        <w:footnoteRef/>
      </w:r>
      <w:r>
        <w:t xml:space="preserve"> </w:t>
      </w:r>
      <w:r>
        <w:tab/>
        <w:t xml:space="preserve">Directive </w:t>
      </w:r>
      <w:hyperlink r:id="rId613" w:history="1">
        <w:r>
          <w:rPr>
            <w:rStyle w:val="Hyperlink"/>
          </w:rPr>
          <w:t>2014/45/EU</w:t>
        </w:r>
      </w:hyperlink>
      <w:r>
        <w:t>.</w:t>
      </w:r>
    </w:p>
  </w:footnote>
  <w:footnote w:id="409">
    <w:p>
      <w:pPr>
        <w:pStyle w:val="FootnoteText"/>
      </w:pPr>
      <w:r>
        <w:rPr>
          <w:rStyle w:val="FootnoteReference"/>
        </w:rPr>
        <w:footnoteRef/>
      </w:r>
      <w:r>
        <w:t xml:space="preserve"> </w:t>
      </w:r>
      <w:r>
        <w:tab/>
        <w:t xml:space="preserve">Directive </w:t>
      </w:r>
      <w:hyperlink r:id="rId614" w:history="1">
        <w:r>
          <w:rPr>
            <w:rStyle w:val="Hyperlink"/>
          </w:rPr>
          <w:t>2014/46/EU</w:t>
        </w:r>
      </w:hyperlink>
      <w:r>
        <w:t>.</w:t>
      </w:r>
    </w:p>
  </w:footnote>
  <w:footnote w:id="410">
    <w:p>
      <w:pPr>
        <w:pStyle w:val="FootnoteText"/>
      </w:pPr>
      <w:r>
        <w:rPr>
          <w:rStyle w:val="FootnoteReference"/>
        </w:rPr>
        <w:footnoteRef/>
      </w:r>
      <w:r>
        <w:t xml:space="preserve"> </w:t>
      </w:r>
      <w:r>
        <w:tab/>
        <w:t xml:space="preserve">Directive </w:t>
      </w:r>
      <w:hyperlink r:id="rId615" w:history="1">
        <w:r>
          <w:rPr>
            <w:rStyle w:val="Hyperlink"/>
          </w:rPr>
          <w:t>2014/47/EU</w:t>
        </w:r>
      </w:hyperlink>
      <w:r>
        <w:t>.</w:t>
      </w:r>
    </w:p>
  </w:footnote>
  <w:footnote w:id="411">
    <w:p>
      <w:pPr>
        <w:pStyle w:val="FootnoteText"/>
      </w:pPr>
      <w:r>
        <w:rPr>
          <w:rStyle w:val="FootnoteReference"/>
        </w:rPr>
        <w:footnoteRef/>
      </w:r>
      <w:r>
        <w:t xml:space="preserve"> </w:t>
      </w:r>
      <w:r>
        <w:tab/>
        <w:t xml:space="preserve">Directive </w:t>
      </w:r>
      <w:hyperlink r:id="rId616" w:history="1">
        <w:r>
          <w:rPr>
            <w:rStyle w:val="Hyperlink"/>
          </w:rPr>
          <w:t>91/440/EEC</w:t>
        </w:r>
      </w:hyperlink>
      <w:r>
        <w:t>.</w:t>
      </w:r>
    </w:p>
  </w:footnote>
  <w:footnote w:id="412">
    <w:p>
      <w:pPr>
        <w:pStyle w:val="FootnoteText"/>
      </w:pPr>
      <w:r>
        <w:rPr>
          <w:rStyle w:val="FootnoteReference"/>
        </w:rPr>
        <w:footnoteRef/>
      </w:r>
      <w:r>
        <w:t xml:space="preserve"> </w:t>
      </w:r>
      <w:r>
        <w:tab/>
        <w:t xml:space="preserve">Directive </w:t>
      </w:r>
      <w:hyperlink r:id="rId617" w:history="1">
        <w:r>
          <w:rPr>
            <w:rStyle w:val="Hyperlink"/>
          </w:rPr>
          <w:t>2014/94/EU</w:t>
        </w:r>
      </w:hyperlink>
      <w:r>
        <w:t>.</w:t>
      </w:r>
    </w:p>
  </w:footnote>
  <w:footnote w:id="413">
    <w:p>
      <w:pPr>
        <w:pStyle w:val="FootnoteText"/>
      </w:pPr>
      <w:r>
        <w:rPr>
          <w:rStyle w:val="FootnoteReference"/>
        </w:rPr>
        <w:footnoteRef/>
      </w:r>
      <w:r>
        <w:t xml:space="preserve"> </w:t>
      </w:r>
      <w:r>
        <w:tab/>
        <w:t xml:space="preserve">Press release </w:t>
      </w:r>
      <w:hyperlink r:id="rId618" w:history="1">
        <w:r>
          <w:rPr>
            <w:rStyle w:val="Hyperlink"/>
          </w:rPr>
          <w:t>IP/14/31</w:t>
        </w:r>
      </w:hyperlink>
      <w:r>
        <w:t>.</w:t>
      </w:r>
    </w:p>
  </w:footnote>
  <w:footnote w:id="414">
    <w:p>
      <w:pPr>
        <w:pStyle w:val="FootnoteText"/>
      </w:pPr>
      <w:r>
        <w:rPr>
          <w:rStyle w:val="FootnoteReference"/>
        </w:rPr>
        <w:footnoteRef/>
      </w:r>
      <w:r>
        <w:t xml:space="preserve"> </w:t>
      </w:r>
      <w:r>
        <w:tab/>
        <w:t xml:space="preserve">Directive </w:t>
      </w:r>
      <w:hyperlink r:id="rId619" w:history="1">
        <w:r>
          <w:rPr>
            <w:rStyle w:val="Hyperlink"/>
          </w:rPr>
          <w:t>2011/16/EU</w:t>
        </w:r>
      </w:hyperlink>
      <w:r>
        <w:t>.</w:t>
      </w:r>
    </w:p>
  </w:footnote>
  <w:footnote w:id="415">
    <w:p>
      <w:pPr>
        <w:pStyle w:val="FootnoteText"/>
      </w:pPr>
      <w:r>
        <w:rPr>
          <w:rStyle w:val="FootnoteReference"/>
        </w:rPr>
        <w:footnoteRef/>
      </w:r>
      <w:r>
        <w:t xml:space="preserve"> </w:t>
      </w:r>
      <w:r>
        <w:tab/>
        <w:t xml:space="preserve">Directive </w:t>
      </w:r>
      <w:hyperlink r:id="rId620" w:history="1">
        <w:r>
          <w:rPr>
            <w:rStyle w:val="Hyperlink"/>
          </w:rPr>
          <w:t>92/83/EEC</w:t>
        </w:r>
      </w:hyperlink>
      <w:r>
        <w:t>.</w:t>
      </w:r>
    </w:p>
  </w:footnote>
  <w:footnote w:id="416">
    <w:p>
      <w:pPr>
        <w:pStyle w:val="FootnoteText"/>
      </w:pPr>
      <w:r>
        <w:rPr>
          <w:rStyle w:val="FootnoteReference"/>
        </w:rPr>
        <w:footnoteRef/>
      </w:r>
      <w:r>
        <w:t xml:space="preserve"> </w:t>
      </w:r>
      <w:r>
        <w:tab/>
        <w:t xml:space="preserve">Commission v Germany </w:t>
      </w:r>
      <w:hyperlink r:id="rId621" w:history="1">
        <w:r>
          <w:rPr>
            <w:rStyle w:val="Hyperlink"/>
          </w:rPr>
          <w:t>C-380/16</w:t>
        </w:r>
      </w:hyperlink>
      <w:r>
        <w:t xml:space="preserve"> </w:t>
      </w:r>
      <w:hyperlink r:id="rId622" w:history="1">
        <w:r>
          <w:rPr>
            <w:rStyle w:val="Hyperlink"/>
          </w:rPr>
          <w:t>IP/16/1461</w:t>
        </w:r>
      </w:hyperlink>
      <w:r>
        <w:rPr>
          <w:rStyle w:val="Hyperlink"/>
        </w:rPr>
        <w:t>.</w:t>
      </w:r>
    </w:p>
  </w:footnote>
  <w:footnote w:id="417">
    <w:p>
      <w:pPr>
        <w:pStyle w:val="FootnoteText"/>
        <w:rPr>
          <w:lang w:val="fr-BE"/>
        </w:rPr>
      </w:pPr>
      <w:r>
        <w:rPr>
          <w:rStyle w:val="FootnoteReference"/>
        </w:rPr>
        <w:footnoteRef/>
      </w:r>
      <w:r>
        <w:rPr>
          <w:lang w:val="fr-BE"/>
        </w:rPr>
        <w:t xml:space="preserve"> </w:t>
      </w:r>
      <w:r>
        <w:rPr>
          <w:lang w:val="fr-BE"/>
        </w:rPr>
        <w:tab/>
        <w:t xml:space="preserve">Directive </w:t>
      </w:r>
      <w:hyperlink r:id="rId623" w:history="1">
        <w:r>
          <w:rPr>
            <w:rStyle w:val="Hyperlink"/>
            <w:lang w:val="fr-BE"/>
          </w:rPr>
          <w:t>2008/118/EU</w:t>
        </w:r>
      </w:hyperlink>
      <w:r>
        <w:rPr>
          <w:lang w:val="fr-BE"/>
        </w:rPr>
        <w:t xml:space="preserve">. </w:t>
      </w:r>
    </w:p>
  </w:footnote>
  <w:footnote w:id="418">
    <w:p>
      <w:pPr>
        <w:pStyle w:val="FootnoteText"/>
        <w:rPr>
          <w:lang w:val="fr-BE"/>
        </w:rPr>
      </w:pPr>
      <w:r>
        <w:rPr>
          <w:rStyle w:val="FootnoteReference"/>
        </w:rPr>
        <w:footnoteRef/>
      </w:r>
      <w:r>
        <w:rPr>
          <w:lang w:val="fr-BE"/>
        </w:rPr>
        <w:t xml:space="preserve"> </w:t>
      </w:r>
      <w:r>
        <w:rPr>
          <w:lang w:val="fr-BE"/>
        </w:rPr>
        <w:tab/>
        <w:t xml:space="preserve">Commission v Greece </w:t>
      </w:r>
      <w:hyperlink r:id="rId624" w:history="1">
        <w:r>
          <w:rPr>
            <w:rStyle w:val="Hyperlink"/>
            <w:lang w:val="fr-BE"/>
          </w:rPr>
          <w:t>C-590/16</w:t>
        </w:r>
      </w:hyperlink>
      <w:r>
        <w:rPr>
          <w:lang w:val="fr-BE"/>
        </w:rPr>
        <w:t>.</w:t>
      </w:r>
    </w:p>
  </w:footnote>
  <w:footnote w:id="419">
    <w:p>
      <w:pPr>
        <w:pStyle w:val="FootnoteText"/>
      </w:pPr>
      <w:r>
        <w:rPr>
          <w:rStyle w:val="FootnoteReference"/>
        </w:rPr>
        <w:footnoteRef/>
      </w:r>
      <w:r>
        <w:t xml:space="preserve"> </w:t>
      </w:r>
      <w:r>
        <w:tab/>
        <w:t xml:space="preserve">Commission v Greece </w:t>
      </w:r>
      <w:hyperlink r:id="rId625" w:history="1">
        <w:r>
          <w:rPr>
            <w:rStyle w:val="Hyperlink"/>
          </w:rPr>
          <w:t>C-98/16</w:t>
        </w:r>
      </w:hyperlink>
      <w:r>
        <w:t xml:space="preserve"> </w:t>
      </w:r>
      <w:hyperlink r:id="rId626" w:history="1">
        <w:r>
          <w:rPr>
            <w:rStyle w:val="Hyperlink"/>
          </w:rPr>
          <w:t>IP/15/4674</w:t>
        </w:r>
      </w:hyperlink>
      <w:r>
        <w:rPr>
          <w:rStyle w:val="Hyperlink"/>
        </w:rPr>
        <w:t>.</w:t>
      </w:r>
    </w:p>
  </w:footnote>
  <w:footnote w:id="420">
    <w:p>
      <w:pPr>
        <w:pStyle w:val="FootnoteText"/>
      </w:pPr>
      <w:r>
        <w:rPr>
          <w:rStyle w:val="FootnoteReference"/>
        </w:rPr>
        <w:footnoteRef/>
      </w:r>
      <w:r>
        <w:t xml:space="preserve"> </w:t>
      </w:r>
      <w:r>
        <w:tab/>
        <w:t xml:space="preserve">Directive </w:t>
      </w:r>
      <w:hyperlink r:id="rId627" w:history="1">
        <w:r>
          <w:rPr>
            <w:rStyle w:val="Hyperlink"/>
          </w:rPr>
          <w:t>2014/86/EU</w:t>
        </w:r>
      </w:hyperlink>
      <w:r>
        <w:t xml:space="preserve"> and Directive </w:t>
      </w:r>
      <w:hyperlink r:id="rId628" w:history="1">
        <w:r>
          <w:rPr>
            <w:rStyle w:val="Hyperlink"/>
          </w:rPr>
          <w:t>2015/121/EU</w:t>
        </w:r>
      </w:hyperlink>
      <w:r>
        <w:t>.</w:t>
      </w:r>
    </w:p>
  </w:footnote>
  <w:footnote w:id="421">
    <w:p>
      <w:pPr>
        <w:pStyle w:val="FootnoteText"/>
      </w:pPr>
      <w:r>
        <w:rPr>
          <w:rStyle w:val="FootnoteReference"/>
        </w:rPr>
        <w:footnoteRef/>
      </w:r>
      <w:r>
        <w:t xml:space="preserve"> </w:t>
      </w:r>
      <w:r>
        <w:tab/>
        <w:t xml:space="preserve">Directive </w:t>
      </w:r>
      <w:hyperlink r:id="rId629" w:history="1">
        <w:r>
          <w:rPr>
            <w:rStyle w:val="Hyperlink"/>
          </w:rPr>
          <w:t>2014/107/EU</w:t>
        </w:r>
      </w:hyperlink>
      <w:r>
        <w:t>.</w:t>
      </w:r>
    </w:p>
  </w:footnote>
  <w:footnote w:id="422">
    <w:p>
      <w:pPr>
        <w:pStyle w:val="FootnoteText"/>
      </w:pPr>
      <w:r>
        <w:rPr>
          <w:rStyle w:val="FootnoteReference"/>
        </w:rPr>
        <w:footnoteRef/>
      </w:r>
      <w:r>
        <w:t xml:space="preserve"> </w:t>
      </w:r>
      <w:r>
        <w:tab/>
        <w:t xml:space="preserve">Directive </w:t>
      </w:r>
      <w:hyperlink r:id="rId630" w:history="1">
        <w:r>
          <w:rPr>
            <w:rStyle w:val="Hyperlink"/>
          </w:rPr>
          <w:t>2011/96/EU</w:t>
        </w:r>
      </w:hyperlink>
      <w:r>
        <w:t>.</w:t>
      </w:r>
    </w:p>
  </w:footnote>
  <w:footnote w:id="423">
    <w:p>
      <w:pPr>
        <w:pStyle w:val="FootnoteText"/>
      </w:pPr>
      <w:r>
        <w:rPr>
          <w:rStyle w:val="FootnoteReference"/>
        </w:rPr>
        <w:footnoteRef/>
      </w:r>
      <w:r>
        <w:t xml:space="preserve"> </w:t>
      </w:r>
      <w:r>
        <w:tab/>
        <w:t>These rulings are almost exclusively handed down on infringement procedures.</w:t>
      </w:r>
    </w:p>
  </w:footnote>
  <w:footnote w:id="424">
    <w:p>
      <w:pPr>
        <w:pStyle w:val="FootnoteText"/>
      </w:pPr>
      <w:r>
        <w:rPr>
          <w:rStyle w:val="FootnoteReference"/>
        </w:rPr>
        <w:footnoteRef/>
      </w:r>
      <w:r>
        <w:t xml:space="preserve"> </w:t>
      </w:r>
      <w:r>
        <w:tab/>
        <w:t xml:space="preserve">Commission v Greece, </w:t>
      </w:r>
      <w:hyperlink r:id="rId631" w:history="1">
        <w:r>
          <w:rPr>
            <w:rStyle w:val="Hyperlink"/>
          </w:rPr>
          <w:t>C-66/15</w:t>
        </w:r>
      </w:hyperlink>
      <w:r>
        <w:rPr>
          <w:rStyle w:val="Hyperlink"/>
        </w:rPr>
        <w:t>.</w:t>
      </w:r>
    </w:p>
  </w:footnote>
  <w:footnote w:id="425">
    <w:p>
      <w:pPr>
        <w:pStyle w:val="FootnoteText"/>
      </w:pPr>
      <w:r>
        <w:rPr>
          <w:rStyle w:val="FootnoteReference"/>
        </w:rPr>
        <w:footnoteRef/>
      </w:r>
      <w:r>
        <w:t xml:space="preserve"> </w:t>
      </w:r>
      <w:r>
        <w:tab/>
        <w:t xml:space="preserve">Commission v Greece, </w:t>
      </w:r>
      <w:hyperlink r:id="rId632" w:history="1">
        <w:r>
          <w:rPr>
            <w:rStyle w:val="Hyperlink"/>
          </w:rPr>
          <w:t>C-244/15</w:t>
        </w:r>
      </w:hyperlink>
      <w:r>
        <w:rPr>
          <w:rStyle w:val="Hyperlink"/>
        </w:rPr>
        <w:t>.</w:t>
      </w:r>
    </w:p>
  </w:footnote>
  <w:footnote w:id="426">
    <w:p>
      <w:pPr>
        <w:pStyle w:val="FootnoteText"/>
      </w:pPr>
      <w:r>
        <w:rPr>
          <w:rStyle w:val="FootnoteReference"/>
        </w:rPr>
        <w:footnoteRef/>
      </w:r>
      <w:r>
        <w:t>.</w:t>
      </w:r>
      <w:r>
        <w:tab/>
        <w:t xml:space="preserve">Commission v Netherlands, </w:t>
      </w:r>
      <w:hyperlink r:id="rId633" w:history="1">
        <w:r>
          <w:rPr>
            <w:rStyle w:val="Hyperlink"/>
          </w:rPr>
          <w:t>C-22/15</w:t>
        </w:r>
      </w:hyperlink>
      <w:r>
        <w:rPr>
          <w:rStyle w:val="Hyperlink"/>
        </w:rPr>
        <w:t>.</w:t>
      </w:r>
    </w:p>
  </w:footnote>
  <w:footnote w:id="427">
    <w:p>
      <w:pPr>
        <w:pStyle w:val="FootnoteText"/>
      </w:pPr>
      <w:r>
        <w:rPr>
          <w:rStyle w:val="FootnoteReference"/>
        </w:rPr>
        <w:footnoteRef/>
      </w:r>
      <w:r>
        <w:t xml:space="preserve"> </w:t>
      </w:r>
      <w:r>
        <w:tab/>
        <w:t xml:space="preserve">Commission v Portugal, </w:t>
      </w:r>
      <w:hyperlink r:id="rId634" w:history="1">
        <w:r>
          <w:rPr>
            <w:rStyle w:val="Hyperlink"/>
          </w:rPr>
          <w:t>C-200/15</w:t>
        </w:r>
      </w:hyperlink>
      <w:r>
        <w:rPr>
          <w:rStyle w:val="Hyperlink"/>
        </w:rPr>
        <w:t>.</w:t>
      </w:r>
    </w:p>
  </w:footnote>
  <w:footnote w:id="428">
    <w:p>
      <w:pPr>
        <w:pStyle w:val="FootnoteText"/>
      </w:pPr>
      <w:r>
        <w:rPr>
          <w:rStyle w:val="FootnoteReference"/>
        </w:rPr>
        <w:footnoteRef/>
      </w:r>
      <w:r>
        <w:t xml:space="preserve"> </w:t>
      </w:r>
      <w:r>
        <w:tab/>
        <w:t xml:space="preserve">Sparkasse Allgäu, </w:t>
      </w:r>
      <w:hyperlink r:id="rId635" w:history="1">
        <w:r>
          <w:rPr>
            <w:rStyle w:val="Hyperlink"/>
          </w:rPr>
          <w:t>C-522/14</w:t>
        </w:r>
      </w:hyperlink>
      <w:r>
        <w:t>.</w:t>
      </w:r>
    </w:p>
  </w:footnote>
  <w:footnote w:id="429">
    <w:p>
      <w:pPr>
        <w:pStyle w:val="FootnoteText"/>
      </w:pPr>
      <w:r>
        <w:rPr>
          <w:rStyle w:val="FootnoteReference"/>
        </w:rPr>
        <w:footnoteRef/>
      </w:r>
      <w:r>
        <w:t xml:space="preserve"> </w:t>
      </w:r>
      <w:r>
        <w:tab/>
        <w:t xml:space="preserve">Radgen, </w:t>
      </w:r>
      <w:hyperlink r:id="rId636" w:history="1">
        <w:r>
          <w:rPr>
            <w:rStyle w:val="Hyperlink"/>
          </w:rPr>
          <w:t>C-478/15</w:t>
        </w:r>
      </w:hyperlink>
      <w:r>
        <w:t>.</w:t>
      </w:r>
    </w:p>
  </w:footnote>
  <w:footnote w:id="430">
    <w:p>
      <w:pPr>
        <w:pStyle w:val="FootnoteText"/>
      </w:pPr>
      <w:r>
        <w:rPr>
          <w:rStyle w:val="FootnoteReference"/>
        </w:rPr>
        <w:footnoteRef/>
      </w:r>
      <w:r>
        <w:t xml:space="preserve"> </w:t>
      </w:r>
      <w:r>
        <w:tab/>
        <w:t xml:space="preserve">Feilen, </w:t>
      </w:r>
      <w:hyperlink r:id="rId637" w:history="1">
        <w:r>
          <w:rPr>
            <w:rStyle w:val="Hyperlink"/>
          </w:rPr>
          <w:t>C-123/15</w:t>
        </w:r>
      </w:hyperlink>
      <w:r>
        <w:t>.</w:t>
      </w:r>
    </w:p>
  </w:footnote>
  <w:footnote w:id="431">
    <w:p>
      <w:pPr>
        <w:pStyle w:val="FootnoteText"/>
      </w:pPr>
      <w:r>
        <w:rPr>
          <w:rStyle w:val="FootnoteReference"/>
        </w:rPr>
        <w:footnoteRef/>
      </w:r>
      <w:r>
        <w:t xml:space="preserve"> </w:t>
      </w:r>
      <w:r>
        <w:tab/>
        <w:t xml:space="preserve">Commission Regulation </w:t>
      </w:r>
      <w:hyperlink r:id="rId638" w:history="1">
        <w:r>
          <w:rPr>
            <w:rStyle w:val="Hyperlink"/>
          </w:rPr>
          <w:t>(EEC) No 2454/93</w:t>
        </w:r>
      </w:hyperlink>
      <w:r>
        <w:t>.</w:t>
      </w:r>
    </w:p>
  </w:footnote>
  <w:footnote w:id="432">
    <w:p>
      <w:pPr>
        <w:pStyle w:val="FootnoteText"/>
      </w:pPr>
      <w:r>
        <w:rPr>
          <w:rStyle w:val="FootnoteReference"/>
        </w:rPr>
        <w:footnoteRef/>
      </w:r>
      <w:r>
        <w:t xml:space="preserve"> </w:t>
      </w:r>
      <w:r>
        <w:tab/>
        <w:t xml:space="preserve">Robert Fuchs, </w:t>
      </w:r>
      <w:hyperlink r:id="rId639" w:history="1">
        <w:r>
          <w:rPr>
            <w:rStyle w:val="Hyperlink"/>
          </w:rPr>
          <w:t>C-80/15</w:t>
        </w:r>
      </w:hyperlink>
      <w:r>
        <w:t>.</w:t>
      </w:r>
    </w:p>
  </w:footnote>
  <w:footnote w:id="433">
    <w:p>
      <w:pPr>
        <w:pStyle w:val="FootnoteText"/>
        <w:rPr>
          <w:lang w:val="it-IT"/>
        </w:rPr>
      </w:pPr>
      <w:r>
        <w:rPr>
          <w:rStyle w:val="FootnoteReference"/>
        </w:rPr>
        <w:footnoteRef/>
      </w:r>
      <w:r>
        <w:rPr>
          <w:lang w:val="it-IT"/>
        </w:rPr>
        <w:t xml:space="preserve"> </w:t>
      </w:r>
      <w:r>
        <w:rPr>
          <w:lang w:val="it-IT"/>
        </w:rPr>
        <w:tab/>
      </w:r>
      <w:r>
        <w:rPr>
          <w:rStyle w:val="affairetitle"/>
          <w:lang w:val="it-IT"/>
        </w:rPr>
        <w:t>Makro autoservicio mayorista v Commission</w:t>
      </w:r>
      <w:r>
        <w:rPr>
          <w:lang w:val="it-IT"/>
        </w:rPr>
        <w:t xml:space="preserve">, </w:t>
      </w:r>
      <w:hyperlink r:id="rId640" w:history="1">
        <w:r>
          <w:rPr>
            <w:rStyle w:val="Hyperlink"/>
            <w:lang w:val="it-IT"/>
          </w:rPr>
          <w:t>C-264/15P</w:t>
        </w:r>
      </w:hyperlink>
      <w:r>
        <w:rPr>
          <w:lang w:val="it-IT"/>
        </w:rPr>
        <w:t xml:space="preserve"> and </w:t>
      </w:r>
      <w:r>
        <w:rPr>
          <w:rStyle w:val="affairetitle"/>
          <w:lang w:val="it-IT"/>
        </w:rPr>
        <w:t xml:space="preserve">Vestel Iberia v Commission, </w:t>
      </w:r>
      <w:hyperlink r:id="rId641" w:history="1">
        <w:r>
          <w:rPr>
            <w:rStyle w:val="Hyperlink"/>
            <w:lang w:val="it-IT"/>
          </w:rPr>
          <w:t>C-265/15P</w:t>
        </w:r>
      </w:hyperlink>
      <w:r>
        <w:rPr>
          <w:lang w:val="it-IT"/>
        </w:rPr>
        <w:t>.</w:t>
      </w:r>
    </w:p>
  </w:footnote>
  <w:footnote w:id="434">
    <w:p>
      <w:pPr>
        <w:pStyle w:val="FootnoteText"/>
        <w:rPr>
          <w:lang w:val="de-DE"/>
        </w:rPr>
      </w:pPr>
      <w:r>
        <w:rPr>
          <w:rStyle w:val="FootnoteReference"/>
        </w:rPr>
        <w:footnoteRef/>
      </w:r>
      <w:r>
        <w:rPr>
          <w:lang w:val="de-DE"/>
        </w:rPr>
        <w:t xml:space="preserve"> </w:t>
      </w:r>
      <w:r>
        <w:rPr>
          <w:lang w:val="de-DE"/>
        </w:rPr>
        <w:tab/>
        <w:t xml:space="preserve">Kohll and Kohll-Schlesser, </w:t>
      </w:r>
      <w:hyperlink r:id="rId642" w:history="1">
        <w:r>
          <w:rPr>
            <w:rStyle w:val="Hyperlink"/>
            <w:lang w:val="de-DE"/>
          </w:rPr>
          <w:t>C-300/15</w:t>
        </w:r>
      </w:hyperlink>
      <w:r>
        <w:rPr>
          <w:lang w:val="de-DE"/>
        </w:rPr>
        <w:t>.</w:t>
      </w:r>
    </w:p>
  </w:footnote>
  <w:footnote w:id="435">
    <w:p>
      <w:pPr>
        <w:pStyle w:val="FootnoteText"/>
        <w:rPr>
          <w:lang w:val="es-ES"/>
        </w:rPr>
      </w:pPr>
      <w:r>
        <w:rPr>
          <w:rStyle w:val="FootnoteReference"/>
        </w:rPr>
        <w:footnoteRef/>
      </w:r>
      <w:r>
        <w:rPr>
          <w:lang w:val="es-ES"/>
        </w:rPr>
        <w:t xml:space="preserve"> </w:t>
      </w:r>
      <w:r>
        <w:rPr>
          <w:lang w:val="es-ES"/>
        </w:rPr>
        <w:tab/>
        <w:t xml:space="preserve">Regulation </w:t>
      </w:r>
      <w:hyperlink r:id="rId643" w:history="1">
        <w:r>
          <w:rPr>
            <w:rStyle w:val="Hyperlink"/>
            <w:lang w:val="es-ES"/>
          </w:rPr>
          <w:t>(EEC) No 2913/92</w:t>
        </w:r>
      </w:hyperlink>
      <w:r>
        <w:rPr>
          <w:lang w:val="es-ES"/>
        </w:rPr>
        <w:t>.</w:t>
      </w:r>
    </w:p>
  </w:footnote>
  <w:footnote w:id="436">
    <w:p>
      <w:pPr>
        <w:pStyle w:val="FootnoteText"/>
        <w:rPr>
          <w:lang w:val="es-ES"/>
        </w:rPr>
      </w:pPr>
      <w:r>
        <w:rPr>
          <w:rStyle w:val="FootnoteReference"/>
        </w:rPr>
        <w:footnoteRef/>
      </w:r>
      <w:r>
        <w:rPr>
          <w:lang w:val="es-ES"/>
        </w:rPr>
        <w:t xml:space="preserve"> </w:t>
      </w:r>
      <w:r>
        <w:rPr>
          <w:lang w:val="es-ES"/>
        </w:rPr>
        <w:tab/>
        <w:t xml:space="preserve">EURO 2004, Case </w:t>
      </w:r>
      <w:hyperlink r:id="rId644" w:history="1">
        <w:r>
          <w:rPr>
            <w:rStyle w:val="Hyperlink"/>
            <w:lang w:val="es-ES"/>
          </w:rPr>
          <w:t>C-291/15</w:t>
        </w:r>
      </w:hyperlink>
      <w:r>
        <w:rPr>
          <w:lang w:val="es-ES"/>
        </w:rPr>
        <w:t>.</w:t>
      </w:r>
    </w:p>
  </w:footnote>
  <w:footnote w:id="437">
    <w:p>
      <w:pPr>
        <w:pStyle w:val="FootnoteText"/>
      </w:pPr>
      <w:r>
        <w:rPr>
          <w:rStyle w:val="FootnoteReference"/>
        </w:rPr>
        <w:footnoteRef/>
      </w:r>
      <w:r>
        <w:t xml:space="preserve"> </w:t>
      </w:r>
      <w:r>
        <w:tab/>
      </w:r>
      <w:r>
        <w:rPr>
          <w:rStyle w:val="affairetitle"/>
        </w:rPr>
        <w:t xml:space="preserve">Brisal and KBC Finance Ireland, </w:t>
      </w:r>
      <w:hyperlink r:id="rId645" w:history="1">
        <w:r>
          <w:rPr>
            <w:rStyle w:val="Hyperlink"/>
          </w:rPr>
          <w:t>C-18/15</w:t>
        </w:r>
      </w:hyperlink>
      <w:r>
        <w:t>.</w:t>
      </w:r>
    </w:p>
  </w:footnote>
  <w:footnote w:id="438">
    <w:p>
      <w:pPr>
        <w:pStyle w:val="FootnoteText"/>
      </w:pPr>
      <w:r>
        <w:rPr>
          <w:rStyle w:val="FootnoteReference"/>
        </w:rPr>
        <w:footnoteRef/>
      </w:r>
      <w:r>
        <w:t xml:space="preserve"> </w:t>
      </w:r>
      <w:r>
        <w:tab/>
        <w:t xml:space="preserve">Câmpean, </w:t>
      </w:r>
      <w:hyperlink r:id="rId646" w:history="1">
        <w:r>
          <w:rPr>
            <w:rStyle w:val="Hyperlink"/>
          </w:rPr>
          <w:t>C-200/14</w:t>
        </w:r>
      </w:hyperlink>
      <w:r>
        <w:t xml:space="preserve"> and Ciup, </w:t>
      </w:r>
      <w:hyperlink r:id="rId647" w:history="1">
        <w:r>
          <w:rPr>
            <w:rStyle w:val="Hyperlink"/>
          </w:rPr>
          <w:t>C-288/14</w:t>
        </w:r>
      </w:hyperlink>
      <w:r>
        <w:t>.</w:t>
      </w:r>
    </w:p>
  </w:footnote>
  <w:footnote w:id="439">
    <w:p>
      <w:pPr>
        <w:pStyle w:val="FootnoteText"/>
      </w:pPr>
      <w:r>
        <w:rPr>
          <w:rStyle w:val="FootnoteReference"/>
        </w:rPr>
        <w:footnoteRef/>
      </w:r>
      <w:r>
        <w:t xml:space="preserve"> </w:t>
      </w:r>
      <w:r>
        <w:tab/>
        <w:t xml:space="preserve">Press release </w:t>
      </w:r>
      <w:hyperlink r:id="rId648" w:history="1">
        <w:r>
          <w:rPr>
            <w:rStyle w:val="Hyperlink"/>
          </w:rPr>
          <w:t>IP/11/1551</w:t>
        </w:r>
      </w:hyperlink>
      <w:r>
        <w:t>.</w:t>
      </w:r>
    </w:p>
  </w:footnote>
  <w:footnote w:id="440">
    <w:p>
      <w:pPr>
        <w:pStyle w:val="FootnoteText"/>
      </w:pPr>
      <w:r>
        <w:rPr>
          <w:rStyle w:val="FootnoteReference"/>
        </w:rPr>
        <w:footnoteRef/>
      </w:r>
      <w:r>
        <w:t xml:space="preserve"> </w:t>
      </w:r>
      <w:r>
        <w:tab/>
        <w:t xml:space="preserve">Press release </w:t>
      </w:r>
      <w:hyperlink r:id="rId649" w:history="1">
        <w:r>
          <w:rPr>
            <w:rStyle w:val="Hyperlink"/>
          </w:rPr>
          <w:t>IP/12/340.</w:t>
        </w:r>
      </w:hyperlink>
    </w:p>
  </w:footnote>
  <w:footnote w:id="441">
    <w:p>
      <w:pPr>
        <w:pStyle w:val="FootnoteText"/>
      </w:pPr>
      <w:r>
        <w:rPr>
          <w:rStyle w:val="FootnoteReference"/>
        </w:rPr>
        <w:footnoteRef/>
      </w:r>
      <w:r>
        <w:t xml:space="preserve"> </w:t>
      </w:r>
      <w:r>
        <w:tab/>
        <w:t xml:space="preserve">Press release </w:t>
      </w:r>
      <w:hyperlink r:id="rId650" w:history="1">
        <w:r>
          <w:rPr>
            <w:rStyle w:val="Hyperlink"/>
          </w:rPr>
          <w:t>IP/14/31</w:t>
        </w:r>
      </w:hyperlink>
      <w:r>
        <w:t>.</w:t>
      </w:r>
    </w:p>
  </w:footnote>
  <w:footnote w:id="442">
    <w:p>
      <w:pPr>
        <w:pStyle w:val="FootnoteText"/>
      </w:pPr>
      <w:r>
        <w:rPr>
          <w:rStyle w:val="FootnoteReference"/>
        </w:rPr>
        <w:footnoteRef/>
      </w:r>
      <w:r>
        <w:t xml:space="preserve"> </w:t>
      </w:r>
      <w:r>
        <w:tab/>
        <w:t xml:space="preserve">Regulation </w:t>
      </w:r>
      <w:hyperlink r:id="rId651" w:history="1">
        <w:r>
          <w:rPr>
            <w:rStyle w:val="Hyperlink"/>
          </w:rPr>
          <w:t>(EU) No 952/2013</w:t>
        </w:r>
      </w:hyperlink>
      <w:r>
        <w:t>.</w:t>
      </w:r>
    </w:p>
  </w:footnote>
  <w:footnote w:id="443">
    <w:p>
      <w:pPr>
        <w:pStyle w:val="FootnoteText"/>
      </w:pPr>
      <w:r>
        <w:rPr>
          <w:rStyle w:val="FootnoteReference"/>
        </w:rPr>
        <w:footnoteRef/>
      </w:r>
      <w:r>
        <w:t xml:space="preserve"> </w:t>
      </w:r>
      <w:r>
        <w:tab/>
        <w:t xml:space="preserve">Regulation </w:t>
      </w:r>
      <w:hyperlink r:id="rId652" w:history="1">
        <w:r>
          <w:rPr>
            <w:rStyle w:val="Hyperlink"/>
          </w:rPr>
          <w:t>(EC) No 1889/2005</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color w:val="548DD4" w:themeColor="text2" w:themeTint="99"/>
        <w:lang w:val="en-US"/>
      </w:rPr>
      <mc:AlternateContent>
        <mc:Choice Requires="wps">
          <w:drawing>
            <wp:anchor distT="0" distB="0" distL="114300" distR="114300" simplePos="0" relativeHeight="251658242"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73" name="Rectangle 73"/>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394.1pt;margin-top:23.85pt;width:130.7pt;height:17.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41"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74" name="Rectangle 74"/>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70.9pt;margin-top:23.85pt;width:132.6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Communications networks, content and technology</w:t>
                          </w:r>
                        </w:p>
                        <w:p>
                          <w:pPr>
                            <w:spacing w:after="0"/>
                            <w:jc w:val="center"/>
                            <w:rPr>
                              <w:rFonts w:cs="Arial"/>
                              <w:b/>
                              <w:color w:val="A6A6A6" w:themeColor="background1" w:themeShade="A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1.1pt;margin-top:19.9pt;width:431.0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EBHnvA8C&#10;AAD6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Communications networks, content and technology</w:t>
                    </w:r>
                  </w:p>
                  <w:p>
                    <w:pPr>
                      <w:spacing w:after="0"/>
                      <w:jc w:val="center"/>
                      <w:rPr>
                        <w:rFonts w:cs="Arial"/>
                        <w:b/>
                        <w:color w:val="A6A6A6" w:themeColor="background1" w:themeShade="A6"/>
                        <w:szCs w:val="22"/>
                      </w:rPr>
                    </w:pPr>
                  </w:p>
                </w:txbxContent>
              </v:textbox>
            </v:shape>
          </w:pict>
        </mc:Fallback>
      </mc:AlternateConten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311"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76" name="Rectangle 76"/>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 o:spid="_x0000_s1026" style="position:absolute;margin-left:397.1pt;margin-top:23.85pt;width:127.1pt;height:17.25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31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78" name="Rectangle 78"/>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70.9pt;margin-top:23.85pt;width:133.2pt;height:17.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31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70.9pt;margin-top:49.65pt;width:595.25pt;height:3.6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xRGvnwwC&#10;AAD5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309"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 xml:space="preserve">Monitoring the application of European Union law </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0.9pt;margin-top:17.5pt;width:595.05pt;height:32.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" filled="f" stroked="f">
              <v:textbox>
                <w:txbxContent>
                  <w:p>
                    <w:pPr>
                      <w:tabs>
                        <w:tab w:val="left" w:pos="4111"/>
                      </w:tabs>
                      <w:spacing w:after="0"/>
                      <w:jc w:val="center"/>
                      <w:rPr>
                        <w:rFonts w:cs="Arial"/>
                        <w:color w:val="004194"/>
                        <w:sz w:val="20"/>
                      </w:rPr>
                    </w:pPr>
                    <w:r>
                      <w:rPr>
                        <w:rFonts w:cs="Arial"/>
                        <w:color w:val="004194"/>
                        <w:sz w:val="20"/>
                      </w:rPr>
                      <w:t xml:space="preserve">Monitoring the application of European Union law </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48"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62" name="Rectangle 62"/>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 o:spid="_x0000_s1026" style="position:absolute;margin-left:394.1pt;margin-top:23.85pt;width:130.7pt;height:17.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47"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63" name="Rectangle 63"/>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70.9pt;margin-top:23.85pt;width:132.6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46"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Employment, social affairs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1.1pt;margin-top:19.9pt;width:431.05pt;height:6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lkFbwA8C&#10;AAD7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Employment, social affairs and inclusion</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45"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89" name="Rectangle 289"/>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9" o:spid="_x0000_s1026" style="position:absolute;margin-left:397.1pt;margin-top:23.85pt;width:127.1pt;height:17.2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44"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90" name="Rectangle 290"/>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70.9pt;margin-top:23.85pt;width:133.2pt;height:1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49"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FuTy3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43"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9pt;margin-top:17.5pt;width:595.05pt;height:3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MjF/V&#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55"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00" name="Rectangle 100"/>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26" style="position:absolute;margin-left:394.1pt;margin-top:23.85pt;width:130.7pt;height:17.2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5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01" name="Rectangle 101"/>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70.9pt;margin-top:23.85pt;width:132.6pt;height:1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253"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1.1pt;margin-top:19.9pt;width:431.05pt;height:60.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Energy</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52"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03" name="Rectangle 103"/>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 o:spid="_x0000_s1026" style="position:absolute;margin-left:397.1pt;margin-top:23.85pt;width:127.1pt;height:17.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51"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04" name="Rectangle 104"/>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70.9pt;margin-top:23.85pt;width:133.2pt;height:17.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5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0.9pt;margin-top:49.65pt;width:595.25pt;height: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pkld3&#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50"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0.9pt;margin-top:17.5pt;width:595.05pt;height:3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EQsU8&#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62"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21" name="Rectangle 121"/>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1" o:spid="_x0000_s1026" style="position:absolute;margin-left:394.1pt;margin-top:23.85pt;width:130.7pt;height:17.2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61"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22" name="Rectangle 122"/>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70.9pt;margin-top:23.85pt;width:132.6pt;height:1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" fillcolor="#004194" stroked="f" strokeweight="2pt"/>
          </w:pict>
        </mc:Fallback>
      </mc:AlternateContent>
    </w:r>
    <w:r>
      <w:rPr>
        <w:noProof/>
        <w:lang w:val="en-US"/>
      </w:rPr>
      <mc:AlternateContent>
        <mc:Choice Requires="wps">
          <w:drawing>
            <wp:anchor distT="0" distB="0" distL="114300" distR="114300" simplePos="0" relativeHeight="251658260"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1.1pt;margin-top:19.9pt;width:431.05pt;height:60.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Environment</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59"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25" name="Rectangle 125"/>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5" o:spid="_x0000_s1026" style="position:absolute;margin-left:397.1pt;margin-top:23.85pt;width:127.1pt;height:17.2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" fillcolor="#004194" stroked="f" strokeweight="2pt"/>
          </w:pict>
        </mc:Fallback>
      </mc:AlternateContent>
    </w:r>
    <w:r>
      <w:rPr>
        <w:noProof/>
        <w:lang w:val="en-US"/>
      </w:rPr>
      <mc:AlternateContent>
        <mc:Choice Requires="wps">
          <w:drawing>
            <wp:anchor distT="0" distB="0" distL="114300" distR="114300" simplePos="0" relativeHeight="251658258"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26" name="Rectangle 126"/>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70.9pt;margin-top:23.85pt;width:133.2pt;height:1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" fillcolor="#004194" stroked="f" strokeweight="2pt"/>
          </w:pict>
        </mc:Fallback>
      </mc:AlternateContent>
    </w:r>
    <w:r>
      <w:rPr>
        <w:noProof/>
        <w:lang w:val="en-US"/>
      </w:rPr>
      <mc:AlternateContent>
        <mc:Choice Requires="wps">
          <w:drawing>
            <wp:anchor distT="0" distB="0" distL="114300" distR="114300" simplePos="0" relativeHeight="251658263"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HBAnbg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57"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9pt;margin-top:17.5pt;width:595.05pt;height:3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YIpFu&#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69"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74" name="Rectangle 174"/>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4" o:spid="_x0000_s1026" style="position:absolute;margin-left:394.1pt;margin-top:23.85pt;width:130.7pt;height:17.2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68"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75" name="Rectangle 175"/>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70.9pt;margin-top:23.85pt;width:132.6pt;height:17.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67"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 xml:space="preserve">Financial stability, financial services </w:t>
                          </w:r>
                          <w:r>
                            <w:rPr>
                              <w:color w:val="A6A6A6" w:themeColor="background1" w:themeShade="A6"/>
                              <w:sz w:val="20"/>
                            </w:rPr>
                            <w:br/>
                            <w:t>and capital markets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11.1pt;margin-top:19.9pt;width:431.05pt;height:60.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 xml:space="preserve">Financial stability, financial services </w:t>
                    </w:r>
                    <w:r>
                      <w:rPr>
                        <w:color w:val="A6A6A6" w:themeColor="background1" w:themeShade="A6"/>
                        <w:sz w:val="20"/>
                      </w:rPr>
                      <w:br/>
                      <w:t>and capital markets union</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6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77" name="Rectangle 177"/>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7" o:spid="_x0000_s1026" style="position:absolute;margin-left:397.1pt;margin-top:23.85pt;width:127.1pt;height:17.2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65"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78" name="Rectangle 178"/>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70.9pt;margin-top:23.85pt;width:133.2pt;height:17.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7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70.9pt;margin-top:49.65pt;width:595.25pt;height:3.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D29+c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6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0.9pt;margin-top:17.5pt;width:595.05pt;height:32.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XrEWr&#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76"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341" name="Rectangle 341"/>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1" o:spid="_x0000_s1026" style="position:absolute;margin-left:394.1pt;margin-top:23.85pt;width:130.7pt;height:17.2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75"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342" name="Rectangle 342"/>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70.9pt;margin-top:23.85pt;width:132.6pt;height:17.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74"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Health and food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1.1pt;margin-top:19.9pt;width:431.05pt;height:60.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Health and food safety</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73"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344" name="Rectangle 344"/>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4" o:spid="_x0000_s1026" style="position:absolute;margin-left:397.1pt;margin-top:23.85pt;width:127.1pt;height:17.2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" fillcolor="#004194" stroked="f" strokeweight="2pt"/>
          </w:pict>
        </mc:Fallback>
      </mc:AlternateContent>
    </w:r>
    <w:r>
      <w:rPr>
        <w:noProof/>
        <w:lang w:val="en-US"/>
      </w:rPr>
      <mc:AlternateContent>
        <mc:Choice Requires="wps">
          <w:drawing>
            <wp:anchor distT="0" distB="0" distL="114300" distR="114300" simplePos="0" relativeHeight="251658272"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345" name="Rectangle 345"/>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70.9pt;margin-top:23.85pt;width:133.2pt;height:17.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" fillcolor="#004194" stroked="f" strokeweight="2pt"/>
          </w:pict>
        </mc:Fallback>
      </mc:AlternateContent>
    </w:r>
    <w:r>
      <w:rPr>
        <w:noProof/>
        <w:lang w:val="en-US"/>
      </w:rPr>
      <mc:AlternateContent>
        <mc:Choice Requires="wps">
          <w:drawing>
            <wp:anchor distT="0" distB="0" distL="114300" distR="114300" simplePos="0" relativeHeight="251658277"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sxKDj&#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71"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92EQIAAPw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LfC&#10;33Y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300"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6" name="Rectangle 46"/>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394.1pt;margin-top:23.85pt;width:130.7pt;height:17.2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99"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7" name="Rectangle 47"/>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70.9pt;margin-top:23.85pt;width:132.6pt;height:17.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98"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Internal market, industry, entrepreneurship and SMES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1.1pt;margin-top:19.9pt;width:431.05pt;height:60.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 w:val="20"/>
                        <w:szCs w:val="22"/>
                      </w:rPr>
                    </w:pPr>
                    <w:r>
                      <w:rPr>
                        <w:color w:val="A6A6A6" w:themeColor="background1" w:themeShade="A6"/>
                        <w:sz w:val="20"/>
                      </w:rPr>
                      <w:t>Internal market, industry, entrepreneurship and SMES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97"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9" name="Rectangle 49"/>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26" style="position:absolute;margin-left:397.1pt;margin-top:23.85pt;width:127.1pt;height:17.2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296"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50" name="Rectangle 50"/>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70.9pt;margin-top:23.85pt;width:133.2pt;height:17.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01"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70.9pt;margin-top:49.65pt;width:595.25pt;height:3.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C2Z9JE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95"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0.9pt;margin-top:17.5pt;width:595.05pt;height:32.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ND2n&#10;mB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283"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07" name="Rectangle 407"/>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7" o:spid="_x0000_s1026" style="position:absolute;margin-left:394.1pt;margin-top:23.85pt;width:130.7pt;height:17.2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82"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08" name="Rectangle 408"/>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026" style="position:absolute;margin-left:-70.9pt;margin-top:23.85pt;width:132.6pt;height:17.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81"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Justice and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11.1pt;margin-top:19.9pt;width:431.05pt;height:60.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JnEQIAAPwDAAAOAAAAZHJzL2Uyb0RvYy54bWysU9uO2yAQfa/Uf0C8N3a8TrO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Justice and consumers</w:t>
                    </w:r>
                  </w:p>
                </w:txbxContent>
              </v:textbox>
            </v:shape>
          </w:pict>
        </mc:Fallback>
      </mc:AlternateContent>
    </w:r>
  </w:p>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280"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10" name="Rectangle 410"/>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0" o:spid="_x0000_s1026" style="position:absolute;margin-left:397.1pt;margin-top:23.85pt;width:127.1pt;height:17.2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279"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411" name="Rectangle 411"/>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70.9pt;margin-top:23.85pt;width:133.2pt;height:17.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8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au7F&#10;mg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7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9pt;margin-top:17.5pt;width:595.05pt;height:32.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8nEQIAAPwDAAAOAAAAZHJzL2Uyb0RvYy54bWysU9uO2yAQfa/Uf0C8N7402SR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C3R&#10;7yc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color w:val="548DD4" w:themeColor="text2" w:themeTint="99"/>
        <w:lang w:val="en-US"/>
      </w:rPr>
      <mc:AlternateContent>
        <mc:Choice Requires="wps">
          <w:drawing>
            <wp:anchor distT="0" distB="0" distL="114300" distR="114300" simplePos="0" relativeHeight="251658291"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35" name="Rectangle 435"/>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5" o:spid="_x0000_s1026" style="position:absolute;margin-left:394.1pt;margin-top:23.85pt;width:130.7pt;height:17.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90"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36" name="Rectangle 436"/>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70.9pt;margin-top:23.85pt;width:132.6pt;height:17.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89"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Maritime affairs and fisheries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1.1pt;margin-top:19.9pt;width:431.05pt;height:60.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113xaA8C&#10;AAD8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Maritime affairs and fisheries</w:t>
                    </w:r>
                  </w:p>
                </w:txbxContent>
              </v:textbox>
            </v:shape>
          </w:pict>
        </mc:Fallback>
      </mc:AlternateContent>
    </w:r>
  </w:p>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287"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38" name="Rectangle 438"/>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8" o:spid="_x0000_s1026" style="position:absolute;margin-left:397.1pt;margin-top:23.85pt;width:127.1pt;height:17.2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58286"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439" name="Rectangle 439"/>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70.9pt;margin-top:23.85pt;width:133.2pt;height:17.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8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70.9pt;margin-top:49.65pt;width:595.25pt;height:3.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la2nI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285"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0.9pt;margin-top:17.5pt;width:595.05pt;height:32.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KsSr&#10;e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color w:val="548DD4" w:themeColor="text2" w:themeTint="99"/>
        <w:lang w:val="en-US"/>
      </w:rPr>
      <mc:AlternateContent>
        <mc:Choice Requires="wps">
          <w:drawing>
            <wp:anchor distT="0" distB="0" distL="114300" distR="114300" simplePos="0" relativeHeight="251658294"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44" name="Rectangle 444"/>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4" o:spid="_x0000_s1026" style="position:absolute;margin-left:394.1pt;margin-top:23.85pt;width:130.7pt;height:17.2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293"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45" name="Rectangle 445"/>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70.9pt;margin-top:23.85pt;width:132.6pt;height:17.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292"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szCs w:val="22"/>
                            </w:rPr>
                          </w:pPr>
                          <w:r>
                            <w:rPr>
                              <w:color w:val="A6A6A6" w:themeColor="background1" w:themeShade="A6"/>
                            </w:rPr>
                            <w:t>Migration and home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11.1pt;margin-top:19.9pt;width:431.05pt;height:60.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szCs w:val="22"/>
                      </w:rPr>
                    </w:pPr>
                    <w:r>
                      <w:rPr>
                        <w:color w:val="A6A6A6" w:themeColor="background1" w:themeShade="A6"/>
                      </w:rPr>
                      <w:t>Migration and home affairs</w:t>
                    </w:r>
                  </w:p>
                </w:txbxContent>
              </v:textbox>
            </v:shape>
          </w:pict>
        </mc:Fallback>
      </mc:AlternateConten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315"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81" name="Rectangle 81"/>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26" style="position:absolute;margin-left:397.1pt;margin-top:23.85pt;width:127.1pt;height:17.25pt;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14"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82" name="Rectangle 82"/>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70.9pt;margin-top:23.85pt;width:133.2pt;height:17.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1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4Kd8f&#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313"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rcuj&#10;+B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color w:val="548DD4" w:themeColor="text2" w:themeTint="99"/>
        <w:lang w:val="en-US"/>
      </w:rPr>
      <mc:AlternateContent>
        <mc:Choice Requires="wps">
          <w:drawing>
            <wp:anchor distT="0" distB="0" distL="114300" distR="114300" simplePos="0" relativeHeight="251658333"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6" name="Rectangle 16"/>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394.1pt;margin-top:23.85pt;width:130.7pt;height:17.25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332"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8" name="Rectangle 18"/>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70.9pt;margin-top:23.85pt;width:132.6pt;height:17.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" fillcolor="#004194" stroked="f" strokeweight="2pt"/>
          </w:pict>
        </mc:Fallback>
      </mc:AlternateContent>
    </w:r>
    <w:r>
      <w:rPr>
        <w:noProof/>
        <w:lang w:val="en-US"/>
      </w:rPr>
      <mc:AlternateContent>
        <mc:Choice Requires="wps">
          <w:drawing>
            <wp:anchor distT="0" distB="0" distL="114300" distR="114300" simplePos="0" relativeHeight="251658331"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Mobility and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11.1pt;margin-top:19.9pt;width:431.05pt;height:60.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Mobility and transport</w:t>
                    </w:r>
                  </w:p>
                </w:txbxContent>
              </v:textbox>
            </v:shape>
          </w:pict>
        </mc:Fallback>
      </mc:AlternateConten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33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0" name="Rectangle 20"/>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397.1pt;margin-top:23.85pt;width:127.1pt;height:17.25pt;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35"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1" name="Rectangle 21"/>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70.9pt;margin-top:23.85pt;width:133.2pt;height:17.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37"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70.9pt;margin-top:49.65pt;width:595.25pt;height:3.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fkgsC&#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33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0.9pt;margin-top:17.5pt;width:595.05pt;height:32.2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njbXS&#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color w:val="548DD4" w:themeColor="text2" w:themeTint="99"/>
        <w:lang w:val="en-US"/>
      </w:rPr>
      <mc:AlternateContent>
        <mc:Choice Requires="wps">
          <w:drawing>
            <wp:anchor distT="0" distB="0" distL="114300" distR="114300" simplePos="0" relativeHeight="251658340"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9" name="Rectangle 9"/>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394.1pt;margin-top:23.85pt;width:130.7pt;height:17.25pt;z-index:25165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339"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0" name="Rectangle 10"/>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70.9pt;margin-top:23.85pt;width:132.6pt;height:17.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" fillcolor="#004194" stroked="f" strokeweight="2pt"/>
          </w:pict>
        </mc:Fallback>
      </mc:AlternateContent>
    </w:r>
    <w:r>
      <w:rPr>
        <w:noProof/>
        <w:lang w:val="en-US"/>
      </w:rPr>
      <mc:AlternateContent>
        <mc:Choice Requires="wps">
          <w:drawing>
            <wp:anchor distT="0" distB="0" distL="114300" distR="114300" simplePos="0" relativeHeight="251658338"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Taxation and customs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11.1pt;margin-top:19.9pt;width:431.05pt;height:60.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f6pzdw8C&#10;AAD7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p>
                    <w:pPr>
                      <w:spacing w:after="0"/>
                      <w:jc w:val="center"/>
                      <w:rPr>
                        <w:rFonts w:cs="Arial"/>
                        <w:b/>
                        <w:color w:val="A6A6A6" w:themeColor="background1" w:themeShade="A6"/>
                      </w:rPr>
                    </w:pPr>
                    <w:r>
                      <w:rPr>
                        <w:color w:val="A6A6A6" w:themeColor="background1" w:themeShade="A6"/>
                      </w:rPr>
                      <w:t>Taxation and customs union</w:t>
                    </w:r>
                  </w:p>
                </w:txbxContent>
              </v:textbox>
            </v:shape>
          </w:pict>
        </mc:Fallback>
      </mc:AlternateConten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6243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2" name="Rectangle 12"/>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397.1pt;margin-top:23.85pt;width:127.1pt;height:17.25pt;z-index:2516624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61412"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3" name="Rectangle 13"/>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70.9pt;margin-top:23.85pt;width:133.2pt;height:17.25pt;z-index:251661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6346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663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pDA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CnW4q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6038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9pt;margin-top:17.5pt;width:595.05pt;height:32.2pt;z-index:251660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Gh/QtEO&#10;AgAA+wMAAA4AAAAAAAAAAAAAAAAALgIAAGRycy9lMm9Eb2MueG1sUEsBAi0AFAAGAAgAAAAhAOyR&#10;VsvfAAAACwEAAA8AAAAAAAAAAAAAAAAAaAQAAGRycy9kb3ducmV2LnhtbFBLBQYAAAAABAAEAPMA&#10;AAB0BQ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 - 2016 Annual Report</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327"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5" name="Rectangle 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9.1pt;margin-top:23.65pt;width:144.5pt;height:17.25pt;z-index:251658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2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 name="Rectangle 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0.9pt;margin-top:23.65pt;width:142pt;height:17.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" fillcolor="#004194" stroked="f" strokeweight="2pt"/>
          </w:pict>
        </mc:Fallback>
      </mc:AlternateContent>
    </w:r>
  </w:p>
  <w:p>
    <w:pPr>
      <w:pStyle w:val="Header"/>
    </w:pPr>
    <w:r>
      <w:rPr>
        <w:noProof/>
        <w:lang w:val="en-US"/>
      </w:rPr>
      <mc:AlternateContent>
        <mc:Choice Requires="wps">
          <w:drawing>
            <wp:anchor distT="0" distB="0" distL="114300" distR="114300" simplePos="0" relativeHeight="251658325" behindDoc="0" locked="0" layoutInCell="1" allowOverlap="1">
              <wp:simplePos x="0" y="0"/>
              <wp:positionH relativeFrom="column">
                <wp:posOffset>138430</wp:posOffset>
              </wp:positionH>
              <wp:positionV relativeFrom="paragraph">
                <wp:posOffset>73660</wp:posOffset>
              </wp:positionV>
              <wp:extent cx="5473700" cy="5607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10.9pt;margin-top:5.8pt;width:431pt;height:4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" filled="f" stroked="f">
              <v:textbo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324"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8" name="Rectangle 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379.1pt;margin-top:23.65pt;width:144.5pt;height:17.25pt;z-index:251658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" fillcolor="#004194" stroked="f" strokeweight="2pt"/>
          </w:pict>
        </mc:Fallback>
      </mc:AlternateContent>
    </w:r>
    <w:r>
      <w:rPr>
        <w:noProof/>
        <w:lang w:val="en-US"/>
      </w:rPr>
      <mc:AlternateContent>
        <mc:Choice Requires="wps">
          <w:drawing>
            <wp:anchor distT="0" distB="0" distL="114300" distR="114300" simplePos="0" relativeHeight="251658323"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27" name="Rectangle 2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70.9pt;margin-top:23.65pt;width:142pt;height:17.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&#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Cf/8c1WgIAALMEAAAOAAAAAAAAAAAAAAAAAC4CAABkcnMvZTJvRG9jLnht&#10;bFBLAQItABQABgAIAAAAIQCfc6U23wAAAAoBAAAPAAAAAAAAAAAAAAAAALQEAABkcnMvZG93bnJl&#10;di54bWxQSwUGAAAAAAQABADzAAAAwAUAAAAA&#10;" fillcolor="#004194" stroked="f" strokeweight="2pt"/>
          </w:pict>
        </mc:Fallback>
      </mc:AlternateContent>
    </w:r>
    <w:r>
      <w:rPr>
        <w:noProof/>
        <w:lang w:val="en-US"/>
      </w:rPr>
      <mc:AlternateContent>
        <mc:Choice Requires="wps">
          <w:drawing>
            <wp:anchor distT="0" distB="0" distL="114300" distR="114300" simplePos="0" relativeHeight="251658322" behindDoc="0" locked="0" layoutInCell="1" allowOverlap="1">
              <wp:simplePos x="0" y="0"/>
              <wp:positionH relativeFrom="column">
                <wp:posOffset>140970</wp:posOffset>
              </wp:positionH>
              <wp:positionV relativeFrom="paragraph">
                <wp:posOffset>249556</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11.1pt;margin-top:19.65pt;width:431pt;height:3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" filled="f" stroked="f">
              <v:textbo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val="en-US"/>
      </w:rPr>
      <mc:AlternateContent>
        <mc:Choice Requires="wps">
          <w:drawing>
            <wp:anchor distT="0" distB="0" distL="114300" distR="114300" simplePos="0" relativeHeight="251658321"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spacing w:after="0"/>
                            <w:jc w:val="center"/>
                            <w:rPr>
                              <w:rFonts w:cs="Arial"/>
                              <w:b/>
                              <w:color w:val="A6A6A6" w:themeColor="background1" w:themeShade="A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19.9pt;width:431.05pt;height:60.7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bdZPMwwCAADz&#10;AwAADgAAAAAAAAAAAAAAAAAuAgAAZHJzL2Uyb0RvYy54bWxQSwECLQAUAAYACAAAACEAxJLdrN0A&#10;AAAJAQAADwAAAAAAAAAAAAAAAABmBAAAZHJzL2Rvd25yZXYueG1sUEsFBgAAAAAEAAQA8wAAAHAF&#10;AAAAAA==&#10;" filled="f" stroked="f">
              <v:textbox>
                <w:txbxContent>
                  <w:p>
                    <w:pPr>
                      <w:spacing w:after="0"/>
                      <w:jc w:val="center"/>
                      <w:rPr>
                        <w:rFonts w:cs="Arial"/>
                        <w:b/>
                        <w:color w:val="A6A6A6" w:themeColor="background1" w:themeShade="A6"/>
                        <w:szCs w:val="22"/>
                      </w:rPr>
                    </w:pP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67556"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32" name="Rectangle 32"/>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379.1pt;margin-top:23.65pt;width:144.5pt;height:17.25pt;z-index:251667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" fillcolor="#004194" stroked="f" strokeweight="2pt"/>
          </w:pict>
        </mc:Fallback>
      </mc:AlternateContent>
    </w:r>
    <w:r>
      <w:rPr>
        <w:noProof/>
        <w:lang w:val="en-US"/>
      </w:rPr>
      <mc:AlternateContent>
        <mc:Choice Requires="wps">
          <w:drawing>
            <wp:anchor distT="0" distB="0" distL="114300" distR="114300" simplePos="0" relativeHeight="25166653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33" name="Rectangle 3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70.9pt;margin-top:23.65pt;width:142pt;height:17.25pt;z-index:251666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AH8CI3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noProof/>
        <w:lang w:val="en-US"/>
      </w:rPr>
      <mc:AlternateContent>
        <mc:Choice Requires="wps">
          <w:drawing>
            <wp:anchor distT="0" distB="0" distL="114300" distR="114300" simplePos="0" relativeHeight="251665508" behindDoc="0" locked="0" layoutInCell="1" allowOverlap="1">
              <wp:simplePos x="0" y="0"/>
              <wp:positionH relativeFrom="column">
                <wp:posOffset>138430</wp:posOffset>
              </wp:positionH>
              <wp:positionV relativeFrom="paragraph">
                <wp:posOffset>73660</wp:posOffset>
              </wp:positionV>
              <wp:extent cx="5473700" cy="56070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10.9pt;margin-top:5.8pt;width:431pt;height:44.15pt;z-index:251665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" filled="f" stroked="f">
              <v:textbo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US"/>
      </w:rPr>
      <mc:AlternateContent>
        <mc:Choice Requires="wps">
          <w:drawing>
            <wp:anchor distT="0" distB="0" distL="114300" distR="114300" simplePos="0" relativeHeight="251658328" behindDoc="0" locked="0" layoutInCell="1" allowOverlap="1">
              <wp:simplePos x="0" y="0"/>
              <wp:positionH relativeFrom="column">
                <wp:posOffset>144145</wp:posOffset>
              </wp:positionH>
              <wp:positionV relativeFrom="paragraph">
                <wp:posOffset>251460</wp:posOffset>
              </wp:positionV>
              <wp:extent cx="5473700" cy="5791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79120"/>
                      </a:xfrm>
                      <a:prstGeom prst="rect">
                        <a:avLst/>
                      </a:prstGeom>
                      <a:noFill/>
                      <a:ln w="9525">
                        <a:noFill/>
                        <a:miter lim="800000"/>
                        <a:headEnd/>
                        <a:tailEnd/>
                      </a:ln>
                    </wps:spPr>
                    <wps:txb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11.35pt;margin-top:19.8pt;width:431pt;height:45.6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" filled="f" stroked="f">
              <v:textbox>
                <w:txbxContent>
                  <w:p>
                    <w:pPr>
                      <w:spacing w:after="0"/>
                      <w:jc w:val="center"/>
                      <w:rPr>
                        <w:rFonts w:cs="Arial"/>
                        <w:b/>
                        <w:color w:val="004194"/>
                        <w:szCs w:val="22"/>
                      </w:rPr>
                    </w:pPr>
                    <w:r>
                      <w:rPr>
                        <w:rFonts w:cs="Arial"/>
                        <w:b/>
                        <w:color w:val="004194"/>
                        <w:szCs w:val="22"/>
                      </w:rPr>
                      <w:t>Monitoring the application of European Union law</w:t>
                    </w:r>
                  </w:p>
                  <w:p>
                    <w:pPr>
                      <w:spacing w:after="0"/>
                      <w:jc w:val="center"/>
                      <w:rPr>
                        <w:rFonts w:cs="Arial"/>
                        <w:b/>
                        <w:color w:val="004194"/>
                        <w:szCs w:val="22"/>
                      </w:rPr>
                    </w:pPr>
                    <w:r>
                      <w:rPr>
                        <w:rFonts w:cs="Arial"/>
                        <w:b/>
                        <w:color w:val="004194"/>
                        <w:szCs w:val="22"/>
                      </w:rPr>
                      <w:t>2016 Annual Report</w:t>
                    </w:r>
                  </w:p>
                  <w:p>
                    <w:pPr>
                      <w:spacing w:after="0"/>
                      <w:jc w:val="center"/>
                      <w:rPr>
                        <w:rFonts w:cs="Arial"/>
                        <w:b/>
                        <w:caps/>
                        <w:color w:val="A6A6A6" w:themeColor="background1" w:themeShade="A6"/>
                        <w:szCs w:val="22"/>
                      </w:rPr>
                    </w:pPr>
                    <w:r>
                      <w:rPr>
                        <w:caps/>
                        <w:color w:val="A6A6A6" w:themeColor="background1" w:themeShade="A6"/>
                      </w:rPr>
                      <w:t>Methodology and expLanations</w:t>
                    </w:r>
                  </w:p>
                </w:txbxContent>
              </v:textbox>
            </v:shape>
          </w:pict>
        </mc:Fallback>
      </mc:AlternateContent>
    </w:r>
    <w:r>
      <w:rPr>
        <w:noProof/>
        <w:lang w:val="en-US"/>
      </w:rPr>
      <mc:AlternateContent>
        <mc:Choice Requires="wps">
          <w:drawing>
            <wp:anchor distT="0" distB="0" distL="114300" distR="114300" simplePos="0" relativeHeight="251658330"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24" name="Rectangle 2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379.1pt;margin-top:23.65pt;width:144.5pt;height:17.25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" fillcolor="#004194" stroked="f" strokeweight="2pt"/>
          </w:pict>
        </mc:Fallback>
      </mc:AlternateContent>
    </w:r>
    <w:r>
      <w:rPr>
        <w:noProof/>
        <w:lang w:val="en-US"/>
      </w:rPr>
      <mc:AlternateContent>
        <mc:Choice Requires="wps">
          <w:drawing>
            <wp:anchor distT="0" distB="0" distL="114300" distR="114300" simplePos="0" relativeHeight="251658329"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26" name="Rectangle 2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70.9pt;margin-top:23.65pt;width:142pt;height:17.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&#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CIvUNjWgIAALMEAAAOAAAAAAAAAAAAAAAAAC4CAABkcnMvZTJvRG9jLnht&#10;bFBLAQItABQABgAIAAAAIQCfc6U23wAAAAoBAAAPAAAAAAAAAAAAAAAAALQEAABkcnMvZG93bnJl&#10;di54bWxQSwUGAAAAAAQABADzAAAAwAUAAAAA&#10;" fillcolor="#004194" stroked="f" strokeweight="2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319"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 name="Rectangle 1"/>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397.1pt;margin-top:23.85pt;width:127.1pt;height:17.2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" fillcolor="#004194" stroked="f" strokeweight="2pt"/>
          </w:pict>
        </mc:Fallback>
      </mc:AlternateContent>
    </w:r>
    <w:r>
      <w:rPr>
        <w:noProof/>
        <w:lang w:val="en-US"/>
      </w:rPr>
      <mc:AlternateContent>
        <mc:Choice Requires="wps">
          <w:drawing>
            <wp:anchor distT="0" distB="0" distL="114300" distR="114300" simplePos="0" relativeHeight="251658318"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 name="Rectangle 2"/>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0.9pt;margin-top:23.85pt;width:133.2pt;height:17.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" fillcolor="#004194" stroked="f" strokeweight="2pt"/>
          </w:pict>
        </mc:Fallback>
      </mc:AlternateContent>
    </w:r>
    <w:r>
      <w:rPr>
        <w:noProof/>
        <w:lang w:val="en-US"/>
      </w:rPr>
      <mc:AlternateContent>
        <mc:Choice Requires="wps">
          <w:drawing>
            <wp:anchor distT="0" distB="0" distL="114300" distR="114300" simplePos="0" relativeHeight="25165832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0.9pt;margin-top:49.65pt;width:595.25pt;height:3.6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dYmYjCwIA&#10;APg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317"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9pt;margin-top:17.5pt;width:595.05pt;height:32.2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color w:val="548DD4" w:themeColor="text2" w:themeTint="99"/>
        <w:lang w:val="en-US"/>
      </w:rPr>
      <mc:AlternateContent>
        <mc:Choice Requires="wps">
          <w:drawing>
            <wp:anchor distT="0" distB="0" distL="114300" distR="114300" simplePos="0" relativeHeight="251658308"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38" name="Rectangle 38"/>
              <wp:cNvGraphicFramePr/>
              <a:graphic xmlns:a="http://schemas.openxmlformats.org/drawingml/2006/main">
                <a:graphicData uri="http://schemas.microsoft.com/office/word/2010/wordprocessingShape">
                  <wps:wsp>
                    <wps:cNvSpPr/>
                    <wps:spPr>
                      <a:xfrm>
                        <a:off x="0" y="0"/>
                        <a:ext cx="165989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394.1pt;margin-top:23.85pt;width:130.7pt;height:17.25pt;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" fillcolor="#004194" stroked="f" strokeweight="2pt"/>
          </w:pict>
        </mc:Fallback>
      </mc:AlternateContent>
    </w:r>
    <w:r>
      <w:rPr>
        <w:noProof/>
        <w:color w:val="548DD4" w:themeColor="text2" w:themeTint="99"/>
        <w:lang w:val="en-US"/>
      </w:rPr>
      <mc:AlternateContent>
        <mc:Choice Requires="wps">
          <w:drawing>
            <wp:anchor distT="0" distB="0" distL="114300" distR="114300" simplePos="0" relativeHeight="251658307"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5" name="Rectangle 45"/>
              <wp:cNvGraphicFramePr/>
              <a:graphic xmlns:a="http://schemas.openxmlformats.org/drawingml/2006/main">
                <a:graphicData uri="http://schemas.microsoft.com/office/word/2010/wordprocessingShape">
                  <wps:wsp>
                    <wps:cNvSpPr/>
                    <wps:spPr>
                      <a:xfrm>
                        <a:off x="0" y="0"/>
                        <a:ext cx="168402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70.9pt;margin-top:23.85pt;width:132.6pt;height:17.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" fillcolor="#004194" stroked="f" strokeweight="2pt"/>
          </w:pict>
        </mc:Fallback>
      </mc:AlternateContent>
    </w:r>
    <w:r>
      <w:rPr>
        <w:noProof/>
        <w:lang w:val="en-US"/>
      </w:rPr>
      <mc:AlternateContent>
        <mc:Choice Requires="wps">
          <w:drawing>
            <wp:anchor distT="0" distB="0" distL="114300" distR="114300" simplePos="0" relativeHeight="251658306" behindDoc="0" locked="0" layoutInCell="1" allowOverlap="1">
              <wp:simplePos x="0" y="0"/>
              <wp:positionH relativeFrom="column">
                <wp:posOffset>140970</wp:posOffset>
              </wp:positionH>
              <wp:positionV relativeFrom="paragraph">
                <wp:posOffset>252730</wp:posOffset>
              </wp:positionV>
              <wp:extent cx="5474334" cy="771524"/>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4" cy="771524"/>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Agriculture and rural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19.9pt;width:431.05pt;height:60.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sn6Wgg8C&#10;AAD6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p>
                    <w:pPr>
                      <w:spacing w:after="0"/>
                      <w:jc w:val="center"/>
                      <w:rPr>
                        <w:rFonts w:cs="Arial"/>
                        <w:b/>
                        <w:color w:val="A6A6A6" w:themeColor="background1" w:themeShade="A6"/>
                        <w:szCs w:val="22"/>
                      </w:rPr>
                    </w:pPr>
                    <w:r>
                      <w:rPr>
                        <w:color w:val="A6A6A6" w:themeColor="background1" w:themeShade="A6"/>
                      </w:rPr>
                      <w:t>Agriculture and rural development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val="en-US"/>
      </w:rPr>
      <mc:AlternateContent>
        <mc:Choice Requires="wps">
          <w:drawing>
            <wp:anchor distT="0" distB="0" distL="114300" distR="114300" simplePos="0" relativeHeight="251658304"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5" name="Rectangle 25"/>
              <wp:cNvGraphicFramePr/>
              <a:graphic xmlns:a="http://schemas.openxmlformats.org/drawingml/2006/main">
                <a:graphicData uri="http://schemas.microsoft.com/office/word/2010/wordprocessingShape">
                  <wps:wsp>
                    <wps:cNvSpPr/>
                    <wps:spPr>
                      <a:xfrm>
                        <a:off x="0" y="0"/>
                        <a:ext cx="161417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397.1pt;margin-top:23.85pt;width:127.1pt;height:17.2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" fillcolor="#004194" stroked="f" strokeweight="2pt"/>
          </w:pict>
        </mc:Fallback>
      </mc:AlternateContent>
    </w:r>
    <w:r>
      <w:rPr>
        <w:noProof/>
        <w:lang w:val="en-US"/>
      </w:rPr>
      <mc:AlternateContent>
        <mc:Choice Requires="wps">
          <w:drawing>
            <wp:anchor distT="0" distB="0" distL="114300" distR="114300" simplePos="0" relativeHeight="251658303"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8" name="Rectangle 28"/>
              <wp:cNvGraphicFramePr/>
              <a:graphic xmlns:a="http://schemas.openxmlformats.org/drawingml/2006/main">
                <a:graphicData uri="http://schemas.microsoft.com/office/word/2010/wordprocessingShape">
                  <wps:wsp>
                    <wps:cNvSpPr/>
                    <wps:spPr>
                      <a:xfrm>
                        <a:off x="0" y="0"/>
                        <a:ext cx="1691640" cy="219075"/>
                      </a:xfrm>
                      <a:prstGeom prst="rect">
                        <a:avLst/>
                      </a:prstGeom>
                      <a:solidFill>
                        <a:srgbClr val="004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70.9pt;margin-top:23.85pt;width:133.2pt;height:17.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" fillcolor="#004194" stroked="f" strokeweight="2pt"/>
          </w:pict>
        </mc:Fallback>
      </mc:AlternateContent>
    </w:r>
    <w:r>
      <w:rPr>
        <w:noProof/>
        <w:lang w:val="en-US"/>
      </w:rPr>
      <mc:AlternateContent>
        <mc:Choice Requires="wps">
          <w:drawing>
            <wp:anchor distT="0" distB="0" distL="114300" distR="114300" simplePos="0" relativeHeight="251658305"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df3AgN&#10;AgAA+Q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noProof/>
        <w:lang w:val="en-US"/>
      </w:rPr>
      <mc:AlternateContent>
        <mc:Choice Requires="wps">
          <w:drawing>
            <wp:anchor distT="0" distB="0" distL="114300" distR="114300" simplePos="0" relativeHeight="25165830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9pt;margin-top:17.5pt;width:595.05pt;height:32.2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z/5LL&#10;DwIAAPo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cs="Arial"/>
                        <w:color w:val="004194"/>
                        <w:sz w:val="20"/>
                      </w:rPr>
                    </w:pPr>
                    <w:r>
                      <w:rPr>
                        <w:rFonts w:cs="Arial"/>
                        <w:color w:val="004194"/>
                        <w:sz w:val="20"/>
                      </w:rPr>
                      <w:t>Monitoring the application of European Union law</w:t>
                    </w:r>
                  </w:p>
                  <w:p>
                    <w:pPr>
                      <w:tabs>
                        <w:tab w:val="left" w:pos="4111"/>
                      </w:tabs>
                      <w:spacing w:after="0"/>
                      <w:jc w:val="center"/>
                      <w:rPr>
                        <w:rFonts w:cs="Arial"/>
                        <w:color w:val="004194"/>
                        <w:sz w:val="20"/>
                      </w:rPr>
                    </w:pPr>
                    <w:r>
                      <w:rPr>
                        <w:rFonts w:cs="Arial"/>
                        <w:color w:val="004194"/>
                        <w:sz w:val="20"/>
                      </w:rPr>
                      <w:t>2016 Annual Report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62430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6C757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C12EF9"/>
    <w:multiLevelType w:val="hybridMultilevel"/>
    <w:tmpl w:val="AEC2C168"/>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723EE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BE2271"/>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0510635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3E3A8A"/>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
    <w:nsid w:val="071E39FE"/>
    <w:multiLevelType w:val="hybridMultilevel"/>
    <w:tmpl w:val="3D6A72AA"/>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87C3C73"/>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
    <w:nsid w:val="09A35F4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9C61C9C"/>
    <w:multiLevelType w:val="hybridMultilevel"/>
    <w:tmpl w:val="7BD63462"/>
    <w:lvl w:ilvl="0" w:tplc="08090001">
      <w:start w:val="1"/>
      <w:numFmt w:val="bullet"/>
      <w:lvlText w:val=""/>
      <w:lvlJc w:val="left"/>
      <w:pPr>
        <w:ind w:left="2139" w:hanging="360"/>
      </w:pPr>
      <w:rPr>
        <w:rFonts w:ascii="Symbol" w:hAnsi="Symbol" w:hint="default"/>
      </w:rPr>
    </w:lvl>
    <w:lvl w:ilvl="1" w:tplc="08090003" w:tentative="1">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13">
    <w:nsid w:val="0B6F5FE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74356A"/>
    <w:multiLevelType w:val="hybridMultilevel"/>
    <w:tmpl w:val="DC4E2130"/>
    <w:lvl w:ilvl="0" w:tplc="08090001">
      <w:start w:val="1"/>
      <w:numFmt w:val="bullet"/>
      <w:lvlText w:val=""/>
      <w:lvlJc w:val="left"/>
      <w:pPr>
        <w:ind w:left="2066" w:hanging="360"/>
      </w:pPr>
      <w:rPr>
        <w:rFonts w:ascii="Symbol" w:hAnsi="Symbol" w:hint="default"/>
      </w:rPr>
    </w:lvl>
    <w:lvl w:ilvl="1" w:tplc="08090003" w:tentative="1">
      <w:start w:val="1"/>
      <w:numFmt w:val="bullet"/>
      <w:lvlText w:val="o"/>
      <w:lvlJc w:val="left"/>
      <w:pPr>
        <w:ind w:left="2786" w:hanging="360"/>
      </w:pPr>
      <w:rPr>
        <w:rFonts w:ascii="Courier New" w:hAnsi="Courier New" w:cs="Courier New" w:hint="default"/>
      </w:rPr>
    </w:lvl>
    <w:lvl w:ilvl="2" w:tplc="08090005" w:tentative="1">
      <w:start w:val="1"/>
      <w:numFmt w:val="bullet"/>
      <w:lvlText w:val=""/>
      <w:lvlJc w:val="left"/>
      <w:pPr>
        <w:ind w:left="3506" w:hanging="360"/>
      </w:pPr>
      <w:rPr>
        <w:rFonts w:ascii="Wingdings" w:hAnsi="Wingdings" w:hint="default"/>
      </w:rPr>
    </w:lvl>
    <w:lvl w:ilvl="3" w:tplc="08090001" w:tentative="1">
      <w:start w:val="1"/>
      <w:numFmt w:val="bullet"/>
      <w:lvlText w:val=""/>
      <w:lvlJc w:val="left"/>
      <w:pPr>
        <w:ind w:left="4226" w:hanging="360"/>
      </w:pPr>
      <w:rPr>
        <w:rFonts w:ascii="Symbol" w:hAnsi="Symbol" w:hint="default"/>
      </w:rPr>
    </w:lvl>
    <w:lvl w:ilvl="4" w:tplc="08090003" w:tentative="1">
      <w:start w:val="1"/>
      <w:numFmt w:val="bullet"/>
      <w:lvlText w:val="o"/>
      <w:lvlJc w:val="left"/>
      <w:pPr>
        <w:ind w:left="4946" w:hanging="360"/>
      </w:pPr>
      <w:rPr>
        <w:rFonts w:ascii="Courier New" w:hAnsi="Courier New" w:cs="Courier New" w:hint="default"/>
      </w:rPr>
    </w:lvl>
    <w:lvl w:ilvl="5" w:tplc="08090005" w:tentative="1">
      <w:start w:val="1"/>
      <w:numFmt w:val="bullet"/>
      <w:lvlText w:val=""/>
      <w:lvlJc w:val="left"/>
      <w:pPr>
        <w:ind w:left="5666" w:hanging="360"/>
      </w:pPr>
      <w:rPr>
        <w:rFonts w:ascii="Wingdings" w:hAnsi="Wingdings" w:hint="default"/>
      </w:rPr>
    </w:lvl>
    <w:lvl w:ilvl="6" w:tplc="08090001" w:tentative="1">
      <w:start w:val="1"/>
      <w:numFmt w:val="bullet"/>
      <w:lvlText w:val=""/>
      <w:lvlJc w:val="left"/>
      <w:pPr>
        <w:ind w:left="6386" w:hanging="360"/>
      </w:pPr>
      <w:rPr>
        <w:rFonts w:ascii="Symbol" w:hAnsi="Symbol" w:hint="default"/>
      </w:rPr>
    </w:lvl>
    <w:lvl w:ilvl="7" w:tplc="08090003" w:tentative="1">
      <w:start w:val="1"/>
      <w:numFmt w:val="bullet"/>
      <w:lvlText w:val="o"/>
      <w:lvlJc w:val="left"/>
      <w:pPr>
        <w:ind w:left="7106" w:hanging="360"/>
      </w:pPr>
      <w:rPr>
        <w:rFonts w:ascii="Courier New" w:hAnsi="Courier New" w:cs="Courier New" w:hint="default"/>
      </w:rPr>
    </w:lvl>
    <w:lvl w:ilvl="8" w:tplc="08090005" w:tentative="1">
      <w:start w:val="1"/>
      <w:numFmt w:val="bullet"/>
      <w:lvlText w:val=""/>
      <w:lvlJc w:val="left"/>
      <w:pPr>
        <w:ind w:left="7826" w:hanging="360"/>
      </w:pPr>
      <w:rPr>
        <w:rFonts w:ascii="Wingdings" w:hAnsi="Wingdings" w:hint="default"/>
      </w:rPr>
    </w:lvl>
  </w:abstractNum>
  <w:abstractNum w:abstractNumId="15">
    <w:nsid w:val="0F75379B"/>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6">
    <w:nsid w:val="101E0203"/>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7">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1518E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11929A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1435EA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1D6787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1F219E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2322AE2"/>
    <w:multiLevelType w:val="hybridMultilevel"/>
    <w:tmpl w:val="A34054F0"/>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3F719A2"/>
    <w:multiLevelType w:val="hybridMultilevel"/>
    <w:tmpl w:val="05665F6A"/>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6">
    <w:nsid w:val="17432C1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7913C1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8">
    <w:nsid w:val="1839771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A880460"/>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3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EFD008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F734306"/>
    <w:multiLevelType w:val="multilevel"/>
    <w:tmpl w:val="406E0E74"/>
    <w:lvl w:ilvl="0">
      <w:start w:val="1"/>
      <w:numFmt w:val="decimal"/>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16E228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241609E"/>
    <w:multiLevelType w:val="hybridMultilevel"/>
    <w:tmpl w:val="C5444EF8"/>
    <w:lvl w:ilvl="0" w:tplc="08090001">
      <w:start w:val="1"/>
      <w:numFmt w:val="bullet"/>
      <w:lvlText w:val=""/>
      <w:lvlJc w:val="left"/>
      <w:pPr>
        <w:ind w:left="2132" w:hanging="360"/>
      </w:pPr>
      <w:rPr>
        <w:rFonts w:ascii="Symbol" w:hAnsi="Symbol" w:hint="default"/>
      </w:rPr>
    </w:lvl>
    <w:lvl w:ilvl="1" w:tplc="08090003" w:tentative="1">
      <w:start w:val="1"/>
      <w:numFmt w:val="bullet"/>
      <w:lvlText w:val="o"/>
      <w:lvlJc w:val="left"/>
      <w:pPr>
        <w:ind w:left="2852" w:hanging="360"/>
      </w:pPr>
      <w:rPr>
        <w:rFonts w:ascii="Courier New" w:hAnsi="Courier New" w:cs="Courier New" w:hint="default"/>
      </w:rPr>
    </w:lvl>
    <w:lvl w:ilvl="2" w:tplc="08090005" w:tentative="1">
      <w:start w:val="1"/>
      <w:numFmt w:val="bullet"/>
      <w:lvlText w:val=""/>
      <w:lvlJc w:val="left"/>
      <w:pPr>
        <w:ind w:left="3572" w:hanging="360"/>
      </w:pPr>
      <w:rPr>
        <w:rFonts w:ascii="Wingdings" w:hAnsi="Wingdings" w:hint="default"/>
      </w:rPr>
    </w:lvl>
    <w:lvl w:ilvl="3" w:tplc="08090001" w:tentative="1">
      <w:start w:val="1"/>
      <w:numFmt w:val="bullet"/>
      <w:lvlText w:val=""/>
      <w:lvlJc w:val="left"/>
      <w:pPr>
        <w:ind w:left="4292" w:hanging="360"/>
      </w:pPr>
      <w:rPr>
        <w:rFonts w:ascii="Symbol" w:hAnsi="Symbol" w:hint="default"/>
      </w:rPr>
    </w:lvl>
    <w:lvl w:ilvl="4" w:tplc="08090003" w:tentative="1">
      <w:start w:val="1"/>
      <w:numFmt w:val="bullet"/>
      <w:lvlText w:val="o"/>
      <w:lvlJc w:val="left"/>
      <w:pPr>
        <w:ind w:left="5012" w:hanging="360"/>
      </w:pPr>
      <w:rPr>
        <w:rFonts w:ascii="Courier New" w:hAnsi="Courier New" w:cs="Courier New" w:hint="default"/>
      </w:rPr>
    </w:lvl>
    <w:lvl w:ilvl="5" w:tplc="08090005" w:tentative="1">
      <w:start w:val="1"/>
      <w:numFmt w:val="bullet"/>
      <w:lvlText w:val=""/>
      <w:lvlJc w:val="left"/>
      <w:pPr>
        <w:ind w:left="5732" w:hanging="360"/>
      </w:pPr>
      <w:rPr>
        <w:rFonts w:ascii="Wingdings" w:hAnsi="Wingdings" w:hint="default"/>
      </w:rPr>
    </w:lvl>
    <w:lvl w:ilvl="6" w:tplc="08090001" w:tentative="1">
      <w:start w:val="1"/>
      <w:numFmt w:val="bullet"/>
      <w:lvlText w:val=""/>
      <w:lvlJc w:val="left"/>
      <w:pPr>
        <w:ind w:left="6452" w:hanging="360"/>
      </w:pPr>
      <w:rPr>
        <w:rFonts w:ascii="Symbol" w:hAnsi="Symbol" w:hint="default"/>
      </w:rPr>
    </w:lvl>
    <w:lvl w:ilvl="7" w:tplc="08090003" w:tentative="1">
      <w:start w:val="1"/>
      <w:numFmt w:val="bullet"/>
      <w:lvlText w:val="o"/>
      <w:lvlJc w:val="left"/>
      <w:pPr>
        <w:ind w:left="7172" w:hanging="360"/>
      </w:pPr>
      <w:rPr>
        <w:rFonts w:ascii="Courier New" w:hAnsi="Courier New" w:cs="Courier New" w:hint="default"/>
      </w:rPr>
    </w:lvl>
    <w:lvl w:ilvl="8" w:tplc="08090005" w:tentative="1">
      <w:start w:val="1"/>
      <w:numFmt w:val="bullet"/>
      <w:lvlText w:val=""/>
      <w:lvlJc w:val="left"/>
      <w:pPr>
        <w:ind w:left="7892" w:hanging="360"/>
      </w:pPr>
      <w:rPr>
        <w:rFonts w:ascii="Wingdings" w:hAnsi="Wingdings" w:hint="default"/>
      </w:rPr>
    </w:lvl>
  </w:abstractNum>
  <w:abstractNum w:abstractNumId="35">
    <w:nsid w:val="2244444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2CD3A62"/>
    <w:multiLevelType w:val="hybridMultilevel"/>
    <w:tmpl w:val="FCFA91C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3274A2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475470C"/>
    <w:multiLevelType w:val="hybridMultilevel"/>
    <w:tmpl w:val="DF8CC1C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5782D90"/>
    <w:multiLevelType w:val="hybridMultilevel"/>
    <w:tmpl w:val="8A7ACD86"/>
    <w:lvl w:ilvl="0" w:tplc="08090001">
      <w:start w:val="1"/>
      <w:numFmt w:val="bullet"/>
      <w:lvlText w:val=""/>
      <w:lvlJc w:val="left"/>
      <w:pPr>
        <w:ind w:left="1526" w:hanging="360"/>
      </w:pPr>
      <w:rPr>
        <w:rFonts w:ascii="Symbol" w:hAnsi="Symbol" w:hint="default"/>
      </w:rPr>
    </w:lvl>
    <w:lvl w:ilvl="1" w:tplc="08090003" w:tentative="1">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41">
    <w:nsid w:val="26BA5881"/>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7AF165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7EA079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B144668"/>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nsid w:val="2B7F565A"/>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7">
    <w:nsid w:val="2C560A99"/>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D623A21"/>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008689A"/>
    <w:multiLevelType w:val="hybridMultilevel"/>
    <w:tmpl w:val="57806336"/>
    <w:lvl w:ilvl="0" w:tplc="A0C2CF64">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1">
    <w:nsid w:val="305F5D84"/>
    <w:multiLevelType w:val="hybridMultilevel"/>
    <w:tmpl w:val="C220C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3168318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1887EA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2CA24F5"/>
    <w:multiLevelType w:val="hybridMultilevel"/>
    <w:tmpl w:val="464E8E9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5">
    <w:nsid w:val="32D140A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2F64FFF"/>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42771C2"/>
    <w:multiLevelType w:val="hybridMultilevel"/>
    <w:tmpl w:val="0A5230F8"/>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9">
    <w:nsid w:val="35345961"/>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37980C0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8E7353F"/>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9A77A08"/>
    <w:multiLevelType w:val="hybridMultilevel"/>
    <w:tmpl w:val="91866382"/>
    <w:lvl w:ilvl="0" w:tplc="08090001">
      <w:start w:val="1"/>
      <w:numFmt w:val="bullet"/>
      <w:lvlText w:val=""/>
      <w:lvlJc w:val="left"/>
      <w:pPr>
        <w:ind w:left="1440" w:hanging="360"/>
      </w:pPr>
      <w:rPr>
        <w:rFonts w:ascii="Symbol" w:hAnsi="Symbol" w:hint="default"/>
      </w:rPr>
    </w:lvl>
    <w:lvl w:ilvl="1" w:tplc="995E2D6E">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5">
    <w:nsid w:val="3B4D3131"/>
    <w:multiLevelType w:val="hybridMultilevel"/>
    <w:tmpl w:val="3BFEDB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3C34530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C885C77"/>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9">
    <w:nsid w:val="3D50636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D5C30E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EE7590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2">
    <w:nsid w:val="3F00171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0DB549A"/>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4">
    <w:nsid w:val="4235394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31F2BB7"/>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6">
    <w:nsid w:val="440F43E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8">
    <w:nsid w:val="4720654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479E43F1"/>
    <w:multiLevelType w:val="hybridMultilevel"/>
    <w:tmpl w:val="9432ED48"/>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0">
    <w:nsid w:val="47BF1DB0"/>
    <w:multiLevelType w:val="hybridMultilevel"/>
    <w:tmpl w:val="4588C162"/>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48DB34B8"/>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2">
    <w:nsid w:val="49D11FD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9E64CB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A266641"/>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A5B3EC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BEE3852"/>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8">
    <w:nsid w:val="4C907484"/>
    <w:multiLevelType w:val="hybridMultilevel"/>
    <w:tmpl w:val="94D42F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nsid w:val="4D7E2B9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D876B71"/>
    <w:multiLevelType w:val="hybridMultilevel"/>
    <w:tmpl w:val="9D22B3FA"/>
    <w:lvl w:ilvl="0" w:tplc="A9887500">
      <w:start w:val="1"/>
      <w:numFmt w:val="upperRoman"/>
      <w:pStyle w:val="Title1"/>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92">
    <w:nsid w:val="4EB778B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3">
    <w:nsid w:val="4ECD440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045318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114268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97">
    <w:nsid w:val="551A11C0"/>
    <w:multiLevelType w:val="hybridMultilevel"/>
    <w:tmpl w:val="A38A671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8">
    <w:nsid w:val="55235F81"/>
    <w:multiLevelType w:val="hybridMultilevel"/>
    <w:tmpl w:val="EC9EEFB8"/>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55236F8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767434B"/>
    <w:multiLevelType w:val="hybridMultilevel"/>
    <w:tmpl w:val="A6F0F8CC"/>
    <w:lvl w:ilvl="0" w:tplc="08090001">
      <w:start w:val="1"/>
      <w:numFmt w:val="bullet"/>
      <w:lvlText w:val=""/>
      <w:lvlJc w:val="left"/>
      <w:pPr>
        <w:ind w:left="2852" w:hanging="360"/>
      </w:pPr>
      <w:rPr>
        <w:rFonts w:ascii="Symbol" w:hAnsi="Symbol" w:hint="default"/>
      </w:rPr>
    </w:lvl>
    <w:lvl w:ilvl="1" w:tplc="08090003" w:tentative="1">
      <w:start w:val="1"/>
      <w:numFmt w:val="bullet"/>
      <w:lvlText w:val="o"/>
      <w:lvlJc w:val="left"/>
      <w:pPr>
        <w:ind w:left="3572" w:hanging="360"/>
      </w:pPr>
      <w:rPr>
        <w:rFonts w:ascii="Courier New" w:hAnsi="Courier New" w:cs="Courier New" w:hint="default"/>
      </w:rPr>
    </w:lvl>
    <w:lvl w:ilvl="2" w:tplc="08090005" w:tentative="1">
      <w:start w:val="1"/>
      <w:numFmt w:val="bullet"/>
      <w:lvlText w:val=""/>
      <w:lvlJc w:val="left"/>
      <w:pPr>
        <w:ind w:left="4292" w:hanging="360"/>
      </w:pPr>
      <w:rPr>
        <w:rFonts w:ascii="Wingdings" w:hAnsi="Wingdings" w:hint="default"/>
      </w:rPr>
    </w:lvl>
    <w:lvl w:ilvl="3" w:tplc="08090001" w:tentative="1">
      <w:start w:val="1"/>
      <w:numFmt w:val="bullet"/>
      <w:lvlText w:val=""/>
      <w:lvlJc w:val="left"/>
      <w:pPr>
        <w:ind w:left="5012" w:hanging="360"/>
      </w:pPr>
      <w:rPr>
        <w:rFonts w:ascii="Symbol" w:hAnsi="Symbol" w:hint="default"/>
      </w:rPr>
    </w:lvl>
    <w:lvl w:ilvl="4" w:tplc="08090003" w:tentative="1">
      <w:start w:val="1"/>
      <w:numFmt w:val="bullet"/>
      <w:lvlText w:val="o"/>
      <w:lvlJc w:val="left"/>
      <w:pPr>
        <w:ind w:left="5732" w:hanging="360"/>
      </w:pPr>
      <w:rPr>
        <w:rFonts w:ascii="Courier New" w:hAnsi="Courier New" w:cs="Courier New" w:hint="default"/>
      </w:rPr>
    </w:lvl>
    <w:lvl w:ilvl="5" w:tplc="08090005" w:tentative="1">
      <w:start w:val="1"/>
      <w:numFmt w:val="bullet"/>
      <w:lvlText w:val=""/>
      <w:lvlJc w:val="left"/>
      <w:pPr>
        <w:ind w:left="6452" w:hanging="360"/>
      </w:pPr>
      <w:rPr>
        <w:rFonts w:ascii="Wingdings" w:hAnsi="Wingdings" w:hint="default"/>
      </w:rPr>
    </w:lvl>
    <w:lvl w:ilvl="6" w:tplc="08090001" w:tentative="1">
      <w:start w:val="1"/>
      <w:numFmt w:val="bullet"/>
      <w:lvlText w:val=""/>
      <w:lvlJc w:val="left"/>
      <w:pPr>
        <w:ind w:left="7172" w:hanging="360"/>
      </w:pPr>
      <w:rPr>
        <w:rFonts w:ascii="Symbol" w:hAnsi="Symbol" w:hint="default"/>
      </w:rPr>
    </w:lvl>
    <w:lvl w:ilvl="7" w:tplc="08090003" w:tentative="1">
      <w:start w:val="1"/>
      <w:numFmt w:val="bullet"/>
      <w:lvlText w:val="o"/>
      <w:lvlJc w:val="left"/>
      <w:pPr>
        <w:ind w:left="7892" w:hanging="360"/>
      </w:pPr>
      <w:rPr>
        <w:rFonts w:ascii="Courier New" w:hAnsi="Courier New" w:cs="Courier New" w:hint="default"/>
      </w:rPr>
    </w:lvl>
    <w:lvl w:ilvl="8" w:tplc="08090005" w:tentative="1">
      <w:start w:val="1"/>
      <w:numFmt w:val="bullet"/>
      <w:lvlText w:val=""/>
      <w:lvlJc w:val="left"/>
      <w:pPr>
        <w:ind w:left="8612" w:hanging="360"/>
      </w:pPr>
      <w:rPr>
        <w:rFonts w:ascii="Wingdings" w:hAnsi="Wingdings" w:hint="default"/>
      </w:rPr>
    </w:lvl>
  </w:abstractNum>
  <w:abstractNum w:abstractNumId="101">
    <w:nsid w:val="587A7AF1"/>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A0D5DC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A274CAF"/>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4">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05">
    <w:nsid w:val="5DA1380C"/>
    <w:multiLevelType w:val="hybridMultilevel"/>
    <w:tmpl w:val="D33C35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07">
    <w:nsid w:val="5E941EE5"/>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8">
    <w:nsid w:val="5EA36AE3"/>
    <w:multiLevelType w:val="hybridMultilevel"/>
    <w:tmpl w:val="46686C3A"/>
    <w:lvl w:ilvl="0" w:tplc="BF86F04E">
      <w:start w:val="1"/>
      <w:numFmt w:val="bullet"/>
      <w:pStyle w:val="Lijstje2"/>
      <w:lvlText w:val=""/>
      <w:lvlJc w:val="left"/>
      <w:pPr>
        <w:ind w:left="1166" w:hanging="360"/>
      </w:pPr>
      <w:rPr>
        <w:rFonts w:ascii="Symbol" w:hAnsi="Symbol" w:hint="default"/>
      </w:rPr>
    </w:lvl>
    <w:lvl w:ilvl="1" w:tplc="EDDCC440">
      <w:start w:val="1"/>
      <w:numFmt w:val="bullet"/>
      <w:pStyle w:val="Lijstje3"/>
      <w:lvlText w:val="o"/>
      <w:lvlJc w:val="left"/>
      <w:pPr>
        <w:ind w:left="1886" w:hanging="360"/>
      </w:pPr>
      <w:rPr>
        <w:rFonts w:ascii="Courier New" w:hAnsi="Courier New" w:cs="Courier New" w:hint="default"/>
      </w:rPr>
    </w:lvl>
    <w:lvl w:ilvl="2" w:tplc="08130005">
      <w:start w:val="1"/>
      <w:numFmt w:val="bullet"/>
      <w:lvlText w:val=""/>
      <w:lvlJc w:val="left"/>
      <w:pPr>
        <w:ind w:left="2606" w:hanging="360"/>
      </w:pPr>
      <w:rPr>
        <w:rFonts w:ascii="Wingdings" w:hAnsi="Wingdings" w:hint="default"/>
      </w:rPr>
    </w:lvl>
    <w:lvl w:ilvl="3" w:tplc="08130001" w:tentative="1">
      <w:start w:val="1"/>
      <w:numFmt w:val="bullet"/>
      <w:lvlText w:val=""/>
      <w:lvlJc w:val="left"/>
      <w:pPr>
        <w:ind w:left="3326" w:hanging="360"/>
      </w:pPr>
      <w:rPr>
        <w:rFonts w:ascii="Symbol" w:hAnsi="Symbol" w:hint="default"/>
      </w:rPr>
    </w:lvl>
    <w:lvl w:ilvl="4" w:tplc="08130003" w:tentative="1">
      <w:start w:val="1"/>
      <w:numFmt w:val="bullet"/>
      <w:lvlText w:val="o"/>
      <w:lvlJc w:val="left"/>
      <w:pPr>
        <w:ind w:left="4046" w:hanging="360"/>
      </w:pPr>
      <w:rPr>
        <w:rFonts w:ascii="Courier New" w:hAnsi="Courier New" w:cs="Courier New" w:hint="default"/>
      </w:rPr>
    </w:lvl>
    <w:lvl w:ilvl="5" w:tplc="08130005" w:tentative="1">
      <w:start w:val="1"/>
      <w:numFmt w:val="bullet"/>
      <w:lvlText w:val=""/>
      <w:lvlJc w:val="left"/>
      <w:pPr>
        <w:ind w:left="4766" w:hanging="360"/>
      </w:pPr>
      <w:rPr>
        <w:rFonts w:ascii="Wingdings" w:hAnsi="Wingdings" w:hint="default"/>
      </w:rPr>
    </w:lvl>
    <w:lvl w:ilvl="6" w:tplc="08130001" w:tentative="1">
      <w:start w:val="1"/>
      <w:numFmt w:val="bullet"/>
      <w:lvlText w:val=""/>
      <w:lvlJc w:val="left"/>
      <w:pPr>
        <w:ind w:left="5486" w:hanging="360"/>
      </w:pPr>
      <w:rPr>
        <w:rFonts w:ascii="Symbol" w:hAnsi="Symbol" w:hint="default"/>
      </w:rPr>
    </w:lvl>
    <w:lvl w:ilvl="7" w:tplc="08130003" w:tentative="1">
      <w:start w:val="1"/>
      <w:numFmt w:val="bullet"/>
      <w:lvlText w:val="o"/>
      <w:lvlJc w:val="left"/>
      <w:pPr>
        <w:ind w:left="6206" w:hanging="360"/>
      </w:pPr>
      <w:rPr>
        <w:rFonts w:ascii="Courier New" w:hAnsi="Courier New" w:cs="Courier New" w:hint="default"/>
      </w:rPr>
    </w:lvl>
    <w:lvl w:ilvl="8" w:tplc="08130005" w:tentative="1">
      <w:start w:val="1"/>
      <w:numFmt w:val="bullet"/>
      <w:lvlText w:val=""/>
      <w:lvlJc w:val="left"/>
      <w:pPr>
        <w:ind w:left="6926" w:hanging="360"/>
      </w:pPr>
      <w:rPr>
        <w:rFonts w:ascii="Wingdings" w:hAnsi="Wingdings" w:hint="default"/>
      </w:rPr>
    </w:lvl>
  </w:abstractNum>
  <w:abstractNum w:abstractNumId="109">
    <w:nsid w:val="5F3253F2"/>
    <w:multiLevelType w:val="hybridMultilevel"/>
    <w:tmpl w:val="1EBA3B9A"/>
    <w:lvl w:ilvl="0" w:tplc="E7B479E4">
      <w:start w:val="1"/>
      <w:numFmt w:val="upperRoman"/>
      <w:pStyle w:val="kop2"/>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0">
    <w:nsid w:val="5FAE5AB4"/>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2">
    <w:nsid w:val="6182028E"/>
    <w:multiLevelType w:val="hybridMultilevel"/>
    <w:tmpl w:val="45309530"/>
    <w:lvl w:ilvl="0" w:tplc="08090001">
      <w:start w:val="1"/>
      <w:numFmt w:val="bullet"/>
      <w:lvlText w:val=""/>
      <w:lvlJc w:val="left"/>
      <w:pPr>
        <w:ind w:left="2160" w:hanging="360"/>
      </w:pPr>
      <w:rPr>
        <w:rFonts w:ascii="Symbol" w:hAnsi="Symbol" w:hint="default"/>
      </w:rPr>
    </w:lvl>
    <w:lvl w:ilvl="1" w:tplc="0809000F">
      <w:start w:val="1"/>
      <w:numFmt w:val="decimal"/>
      <w:lvlText w:val="%2."/>
      <w:lvlJc w:val="left"/>
      <w:pPr>
        <w:ind w:left="2880" w:hanging="360"/>
      </w:pPr>
      <w:rPr>
        <w:rFonts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3">
    <w:nsid w:val="62063D67"/>
    <w:multiLevelType w:val="hybridMultilevel"/>
    <w:tmpl w:val="95BA7DE2"/>
    <w:lvl w:ilvl="0" w:tplc="08090001">
      <w:start w:val="1"/>
      <w:numFmt w:val="bullet"/>
      <w:lvlText w:val=""/>
      <w:lvlJc w:val="left"/>
      <w:pPr>
        <w:ind w:left="1526" w:hanging="360"/>
      </w:pPr>
      <w:rPr>
        <w:rFonts w:ascii="Symbol" w:hAnsi="Symbol" w:hint="default"/>
      </w:rPr>
    </w:lvl>
    <w:lvl w:ilvl="1" w:tplc="08090003" w:tentative="1">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11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15">
    <w:nsid w:val="64CA61B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4FF5BB9"/>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7">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71D04B4"/>
    <w:multiLevelType w:val="hybridMultilevel"/>
    <w:tmpl w:val="B5DC5500"/>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A9657AE"/>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2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21">
    <w:nsid w:val="6EBB4BA5"/>
    <w:multiLevelType w:val="hybridMultilevel"/>
    <w:tmpl w:val="C76862D8"/>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70DC7952"/>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23">
    <w:nsid w:val="71A21D69"/>
    <w:multiLevelType w:val="hybridMultilevel"/>
    <w:tmpl w:val="C0BC84A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753C5D54"/>
    <w:multiLevelType w:val="hybridMultilevel"/>
    <w:tmpl w:val="619C0BAA"/>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6">
    <w:nsid w:val="76B957FA"/>
    <w:multiLevelType w:val="hybridMultilevel"/>
    <w:tmpl w:val="B182757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7">
    <w:nsid w:val="771541D1"/>
    <w:multiLevelType w:val="hybridMultilevel"/>
    <w:tmpl w:val="44106F62"/>
    <w:lvl w:ilvl="0" w:tplc="E85E15B4">
      <w:start w:val="1"/>
      <w:numFmt w:val="decimal"/>
      <w:pStyle w:val="kop3"/>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8">
    <w:nsid w:val="77DD292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7E13BA9"/>
    <w:multiLevelType w:val="hybridMultilevel"/>
    <w:tmpl w:val="C8FC0E76"/>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ABF3AC0"/>
    <w:multiLevelType w:val="hybridMultilevel"/>
    <w:tmpl w:val="19F2A4E4"/>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1">
    <w:nsid w:val="7E0733D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E6B21AD"/>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num w:numId="1">
    <w:abstractNumId w:val="1"/>
  </w:num>
  <w:num w:numId="2">
    <w:abstractNumId w:val="0"/>
  </w:num>
  <w:num w:numId="3">
    <w:abstractNumId w:val="32"/>
  </w:num>
  <w:num w:numId="4">
    <w:abstractNumId w:val="68"/>
  </w:num>
  <w:num w:numId="5">
    <w:abstractNumId w:val="45"/>
  </w:num>
  <w:num w:numId="6">
    <w:abstractNumId w:val="64"/>
  </w:num>
  <w:num w:numId="7">
    <w:abstractNumId w:val="114"/>
  </w:num>
  <w:num w:numId="8">
    <w:abstractNumId w:val="120"/>
  </w:num>
  <w:num w:numId="9">
    <w:abstractNumId w:val="58"/>
  </w:num>
  <w:num w:numId="10">
    <w:abstractNumId w:val="111"/>
  </w:num>
  <w:num w:numId="11">
    <w:abstractNumId w:val="106"/>
  </w:num>
  <w:num w:numId="12">
    <w:abstractNumId w:val="77"/>
  </w:num>
  <w:num w:numId="13">
    <w:abstractNumId w:val="96"/>
  </w:num>
  <w:num w:numId="14">
    <w:abstractNumId w:val="37"/>
  </w:num>
  <w:num w:numId="15">
    <w:abstractNumId w:val="60"/>
  </w:num>
  <w:num w:numId="16">
    <w:abstractNumId w:val="30"/>
  </w:num>
  <w:num w:numId="17">
    <w:abstractNumId w:val="48"/>
  </w:num>
  <w:num w:numId="18">
    <w:abstractNumId w:val="124"/>
  </w:num>
  <w:num w:numId="19">
    <w:abstractNumId w:val="86"/>
  </w:num>
  <w:num w:numId="20">
    <w:abstractNumId w:val="17"/>
  </w:num>
  <w:num w:numId="21">
    <w:abstractNumId w:val="91"/>
  </w:num>
  <w:num w:numId="22">
    <w:abstractNumId w:val="109"/>
  </w:num>
  <w:num w:numId="23">
    <w:abstractNumId w:val="25"/>
  </w:num>
  <w:num w:numId="24">
    <w:abstractNumId w:val="127"/>
  </w:num>
  <w:num w:numId="25">
    <w:abstractNumId w:val="108"/>
  </w:num>
  <w:num w:numId="26">
    <w:abstractNumId w:val="53"/>
  </w:num>
  <w:num w:numId="27">
    <w:abstractNumId w:val="123"/>
  </w:num>
  <w:num w:numId="28">
    <w:abstractNumId w:val="97"/>
  </w:num>
  <w:num w:numId="29">
    <w:abstractNumId w:val="65"/>
  </w:num>
  <w:num w:numId="30">
    <w:abstractNumId w:val="90"/>
  </w:num>
  <w:num w:numId="31">
    <w:abstractNumId w:val="109"/>
    <w:lvlOverride w:ilvl="0">
      <w:startOverride w:val="1"/>
    </w:lvlOverride>
  </w:num>
  <w:num w:numId="32">
    <w:abstractNumId w:val="79"/>
  </w:num>
  <w:num w:numId="33">
    <w:abstractNumId w:val="105"/>
  </w:num>
  <w:num w:numId="34">
    <w:abstractNumId w:val="90"/>
    <w:lvlOverride w:ilvl="0">
      <w:startOverride w:val="1"/>
    </w:lvlOverride>
  </w:num>
  <w:num w:numId="35">
    <w:abstractNumId w:val="90"/>
    <w:lvlOverride w:ilvl="0">
      <w:startOverride w:val="1"/>
    </w:lvlOverride>
  </w:num>
  <w:num w:numId="36">
    <w:abstractNumId w:val="90"/>
    <w:lvlOverride w:ilvl="0">
      <w:startOverride w:val="1"/>
    </w:lvlOverride>
  </w:num>
  <w:num w:numId="37">
    <w:abstractNumId w:val="90"/>
    <w:lvlOverride w:ilvl="0">
      <w:startOverride w:val="1"/>
    </w:lvlOverride>
  </w:num>
  <w:num w:numId="38">
    <w:abstractNumId w:val="90"/>
    <w:lvlOverride w:ilvl="0">
      <w:startOverride w:val="1"/>
    </w:lvlOverride>
  </w:num>
  <w:num w:numId="39">
    <w:abstractNumId w:val="90"/>
    <w:lvlOverride w:ilvl="0">
      <w:startOverride w:val="1"/>
    </w:lvlOverride>
  </w:num>
  <w:num w:numId="40">
    <w:abstractNumId w:val="90"/>
    <w:lvlOverride w:ilvl="0">
      <w:startOverride w:val="1"/>
    </w:lvlOverride>
  </w:num>
  <w:num w:numId="41">
    <w:abstractNumId w:val="109"/>
    <w:lvlOverride w:ilvl="0">
      <w:startOverride w:val="1"/>
    </w:lvlOverride>
  </w:num>
  <w:num w:numId="42">
    <w:abstractNumId w:val="127"/>
    <w:lvlOverride w:ilvl="0">
      <w:startOverride w:val="1"/>
    </w:lvlOverride>
  </w:num>
  <w:num w:numId="43">
    <w:abstractNumId w:val="90"/>
    <w:lvlOverride w:ilvl="0">
      <w:startOverride w:val="1"/>
    </w:lvlOverride>
  </w:num>
  <w:num w:numId="44">
    <w:abstractNumId w:val="90"/>
    <w:lvlOverride w:ilvl="0">
      <w:startOverride w:val="1"/>
    </w:lvlOverride>
  </w:num>
  <w:num w:numId="45">
    <w:abstractNumId w:val="90"/>
    <w:lvlOverride w:ilvl="0">
      <w:startOverride w:val="1"/>
    </w:lvlOverride>
  </w:num>
  <w:num w:numId="46">
    <w:abstractNumId w:val="90"/>
    <w:lvlOverride w:ilvl="0">
      <w:startOverride w:val="1"/>
    </w:lvlOverride>
  </w:num>
  <w:num w:numId="47">
    <w:abstractNumId w:val="51"/>
  </w:num>
  <w:num w:numId="48">
    <w:abstractNumId w:val="35"/>
  </w:num>
  <w:num w:numId="49">
    <w:abstractNumId w:val="115"/>
  </w:num>
  <w:num w:numId="50">
    <w:abstractNumId w:val="128"/>
  </w:num>
  <w:num w:numId="51">
    <w:abstractNumId w:val="21"/>
  </w:num>
  <w:num w:numId="52">
    <w:abstractNumId w:val="93"/>
  </w:num>
  <w:num w:numId="53">
    <w:abstractNumId w:val="82"/>
  </w:num>
  <w:num w:numId="54">
    <w:abstractNumId w:val="66"/>
  </w:num>
  <w:num w:numId="55">
    <w:abstractNumId w:val="83"/>
  </w:num>
  <w:num w:numId="56">
    <w:abstractNumId w:val="57"/>
  </w:num>
  <w:num w:numId="57">
    <w:abstractNumId w:val="95"/>
  </w:num>
  <w:num w:numId="58">
    <w:abstractNumId w:val="118"/>
  </w:num>
  <w:num w:numId="59">
    <w:abstractNumId w:val="38"/>
  </w:num>
  <w:num w:numId="60">
    <w:abstractNumId w:val="102"/>
  </w:num>
  <w:num w:numId="61">
    <w:abstractNumId w:val="49"/>
  </w:num>
  <w:num w:numId="62">
    <w:abstractNumId w:val="72"/>
  </w:num>
  <w:num w:numId="63">
    <w:abstractNumId w:val="9"/>
  </w:num>
  <w:num w:numId="64">
    <w:abstractNumId w:val="20"/>
  </w:num>
  <w:num w:numId="65">
    <w:abstractNumId w:val="99"/>
  </w:num>
  <w:num w:numId="66">
    <w:abstractNumId w:val="101"/>
  </w:num>
  <w:num w:numId="67">
    <w:abstractNumId w:val="70"/>
  </w:num>
  <w:num w:numId="68">
    <w:abstractNumId w:val="121"/>
  </w:num>
  <w:num w:numId="69">
    <w:abstractNumId w:val="52"/>
  </w:num>
  <w:num w:numId="70">
    <w:abstractNumId w:val="84"/>
  </w:num>
  <w:num w:numId="71">
    <w:abstractNumId w:val="56"/>
  </w:num>
  <w:num w:numId="72">
    <w:abstractNumId w:val="78"/>
  </w:num>
  <w:num w:numId="73">
    <w:abstractNumId w:val="129"/>
  </w:num>
  <w:num w:numId="74">
    <w:abstractNumId w:val="74"/>
  </w:num>
  <w:num w:numId="75">
    <w:abstractNumId w:val="5"/>
  </w:num>
  <w:num w:numId="76">
    <w:abstractNumId w:val="41"/>
  </w:num>
  <w:num w:numId="77">
    <w:abstractNumId w:val="94"/>
  </w:num>
  <w:num w:numId="78">
    <w:abstractNumId w:val="98"/>
  </w:num>
  <w:num w:numId="79">
    <w:abstractNumId w:val="3"/>
  </w:num>
  <w:num w:numId="80">
    <w:abstractNumId w:val="43"/>
  </w:num>
  <w:num w:numId="81">
    <w:abstractNumId w:val="42"/>
  </w:num>
  <w:num w:numId="82">
    <w:abstractNumId w:val="31"/>
  </w:num>
  <w:num w:numId="83">
    <w:abstractNumId w:val="39"/>
  </w:num>
  <w:num w:numId="84">
    <w:abstractNumId w:val="59"/>
  </w:num>
  <w:num w:numId="85">
    <w:abstractNumId w:val="76"/>
  </w:num>
  <w:num w:numId="86">
    <w:abstractNumId w:val="7"/>
  </w:num>
  <w:num w:numId="87">
    <w:abstractNumId w:val="13"/>
  </w:num>
  <w:num w:numId="88">
    <w:abstractNumId w:val="80"/>
  </w:num>
  <w:num w:numId="89">
    <w:abstractNumId w:val="11"/>
  </w:num>
  <w:num w:numId="90">
    <w:abstractNumId w:val="26"/>
  </w:num>
  <w:num w:numId="91">
    <w:abstractNumId w:val="28"/>
  </w:num>
  <w:num w:numId="92">
    <w:abstractNumId w:val="89"/>
  </w:num>
  <w:num w:numId="93">
    <w:abstractNumId w:val="36"/>
  </w:num>
  <w:num w:numId="94">
    <w:abstractNumId w:val="22"/>
  </w:num>
  <w:num w:numId="95">
    <w:abstractNumId w:val="69"/>
  </w:num>
  <w:num w:numId="96">
    <w:abstractNumId w:val="19"/>
  </w:num>
  <w:num w:numId="97">
    <w:abstractNumId w:val="2"/>
  </w:num>
  <w:num w:numId="98">
    <w:abstractNumId w:val="4"/>
  </w:num>
  <w:num w:numId="99">
    <w:abstractNumId w:val="55"/>
  </w:num>
  <w:num w:numId="100">
    <w:abstractNumId w:val="62"/>
  </w:num>
  <w:num w:numId="101">
    <w:abstractNumId w:val="61"/>
  </w:num>
  <w:num w:numId="102">
    <w:abstractNumId w:val="85"/>
  </w:num>
  <w:num w:numId="103">
    <w:abstractNumId w:val="23"/>
  </w:num>
  <w:num w:numId="104">
    <w:abstractNumId w:val="18"/>
  </w:num>
  <w:num w:numId="105">
    <w:abstractNumId w:val="131"/>
  </w:num>
  <w:num w:numId="106">
    <w:abstractNumId w:val="33"/>
  </w:num>
  <w:num w:numId="107">
    <w:abstractNumId w:val="100"/>
  </w:num>
  <w:num w:numId="108">
    <w:abstractNumId w:val="54"/>
  </w:num>
  <w:num w:numId="109">
    <w:abstractNumId w:val="67"/>
  </w:num>
  <w:num w:numId="110">
    <w:abstractNumId w:val="15"/>
  </w:num>
  <w:num w:numId="111">
    <w:abstractNumId w:val="75"/>
  </w:num>
  <w:num w:numId="112">
    <w:abstractNumId w:val="6"/>
  </w:num>
  <w:num w:numId="113">
    <w:abstractNumId w:val="87"/>
  </w:num>
  <w:num w:numId="114">
    <w:abstractNumId w:val="92"/>
  </w:num>
  <w:num w:numId="115">
    <w:abstractNumId w:val="71"/>
  </w:num>
  <w:num w:numId="116">
    <w:abstractNumId w:val="103"/>
  </w:num>
  <w:num w:numId="117">
    <w:abstractNumId w:val="27"/>
  </w:num>
  <w:num w:numId="118">
    <w:abstractNumId w:val="116"/>
  </w:num>
  <w:num w:numId="119">
    <w:abstractNumId w:val="16"/>
  </w:num>
  <w:num w:numId="120">
    <w:abstractNumId w:val="46"/>
  </w:num>
  <w:num w:numId="121">
    <w:abstractNumId w:val="119"/>
  </w:num>
  <w:num w:numId="122">
    <w:abstractNumId w:val="107"/>
  </w:num>
  <w:num w:numId="123">
    <w:abstractNumId w:val="10"/>
  </w:num>
  <w:num w:numId="124">
    <w:abstractNumId w:val="73"/>
  </w:num>
  <w:num w:numId="125">
    <w:abstractNumId w:val="81"/>
  </w:num>
  <w:num w:numId="126">
    <w:abstractNumId w:val="110"/>
  </w:num>
  <w:num w:numId="127">
    <w:abstractNumId w:val="132"/>
  </w:num>
  <w:num w:numId="128">
    <w:abstractNumId w:val="8"/>
  </w:num>
  <w:num w:numId="129">
    <w:abstractNumId w:val="44"/>
  </w:num>
  <w:num w:numId="130">
    <w:abstractNumId w:val="122"/>
  </w:num>
  <w:num w:numId="131">
    <w:abstractNumId w:val="117"/>
  </w:num>
  <w:num w:numId="132">
    <w:abstractNumId w:val="47"/>
  </w:num>
  <w:num w:numId="133">
    <w:abstractNumId w:val="29"/>
  </w:num>
  <w:num w:numId="134">
    <w:abstractNumId w:val="12"/>
  </w:num>
  <w:num w:numId="135">
    <w:abstractNumId w:val="34"/>
  </w:num>
  <w:num w:numId="136">
    <w:abstractNumId w:val="104"/>
  </w:num>
  <w:num w:numId="137">
    <w:abstractNumId w:val="63"/>
  </w:num>
  <w:num w:numId="138">
    <w:abstractNumId w:val="88"/>
  </w:num>
  <w:num w:numId="139">
    <w:abstractNumId w:val="126"/>
  </w:num>
  <w:num w:numId="140">
    <w:abstractNumId w:val="130"/>
  </w:num>
  <w:num w:numId="141">
    <w:abstractNumId w:val="24"/>
  </w:num>
  <w:num w:numId="142">
    <w:abstractNumId w:val="112"/>
  </w:num>
  <w:num w:numId="143">
    <w:abstractNumId w:val="125"/>
  </w:num>
  <w:num w:numId="144">
    <w:abstractNumId w:val="50"/>
  </w:num>
  <w:num w:numId="145">
    <w:abstractNumId w:val="113"/>
  </w:num>
  <w:num w:numId="146">
    <w:abstractNumId w:val="14"/>
  </w:num>
  <w:num w:numId="147">
    <w:abstractNumId w:val="40"/>
  </w:num>
  <w:num w:numId="148">
    <w:abstractNumId w:val="10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3"/>
  <w:revisionView w:markup="0"/>
  <w:doNotTrackFormatting/>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397313" style="mso-position-vertical-relative:margin" fillcolor="#002395" stroke="f">
      <v:fill color="#002395"/>
      <v:stroke on="f"/>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9BA945EE7F247C78294F4889AD4946E"/>
    <w:docVar w:name="LW_CROSSREFERENCE" w:val="{COM(2017) 370 final}_x000b_{SWD(2017) 260 final}"/>
    <w:docVar w:name="LW_DocType" w:val="REP"/>
    <w:docVar w:name="LW_EMISSION" w:val="6.7.2017"/>
    <w:docVar w:name="LW_EMISSION_ISODATE" w:val="2017-07-0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Monitoring the application of European Union law_x000b_2016 Annual Report"/>
    <w:docVar w:name="LW_PART_NBR" w:val="1"/>
    <w:docVar w:name="LW_PART_NBR_TOTAL" w:val="1"/>
    <w:docVar w:name="LW_REF.INST.NEW" w:val="SWD"/>
    <w:docVar w:name="LW_REF.INST.NEW_ADOPTED" w:val="final"/>
    <w:docVar w:name="LW_REF.INST.NEW_TEXT" w:val="(2017) 259"/>
    <w:docVar w:name="LW_REF.INTERNE" w:val="&lt;UNUSED&gt;"/>
    <w:docVar w:name="LW_SUPERTITRE" w:val="&lt;UNUSED&gt;"/>
    <w:docVar w:name="LW_TITRE.OBJ.CP" w:val="Part I: Policy areas"/>
    <w:docVar w:name="LW_TYPE.DOC.CP" w:val="COMMISSION STAFF WORKING DOCUMENT"/>
    <w:docVar w:name="LW_TYPEACTEPRINCIPAL.CP" w:val="&lt;UNUSED&gt;"/>
    <w:docVar w:name="Stamp" w:val="\\dossiers.dgt.cec.eu.int\dossiers\SG\SG-2016-00297\SG-2016-00297-00-03-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7313"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qFormat/>
    <w:pPr>
      <w:spacing w:after="240"/>
      <w:jc w:val="both"/>
    </w:pPr>
    <w:rPr>
      <w:rFonts w:ascii="Arial" w:hAnsi="Arial"/>
      <w:sz w:val="22"/>
      <w:lang w:eastAsia="en-US"/>
    </w:rPr>
  </w:style>
  <w:style w:type="paragraph" w:styleId="Heading1">
    <w:name w:val="heading 1"/>
    <w:basedOn w:val="Normal"/>
    <w:next w:val="MemberStateHeader"/>
    <w:link w:val="Heading1Char"/>
    <w:qFormat/>
    <w:pPr>
      <w:keepNext/>
      <w:ind w:left="482"/>
      <w:jc w:val="center"/>
      <w:outlineLvl w:val="0"/>
    </w:pPr>
    <w:rPr>
      <w:color w:val="A6A6A6" w:themeColor="background1" w:themeShade="A6"/>
      <w:sz w:val="24"/>
    </w:rPr>
  </w:style>
  <w:style w:type="paragraph" w:styleId="Heading2">
    <w:name w:val="heading 2"/>
    <w:basedOn w:val="Normal"/>
    <w:next w:val="Text2"/>
    <w:pPr>
      <w:keepNext/>
      <w:numPr>
        <w:ilvl w:val="1"/>
        <w:numId w:val="3"/>
      </w:numPr>
      <w:outlineLvl w:val="1"/>
    </w:pPr>
    <w:rPr>
      <w:b/>
    </w:rPr>
  </w:style>
  <w:style w:type="paragraph" w:styleId="Heading3">
    <w:name w:val="heading 3"/>
    <w:basedOn w:val="Normal"/>
    <w:next w:val="Text3"/>
    <w:pPr>
      <w:keepNext/>
      <w:numPr>
        <w:ilvl w:val="2"/>
        <w:numId w:val="3"/>
      </w:numPr>
      <w:outlineLvl w:val="2"/>
    </w:pPr>
    <w:rPr>
      <w:i/>
    </w:rPr>
  </w:style>
  <w:style w:type="paragraph" w:styleId="Heading4">
    <w:name w:val="heading 4"/>
    <w:basedOn w:val="Normal"/>
    <w:next w:val="Text4"/>
    <w:pPr>
      <w:keepNext/>
      <w:numPr>
        <w:ilvl w:val="3"/>
        <w:numId w:val="3"/>
      </w:numPr>
      <w:outlineLvl w:val="3"/>
    </w:pPr>
  </w:style>
  <w:style w:type="paragraph" w:styleId="Heading5">
    <w:name w:val="heading 5"/>
    <w:basedOn w:val="Normal"/>
    <w:next w:val="Normal"/>
    <w:pPr>
      <w:tabs>
        <w:tab w:val="num" w:pos="0"/>
      </w:tabs>
      <w:spacing w:before="240" w:after="60"/>
      <w:outlineLvl w:val="4"/>
    </w:pPr>
  </w:style>
  <w:style w:type="paragraph" w:styleId="Heading6">
    <w:name w:val="heading 6"/>
    <w:basedOn w:val="Normal"/>
    <w:next w:val="Normal"/>
    <w:pPr>
      <w:tabs>
        <w:tab w:val="num" w:pos="0"/>
      </w:tabs>
      <w:spacing w:before="240" w:after="60"/>
      <w:outlineLvl w:val="5"/>
    </w:pPr>
    <w:rPr>
      <w:i/>
    </w:rPr>
  </w:style>
  <w:style w:type="paragraph" w:styleId="Heading7">
    <w:name w:val="heading 7"/>
    <w:basedOn w:val="Normal"/>
    <w:next w:val="Normal"/>
    <w:pPr>
      <w:tabs>
        <w:tab w:val="num" w:pos="0"/>
      </w:tabs>
      <w:spacing w:before="240" w:after="60"/>
      <w:outlineLvl w:val="6"/>
    </w:pPr>
    <w:rPr>
      <w:sz w:val="20"/>
    </w:rPr>
  </w:style>
  <w:style w:type="paragraph" w:styleId="Heading8">
    <w:name w:val="heading 8"/>
    <w:basedOn w:val="Normal"/>
    <w:next w:val="Normal"/>
    <w:pPr>
      <w:tabs>
        <w:tab w:val="num" w:pos="0"/>
      </w:tabs>
      <w:spacing w:before="240" w:after="60"/>
      <w:outlineLvl w:val="7"/>
    </w:pPr>
    <w:rPr>
      <w:i/>
      <w:sz w:val="20"/>
    </w:rPr>
  </w:style>
  <w:style w:type="paragraph" w:styleId="Heading9">
    <w:name w:val="heading 9"/>
    <w:basedOn w:val="Normal"/>
    <w:next w:val="Normal"/>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autoRedefine/>
    <w:uiPriority w:val="99"/>
    <w:qFormat/>
    <w:pPr>
      <w:spacing w:after="0"/>
      <w:ind w:left="426" w:hanging="426"/>
    </w:pPr>
    <w:rPr>
      <w:rFonts w:cs="Arial"/>
      <w:sz w:val="18"/>
      <w:szCs w:val="18"/>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autoRedefine/>
    <w:qFormat/>
    <w:pPr>
      <w:spacing w:after="60"/>
      <w:ind w:left="720"/>
      <w:jc w:val="left"/>
      <w:outlineLvl w:val="1"/>
    </w:pPr>
    <w:rPr>
      <w:color w:val="00206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pPr>
      <w:widowControl w:val="0"/>
      <w:autoSpaceDE w:val="0"/>
      <w:autoSpaceDN w:val="0"/>
      <w:spacing w:after="0"/>
      <w:ind w:right="85"/>
    </w:pPr>
    <w:rPr>
      <w:rFonts w:cs="Arial"/>
      <w:szCs w:val="24"/>
      <w:lang w:eastAsia="en-GB"/>
    </w:rPr>
  </w:style>
  <w:style w:type="paragraph" w:customStyle="1" w:styleId="ZDGName">
    <w:name w:val="Z_DGName"/>
    <w:basedOn w:val="Normal"/>
    <w:pPr>
      <w:widowControl w:val="0"/>
      <w:autoSpaceDE w:val="0"/>
      <w:autoSpaceDN w:val="0"/>
      <w:spacing w:after="0"/>
      <w:ind w:right="85"/>
      <w:jc w:val="left"/>
    </w:pPr>
    <w:rPr>
      <w:rFonts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table" w:styleId="ColorfulGrid-Accent3">
    <w:name w:val="Colorful Grid Accent 3"/>
    <w:basedOn w:val="TableNormal"/>
    <w:uiPriority w:val="69"/>
    <w:rPr>
      <w:rFonts w:ascii="Verdana" w:hAnsi="Verdana"/>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Pr>
      <w:rFonts w:ascii="Tahoma" w:hAnsi="Tahoma" w:cs="Tahoma"/>
      <w:sz w:val="16"/>
      <w:szCs w:val="16"/>
    </w:rPr>
  </w:style>
  <w:style w:type="paragraph" w:customStyle="1" w:styleId="DocumentTitle">
    <w:name w:val="Document Title"/>
    <w:basedOn w:val="Normal"/>
    <w:link w:val="DocumentTitleChar"/>
    <w:pPr>
      <w:jc w:val="center"/>
    </w:pPr>
    <w:rPr>
      <w:rFonts w:ascii="Verdana"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hAnsi="Verdana"/>
      <w:b/>
      <w:sz w:val="52"/>
      <w:lang w:val="fr-FR" w:eastAsia="en-US"/>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FooterChar">
    <w:name w:val="Footer Char"/>
    <w:link w:val="Footer"/>
    <w:uiPriority w:val="99"/>
    <w:rPr>
      <w:rFonts w:ascii="Arial" w:hAnsi="Arial"/>
      <w:sz w:val="16"/>
      <w:lang w:val="fr-FR"/>
    </w:rPr>
  </w:style>
  <w:style w:type="character" w:customStyle="1" w:styleId="ApprovalfooterChar">
    <w:name w:val="Approval_footer Char"/>
    <w:link w:val="Footerapproval"/>
    <w:rPr>
      <w:rFonts w:ascii="Arial" w:hAnsi="Arial"/>
      <w:sz w:val="16"/>
      <w:lang w:val="fr-FR"/>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hAnsi="Verdana"/>
      <w:sz w:val="16"/>
      <w:lang w:val="it-IT"/>
    </w:rPr>
  </w:style>
  <w:style w:type="character" w:customStyle="1" w:styleId="HeaderChar">
    <w:name w:val="Header Char"/>
    <w:link w:val="Header"/>
    <w:uiPriority w:val="99"/>
    <w:rPr>
      <w:sz w:val="24"/>
      <w:lang w:val="fr-FR"/>
    </w:rPr>
  </w:style>
  <w:style w:type="character" w:customStyle="1" w:styleId="PagenumberChar">
    <w:name w:val="Page number Char"/>
    <w:link w:val="PageNumber1"/>
    <w:rPr>
      <w:rFonts w:ascii="Verdana" w:hAnsi="Verdana"/>
      <w:sz w:val="16"/>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hAnsi="Verdana"/>
      <w:b/>
      <w:color w:val="808080"/>
      <w:sz w:val="18"/>
      <w:szCs w:val="18"/>
      <w:lang w:val="fr-FR"/>
    </w:rPr>
  </w:style>
  <w:style w:type="paragraph" w:customStyle="1" w:styleId="Heading">
    <w:name w:val="Heading"/>
    <w:basedOn w:val="TOC1"/>
    <w:link w:val="HeadingChar"/>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Pr>
      <w:sz w:val="24"/>
      <w:lang w:val="fr-FR"/>
    </w:rPr>
  </w:style>
  <w:style w:type="character" w:customStyle="1" w:styleId="Bulletpoint1Char">
    <w:name w:val="Bullet point1 Char"/>
    <w:link w:val="Bulletpoint1"/>
    <w:rPr>
      <w:rFonts w:ascii="Verdana" w:hAnsi="Verdana"/>
      <w:sz w:val="18"/>
      <w:lang w:eastAsia="en-US"/>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Verdana" w:hAnsi="Verdana"/>
      <w:b/>
      <w:caps/>
      <w:u w:val="single"/>
      <w:lang w:val="fr-FR"/>
    </w:rPr>
  </w:style>
  <w:style w:type="paragraph" w:customStyle="1" w:styleId="Body">
    <w:name w:val="Body"/>
    <w:basedOn w:val="Normal"/>
    <w:link w:val="BodyChar"/>
    <w:pPr>
      <w:ind w:firstLine="709"/>
    </w:pPr>
    <w:rPr>
      <w:rFonts w:ascii="Verdana" w:hAnsi="Verdana"/>
      <w:sz w:val="20"/>
      <w:lang w:val="en-US"/>
    </w:rPr>
  </w:style>
  <w:style w:type="character" w:customStyle="1" w:styleId="BulletPoint2Char">
    <w:name w:val="Bullet Point 2 Char"/>
    <w:link w:val="BulletPoint2"/>
    <w:rPr>
      <w:rFonts w:ascii="Verdana" w:hAnsi="Verdana"/>
      <w:sz w:val="18"/>
      <w:lang w:eastAsia="en-US"/>
    </w:rPr>
  </w:style>
  <w:style w:type="paragraph" w:customStyle="1" w:styleId="Heading20">
    <w:name w:val="Heading2"/>
    <w:basedOn w:val="Title2"/>
    <w:link w:val="Heading2Char"/>
    <w:pPr>
      <w:numPr>
        <w:numId w:val="0"/>
      </w:numPr>
    </w:pPr>
    <w:rPr>
      <w:rFonts w:ascii="Verdana" w:hAnsi="Verdana"/>
      <w:b/>
      <w:i/>
    </w:rPr>
  </w:style>
  <w:style w:type="character" w:customStyle="1" w:styleId="BodyChar">
    <w:name w:val="Body Char"/>
    <w:link w:val="Body"/>
    <w:rPr>
      <w:rFonts w:ascii="Verdana" w:hAnsi="Verdana"/>
      <w:lang w:val="en-US" w:eastAsia="en-US"/>
    </w:rPr>
  </w:style>
  <w:style w:type="table" w:styleId="TableGrid">
    <w:name w:val="Table Grid"/>
    <w:aliases w:val="Document Table"/>
    <w:basedOn w:val="TableNormal"/>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Pr>
      <w:rFonts w:ascii="Verdana" w:hAnsi="Verdana"/>
      <w:b/>
      <w:i/>
      <w:sz w:val="24"/>
      <w:lang w:val="fr-FR" w:eastAsia="en-US"/>
    </w:rPr>
  </w:style>
  <w:style w:type="table" w:customStyle="1" w:styleId="Style1">
    <w:name w:val="Style1"/>
    <w:basedOn w:val="TableNormal"/>
    <w:tblPr>
      <w:tblInd w:w="0" w:type="dxa"/>
      <w:tblCellMar>
        <w:top w:w="0" w:type="dxa"/>
        <w:left w:w="108" w:type="dxa"/>
        <w:bottom w:w="0" w:type="dxa"/>
        <w:right w:w="108" w:type="dxa"/>
      </w:tblCellMar>
    </w:tblPr>
  </w:style>
  <w:style w:type="table" w:styleId="TableElegant">
    <w:name w:val="Table Elegant"/>
    <w:basedOn w:val="TableNormal"/>
    <w:pPr>
      <w:spacing w:after="24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unhideWhenUsed/>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
    <w:pPr>
      <w:ind w:left="0" w:firstLine="0"/>
    </w:pPr>
    <w:rPr>
      <w:b/>
      <w:i/>
      <w:sz w:val="20"/>
    </w:rPr>
  </w:style>
  <w:style w:type="character" w:customStyle="1" w:styleId="SubtitleChar">
    <w:name w:val="Subtitle_ Char"/>
    <w:link w:val="Subtitle0"/>
    <w:rPr>
      <w:rFonts w:ascii="Verdana" w:hAnsi="Verdana"/>
      <w:b/>
      <w:i/>
      <w:sz w:val="24"/>
      <w:lang w:val="fr-FR" w:eastAsia="en-US"/>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hAnsi="Verdana"/>
      <w:b/>
      <w:szCs w:val="18"/>
      <w:lang w:val="en-GB" w:eastAsia="en-US"/>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hAnsi="Verdana"/>
      <w:b/>
      <w:color w:val="FF0000"/>
      <w:sz w:val="52"/>
      <w:szCs w:val="52"/>
      <w:lang w:val="en-GB" w:eastAsia="en-US"/>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hAnsi="Verdana"/>
      <w:b/>
      <w:i/>
      <w:color w:val="FF0000"/>
      <w:sz w:val="32"/>
      <w:lang w:val="en-GB" w:eastAsia="en-US"/>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hAnsi="Verdana"/>
      <w:color w:val="FF0000"/>
      <w:sz w:val="24"/>
      <w:lang w:val="en-GB" w:eastAsia="en-US"/>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hAnsi="Verdana"/>
      <w:color w:val="FF0000"/>
      <w:sz w:val="24"/>
      <w:lang w:val="en-GB" w:eastAsia="en-US"/>
    </w:rPr>
  </w:style>
  <w:style w:type="character" w:customStyle="1" w:styleId="BackcovercategoryChar">
    <w:name w:val="Backcover_category Char"/>
    <w:link w:val="Backcovercategory"/>
    <w:rPr>
      <w:rFonts w:ascii="Verdana" w:hAnsi="Verdana"/>
      <w:i/>
      <w:color w:val="FF0000"/>
      <w:sz w:val="18"/>
      <w:lang w:val="en-GB" w:eastAsia="en-US"/>
    </w:rPr>
  </w:style>
  <w:style w:type="paragraph" w:customStyle="1" w:styleId="kop2">
    <w:name w:val="kop 2"/>
    <w:basedOn w:val="Normal"/>
    <w:next w:val="Normal"/>
    <w:link w:val="kop2Char"/>
    <w:uiPriority w:val="1"/>
    <w:unhideWhenUsed/>
    <w:qFormat/>
    <w:pPr>
      <w:keepNext/>
      <w:keepLines/>
      <w:numPr>
        <w:numId w:val="22"/>
      </w:numPr>
      <w:outlineLvl w:val="1"/>
    </w:pPr>
    <w:rPr>
      <w:rFonts w:ascii="Verdana" w:eastAsia="MS Gothic" w:hAnsi="Verdana"/>
      <w:caps/>
      <w:color w:val="242852"/>
      <w:kern w:val="20"/>
      <w:lang w:val="nl-NL"/>
    </w:rPr>
  </w:style>
  <w:style w:type="paragraph" w:customStyle="1" w:styleId="kop3">
    <w:name w:val="kop 3"/>
    <w:basedOn w:val="Normal"/>
    <w:next w:val="Normal"/>
    <w:link w:val="kop3Char"/>
    <w:uiPriority w:val="1"/>
    <w:unhideWhenUsed/>
    <w:qFormat/>
    <w:pPr>
      <w:keepNext/>
      <w:keepLines/>
      <w:numPr>
        <w:numId w:val="24"/>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Verdana" w:eastAsia="MS Gothic" w:hAnsi="Verdana"/>
      <w:caps/>
      <w:color w:val="242852"/>
      <w:kern w:val="20"/>
      <w:sz w:val="22"/>
      <w:lang w:val="nl-NL" w:eastAsia="en-US"/>
    </w:rPr>
  </w:style>
  <w:style w:type="character" w:customStyle="1" w:styleId="kop3Char">
    <w:name w:val="kop 3 Char"/>
    <w:link w:val="kop3"/>
    <w:uiPriority w:val="1"/>
    <w:rPr>
      <w:rFonts w:ascii="Verdana" w:eastAsia="MS Gothic" w:hAnsi="Verdana"/>
      <w:bCs/>
      <w:color w:val="006FB4"/>
      <w:kern w:val="20"/>
      <w:sz w:val="22"/>
      <w:lang w:val="nl-NL" w:eastAsia="en-US"/>
    </w:rPr>
  </w:style>
  <w:style w:type="paragraph" w:customStyle="1" w:styleId="Lijstje">
    <w:name w:val="Lijstje"/>
    <w:basedOn w:val="NoSpacing"/>
    <w:uiPriority w:val="1"/>
    <w:unhideWhenUsed/>
    <w:qFormat/>
    <w:locked/>
    <w:pPr>
      <w:numPr>
        <w:numId w:val="23"/>
      </w:numPr>
      <w:spacing w:after="240"/>
    </w:pPr>
    <w:rPr>
      <w:rFonts w:ascii="Verdana" w:eastAsia="Calibri" w:hAnsi="Verdana"/>
      <w:kern w:val="20"/>
      <w:sz w:val="20"/>
      <w:lang w:val="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qFormat/>
    <w:locked/>
    <w:pPr>
      <w:numPr>
        <w:numId w:val="25"/>
      </w:numPr>
      <w:spacing w:after="200"/>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themeColor="accent1" w:themeTint="99"/>
      <w:sz w:val="20"/>
    </w:rPr>
  </w:style>
  <w:style w:type="paragraph" w:styleId="NoSpacing">
    <w:name w:val="No Spacing"/>
    <w:uiPriority w:val="1"/>
    <w:pPr>
      <w:jc w:val="both"/>
    </w:pPr>
    <w:rPr>
      <w:sz w:val="24"/>
      <w:lang w:val="fr-FR" w:eastAsia="en-US"/>
    </w:rPr>
  </w:style>
  <w:style w:type="paragraph" w:styleId="ListParagraph">
    <w:name w:val="List Paragraph"/>
    <w:basedOn w:val="Normal"/>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eastAsia="Calibri" w:hAnsi="Calibri"/>
      <w:color w:val="595959"/>
      <w:lang w:val="nl-NL" w:eastAsia="en-US"/>
    </w:rPr>
  </w:style>
  <w:style w:type="character" w:customStyle="1" w:styleId="Tekensvoorkop1">
    <w:name w:val="Tekens voor kop 1"/>
    <w:link w:val="kop1"/>
    <w:uiPriority w:val="1"/>
    <w:rPr>
      <w:rFonts w:ascii="Calibri" w:eastAsia="Calibri" w:hAnsi="Calibri" w:cs="Times New Roman"/>
      <w:kern w:val="20"/>
      <w:sz w:val="36"/>
      <w:lang w:val="nl-NL" w:eastAsia="en-US"/>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lang w:val="nl-NL" w:eastAsia="en-US"/>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link w:val="CommentText"/>
    <w:uiPriority w:val="99"/>
    <w:semiHidden/>
    <w:rPr>
      <w:lang w:val="fr-FR" w:eastAsia="en-US"/>
    </w:rPr>
  </w:style>
  <w:style w:type="character" w:customStyle="1" w:styleId="CommentSubjectChar">
    <w:name w:val="Comment Subject Char"/>
    <w:link w:val="CommentSubject"/>
    <w:semiHidden/>
    <w:rPr>
      <w:b/>
      <w:bCs/>
      <w:lang w:val="fr-FR" w:eastAsia="en-US"/>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uiPriority w:val="99"/>
    <w:rPr>
      <w:lang w:val="fr-FR" w:eastAsia="en-US"/>
    </w:rPr>
  </w:style>
  <w:style w:type="paragraph" w:styleId="Revision">
    <w:name w:val="Revision"/>
    <w:hidden/>
    <w:uiPriority w:val="99"/>
    <w:semiHidden/>
    <w:rPr>
      <w:sz w:val="24"/>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hAnsi="Verdana"/>
      <w:color w:val="5AA2AE"/>
      <w:sz w:val="24"/>
      <w:lang w:eastAsia="en-US"/>
    </w:rPr>
  </w:style>
  <w:style w:type="character" w:customStyle="1" w:styleId="Kop5Char">
    <w:name w:val="Kop 5 Char"/>
    <w:link w:val="Kop5"/>
    <w:rPr>
      <w:rFonts w:ascii="Verdana" w:hAnsi="Verdana"/>
      <w:color w:val="7BCCFF"/>
      <w:sz w:val="24"/>
      <w:lang w:val="en-GB" w:eastAsia="en-US"/>
    </w:rPr>
  </w:style>
  <w:style w:type="paragraph" w:customStyle="1" w:styleId="MemberStateHeader">
    <w:name w:val="Member State Header"/>
    <w:basedOn w:val="Normal"/>
    <w:link w:val="MemberStateHeaderChar"/>
    <w:qFormat/>
    <w:pPr>
      <w:jc w:val="center"/>
    </w:pPr>
    <w:rPr>
      <w:color w:val="BFBFBF" w:themeColor="background1" w:themeShade="BF"/>
      <w:sz w:val="24"/>
      <w:szCs w:val="24"/>
    </w:rPr>
  </w:style>
  <w:style w:type="character" w:customStyle="1" w:styleId="MemberStateHeaderChar">
    <w:name w:val="Member State Header Char"/>
    <w:link w:val="MemberStateHeader"/>
    <w:rPr>
      <w:rFonts w:ascii="Arial" w:hAnsi="Arial"/>
      <w:color w:val="BFBFBF" w:themeColor="background1" w:themeShade="BF"/>
      <w:sz w:val="24"/>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aps/>
      <w:sz w:val="24"/>
    </w:rPr>
  </w:style>
  <w:style w:type="character" w:customStyle="1" w:styleId="FooterCoverPageChar">
    <w:name w:val="Footer Cover Page Char"/>
    <w:basedOn w:val="DefaultParagraphFont"/>
    <w:link w:val="FooterCoverPage"/>
    <w:rPr>
      <w:caps/>
      <w:sz w:val="24"/>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aps/>
      <w:sz w:val="24"/>
    </w:rPr>
  </w:style>
  <w:style w:type="character" w:customStyle="1" w:styleId="HeaderCoverPageChar">
    <w:name w:val="Header Cover Page Char"/>
    <w:basedOn w:val="DefaultParagraphFont"/>
    <w:link w:val="HeaderCoverPage"/>
    <w:rPr>
      <w:caps/>
      <w:sz w:val="24"/>
      <w:lang w:eastAsia="en-US"/>
    </w:rPr>
  </w:style>
  <w:style w:type="paragraph" w:customStyle="1" w:styleId="Priorities">
    <w:name w:val="Priorities"/>
    <w:basedOn w:val="Normal"/>
    <w:link w:val="PrioritiesChar"/>
    <w:qFormat/>
    <w:pPr>
      <w:spacing w:after="200" w:line="276" w:lineRule="auto"/>
      <w:jc w:val="center"/>
    </w:pPr>
    <w:rPr>
      <w:rFonts w:eastAsiaTheme="minorHAnsi" w:cs="Arial"/>
      <w:b/>
      <w:color w:val="163E71"/>
      <w:sz w:val="28"/>
      <w:szCs w:val="28"/>
    </w:rPr>
  </w:style>
  <w:style w:type="character" w:customStyle="1" w:styleId="PrioritiesChar">
    <w:name w:val="Priorities Char"/>
    <w:basedOn w:val="DefaultParagraphFont"/>
    <w:link w:val="Priorities"/>
    <w:rPr>
      <w:rFonts w:ascii="Arial" w:eastAsiaTheme="minorHAnsi" w:hAnsi="Arial" w:cs="Arial"/>
      <w:b/>
      <w:color w:val="163E71"/>
      <w:sz w:val="28"/>
      <w:szCs w:val="28"/>
      <w:lang w:eastAsia="en-US"/>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hAnsi="Verdana"/>
      <w:lang w:val="en-US" w:eastAsia="en-US"/>
    </w:rPr>
  </w:style>
  <w:style w:type="paragraph" w:customStyle="1" w:styleId="Title1">
    <w:name w:val="Title1"/>
    <w:basedOn w:val="Normal"/>
    <w:link w:val="TITLEChar"/>
    <w:qFormat/>
    <w:pPr>
      <w:numPr>
        <w:numId w:val="30"/>
      </w:numPr>
    </w:pPr>
    <w:rPr>
      <w:caps/>
      <w:color w:val="4F81BD"/>
      <w:sz w:val="24"/>
      <w:szCs w:val="24"/>
    </w:rPr>
  </w:style>
  <w:style w:type="character" w:customStyle="1" w:styleId="TITLEChar">
    <w:name w:val="TITLE Char"/>
    <w:basedOn w:val="DefaultParagraphFont"/>
    <w:link w:val="Title1"/>
    <w:rPr>
      <w:rFonts w:ascii="Arial" w:hAnsi="Arial"/>
      <w:caps/>
      <w:color w:val="4F81BD"/>
      <w:sz w:val="24"/>
      <w:szCs w:val="24"/>
      <w:lang w:eastAsia="en-US"/>
    </w:rPr>
  </w:style>
  <w:style w:type="table" w:customStyle="1" w:styleId="Style11">
    <w:name w:val="Style11"/>
    <w:basedOn w:val="TableNormal"/>
    <w:tblPr>
      <w:tblInd w:w="0" w:type="dxa"/>
      <w:tblCellMar>
        <w:top w:w="0" w:type="dxa"/>
        <w:left w:w="108" w:type="dxa"/>
        <w:bottom w:w="0" w:type="dxa"/>
        <w:right w:w="108" w:type="dxa"/>
      </w:tblCellMar>
    </w:tblPr>
  </w:style>
  <w:style w:type="table" w:customStyle="1" w:styleId="Style12">
    <w:name w:val="Style12"/>
    <w:basedOn w:val="TableNormal"/>
    <w:tblPr>
      <w:tblInd w:w="0" w:type="dxa"/>
      <w:tblCellMar>
        <w:top w:w="0" w:type="dxa"/>
        <w:left w:w="108" w:type="dxa"/>
        <w:bottom w:w="0" w:type="dxa"/>
        <w:right w:w="108" w:type="dxa"/>
      </w:tblCellMar>
    </w:tblPr>
  </w:style>
  <w:style w:type="table" w:customStyle="1" w:styleId="Style13">
    <w:name w:val="Style13"/>
    <w:basedOn w:val="TableNormal"/>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rPr>
      <w:rFonts w:ascii="Arial" w:hAnsi="Arial"/>
      <w:color w:val="A6A6A6" w:themeColor="background1" w:themeShade="A6"/>
      <w:sz w:val="24"/>
      <w:lang w:eastAsia="en-US"/>
    </w:rPr>
  </w:style>
  <w:style w:type="paragraph" w:styleId="NormalWeb">
    <w:name w:val="Normal (Web)"/>
    <w:basedOn w:val="Normal"/>
    <w:semiHidden/>
    <w:unhideWhenUsed/>
    <w:rPr>
      <w:rFonts w:ascii="Times New Roman" w:hAnsi="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st1">
    <w:name w:val="st1"/>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qFormat/>
    <w:pPr>
      <w:spacing w:after="240"/>
      <w:jc w:val="both"/>
    </w:pPr>
    <w:rPr>
      <w:rFonts w:ascii="Arial" w:hAnsi="Arial"/>
      <w:sz w:val="22"/>
      <w:lang w:eastAsia="en-US"/>
    </w:rPr>
  </w:style>
  <w:style w:type="paragraph" w:styleId="Heading1">
    <w:name w:val="heading 1"/>
    <w:basedOn w:val="Normal"/>
    <w:next w:val="MemberStateHeader"/>
    <w:link w:val="Heading1Char"/>
    <w:qFormat/>
    <w:pPr>
      <w:keepNext/>
      <w:ind w:left="482"/>
      <w:jc w:val="center"/>
      <w:outlineLvl w:val="0"/>
    </w:pPr>
    <w:rPr>
      <w:color w:val="A6A6A6" w:themeColor="background1" w:themeShade="A6"/>
      <w:sz w:val="24"/>
    </w:rPr>
  </w:style>
  <w:style w:type="paragraph" w:styleId="Heading2">
    <w:name w:val="heading 2"/>
    <w:basedOn w:val="Normal"/>
    <w:next w:val="Text2"/>
    <w:pPr>
      <w:keepNext/>
      <w:numPr>
        <w:ilvl w:val="1"/>
        <w:numId w:val="3"/>
      </w:numPr>
      <w:outlineLvl w:val="1"/>
    </w:pPr>
    <w:rPr>
      <w:b/>
    </w:rPr>
  </w:style>
  <w:style w:type="paragraph" w:styleId="Heading3">
    <w:name w:val="heading 3"/>
    <w:basedOn w:val="Normal"/>
    <w:next w:val="Text3"/>
    <w:pPr>
      <w:keepNext/>
      <w:numPr>
        <w:ilvl w:val="2"/>
        <w:numId w:val="3"/>
      </w:numPr>
      <w:outlineLvl w:val="2"/>
    </w:pPr>
    <w:rPr>
      <w:i/>
    </w:rPr>
  </w:style>
  <w:style w:type="paragraph" w:styleId="Heading4">
    <w:name w:val="heading 4"/>
    <w:basedOn w:val="Normal"/>
    <w:next w:val="Text4"/>
    <w:pPr>
      <w:keepNext/>
      <w:numPr>
        <w:ilvl w:val="3"/>
        <w:numId w:val="3"/>
      </w:numPr>
      <w:outlineLvl w:val="3"/>
    </w:pPr>
  </w:style>
  <w:style w:type="paragraph" w:styleId="Heading5">
    <w:name w:val="heading 5"/>
    <w:basedOn w:val="Normal"/>
    <w:next w:val="Normal"/>
    <w:pPr>
      <w:tabs>
        <w:tab w:val="num" w:pos="0"/>
      </w:tabs>
      <w:spacing w:before="240" w:after="60"/>
      <w:outlineLvl w:val="4"/>
    </w:pPr>
  </w:style>
  <w:style w:type="paragraph" w:styleId="Heading6">
    <w:name w:val="heading 6"/>
    <w:basedOn w:val="Normal"/>
    <w:next w:val="Normal"/>
    <w:pPr>
      <w:tabs>
        <w:tab w:val="num" w:pos="0"/>
      </w:tabs>
      <w:spacing w:before="240" w:after="60"/>
      <w:outlineLvl w:val="5"/>
    </w:pPr>
    <w:rPr>
      <w:i/>
    </w:rPr>
  </w:style>
  <w:style w:type="paragraph" w:styleId="Heading7">
    <w:name w:val="heading 7"/>
    <w:basedOn w:val="Normal"/>
    <w:next w:val="Normal"/>
    <w:pPr>
      <w:tabs>
        <w:tab w:val="num" w:pos="0"/>
      </w:tabs>
      <w:spacing w:before="240" w:after="60"/>
      <w:outlineLvl w:val="6"/>
    </w:pPr>
    <w:rPr>
      <w:sz w:val="20"/>
    </w:rPr>
  </w:style>
  <w:style w:type="paragraph" w:styleId="Heading8">
    <w:name w:val="heading 8"/>
    <w:basedOn w:val="Normal"/>
    <w:next w:val="Normal"/>
    <w:pPr>
      <w:tabs>
        <w:tab w:val="num" w:pos="0"/>
      </w:tabs>
      <w:spacing w:before="240" w:after="60"/>
      <w:outlineLvl w:val="7"/>
    </w:pPr>
    <w:rPr>
      <w:i/>
      <w:sz w:val="20"/>
    </w:rPr>
  </w:style>
  <w:style w:type="paragraph" w:styleId="Heading9">
    <w:name w:val="heading 9"/>
    <w:basedOn w:val="Normal"/>
    <w:next w:val="Normal"/>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autoRedefine/>
    <w:uiPriority w:val="99"/>
    <w:qFormat/>
    <w:pPr>
      <w:spacing w:after="0"/>
      <w:ind w:left="426" w:hanging="426"/>
    </w:pPr>
    <w:rPr>
      <w:rFonts w:cs="Arial"/>
      <w:sz w:val="18"/>
      <w:szCs w:val="18"/>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autoRedefine/>
    <w:qFormat/>
    <w:pPr>
      <w:spacing w:after="60"/>
      <w:ind w:left="720"/>
      <w:jc w:val="left"/>
      <w:outlineLvl w:val="1"/>
    </w:pPr>
    <w:rPr>
      <w:color w:val="00206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pPr>
      <w:widowControl w:val="0"/>
      <w:autoSpaceDE w:val="0"/>
      <w:autoSpaceDN w:val="0"/>
      <w:spacing w:after="0"/>
      <w:ind w:right="85"/>
    </w:pPr>
    <w:rPr>
      <w:rFonts w:cs="Arial"/>
      <w:szCs w:val="24"/>
      <w:lang w:eastAsia="en-GB"/>
    </w:rPr>
  </w:style>
  <w:style w:type="paragraph" w:customStyle="1" w:styleId="ZDGName">
    <w:name w:val="Z_DGName"/>
    <w:basedOn w:val="Normal"/>
    <w:pPr>
      <w:widowControl w:val="0"/>
      <w:autoSpaceDE w:val="0"/>
      <w:autoSpaceDN w:val="0"/>
      <w:spacing w:after="0"/>
      <w:ind w:right="85"/>
      <w:jc w:val="left"/>
    </w:pPr>
    <w:rPr>
      <w:rFonts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table" w:styleId="ColorfulGrid-Accent3">
    <w:name w:val="Colorful Grid Accent 3"/>
    <w:basedOn w:val="TableNormal"/>
    <w:uiPriority w:val="69"/>
    <w:rPr>
      <w:rFonts w:ascii="Verdana" w:hAnsi="Verdana"/>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Pr>
      <w:rFonts w:ascii="Tahoma" w:hAnsi="Tahoma" w:cs="Tahoma"/>
      <w:sz w:val="16"/>
      <w:szCs w:val="16"/>
    </w:rPr>
  </w:style>
  <w:style w:type="paragraph" w:customStyle="1" w:styleId="DocumentTitle">
    <w:name w:val="Document Title"/>
    <w:basedOn w:val="Normal"/>
    <w:link w:val="DocumentTitleChar"/>
    <w:pPr>
      <w:jc w:val="center"/>
    </w:pPr>
    <w:rPr>
      <w:rFonts w:ascii="Verdana"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hAnsi="Verdana"/>
      <w:b/>
      <w:sz w:val="52"/>
      <w:lang w:val="fr-FR" w:eastAsia="en-US"/>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FooterChar">
    <w:name w:val="Footer Char"/>
    <w:link w:val="Footer"/>
    <w:uiPriority w:val="99"/>
    <w:rPr>
      <w:rFonts w:ascii="Arial" w:hAnsi="Arial"/>
      <w:sz w:val="16"/>
      <w:lang w:val="fr-FR"/>
    </w:rPr>
  </w:style>
  <w:style w:type="character" w:customStyle="1" w:styleId="ApprovalfooterChar">
    <w:name w:val="Approval_footer Char"/>
    <w:link w:val="Footerapproval"/>
    <w:rPr>
      <w:rFonts w:ascii="Arial" w:hAnsi="Arial"/>
      <w:sz w:val="16"/>
      <w:lang w:val="fr-FR"/>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hAnsi="Verdana"/>
      <w:sz w:val="16"/>
      <w:lang w:val="it-IT"/>
    </w:rPr>
  </w:style>
  <w:style w:type="character" w:customStyle="1" w:styleId="HeaderChar">
    <w:name w:val="Header Char"/>
    <w:link w:val="Header"/>
    <w:uiPriority w:val="99"/>
    <w:rPr>
      <w:sz w:val="24"/>
      <w:lang w:val="fr-FR"/>
    </w:rPr>
  </w:style>
  <w:style w:type="character" w:customStyle="1" w:styleId="PagenumberChar">
    <w:name w:val="Page number Char"/>
    <w:link w:val="PageNumber1"/>
    <w:rPr>
      <w:rFonts w:ascii="Verdana" w:hAnsi="Verdana"/>
      <w:sz w:val="16"/>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hAnsi="Verdana"/>
      <w:b/>
      <w:color w:val="808080"/>
      <w:sz w:val="18"/>
      <w:szCs w:val="18"/>
      <w:lang w:val="fr-FR"/>
    </w:rPr>
  </w:style>
  <w:style w:type="paragraph" w:customStyle="1" w:styleId="Heading">
    <w:name w:val="Heading"/>
    <w:basedOn w:val="TOC1"/>
    <w:link w:val="HeadingChar"/>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Pr>
      <w:sz w:val="24"/>
      <w:lang w:val="fr-FR"/>
    </w:rPr>
  </w:style>
  <w:style w:type="character" w:customStyle="1" w:styleId="Bulletpoint1Char">
    <w:name w:val="Bullet point1 Char"/>
    <w:link w:val="Bulletpoint1"/>
    <w:rPr>
      <w:rFonts w:ascii="Verdana" w:hAnsi="Verdana"/>
      <w:sz w:val="18"/>
      <w:lang w:eastAsia="en-US"/>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Verdana" w:hAnsi="Verdana"/>
      <w:b/>
      <w:caps/>
      <w:u w:val="single"/>
      <w:lang w:val="fr-FR"/>
    </w:rPr>
  </w:style>
  <w:style w:type="paragraph" w:customStyle="1" w:styleId="Body">
    <w:name w:val="Body"/>
    <w:basedOn w:val="Normal"/>
    <w:link w:val="BodyChar"/>
    <w:pPr>
      <w:ind w:firstLine="709"/>
    </w:pPr>
    <w:rPr>
      <w:rFonts w:ascii="Verdana" w:hAnsi="Verdana"/>
      <w:sz w:val="20"/>
      <w:lang w:val="en-US"/>
    </w:rPr>
  </w:style>
  <w:style w:type="character" w:customStyle="1" w:styleId="BulletPoint2Char">
    <w:name w:val="Bullet Point 2 Char"/>
    <w:link w:val="BulletPoint2"/>
    <w:rPr>
      <w:rFonts w:ascii="Verdana" w:hAnsi="Verdana"/>
      <w:sz w:val="18"/>
      <w:lang w:eastAsia="en-US"/>
    </w:rPr>
  </w:style>
  <w:style w:type="paragraph" w:customStyle="1" w:styleId="Heading20">
    <w:name w:val="Heading2"/>
    <w:basedOn w:val="Title2"/>
    <w:link w:val="Heading2Char"/>
    <w:pPr>
      <w:numPr>
        <w:numId w:val="0"/>
      </w:numPr>
    </w:pPr>
    <w:rPr>
      <w:rFonts w:ascii="Verdana" w:hAnsi="Verdana"/>
      <w:b/>
      <w:i/>
    </w:rPr>
  </w:style>
  <w:style w:type="character" w:customStyle="1" w:styleId="BodyChar">
    <w:name w:val="Body Char"/>
    <w:link w:val="Body"/>
    <w:rPr>
      <w:rFonts w:ascii="Verdana" w:hAnsi="Verdana"/>
      <w:lang w:val="en-US" w:eastAsia="en-US"/>
    </w:rPr>
  </w:style>
  <w:style w:type="table" w:styleId="TableGrid">
    <w:name w:val="Table Grid"/>
    <w:aliases w:val="Document Table"/>
    <w:basedOn w:val="TableNormal"/>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Pr>
      <w:rFonts w:ascii="Verdana" w:hAnsi="Verdana"/>
      <w:b/>
      <w:i/>
      <w:sz w:val="24"/>
      <w:lang w:val="fr-FR" w:eastAsia="en-US"/>
    </w:rPr>
  </w:style>
  <w:style w:type="table" w:customStyle="1" w:styleId="Style1">
    <w:name w:val="Style1"/>
    <w:basedOn w:val="TableNormal"/>
    <w:tblPr>
      <w:tblInd w:w="0" w:type="dxa"/>
      <w:tblCellMar>
        <w:top w:w="0" w:type="dxa"/>
        <w:left w:w="108" w:type="dxa"/>
        <w:bottom w:w="0" w:type="dxa"/>
        <w:right w:w="108" w:type="dxa"/>
      </w:tblCellMar>
    </w:tblPr>
  </w:style>
  <w:style w:type="table" w:styleId="TableElegant">
    <w:name w:val="Table Elegant"/>
    <w:basedOn w:val="TableNormal"/>
    <w:pPr>
      <w:spacing w:after="24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unhideWhenUsed/>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
    <w:pPr>
      <w:ind w:left="0" w:firstLine="0"/>
    </w:pPr>
    <w:rPr>
      <w:b/>
      <w:i/>
      <w:sz w:val="20"/>
    </w:rPr>
  </w:style>
  <w:style w:type="character" w:customStyle="1" w:styleId="SubtitleChar">
    <w:name w:val="Subtitle_ Char"/>
    <w:link w:val="Subtitle0"/>
    <w:rPr>
      <w:rFonts w:ascii="Verdana" w:hAnsi="Verdana"/>
      <w:b/>
      <w:i/>
      <w:sz w:val="24"/>
      <w:lang w:val="fr-FR" w:eastAsia="en-US"/>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hAnsi="Verdana"/>
      <w:b/>
      <w:szCs w:val="18"/>
      <w:lang w:val="en-GB" w:eastAsia="en-US"/>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hAnsi="Verdana"/>
      <w:b/>
      <w:color w:val="FF0000"/>
      <w:sz w:val="52"/>
      <w:szCs w:val="52"/>
      <w:lang w:val="en-GB" w:eastAsia="en-US"/>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hAnsi="Verdana"/>
      <w:b/>
      <w:i/>
      <w:color w:val="FF0000"/>
      <w:sz w:val="32"/>
      <w:lang w:val="en-GB" w:eastAsia="en-US"/>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hAnsi="Verdana"/>
      <w:color w:val="FF0000"/>
      <w:sz w:val="24"/>
      <w:lang w:val="en-GB" w:eastAsia="en-US"/>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hAnsi="Verdana"/>
      <w:color w:val="FF0000"/>
      <w:sz w:val="24"/>
      <w:lang w:val="en-GB" w:eastAsia="en-US"/>
    </w:rPr>
  </w:style>
  <w:style w:type="character" w:customStyle="1" w:styleId="BackcovercategoryChar">
    <w:name w:val="Backcover_category Char"/>
    <w:link w:val="Backcovercategory"/>
    <w:rPr>
      <w:rFonts w:ascii="Verdana" w:hAnsi="Verdana"/>
      <w:i/>
      <w:color w:val="FF0000"/>
      <w:sz w:val="18"/>
      <w:lang w:val="en-GB" w:eastAsia="en-US"/>
    </w:rPr>
  </w:style>
  <w:style w:type="paragraph" w:customStyle="1" w:styleId="kop2">
    <w:name w:val="kop 2"/>
    <w:basedOn w:val="Normal"/>
    <w:next w:val="Normal"/>
    <w:link w:val="kop2Char"/>
    <w:uiPriority w:val="1"/>
    <w:unhideWhenUsed/>
    <w:qFormat/>
    <w:pPr>
      <w:keepNext/>
      <w:keepLines/>
      <w:numPr>
        <w:numId w:val="22"/>
      </w:numPr>
      <w:outlineLvl w:val="1"/>
    </w:pPr>
    <w:rPr>
      <w:rFonts w:ascii="Verdana" w:eastAsia="MS Gothic" w:hAnsi="Verdana"/>
      <w:caps/>
      <w:color w:val="242852"/>
      <w:kern w:val="20"/>
      <w:lang w:val="nl-NL"/>
    </w:rPr>
  </w:style>
  <w:style w:type="paragraph" w:customStyle="1" w:styleId="kop3">
    <w:name w:val="kop 3"/>
    <w:basedOn w:val="Normal"/>
    <w:next w:val="Normal"/>
    <w:link w:val="kop3Char"/>
    <w:uiPriority w:val="1"/>
    <w:unhideWhenUsed/>
    <w:qFormat/>
    <w:pPr>
      <w:keepNext/>
      <w:keepLines/>
      <w:numPr>
        <w:numId w:val="24"/>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Verdana" w:eastAsia="MS Gothic" w:hAnsi="Verdana"/>
      <w:caps/>
      <w:color w:val="242852"/>
      <w:kern w:val="20"/>
      <w:sz w:val="22"/>
      <w:lang w:val="nl-NL" w:eastAsia="en-US"/>
    </w:rPr>
  </w:style>
  <w:style w:type="character" w:customStyle="1" w:styleId="kop3Char">
    <w:name w:val="kop 3 Char"/>
    <w:link w:val="kop3"/>
    <w:uiPriority w:val="1"/>
    <w:rPr>
      <w:rFonts w:ascii="Verdana" w:eastAsia="MS Gothic" w:hAnsi="Verdana"/>
      <w:bCs/>
      <w:color w:val="006FB4"/>
      <w:kern w:val="20"/>
      <w:sz w:val="22"/>
      <w:lang w:val="nl-NL" w:eastAsia="en-US"/>
    </w:rPr>
  </w:style>
  <w:style w:type="paragraph" w:customStyle="1" w:styleId="Lijstje">
    <w:name w:val="Lijstje"/>
    <w:basedOn w:val="NoSpacing"/>
    <w:uiPriority w:val="1"/>
    <w:unhideWhenUsed/>
    <w:qFormat/>
    <w:locked/>
    <w:pPr>
      <w:numPr>
        <w:numId w:val="23"/>
      </w:numPr>
      <w:spacing w:after="240"/>
    </w:pPr>
    <w:rPr>
      <w:rFonts w:ascii="Verdana" w:eastAsia="Calibri" w:hAnsi="Verdana"/>
      <w:kern w:val="20"/>
      <w:sz w:val="20"/>
      <w:lang w:val="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qFormat/>
    <w:locked/>
    <w:pPr>
      <w:numPr>
        <w:numId w:val="25"/>
      </w:numPr>
      <w:spacing w:after="200"/>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themeColor="accent1" w:themeTint="99"/>
      <w:sz w:val="20"/>
    </w:rPr>
  </w:style>
  <w:style w:type="paragraph" w:styleId="NoSpacing">
    <w:name w:val="No Spacing"/>
    <w:uiPriority w:val="1"/>
    <w:pPr>
      <w:jc w:val="both"/>
    </w:pPr>
    <w:rPr>
      <w:sz w:val="24"/>
      <w:lang w:val="fr-FR" w:eastAsia="en-US"/>
    </w:rPr>
  </w:style>
  <w:style w:type="paragraph" w:styleId="ListParagraph">
    <w:name w:val="List Paragraph"/>
    <w:basedOn w:val="Normal"/>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eastAsia="Calibri" w:hAnsi="Calibri"/>
      <w:color w:val="595959"/>
      <w:lang w:val="nl-NL" w:eastAsia="en-US"/>
    </w:rPr>
  </w:style>
  <w:style w:type="character" w:customStyle="1" w:styleId="Tekensvoorkop1">
    <w:name w:val="Tekens voor kop 1"/>
    <w:link w:val="kop1"/>
    <w:uiPriority w:val="1"/>
    <w:rPr>
      <w:rFonts w:ascii="Calibri" w:eastAsia="Calibri" w:hAnsi="Calibri" w:cs="Times New Roman"/>
      <w:kern w:val="20"/>
      <w:sz w:val="36"/>
      <w:lang w:val="nl-NL" w:eastAsia="en-US"/>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lang w:val="nl-NL" w:eastAsia="en-US"/>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link w:val="CommentText"/>
    <w:uiPriority w:val="99"/>
    <w:semiHidden/>
    <w:rPr>
      <w:lang w:val="fr-FR" w:eastAsia="en-US"/>
    </w:rPr>
  </w:style>
  <w:style w:type="character" w:customStyle="1" w:styleId="CommentSubjectChar">
    <w:name w:val="Comment Subject Char"/>
    <w:link w:val="CommentSubject"/>
    <w:semiHidden/>
    <w:rPr>
      <w:b/>
      <w:bCs/>
      <w:lang w:val="fr-FR" w:eastAsia="en-US"/>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uiPriority w:val="99"/>
    <w:rPr>
      <w:lang w:val="fr-FR" w:eastAsia="en-US"/>
    </w:rPr>
  </w:style>
  <w:style w:type="paragraph" w:styleId="Revision">
    <w:name w:val="Revision"/>
    <w:hidden/>
    <w:uiPriority w:val="99"/>
    <w:semiHidden/>
    <w:rPr>
      <w:sz w:val="24"/>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hAnsi="Verdana"/>
      <w:color w:val="5AA2AE"/>
      <w:sz w:val="24"/>
      <w:lang w:eastAsia="en-US"/>
    </w:rPr>
  </w:style>
  <w:style w:type="character" w:customStyle="1" w:styleId="Kop5Char">
    <w:name w:val="Kop 5 Char"/>
    <w:link w:val="Kop5"/>
    <w:rPr>
      <w:rFonts w:ascii="Verdana" w:hAnsi="Verdana"/>
      <w:color w:val="7BCCFF"/>
      <w:sz w:val="24"/>
      <w:lang w:val="en-GB" w:eastAsia="en-US"/>
    </w:rPr>
  </w:style>
  <w:style w:type="paragraph" w:customStyle="1" w:styleId="MemberStateHeader">
    <w:name w:val="Member State Header"/>
    <w:basedOn w:val="Normal"/>
    <w:link w:val="MemberStateHeaderChar"/>
    <w:qFormat/>
    <w:pPr>
      <w:jc w:val="center"/>
    </w:pPr>
    <w:rPr>
      <w:color w:val="BFBFBF" w:themeColor="background1" w:themeShade="BF"/>
      <w:sz w:val="24"/>
      <w:szCs w:val="24"/>
    </w:rPr>
  </w:style>
  <w:style w:type="character" w:customStyle="1" w:styleId="MemberStateHeaderChar">
    <w:name w:val="Member State Header Char"/>
    <w:link w:val="MemberStateHeader"/>
    <w:rPr>
      <w:rFonts w:ascii="Arial" w:hAnsi="Arial"/>
      <w:color w:val="BFBFBF" w:themeColor="background1" w:themeShade="BF"/>
      <w:sz w:val="24"/>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aps/>
      <w:sz w:val="24"/>
    </w:rPr>
  </w:style>
  <w:style w:type="character" w:customStyle="1" w:styleId="FooterCoverPageChar">
    <w:name w:val="Footer Cover Page Char"/>
    <w:basedOn w:val="DefaultParagraphFont"/>
    <w:link w:val="FooterCoverPage"/>
    <w:rPr>
      <w:caps/>
      <w:sz w:val="24"/>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aps/>
      <w:sz w:val="24"/>
    </w:rPr>
  </w:style>
  <w:style w:type="character" w:customStyle="1" w:styleId="HeaderCoverPageChar">
    <w:name w:val="Header Cover Page Char"/>
    <w:basedOn w:val="DefaultParagraphFont"/>
    <w:link w:val="HeaderCoverPage"/>
    <w:rPr>
      <w:caps/>
      <w:sz w:val="24"/>
      <w:lang w:eastAsia="en-US"/>
    </w:rPr>
  </w:style>
  <w:style w:type="paragraph" w:customStyle="1" w:styleId="Priorities">
    <w:name w:val="Priorities"/>
    <w:basedOn w:val="Normal"/>
    <w:link w:val="PrioritiesChar"/>
    <w:qFormat/>
    <w:pPr>
      <w:spacing w:after="200" w:line="276" w:lineRule="auto"/>
      <w:jc w:val="center"/>
    </w:pPr>
    <w:rPr>
      <w:rFonts w:eastAsiaTheme="minorHAnsi" w:cs="Arial"/>
      <w:b/>
      <w:color w:val="163E71"/>
      <w:sz w:val="28"/>
      <w:szCs w:val="28"/>
    </w:rPr>
  </w:style>
  <w:style w:type="character" w:customStyle="1" w:styleId="PrioritiesChar">
    <w:name w:val="Priorities Char"/>
    <w:basedOn w:val="DefaultParagraphFont"/>
    <w:link w:val="Priorities"/>
    <w:rPr>
      <w:rFonts w:ascii="Arial" w:eastAsiaTheme="minorHAnsi" w:hAnsi="Arial" w:cs="Arial"/>
      <w:b/>
      <w:color w:val="163E71"/>
      <w:sz w:val="28"/>
      <w:szCs w:val="28"/>
      <w:lang w:eastAsia="en-US"/>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hAnsi="Verdana"/>
      <w:lang w:val="en-US" w:eastAsia="en-US"/>
    </w:rPr>
  </w:style>
  <w:style w:type="paragraph" w:customStyle="1" w:styleId="Title1">
    <w:name w:val="Title1"/>
    <w:basedOn w:val="Normal"/>
    <w:link w:val="TITLEChar"/>
    <w:qFormat/>
    <w:pPr>
      <w:numPr>
        <w:numId w:val="30"/>
      </w:numPr>
    </w:pPr>
    <w:rPr>
      <w:caps/>
      <w:color w:val="4F81BD"/>
      <w:sz w:val="24"/>
      <w:szCs w:val="24"/>
    </w:rPr>
  </w:style>
  <w:style w:type="character" w:customStyle="1" w:styleId="TITLEChar">
    <w:name w:val="TITLE Char"/>
    <w:basedOn w:val="DefaultParagraphFont"/>
    <w:link w:val="Title1"/>
    <w:rPr>
      <w:rFonts w:ascii="Arial" w:hAnsi="Arial"/>
      <w:caps/>
      <w:color w:val="4F81BD"/>
      <w:sz w:val="24"/>
      <w:szCs w:val="24"/>
      <w:lang w:eastAsia="en-US"/>
    </w:rPr>
  </w:style>
  <w:style w:type="table" w:customStyle="1" w:styleId="Style11">
    <w:name w:val="Style11"/>
    <w:basedOn w:val="TableNormal"/>
    <w:tblPr>
      <w:tblInd w:w="0" w:type="dxa"/>
      <w:tblCellMar>
        <w:top w:w="0" w:type="dxa"/>
        <w:left w:w="108" w:type="dxa"/>
        <w:bottom w:w="0" w:type="dxa"/>
        <w:right w:w="108" w:type="dxa"/>
      </w:tblCellMar>
    </w:tblPr>
  </w:style>
  <w:style w:type="table" w:customStyle="1" w:styleId="Style12">
    <w:name w:val="Style12"/>
    <w:basedOn w:val="TableNormal"/>
    <w:tblPr>
      <w:tblInd w:w="0" w:type="dxa"/>
      <w:tblCellMar>
        <w:top w:w="0" w:type="dxa"/>
        <w:left w:w="108" w:type="dxa"/>
        <w:bottom w:w="0" w:type="dxa"/>
        <w:right w:w="108" w:type="dxa"/>
      </w:tblCellMar>
    </w:tblPr>
  </w:style>
  <w:style w:type="table" w:customStyle="1" w:styleId="Style13">
    <w:name w:val="Style13"/>
    <w:basedOn w:val="TableNormal"/>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rPr>
      <w:rFonts w:ascii="Arial" w:hAnsi="Arial"/>
      <w:color w:val="A6A6A6" w:themeColor="background1" w:themeShade="A6"/>
      <w:sz w:val="24"/>
      <w:lang w:eastAsia="en-US"/>
    </w:rPr>
  </w:style>
  <w:style w:type="paragraph" w:styleId="NormalWeb">
    <w:name w:val="Normal (Web)"/>
    <w:basedOn w:val="Normal"/>
    <w:semiHidden/>
    <w:unhideWhenUsed/>
    <w:rPr>
      <w:rFonts w:ascii="Times New Roman" w:hAnsi="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st1">
    <w:name w:val="st1"/>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910">
      <w:bodyDiv w:val="1"/>
      <w:marLeft w:val="0"/>
      <w:marRight w:val="0"/>
      <w:marTop w:val="0"/>
      <w:marBottom w:val="0"/>
      <w:divBdr>
        <w:top w:val="none" w:sz="0" w:space="0" w:color="auto"/>
        <w:left w:val="none" w:sz="0" w:space="0" w:color="auto"/>
        <w:bottom w:val="none" w:sz="0" w:space="0" w:color="auto"/>
        <w:right w:val="none" w:sz="0" w:space="0" w:color="auto"/>
      </w:divBdr>
    </w:div>
    <w:div w:id="10187765">
      <w:bodyDiv w:val="1"/>
      <w:marLeft w:val="0"/>
      <w:marRight w:val="0"/>
      <w:marTop w:val="0"/>
      <w:marBottom w:val="0"/>
      <w:divBdr>
        <w:top w:val="none" w:sz="0" w:space="0" w:color="auto"/>
        <w:left w:val="none" w:sz="0" w:space="0" w:color="auto"/>
        <w:bottom w:val="none" w:sz="0" w:space="0" w:color="auto"/>
        <w:right w:val="none" w:sz="0" w:space="0" w:color="auto"/>
      </w:divBdr>
    </w:div>
    <w:div w:id="22949177">
      <w:bodyDiv w:val="1"/>
      <w:marLeft w:val="0"/>
      <w:marRight w:val="0"/>
      <w:marTop w:val="0"/>
      <w:marBottom w:val="0"/>
      <w:divBdr>
        <w:top w:val="none" w:sz="0" w:space="0" w:color="auto"/>
        <w:left w:val="none" w:sz="0" w:space="0" w:color="auto"/>
        <w:bottom w:val="none" w:sz="0" w:space="0" w:color="auto"/>
        <w:right w:val="none" w:sz="0" w:space="0" w:color="auto"/>
      </w:divBdr>
      <w:divsChild>
        <w:div w:id="900822404">
          <w:marLeft w:val="0"/>
          <w:marRight w:val="0"/>
          <w:marTop w:val="0"/>
          <w:marBottom w:val="0"/>
          <w:divBdr>
            <w:top w:val="none" w:sz="0" w:space="0" w:color="auto"/>
            <w:left w:val="none" w:sz="0" w:space="0" w:color="auto"/>
            <w:bottom w:val="none" w:sz="0" w:space="0" w:color="auto"/>
            <w:right w:val="none" w:sz="0" w:space="0" w:color="auto"/>
          </w:divBdr>
          <w:divsChild>
            <w:div w:id="1230457846">
              <w:marLeft w:val="0"/>
              <w:marRight w:val="0"/>
              <w:marTop w:val="0"/>
              <w:marBottom w:val="0"/>
              <w:divBdr>
                <w:top w:val="none" w:sz="0" w:space="0" w:color="auto"/>
                <w:left w:val="none" w:sz="0" w:space="0" w:color="auto"/>
                <w:bottom w:val="none" w:sz="0" w:space="0" w:color="auto"/>
                <w:right w:val="none" w:sz="0" w:space="0" w:color="auto"/>
              </w:divBdr>
              <w:divsChild>
                <w:div w:id="1610042685">
                  <w:marLeft w:val="0"/>
                  <w:marRight w:val="0"/>
                  <w:marTop w:val="0"/>
                  <w:marBottom w:val="0"/>
                  <w:divBdr>
                    <w:top w:val="none" w:sz="0" w:space="0" w:color="auto"/>
                    <w:left w:val="none" w:sz="0" w:space="0" w:color="auto"/>
                    <w:bottom w:val="none" w:sz="0" w:space="0" w:color="auto"/>
                    <w:right w:val="none" w:sz="0" w:space="0" w:color="auto"/>
                  </w:divBdr>
                  <w:divsChild>
                    <w:div w:id="1445155071">
                      <w:marLeft w:val="0"/>
                      <w:marRight w:val="0"/>
                      <w:marTop w:val="0"/>
                      <w:marBottom w:val="0"/>
                      <w:divBdr>
                        <w:top w:val="none" w:sz="0" w:space="0" w:color="auto"/>
                        <w:left w:val="none" w:sz="0" w:space="0" w:color="auto"/>
                        <w:bottom w:val="none" w:sz="0" w:space="0" w:color="auto"/>
                        <w:right w:val="none" w:sz="0" w:space="0" w:color="auto"/>
                      </w:divBdr>
                      <w:divsChild>
                        <w:div w:id="782308462">
                          <w:marLeft w:val="0"/>
                          <w:marRight w:val="0"/>
                          <w:marTop w:val="0"/>
                          <w:marBottom w:val="0"/>
                          <w:divBdr>
                            <w:top w:val="none" w:sz="0" w:space="0" w:color="auto"/>
                            <w:left w:val="none" w:sz="0" w:space="0" w:color="auto"/>
                            <w:bottom w:val="none" w:sz="0" w:space="0" w:color="auto"/>
                            <w:right w:val="none" w:sz="0" w:space="0" w:color="auto"/>
                          </w:divBdr>
                          <w:divsChild>
                            <w:div w:id="986128834">
                              <w:marLeft w:val="0"/>
                              <w:marRight w:val="0"/>
                              <w:marTop w:val="0"/>
                              <w:marBottom w:val="0"/>
                              <w:divBdr>
                                <w:top w:val="none" w:sz="0" w:space="0" w:color="auto"/>
                                <w:left w:val="none" w:sz="0" w:space="0" w:color="auto"/>
                                <w:bottom w:val="none" w:sz="0" w:space="0" w:color="auto"/>
                                <w:right w:val="none" w:sz="0" w:space="0" w:color="auto"/>
                              </w:divBdr>
                              <w:divsChild>
                                <w:div w:id="430785409">
                                  <w:marLeft w:val="0"/>
                                  <w:marRight w:val="0"/>
                                  <w:marTop w:val="0"/>
                                  <w:marBottom w:val="0"/>
                                  <w:divBdr>
                                    <w:top w:val="none" w:sz="0" w:space="0" w:color="auto"/>
                                    <w:left w:val="none" w:sz="0" w:space="0" w:color="auto"/>
                                    <w:bottom w:val="none" w:sz="0" w:space="0" w:color="auto"/>
                                    <w:right w:val="none" w:sz="0" w:space="0" w:color="auto"/>
                                  </w:divBdr>
                                  <w:divsChild>
                                    <w:div w:id="920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94072">
      <w:bodyDiv w:val="1"/>
      <w:marLeft w:val="0"/>
      <w:marRight w:val="0"/>
      <w:marTop w:val="0"/>
      <w:marBottom w:val="0"/>
      <w:divBdr>
        <w:top w:val="none" w:sz="0" w:space="0" w:color="auto"/>
        <w:left w:val="none" w:sz="0" w:space="0" w:color="auto"/>
        <w:bottom w:val="none" w:sz="0" w:space="0" w:color="auto"/>
        <w:right w:val="none" w:sz="0" w:space="0" w:color="auto"/>
      </w:divBdr>
    </w:div>
    <w:div w:id="117381902">
      <w:bodyDiv w:val="1"/>
      <w:marLeft w:val="0"/>
      <w:marRight w:val="0"/>
      <w:marTop w:val="0"/>
      <w:marBottom w:val="0"/>
      <w:divBdr>
        <w:top w:val="none" w:sz="0" w:space="0" w:color="auto"/>
        <w:left w:val="none" w:sz="0" w:space="0" w:color="auto"/>
        <w:bottom w:val="none" w:sz="0" w:space="0" w:color="auto"/>
        <w:right w:val="none" w:sz="0" w:space="0" w:color="auto"/>
      </w:divBdr>
    </w:div>
    <w:div w:id="123623349">
      <w:bodyDiv w:val="1"/>
      <w:marLeft w:val="0"/>
      <w:marRight w:val="0"/>
      <w:marTop w:val="0"/>
      <w:marBottom w:val="0"/>
      <w:divBdr>
        <w:top w:val="none" w:sz="0" w:space="0" w:color="auto"/>
        <w:left w:val="none" w:sz="0" w:space="0" w:color="auto"/>
        <w:bottom w:val="none" w:sz="0" w:space="0" w:color="auto"/>
        <w:right w:val="none" w:sz="0" w:space="0" w:color="auto"/>
      </w:divBdr>
      <w:divsChild>
        <w:div w:id="1707676523">
          <w:marLeft w:val="0"/>
          <w:marRight w:val="0"/>
          <w:marTop w:val="0"/>
          <w:marBottom w:val="0"/>
          <w:divBdr>
            <w:top w:val="none" w:sz="0" w:space="0" w:color="auto"/>
            <w:left w:val="none" w:sz="0" w:space="0" w:color="auto"/>
            <w:bottom w:val="none" w:sz="0" w:space="0" w:color="auto"/>
            <w:right w:val="none" w:sz="0" w:space="0" w:color="auto"/>
          </w:divBdr>
          <w:divsChild>
            <w:div w:id="637105600">
              <w:marLeft w:val="0"/>
              <w:marRight w:val="0"/>
              <w:marTop w:val="0"/>
              <w:marBottom w:val="0"/>
              <w:divBdr>
                <w:top w:val="none" w:sz="0" w:space="0" w:color="auto"/>
                <w:left w:val="none" w:sz="0" w:space="0" w:color="auto"/>
                <w:bottom w:val="none" w:sz="0" w:space="0" w:color="auto"/>
                <w:right w:val="none" w:sz="0" w:space="0" w:color="auto"/>
              </w:divBdr>
              <w:divsChild>
                <w:div w:id="496699497">
                  <w:marLeft w:val="0"/>
                  <w:marRight w:val="0"/>
                  <w:marTop w:val="0"/>
                  <w:marBottom w:val="0"/>
                  <w:divBdr>
                    <w:top w:val="none" w:sz="0" w:space="0" w:color="auto"/>
                    <w:left w:val="none" w:sz="0" w:space="0" w:color="auto"/>
                    <w:bottom w:val="none" w:sz="0" w:space="0" w:color="auto"/>
                    <w:right w:val="none" w:sz="0" w:space="0" w:color="auto"/>
                  </w:divBdr>
                  <w:divsChild>
                    <w:div w:id="672487117">
                      <w:marLeft w:val="0"/>
                      <w:marRight w:val="0"/>
                      <w:marTop w:val="0"/>
                      <w:marBottom w:val="0"/>
                      <w:divBdr>
                        <w:top w:val="single" w:sz="6" w:space="0" w:color="CCCCCC"/>
                        <w:left w:val="single" w:sz="2" w:space="0" w:color="CCCCCC"/>
                        <w:bottom w:val="single" w:sz="6" w:space="0" w:color="CCCCCC"/>
                        <w:right w:val="single" w:sz="2" w:space="0" w:color="CCCCCC"/>
                      </w:divBdr>
                      <w:divsChild>
                        <w:div w:id="1008867738">
                          <w:marLeft w:val="0"/>
                          <w:marRight w:val="0"/>
                          <w:marTop w:val="0"/>
                          <w:marBottom w:val="0"/>
                          <w:divBdr>
                            <w:top w:val="none" w:sz="0" w:space="0" w:color="auto"/>
                            <w:left w:val="none" w:sz="0" w:space="0" w:color="auto"/>
                            <w:bottom w:val="none" w:sz="0" w:space="0" w:color="auto"/>
                            <w:right w:val="none" w:sz="0" w:space="0" w:color="auto"/>
                          </w:divBdr>
                          <w:divsChild>
                            <w:div w:id="1317493264">
                              <w:marLeft w:val="0"/>
                              <w:marRight w:val="0"/>
                              <w:marTop w:val="0"/>
                              <w:marBottom w:val="0"/>
                              <w:divBdr>
                                <w:top w:val="none" w:sz="0" w:space="0" w:color="auto"/>
                                <w:left w:val="none" w:sz="0" w:space="0" w:color="auto"/>
                                <w:bottom w:val="none" w:sz="0" w:space="0" w:color="auto"/>
                                <w:right w:val="none" w:sz="0" w:space="0" w:color="auto"/>
                              </w:divBdr>
                              <w:divsChild>
                                <w:div w:id="50424938">
                                  <w:marLeft w:val="0"/>
                                  <w:marRight w:val="0"/>
                                  <w:marTop w:val="0"/>
                                  <w:marBottom w:val="0"/>
                                  <w:divBdr>
                                    <w:top w:val="none" w:sz="0" w:space="0" w:color="auto"/>
                                    <w:left w:val="none" w:sz="0" w:space="0" w:color="auto"/>
                                    <w:bottom w:val="none" w:sz="0" w:space="0" w:color="auto"/>
                                    <w:right w:val="none" w:sz="0" w:space="0" w:color="auto"/>
                                  </w:divBdr>
                                  <w:divsChild>
                                    <w:div w:id="1860655277">
                                      <w:marLeft w:val="0"/>
                                      <w:marRight w:val="0"/>
                                      <w:marTop w:val="0"/>
                                      <w:marBottom w:val="0"/>
                                      <w:divBdr>
                                        <w:top w:val="none" w:sz="0" w:space="0" w:color="auto"/>
                                        <w:left w:val="none" w:sz="0" w:space="0" w:color="auto"/>
                                        <w:bottom w:val="none" w:sz="0" w:space="0" w:color="auto"/>
                                        <w:right w:val="none" w:sz="0" w:space="0" w:color="auto"/>
                                      </w:divBdr>
                                      <w:divsChild>
                                        <w:div w:id="13741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14402">
      <w:bodyDiv w:val="1"/>
      <w:marLeft w:val="0"/>
      <w:marRight w:val="0"/>
      <w:marTop w:val="0"/>
      <w:marBottom w:val="0"/>
      <w:divBdr>
        <w:top w:val="none" w:sz="0" w:space="0" w:color="auto"/>
        <w:left w:val="none" w:sz="0" w:space="0" w:color="auto"/>
        <w:bottom w:val="none" w:sz="0" w:space="0" w:color="auto"/>
        <w:right w:val="none" w:sz="0" w:space="0" w:color="auto"/>
      </w:divBdr>
    </w:div>
    <w:div w:id="187642404">
      <w:bodyDiv w:val="1"/>
      <w:marLeft w:val="0"/>
      <w:marRight w:val="0"/>
      <w:marTop w:val="0"/>
      <w:marBottom w:val="0"/>
      <w:divBdr>
        <w:top w:val="none" w:sz="0" w:space="0" w:color="auto"/>
        <w:left w:val="none" w:sz="0" w:space="0" w:color="auto"/>
        <w:bottom w:val="none" w:sz="0" w:space="0" w:color="auto"/>
        <w:right w:val="none" w:sz="0" w:space="0" w:color="auto"/>
      </w:divBdr>
    </w:div>
    <w:div w:id="205223123">
      <w:bodyDiv w:val="1"/>
      <w:marLeft w:val="0"/>
      <w:marRight w:val="0"/>
      <w:marTop w:val="0"/>
      <w:marBottom w:val="0"/>
      <w:divBdr>
        <w:top w:val="none" w:sz="0" w:space="0" w:color="auto"/>
        <w:left w:val="none" w:sz="0" w:space="0" w:color="auto"/>
        <w:bottom w:val="none" w:sz="0" w:space="0" w:color="auto"/>
        <w:right w:val="none" w:sz="0" w:space="0" w:color="auto"/>
      </w:divBdr>
    </w:div>
    <w:div w:id="230359624">
      <w:bodyDiv w:val="1"/>
      <w:marLeft w:val="0"/>
      <w:marRight w:val="0"/>
      <w:marTop w:val="0"/>
      <w:marBottom w:val="0"/>
      <w:divBdr>
        <w:top w:val="none" w:sz="0" w:space="0" w:color="auto"/>
        <w:left w:val="none" w:sz="0" w:space="0" w:color="auto"/>
        <w:bottom w:val="none" w:sz="0" w:space="0" w:color="auto"/>
        <w:right w:val="none" w:sz="0" w:space="0" w:color="auto"/>
      </w:divBdr>
    </w:div>
    <w:div w:id="263196543">
      <w:bodyDiv w:val="1"/>
      <w:marLeft w:val="0"/>
      <w:marRight w:val="0"/>
      <w:marTop w:val="0"/>
      <w:marBottom w:val="0"/>
      <w:divBdr>
        <w:top w:val="none" w:sz="0" w:space="0" w:color="auto"/>
        <w:left w:val="none" w:sz="0" w:space="0" w:color="auto"/>
        <w:bottom w:val="none" w:sz="0" w:space="0" w:color="auto"/>
        <w:right w:val="none" w:sz="0" w:space="0" w:color="auto"/>
      </w:divBdr>
      <w:divsChild>
        <w:div w:id="308706700">
          <w:marLeft w:val="0"/>
          <w:marRight w:val="0"/>
          <w:marTop w:val="0"/>
          <w:marBottom w:val="0"/>
          <w:divBdr>
            <w:top w:val="none" w:sz="0" w:space="0" w:color="auto"/>
            <w:left w:val="none" w:sz="0" w:space="0" w:color="auto"/>
            <w:bottom w:val="none" w:sz="0" w:space="0" w:color="auto"/>
            <w:right w:val="none" w:sz="0" w:space="0" w:color="auto"/>
          </w:divBdr>
          <w:divsChild>
            <w:div w:id="985402699">
              <w:marLeft w:val="0"/>
              <w:marRight w:val="0"/>
              <w:marTop w:val="0"/>
              <w:marBottom w:val="0"/>
              <w:divBdr>
                <w:top w:val="none" w:sz="0" w:space="0" w:color="auto"/>
                <w:left w:val="none" w:sz="0" w:space="0" w:color="auto"/>
                <w:bottom w:val="none" w:sz="0" w:space="0" w:color="auto"/>
                <w:right w:val="none" w:sz="0" w:space="0" w:color="auto"/>
              </w:divBdr>
              <w:divsChild>
                <w:div w:id="28382274">
                  <w:marLeft w:val="0"/>
                  <w:marRight w:val="0"/>
                  <w:marTop w:val="0"/>
                  <w:marBottom w:val="0"/>
                  <w:divBdr>
                    <w:top w:val="none" w:sz="0" w:space="0" w:color="auto"/>
                    <w:left w:val="none" w:sz="0" w:space="0" w:color="auto"/>
                    <w:bottom w:val="none" w:sz="0" w:space="0" w:color="auto"/>
                    <w:right w:val="none" w:sz="0" w:space="0" w:color="auto"/>
                  </w:divBdr>
                  <w:divsChild>
                    <w:div w:id="4920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1718">
      <w:bodyDiv w:val="1"/>
      <w:marLeft w:val="0"/>
      <w:marRight w:val="0"/>
      <w:marTop w:val="0"/>
      <w:marBottom w:val="0"/>
      <w:divBdr>
        <w:top w:val="none" w:sz="0" w:space="0" w:color="auto"/>
        <w:left w:val="none" w:sz="0" w:space="0" w:color="auto"/>
        <w:bottom w:val="none" w:sz="0" w:space="0" w:color="auto"/>
        <w:right w:val="none" w:sz="0" w:space="0" w:color="auto"/>
      </w:divBdr>
    </w:div>
    <w:div w:id="313220595">
      <w:bodyDiv w:val="1"/>
      <w:marLeft w:val="0"/>
      <w:marRight w:val="0"/>
      <w:marTop w:val="0"/>
      <w:marBottom w:val="0"/>
      <w:divBdr>
        <w:top w:val="none" w:sz="0" w:space="0" w:color="auto"/>
        <w:left w:val="none" w:sz="0" w:space="0" w:color="auto"/>
        <w:bottom w:val="none" w:sz="0" w:space="0" w:color="auto"/>
        <w:right w:val="none" w:sz="0" w:space="0" w:color="auto"/>
      </w:divBdr>
    </w:div>
    <w:div w:id="313802740">
      <w:bodyDiv w:val="1"/>
      <w:marLeft w:val="0"/>
      <w:marRight w:val="0"/>
      <w:marTop w:val="0"/>
      <w:marBottom w:val="0"/>
      <w:divBdr>
        <w:top w:val="none" w:sz="0" w:space="0" w:color="auto"/>
        <w:left w:val="none" w:sz="0" w:space="0" w:color="auto"/>
        <w:bottom w:val="none" w:sz="0" w:space="0" w:color="auto"/>
        <w:right w:val="none" w:sz="0" w:space="0" w:color="auto"/>
      </w:divBdr>
    </w:div>
    <w:div w:id="322779903">
      <w:bodyDiv w:val="1"/>
      <w:marLeft w:val="0"/>
      <w:marRight w:val="0"/>
      <w:marTop w:val="0"/>
      <w:marBottom w:val="0"/>
      <w:divBdr>
        <w:top w:val="none" w:sz="0" w:space="0" w:color="auto"/>
        <w:left w:val="none" w:sz="0" w:space="0" w:color="auto"/>
        <w:bottom w:val="none" w:sz="0" w:space="0" w:color="auto"/>
        <w:right w:val="none" w:sz="0" w:space="0" w:color="auto"/>
      </w:divBdr>
    </w:div>
    <w:div w:id="358243850">
      <w:bodyDiv w:val="1"/>
      <w:marLeft w:val="0"/>
      <w:marRight w:val="0"/>
      <w:marTop w:val="0"/>
      <w:marBottom w:val="0"/>
      <w:divBdr>
        <w:top w:val="none" w:sz="0" w:space="0" w:color="auto"/>
        <w:left w:val="none" w:sz="0" w:space="0" w:color="auto"/>
        <w:bottom w:val="none" w:sz="0" w:space="0" w:color="auto"/>
        <w:right w:val="none" w:sz="0" w:space="0" w:color="auto"/>
      </w:divBdr>
      <w:divsChild>
        <w:div w:id="1575889633">
          <w:marLeft w:val="0"/>
          <w:marRight w:val="0"/>
          <w:marTop w:val="0"/>
          <w:marBottom w:val="0"/>
          <w:divBdr>
            <w:top w:val="none" w:sz="0" w:space="0" w:color="auto"/>
            <w:left w:val="none" w:sz="0" w:space="0" w:color="auto"/>
            <w:bottom w:val="none" w:sz="0" w:space="0" w:color="auto"/>
            <w:right w:val="none" w:sz="0" w:space="0" w:color="auto"/>
          </w:divBdr>
          <w:divsChild>
            <w:div w:id="679549920">
              <w:marLeft w:val="0"/>
              <w:marRight w:val="0"/>
              <w:marTop w:val="0"/>
              <w:marBottom w:val="0"/>
              <w:divBdr>
                <w:top w:val="none" w:sz="0" w:space="0" w:color="auto"/>
                <w:left w:val="none" w:sz="0" w:space="0" w:color="auto"/>
                <w:bottom w:val="none" w:sz="0" w:space="0" w:color="auto"/>
                <w:right w:val="none" w:sz="0" w:space="0" w:color="auto"/>
              </w:divBdr>
              <w:divsChild>
                <w:div w:id="599528447">
                  <w:marLeft w:val="0"/>
                  <w:marRight w:val="0"/>
                  <w:marTop w:val="0"/>
                  <w:marBottom w:val="0"/>
                  <w:divBdr>
                    <w:top w:val="none" w:sz="0" w:space="0" w:color="auto"/>
                    <w:left w:val="none" w:sz="0" w:space="0" w:color="auto"/>
                    <w:bottom w:val="none" w:sz="0" w:space="0" w:color="auto"/>
                    <w:right w:val="none" w:sz="0" w:space="0" w:color="auto"/>
                  </w:divBdr>
                  <w:divsChild>
                    <w:div w:id="23138079">
                      <w:marLeft w:val="0"/>
                      <w:marRight w:val="0"/>
                      <w:marTop w:val="0"/>
                      <w:marBottom w:val="0"/>
                      <w:divBdr>
                        <w:top w:val="none" w:sz="0" w:space="0" w:color="auto"/>
                        <w:left w:val="none" w:sz="0" w:space="0" w:color="auto"/>
                        <w:bottom w:val="none" w:sz="0" w:space="0" w:color="auto"/>
                        <w:right w:val="none" w:sz="0" w:space="0" w:color="auto"/>
                      </w:divBdr>
                      <w:divsChild>
                        <w:div w:id="332076590">
                          <w:marLeft w:val="0"/>
                          <w:marRight w:val="0"/>
                          <w:marTop w:val="0"/>
                          <w:marBottom w:val="0"/>
                          <w:divBdr>
                            <w:top w:val="none" w:sz="0" w:space="0" w:color="auto"/>
                            <w:left w:val="none" w:sz="0" w:space="0" w:color="auto"/>
                            <w:bottom w:val="none" w:sz="0" w:space="0" w:color="auto"/>
                            <w:right w:val="none" w:sz="0" w:space="0" w:color="auto"/>
                          </w:divBdr>
                          <w:divsChild>
                            <w:div w:id="184558091">
                              <w:marLeft w:val="0"/>
                              <w:marRight w:val="0"/>
                              <w:marTop w:val="0"/>
                              <w:marBottom w:val="0"/>
                              <w:divBdr>
                                <w:top w:val="none" w:sz="0" w:space="0" w:color="auto"/>
                                <w:left w:val="none" w:sz="0" w:space="0" w:color="auto"/>
                                <w:bottom w:val="none" w:sz="0" w:space="0" w:color="auto"/>
                                <w:right w:val="none" w:sz="0" w:space="0" w:color="auto"/>
                              </w:divBdr>
                              <w:divsChild>
                                <w:div w:id="1370717600">
                                  <w:marLeft w:val="0"/>
                                  <w:marRight w:val="0"/>
                                  <w:marTop w:val="0"/>
                                  <w:marBottom w:val="0"/>
                                  <w:divBdr>
                                    <w:top w:val="none" w:sz="0" w:space="0" w:color="auto"/>
                                    <w:left w:val="none" w:sz="0" w:space="0" w:color="auto"/>
                                    <w:bottom w:val="none" w:sz="0" w:space="0" w:color="auto"/>
                                    <w:right w:val="none" w:sz="0" w:space="0" w:color="auto"/>
                                  </w:divBdr>
                                  <w:divsChild>
                                    <w:div w:id="15254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517910">
      <w:bodyDiv w:val="1"/>
      <w:marLeft w:val="0"/>
      <w:marRight w:val="0"/>
      <w:marTop w:val="0"/>
      <w:marBottom w:val="0"/>
      <w:divBdr>
        <w:top w:val="none" w:sz="0" w:space="0" w:color="auto"/>
        <w:left w:val="none" w:sz="0" w:space="0" w:color="auto"/>
        <w:bottom w:val="none" w:sz="0" w:space="0" w:color="auto"/>
        <w:right w:val="none" w:sz="0" w:space="0" w:color="auto"/>
      </w:divBdr>
    </w:div>
    <w:div w:id="403376010">
      <w:bodyDiv w:val="1"/>
      <w:marLeft w:val="0"/>
      <w:marRight w:val="0"/>
      <w:marTop w:val="0"/>
      <w:marBottom w:val="0"/>
      <w:divBdr>
        <w:top w:val="none" w:sz="0" w:space="0" w:color="auto"/>
        <w:left w:val="none" w:sz="0" w:space="0" w:color="auto"/>
        <w:bottom w:val="none" w:sz="0" w:space="0" w:color="auto"/>
        <w:right w:val="none" w:sz="0" w:space="0" w:color="auto"/>
      </w:divBdr>
    </w:div>
    <w:div w:id="413750017">
      <w:bodyDiv w:val="1"/>
      <w:marLeft w:val="0"/>
      <w:marRight w:val="0"/>
      <w:marTop w:val="0"/>
      <w:marBottom w:val="0"/>
      <w:divBdr>
        <w:top w:val="none" w:sz="0" w:space="0" w:color="auto"/>
        <w:left w:val="none" w:sz="0" w:space="0" w:color="auto"/>
        <w:bottom w:val="none" w:sz="0" w:space="0" w:color="auto"/>
        <w:right w:val="none" w:sz="0" w:space="0" w:color="auto"/>
      </w:divBdr>
    </w:div>
    <w:div w:id="453520694">
      <w:bodyDiv w:val="1"/>
      <w:marLeft w:val="0"/>
      <w:marRight w:val="0"/>
      <w:marTop w:val="0"/>
      <w:marBottom w:val="0"/>
      <w:divBdr>
        <w:top w:val="none" w:sz="0" w:space="0" w:color="auto"/>
        <w:left w:val="none" w:sz="0" w:space="0" w:color="auto"/>
        <w:bottom w:val="none" w:sz="0" w:space="0" w:color="auto"/>
        <w:right w:val="none" w:sz="0" w:space="0" w:color="auto"/>
      </w:divBdr>
    </w:div>
    <w:div w:id="495221272">
      <w:bodyDiv w:val="1"/>
      <w:marLeft w:val="0"/>
      <w:marRight w:val="0"/>
      <w:marTop w:val="0"/>
      <w:marBottom w:val="0"/>
      <w:divBdr>
        <w:top w:val="none" w:sz="0" w:space="0" w:color="auto"/>
        <w:left w:val="none" w:sz="0" w:space="0" w:color="auto"/>
        <w:bottom w:val="none" w:sz="0" w:space="0" w:color="auto"/>
        <w:right w:val="none" w:sz="0" w:space="0" w:color="auto"/>
      </w:divBdr>
    </w:div>
    <w:div w:id="519661995">
      <w:bodyDiv w:val="1"/>
      <w:marLeft w:val="0"/>
      <w:marRight w:val="0"/>
      <w:marTop w:val="0"/>
      <w:marBottom w:val="0"/>
      <w:divBdr>
        <w:top w:val="none" w:sz="0" w:space="0" w:color="auto"/>
        <w:left w:val="none" w:sz="0" w:space="0" w:color="auto"/>
        <w:bottom w:val="none" w:sz="0" w:space="0" w:color="auto"/>
        <w:right w:val="none" w:sz="0" w:space="0" w:color="auto"/>
      </w:divBdr>
    </w:div>
    <w:div w:id="579101762">
      <w:bodyDiv w:val="1"/>
      <w:marLeft w:val="0"/>
      <w:marRight w:val="0"/>
      <w:marTop w:val="0"/>
      <w:marBottom w:val="0"/>
      <w:divBdr>
        <w:top w:val="none" w:sz="0" w:space="0" w:color="auto"/>
        <w:left w:val="none" w:sz="0" w:space="0" w:color="auto"/>
        <w:bottom w:val="none" w:sz="0" w:space="0" w:color="auto"/>
        <w:right w:val="none" w:sz="0" w:space="0" w:color="auto"/>
      </w:divBdr>
    </w:div>
    <w:div w:id="596212191">
      <w:bodyDiv w:val="1"/>
      <w:marLeft w:val="0"/>
      <w:marRight w:val="0"/>
      <w:marTop w:val="0"/>
      <w:marBottom w:val="0"/>
      <w:divBdr>
        <w:top w:val="none" w:sz="0" w:space="0" w:color="auto"/>
        <w:left w:val="none" w:sz="0" w:space="0" w:color="auto"/>
        <w:bottom w:val="none" w:sz="0" w:space="0" w:color="auto"/>
        <w:right w:val="none" w:sz="0" w:space="0" w:color="auto"/>
      </w:divBdr>
    </w:div>
    <w:div w:id="604534402">
      <w:bodyDiv w:val="1"/>
      <w:marLeft w:val="0"/>
      <w:marRight w:val="0"/>
      <w:marTop w:val="0"/>
      <w:marBottom w:val="0"/>
      <w:divBdr>
        <w:top w:val="none" w:sz="0" w:space="0" w:color="auto"/>
        <w:left w:val="none" w:sz="0" w:space="0" w:color="auto"/>
        <w:bottom w:val="none" w:sz="0" w:space="0" w:color="auto"/>
        <w:right w:val="none" w:sz="0" w:space="0" w:color="auto"/>
      </w:divBdr>
    </w:div>
    <w:div w:id="613441743">
      <w:bodyDiv w:val="1"/>
      <w:marLeft w:val="0"/>
      <w:marRight w:val="0"/>
      <w:marTop w:val="0"/>
      <w:marBottom w:val="0"/>
      <w:divBdr>
        <w:top w:val="none" w:sz="0" w:space="0" w:color="auto"/>
        <w:left w:val="none" w:sz="0" w:space="0" w:color="auto"/>
        <w:bottom w:val="none" w:sz="0" w:space="0" w:color="auto"/>
        <w:right w:val="none" w:sz="0" w:space="0" w:color="auto"/>
      </w:divBdr>
    </w:div>
    <w:div w:id="657539201">
      <w:bodyDiv w:val="1"/>
      <w:marLeft w:val="0"/>
      <w:marRight w:val="0"/>
      <w:marTop w:val="0"/>
      <w:marBottom w:val="0"/>
      <w:divBdr>
        <w:top w:val="none" w:sz="0" w:space="0" w:color="auto"/>
        <w:left w:val="none" w:sz="0" w:space="0" w:color="auto"/>
        <w:bottom w:val="none" w:sz="0" w:space="0" w:color="auto"/>
        <w:right w:val="none" w:sz="0" w:space="0" w:color="auto"/>
      </w:divBdr>
    </w:div>
    <w:div w:id="668680691">
      <w:bodyDiv w:val="1"/>
      <w:marLeft w:val="0"/>
      <w:marRight w:val="0"/>
      <w:marTop w:val="0"/>
      <w:marBottom w:val="0"/>
      <w:divBdr>
        <w:top w:val="none" w:sz="0" w:space="0" w:color="auto"/>
        <w:left w:val="none" w:sz="0" w:space="0" w:color="auto"/>
        <w:bottom w:val="none" w:sz="0" w:space="0" w:color="auto"/>
        <w:right w:val="none" w:sz="0" w:space="0" w:color="auto"/>
      </w:divBdr>
    </w:div>
    <w:div w:id="686325501">
      <w:bodyDiv w:val="1"/>
      <w:marLeft w:val="0"/>
      <w:marRight w:val="0"/>
      <w:marTop w:val="0"/>
      <w:marBottom w:val="0"/>
      <w:divBdr>
        <w:top w:val="none" w:sz="0" w:space="0" w:color="auto"/>
        <w:left w:val="none" w:sz="0" w:space="0" w:color="auto"/>
        <w:bottom w:val="none" w:sz="0" w:space="0" w:color="auto"/>
        <w:right w:val="none" w:sz="0" w:space="0" w:color="auto"/>
      </w:divBdr>
    </w:div>
    <w:div w:id="691152381">
      <w:bodyDiv w:val="1"/>
      <w:marLeft w:val="0"/>
      <w:marRight w:val="0"/>
      <w:marTop w:val="0"/>
      <w:marBottom w:val="0"/>
      <w:divBdr>
        <w:top w:val="none" w:sz="0" w:space="0" w:color="auto"/>
        <w:left w:val="none" w:sz="0" w:space="0" w:color="auto"/>
        <w:bottom w:val="none" w:sz="0" w:space="0" w:color="auto"/>
        <w:right w:val="none" w:sz="0" w:space="0" w:color="auto"/>
      </w:divBdr>
    </w:div>
    <w:div w:id="702242487">
      <w:bodyDiv w:val="1"/>
      <w:marLeft w:val="0"/>
      <w:marRight w:val="0"/>
      <w:marTop w:val="0"/>
      <w:marBottom w:val="0"/>
      <w:divBdr>
        <w:top w:val="none" w:sz="0" w:space="0" w:color="auto"/>
        <w:left w:val="none" w:sz="0" w:space="0" w:color="auto"/>
        <w:bottom w:val="none" w:sz="0" w:space="0" w:color="auto"/>
        <w:right w:val="none" w:sz="0" w:space="0" w:color="auto"/>
      </w:divBdr>
    </w:div>
    <w:div w:id="703678393">
      <w:bodyDiv w:val="1"/>
      <w:marLeft w:val="0"/>
      <w:marRight w:val="0"/>
      <w:marTop w:val="0"/>
      <w:marBottom w:val="0"/>
      <w:divBdr>
        <w:top w:val="none" w:sz="0" w:space="0" w:color="auto"/>
        <w:left w:val="none" w:sz="0" w:space="0" w:color="auto"/>
        <w:bottom w:val="none" w:sz="0" w:space="0" w:color="auto"/>
        <w:right w:val="none" w:sz="0" w:space="0" w:color="auto"/>
      </w:divBdr>
    </w:div>
    <w:div w:id="719208015">
      <w:bodyDiv w:val="1"/>
      <w:marLeft w:val="0"/>
      <w:marRight w:val="0"/>
      <w:marTop w:val="0"/>
      <w:marBottom w:val="0"/>
      <w:divBdr>
        <w:top w:val="none" w:sz="0" w:space="0" w:color="auto"/>
        <w:left w:val="none" w:sz="0" w:space="0" w:color="auto"/>
        <w:bottom w:val="none" w:sz="0" w:space="0" w:color="auto"/>
        <w:right w:val="none" w:sz="0" w:space="0" w:color="auto"/>
      </w:divBdr>
    </w:div>
    <w:div w:id="741558578">
      <w:bodyDiv w:val="1"/>
      <w:marLeft w:val="0"/>
      <w:marRight w:val="0"/>
      <w:marTop w:val="0"/>
      <w:marBottom w:val="0"/>
      <w:divBdr>
        <w:top w:val="none" w:sz="0" w:space="0" w:color="auto"/>
        <w:left w:val="none" w:sz="0" w:space="0" w:color="auto"/>
        <w:bottom w:val="none" w:sz="0" w:space="0" w:color="auto"/>
        <w:right w:val="none" w:sz="0" w:space="0" w:color="auto"/>
      </w:divBdr>
    </w:div>
    <w:div w:id="747576686">
      <w:bodyDiv w:val="1"/>
      <w:marLeft w:val="0"/>
      <w:marRight w:val="0"/>
      <w:marTop w:val="0"/>
      <w:marBottom w:val="0"/>
      <w:divBdr>
        <w:top w:val="none" w:sz="0" w:space="0" w:color="auto"/>
        <w:left w:val="none" w:sz="0" w:space="0" w:color="auto"/>
        <w:bottom w:val="none" w:sz="0" w:space="0" w:color="auto"/>
        <w:right w:val="none" w:sz="0" w:space="0" w:color="auto"/>
      </w:divBdr>
    </w:div>
    <w:div w:id="756488694">
      <w:bodyDiv w:val="1"/>
      <w:marLeft w:val="0"/>
      <w:marRight w:val="0"/>
      <w:marTop w:val="0"/>
      <w:marBottom w:val="0"/>
      <w:divBdr>
        <w:top w:val="none" w:sz="0" w:space="0" w:color="auto"/>
        <w:left w:val="none" w:sz="0" w:space="0" w:color="auto"/>
        <w:bottom w:val="none" w:sz="0" w:space="0" w:color="auto"/>
        <w:right w:val="none" w:sz="0" w:space="0" w:color="auto"/>
      </w:divBdr>
    </w:div>
    <w:div w:id="789740923">
      <w:bodyDiv w:val="1"/>
      <w:marLeft w:val="0"/>
      <w:marRight w:val="0"/>
      <w:marTop w:val="0"/>
      <w:marBottom w:val="0"/>
      <w:divBdr>
        <w:top w:val="none" w:sz="0" w:space="0" w:color="auto"/>
        <w:left w:val="none" w:sz="0" w:space="0" w:color="auto"/>
        <w:bottom w:val="none" w:sz="0" w:space="0" w:color="auto"/>
        <w:right w:val="none" w:sz="0" w:space="0" w:color="auto"/>
      </w:divBdr>
    </w:div>
    <w:div w:id="820461321">
      <w:bodyDiv w:val="1"/>
      <w:marLeft w:val="0"/>
      <w:marRight w:val="0"/>
      <w:marTop w:val="0"/>
      <w:marBottom w:val="0"/>
      <w:divBdr>
        <w:top w:val="none" w:sz="0" w:space="0" w:color="auto"/>
        <w:left w:val="none" w:sz="0" w:space="0" w:color="auto"/>
        <w:bottom w:val="none" w:sz="0" w:space="0" w:color="auto"/>
        <w:right w:val="none" w:sz="0" w:space="0" w:color="auto"/>
      </w:divBdr>
    </w:div>
    <w:div w:id="821964298">
      <w:bodyDiv w:val="1"/>
      <w:marLeft w:val="0"/>
      <w:marRight w:val="0"/>
      <w:marTop w:val="0"/>
      <w:marBottom w:val="0"/>
      <w:divBdr>
        <w:top w:val="none" w:sz="0" w:space="0" w:color="auto"/>
        <w:left w:val="none" w:sz="0" w:space="0" w:color="auto"/>
        <w:bottom w:val="none" w:sz="0" w:space="0" w:color="auto"/>
        <w:right w:val="none" w:sz="0" w:space="0" w:color="auto"/>
      </w:divBdr>
    </w:div>
    <w:div w:id="833106307">
      <w:bodyDiv w:val="1"/>
      <w:marLeft w:val="0"/>
      <w:marRight w:val="0"/>
      <w:marTop w:val="0"/>
      <w:marBottom w:val="0"/>
      <w:divBdr>
        <w:top w:val="none" w:sz="0" w:space="0" w:color="auto"/>
        <w:left w:val="none" w:sz="0" w:space="0" w:color="auto"/>
        <w:bottom w:val="none" w:sz="0" w:space="0" w:color="auto"/>
        <w:right w:val="none" w:sz="0" w:space="0" w:color="auto"/>
      </w:divBdr>
    </w:div>
    <w:div w:id="858857000">
      <w:bodyDiv w:val="1"/>
      <w:marLeft w:val="0"/>
      <w:marRight w:val="0"/>
      <w:marTop w:val="0"/>
      <w:marBottom w:val="0"/>
      <w:divBdr>
        <w:top w:val="none" w:sz="0" w:space="0" w:color="auto"/>
        <w:left w:val="none" w:sz="0" w:space="0" w:color="auto"/>
        <w:bottom w:val="none" w:sz="0" w:space="0" w:color="auto"/>
        <w:right w:val="none" w:sz="0" w:space="0" w:color="auto"/>
      </w:divBdr>
      <w:divsChild>
        <w:div w:id="1023089467">
          <w:marLeft w:val="0"/>
          <w:marRight w:val="0"/>
          <w:marTop w:val="0"/>
          <w:marBottom w:val="0"/>
          <w:divBdr>
            <w:top w:val="none" w:sz="0" w:space="0" w:color="auto"/>
            <w:left w:val="none" w:sz="0" w:space="0" w:color="auto"/>
            <w:bottom w:val="none" w:sz="0" w:space="0" w:color="auto"/>
            <w:right w:val="none" w:sz="0" w:space="0" w:color="auto"/>
          </w:divBdr>
          <w:divsChild>
            <w:div w:id="1703363860">
              <w:marLeft w:val="0"/>
              <w:marRight w:val="0"/>
              <w:marTop w:val="0"/>
              <w:marBottom w:val="0"/>
              <w:divBdr>
                <w:top w:val="none" w:sz="0" w:space="0" w:color="auto"/>
                <w:left w:val="none" w:sz="0" w:space="0" w:color="auto"/>
                <w:bottom w:val="none" w:sz="0" w:space="0" w:color="auto"/>
                <w:right w:val="none" w:sz="0" w:space="0" w:color="auto"/>
              </w:divBdr>
              <w:divsChild>
                <w:div w:id="352727389">
                  <w:marLeft w:val="0"/>
                  <w:marRight w:val="0"/>
                  <w:marTop w:val="0"/>
                  <w:marBottom w:val="0"/>
                  <w:divBdr>
                    <w:top w:val="none" w:sz="0" w:space="0" w:color="auto"/>
                    <w:left w:val="none" w:sz="0" w:space="0" w:color="auto"/>
                    <w:bottom w:val="none" w:sz="0" w:space="0" w:color="auto"/>
                    <w:right w:val="none" w:sz="0" w:space="0" w:color="auto"/>
                  </w:divBdr>
                  <w:divsChild>
                    <w:div w:id="2013219108">
                      <w:marLeft w:val="0"/>
                      <w:marRight w:val="0"/>
                      <w:marTop w:val="0"/>
                      <w:marBottom w:val="0"/>
                      <w:divBdr>
                        <w:top w:val="none" w:sz="0" w:space="0" w:color="auto"/>
                        <w:left w:val="none" w:sz="0" w:space="0" w:color="auto"/>
                        <w:bottom w:val="none" w:sz="0" w:space="0" w:color="auto"/>
                        <w:right w:val="none" w:sz="0" w:space="0" w:color="auto"/>
                      </w:divBdr>
                      <w:divsChild>
                        <w:div w:id="1614365484">
                          <w:marLeft w:val="0"/>
                          <w:marRight w:val="0"/>
                          <w:marTop w:val="0"/>
                          <w:marBottom w:val="0"/>
                          <w:divBdr>
                            <w:top w:val="none" w:sz="0" w:space="0" w:color="auto"/>
                            <w:left w:val="none" w:sz="0" w:space="0" w:color="auto"/>
                            <w:bottom w:val="none" w:sz="0" w:space="0" w:color="auto"/>
                            <w:right w:val="none" w:sz="0" w:space="0" w:color="auto"/>
                          </w:divBdr>
                          <w:divsChild>
                            <w:div w:id="1368869442">
                              <w:marLeft w:val="0"/>
                              <w:marRight w:val="0"/>
                              <w:marTop w:val="0"/>
                              <w:marBottom w:val="0"/>
                              <w:divBdr>
                                <w:top w:val="none" w:sz="0" w:space="0" w:color="auto"/>
                                <w:left w:val="none" w:sz="0" w:space="0" w:color="auto"/>
                                <w:bottom w:val="none" w:sz="0" w:space="0" w:color="auto"/>
                                <w:right w:val="none" w:sz="0" w:space="0" w:color="auto"/>
                              </w:divBdr>
                              <w:divsChild>
                                <w:div w:id="177085664">
                                  <w:marLeft w:val="0"/>
                                  <w:marRight w:val="0"/>
                                  <w:marTop w:val="0"/>
                                  <w:marBottom w:val="0"/>
                                  <w:divBdr>
                                    <w:top w:val="none" w:sz="0" w:space="0" w:color="auto"/>
                                    <w:left w:val="none" w:sz="0" w:space="0" w:color="auto"/>
                                    <w:bottom w:val="none" w:sz="0" w:space="0" w:color="auto"/>
                                    <w:right w:val="none" w:sz="0" w:space="0" w:color="auto"/>
                                  </w:divBdr>
                                  <w:divsChild>
                                    <w:div w:id="691764283">
                                      <w:marLeft w:val="0"/>
                                      <w:marRight w:val="0"/>
                                      <w:marTop w:val="0"/>
                                      <w:marBottom w:val="0"/>
                                      <w:divBdr>
                                        <w:top w:val="none" w:sz="0" w:space="0" w:color="auto"/>
                                        <w:left w:val="none" w:sz="0" w:space="0" w:color="auto"/>
                                        <w:bottom w:val="none" w:sz="0" w:space="0" w:color="auto"/>
                                        <w:right w:val="none" w:sz="0" w:space="0" w:color="auto"/>
                                      </w:divBdr>
                                      <w:divsChild>
                                        <w:div w:id="119305389">
                                          <w:marLeft w:val="0"/>
                                          <w:marRight w:val="0"/>
                                          <w:marTop w:val="0"/>
                                          <w:marBottom w:val="0"/>
                                          <w:divBdr>
                                            <w:top w:val="none" w:sz="0" w:space="0" w:color="auto"/>
                                            <w:left w:val="none" w:sz="0" w:space="0" w:color="auto"/>
                                            <w:bottom w:val="none" w:sz="0" w:space="0" w:color="auto"/>
                                            <w:right w:val="none" w:sz="0" w:space="0" w:color="auto"/>
                                          </w:divBdr>
                                          <w:divsChild>
                                            <w:div w:id="16034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424186">
      <w:bodyDiv w:val="1"/>
      <w:marLeft w:val="0"/>
      <w:marRight w:val="0"/>
      <w:marTop w:val="0"/>
      <w:marBottom w:val="0"/>
      <w:divBdr>
        <w:top w:val="none" w:sz="0" w:space="0" w:color="auto"/>
        <w:left w:val="none" w:sz="0" w:space="0" w:color="auto"/>
        <w:bottom w:val="none" w:sz="0" w:space="0" w:color="auto"/>
        <w:right w:val="none" w:sz="0" w:space="0" w:color="auto"/>
      </w:divBdr>
    </w:div>
    <w:div w:id="916087503">
      <w:bodyDiv w:val="1"/>
      <w:marLeft w:val="0"/>
      <w:marRight w:val="0"/>
      <w:marTop w:val="0"/>
      <w:marBottom w:val="0"/>
      <w:divBdr>
        <w:top w:val="none" w:sz="0" w:space="0" w:color="auto"/>
        <w:left w:val="none" w:sz="0" w:space="0" w:color="auto"/>
        <w:bottom w:val="none" w:sz="0" w:space="0" w:color="auto"/>
        <w:right w:val="none" w:sz="0" w:space="0" w:color="auto"/>
      </w:divBdr>
    </w:div>
    <w:div w:id="947735330">
      <w:bodyDiv w:val="1"/>
      <w:marLeft w:val="0"/>
      <w:marRight w:val="0"/>
      <w:marTop w:val="0"/>
      <w:marBottom w:val="0"/>
      <w:divBdr>
        <w:top w:val="none" w:sz="0" w:space="0" w:color="auto"/>
        <w:left w:val="none" w:sz="0" w:space="0" w:color="auto"/>
        <w:bottom w:val="none" w:sz="0" w:space="0" w:color="auto"/>
        <w:right w:val="none" w:sz="0" w:space="0" w:color="auto"/>
      </w:divBdr>
    </w:div>
    <w:div w:id="1016233156">
      <w:bodyDiv w:val="1"/>
      <w:marLeft w:val="0"/>
      <w:marRight w:val="0"/>
      <w:marTop w:val="0"/>
      <w:marBottom w:val="0"/>
      <w:divBdr>
        <w:top w:val="none" w:sz="0" w:space="0" w:color="auto"/>
        <w:left w:val="none" w:sz="0" w:space="0" w:color="auto"/>
        <w:bottom w:val="none" w:sz="0" w:space="0" w:color="auto"/>
        <w:right w:val="none" w:sz="0" w:space="0" w:color="auto"/>
      </w:divBdr>
    </w:div>
    <w:div w:id="1028528345">
      <w:bodyDiv w:val="1"/>
      <w:marLeft w:val="0"/>
      <w:marRight w:val="0"/>
      <w:marTop w:val="0"/>
      <w:marBottom w:val="0"/>
      <w:divBdr>
        <w:top w:val="none" w:sz="0" w:space="0" w:color="auto"/>
        <w:left w:val="none" w:sz="0" w:space="0" w:color="auto"/>
        <w:bottom w:val="none" w:sz="0" w:space="0" w:color="auto"/>
        <w:right w:val="none" w:sz="0" w:space="0" w:color="auto"/>
      </w:divBdr>
    </w:div>
    <w:div w:id="1038701198">
      <w:bodyDiv w:val="1"/>
      <w:marLeft w:val="0"/>
      <w:marRight w:val="0"/>
      <w:marTop w:val="0"/>
      <w:marBottom w:val="0"/>
      <w:divBdr>
        <w:top w:val="none" w:sz="0" w:space="0" w:color="auto"/>
        <w:left w:val="none" w:sz="0" w:space="0" w:color="auto"/>
        <w:bottom w:val="none" w:sz="0" w:space="0" w:color="auto"/>
        <w:right w:val="none" w:sz="0" w:space="0" w:color="auto"/>
      </w:divBdr>
    </w:div>
    <w:div w:id="1047030928">
      <w:bodyDiv w:val="1"/>
      <w:marLeft w:val="0"/>
      <w:marRight w:val="0"/>
      <w:marTop w:val="0"/>
      <w:marBottom w:val="0"/>
      <w:divBdr>
        <w:top w:val="none" w:sz="0" w:space="0" w:color="auto"/>
        <w:left w:val="none" w:sz="0" w:space="0" w:color="auto"/>
        <w:bottom w:val="none" w:sz="0" w:space="0" w:color="auto"/>
        <w:right w:val="none" w:sz="0" w:space="0" w:color="auto"/>
      </w:divBdr>
    </w:div>
    <w:div w:id="1051348986">
      <w:bodyDiv w:val="1"/>
      <w:marLeft w:val="0"/>
      <w:marRight w:val="0"/>
      <w:marTop w:val="0"/>
      <w:marBottom w:val="0"/>
      <w:divBdr>
        <w:top w:val="none" w:sz="0" w:space="0" w:color="auto"/>
        <w:left w:val="none" w:sz="0" w:space="0" w:color="auto"/>
        <w:bottom w:val="none" w:sz="0" w:space="0" w:color="auto"/>
        <w:right w:val="none" w:sz="0" w:space="0" w:color="auto"/>
      </w:divBdr>
    </w:div>
    <w:div w:id="1067457465">
      <w:bodyDiv w:val="1"/>
      <w:marLeft w:val="0"/>
      <w:marRight w:val="0"/>
      <w:marTop w:val="0"/>
      <w:marBottom w:val="0"/>
      <w:divBdr>
        <w:top w:val="none" w:sz="0" w:space="0" w:color="auto"/>
        <w:left w:val="none" w:sz="0" w:space="0" w:color="auto"/>
        <w:bottom w:val="none" w:sz="0" w:space="0" w:color="auto"/>
        <w:right w:val="none" w:sz="0" w:space="0" w:color="auto"/>
      </w:divBdr>
    </w:div>
    <w:div w:id="1069500882">
      <w:bodyDiv w:val="1"/>
      <w:marLeft w:val="0"/>
      <w:marRight w:val="0"/>
      <w:marTop w:val="0"/>
      <w:marBottom w:val="0"/>
      <w:divBdr>
        <w:top w:val="none" w:sz="0" w:space="0" w:color="auto"/>
        <w:left w:val="none" w:sz="0" w:space="0" w:color="auto"/>
        <w:bottom w:val="none" w:sz="0" w:space="0" w:color="auto"/>
        <w:right w:val="none" w:sz="0" w:space="0" w:color="auto"/>
      </w:divBdr>
    </w:div>
    <w:div w:id="1112818308">
      <w:bodyDiv w:val="1"/>
      <w:marLeft w:val="0"/>
      <w:marRight w:val="0"/>
      <w:marTop w:val="0"/>
      <w:marBottom w:val="0"/>
      <w:divBdr>
        <w:top w:val="none" w:sz="0" w:space="0" w:color="auto"/>
        <w:left w:val="none" w:sz="0" w:space="0" w:color="auto"/>
        <w:bottom w:val="none" w:sz="0" w:space="0" w:color="auto"/>
        <w:right w:val="none" w:sz="0" w:space="0" w:color="auto"/>
      </w:divBdr>
    </w:div>
    <w:div w:id="1129973294">
      <w:bodyDiv w:val="1"/>
      <w:marLeft w:val="0"/>
      <w:marRight w:val="0"/>
      <w:marTop w:val="0"/>
      <w:marBottom w:val="0"/>
      <w:divBdr>
        <w:top w:val="none" w:sz="0" w:space="0" w:color="auto"/>
        <w:left w:val="none" w:sz="0" w:space="0" w:color="auto"/>
        <w:bottom w:val="none" w:sz="0" w:space="0" w:color="auto"/>
        <w:right w:val="none" w:sz="0" w:space="0" w:color="auto"/>
      </w:divBdr>
    </w:div>
    <w:div w:id="1214543116">
      <w:bodyDiv w:val="1"/>
      <w:marLeft w:val="0"/>
      <w:marRight w:val="0"/>
      <w:marTop w:val="0"/>
      <w:marBottom w:val="0"/>
      <w:divBdr>
        <w:top w:val="none" w:sz="0" w:space="0" w:color="auto"/>
        <w:left w:val="none" w:sz="0" w:space="0" w:color="auto"/>
        <w:bottom w:val="none" w:sz="0" w:space="0" w:color="auto"/>
        <w:right w:val="none" w:sz="0" w:space="0" w:color="auto"/>
      </w:divBdr>
    </w:div>
    <w:div w:id="1239368096">
      <w:bodyDiv w:val="1"/>
      <w:marLeft w:val="0"/>
      <w:marRight w:val="0"/>
      <w:marTop w:val="0"/>
      <w:marBottom w:val="0"/>
      <w:divBdr>
        <w:top w:val="none" w:sz="0" w:space="0" w:color="auto"/>
        <w:left w:val="none" w:sz="0" w:space="0" w:color="auto"/>
        <w:bottom w:val="none" w:sz="0" w:space="0" w:color="auto"/>
        <w:right w:val="none" w:sz="0" w:space="0" w:color="auto"/>
      </w:divBdr>
    </w:div>
    <w:div w:id="1288703011">
      <w:bodyDiv w:val="1"/>
      <w:marLeft w:val="0"/>
      <w:marRight w:val="0"/>
      <w:marTop w:val="0"/>
      <w:marBottom w:val="0"/>
      <w:divBdr>
        <w:top w:val="none" w:sz="0" w:space="0" w:color="auto"/>
        <w:left w:val="none" w:sz="0" w:space="0" w:color="auto"/>
        <w:bottom w:val="none" w:sz="0" w:space="0" w:color="auto"/>
        <w:right w:val="none" w:sz="0" w:space="0" w:color="auto"/>
      </w:divBdr>
    </w:div>
    <w:div w:id="1300956973">
      <w:bodyDiv w:val="1"/>
      <w:marLeft w:val="0"/>
      <w:marRight w:val="0"/>
      <w:marTop w:val="0"/>
      <w:marBottom w:val="0"/>
      <w:divBdr>
        <w:top w:val="none" w:sz="0" w:space="0" w:color="auto"/>
        <w:left w:val="none" w:sz="0" w:space="0" w:color="auto"/>
        <w:bottom w:val="none" w:sz="0" w:space="0" w:color="auto"/>
        <w:right w:val="none" w:sz="0" w:space="0" w:color="auto"/>
      </w:divBdr>
    </w:div>
    <w:div w:id="1308515053">
      <w:bodyDiv w:val="1"/>
      <w:marLeft w:val="0"/>
      <w:marRight w:val="0"/>
      <w:marTop w:val="0"/>
      <w:marBottom w:val="0"/>
      <w:divBdr>
        <w:top w:val="none" w:sz="0" w:space="0" w:color="auto"/>
        <w:left w:val="none" w:sz="0" w:space="0" w:color="auto"/>
        <w:bottom w:val="none" w:sz="0" w:space="0" w:color="auto"/>
        <w:right w:val="none" w:sz="0" w:space="0" w:color="auto"/>
      </w:divBdr>
    </w:div>
    <w:div w:id="1331913026">
      <w:bodyDiv w:val="1"/>
      <w:marLeft w:val="0"/>
      <w:marRight w:val="0"/>
      <w:marTop w:val="0"/>
      <w:marBottom w:val="0"/>
      <w:divBdr>
        <w:top w:val="none" w:sz="0" w:space="0" w:color="auto"/>
        <w:left w:val="none" w:sz="0" w:space="0" w:color="auto"/>
        <w:bottom w:val="none" w:sz="0" w:space="0" w:color="auto"/>
        <w:right w:val="none" w:sz="0" w:space="0" w:color="auto"/>
      </w:divBdr>
    </w:div>
    <w:div w:id="1350369420">
      <w:bodyDiv w:val="1"/>
      <w:marLeft w:val="0"/>
      <w:marRight w:val="0"/>
      <w:marTop w:val="0"/>
      <w:marBottom w:val="0"/>
      <w:divBdr>
        <w:top w:val="none" w:sz="0" w:space="0" w:color="auto"/>
        <w:left w:val="none" w:sz="0" w:space="0" w:color="auto"/>
        <w:bottom w:val="none" w:sz="0" w:space="0" w:color="auto"/>
        <w:right w:val="none" w:sz="0" w:space="0" w:color="auto"/>
      </w:divBdr>
      <w:divsChild>
        <w:div w:id="1695498677">
          <w:marLeft w:val="0"/>
          <w:marRight w:val="0"/>
          <w:marTop w:val="0"/>
          <w:marBottom w:val="0"/>
          <w:divBdr>
            <w:top w:val="none" w:sz="0" w:space="0" w:color="auto"/>
            <w:left w:val="none" w:sz="0" w:space="0" w:color="auto"/>
            <w:bottom w:val="none" w:sz="0" w:space="0" w:color="auto"/>
            <w:right w:val="none" w:sz="0" w:space="0" w:color="auto"/>
          </w:divBdr>
          <w:divsChild>
            <w:div w:id="878513853">
              <w:marLeft w:val="0"/>
              <w:marRight w:val="0"/>
              <w:marTop w:val="0"/>
              <w:marBottom w:val="0"/>
              <w:divBdr>
                <w:top w:val="none" w:sz="0" w:space="0" w:color="auto"/>
                <w:left w:val="none" w:sz="0" w:space="0" w:color="auto"/>
                <w:bottom w:val="none" w:sz="0" w:space="0" w:color="auto"/>
                <w:right w:val="none" w:sz="0" w:space="0" w:color="auto"/>
              </w:divBdr>
              <w:divsChild>
                <w:div w:id="1670983785">
                  <w:marLeft w:val="0"/>
                  <w:marRight w:val="0"/>
                  <w:marTop w:val="0"/>
                  <w:marBottom w:val="0"/>
                  <w:divBdr>
                    <w:top w:val="none" w:sz="0" w:space="0" w:color="auto"/>
                    <w:left w:val="none" w:sz="0" w:space="0" w:color="auto"/>
                    <w:bottom w:val="none" w:sz="0" w:space="0" w:color="auto"/>
                    <w:right w:val="none" w:sz="0" w:space="0" w:color="auto"/>
                  </w:divBdr>
                  <w:divsChild>
                    <w:div w:id="899096974">
                      <w:marLeft w:val="0"/>
                      <w:marRight w:val="0"/>
                      <w:marTop w:val="0"/>
                      <w:marBottom w:val="0"/>
                      <w:divBdr>
                        <w:top w:val="none" w:sz="0" w:space="0" w:color="auto"/>
                        <w:left w:val="none" w:sz="0" w:space="0" w:color="auto"/>
                        <w:bottom w:val="none" w:sz="0" w:space="0" w:color="auto"/>
                        <w:right w:val="none" w:sz="0" w:space="0" w:color="auto"/>
                      </w:divBdr>
                      <w:divsChild>
                        <w:div w:id="373501142">
                          <w:marLeft w:val="0"/>
                          <w:marRight w:val="0"/>
                          <w:marTop w:val="0"/>
                          <w:marBottom w:val="0"/>
                          <w:divBdr>
                            <w:top w:val="none" w:sz="0" w:space="0" w:color="auto"/>
                            <w:left w:val="none" w:sz="0" w:space="0" w:color="auto"/>
                            <w:bottom w:val="none" w:sz="0" w:space="0" w:color="auto"/>
                            <w:right w:val="none" w:sz="0" w:space="0" w:color="auto"/>
                          </w:divBdr>
                          <w:divsChild>
                            <w:div w:id="1016730025">
                              <w:marLeft w:val="0"/>
                              <w:marRight w:val="0"/>
                              <w:marTop w:val="0"/>
                              <w:marBottom w:val="0"/>
                              <w:divBdr>
                                <w:top w:val="none" w:sz="0" w:space="0" w:color="auto"/>
                                <w:left w:val="none" w:sz="0" w:space="0" w:color="auto"/>
                                <w:bottom w:val="none" w:sz="0" w:space="0" w:color="auto"/>
                                <w:right w:val="none" w:sz="0" w:space="0" w:color="auto"/>
                              </w:divBdr>
                              <w:divsChild>
                                <w:div w:id="1624380756">
                                  <w:marLeft w:val="0"/>
                                  <w:marRight w:val="0"/>
                                  <w:marTop w:val="0"/>
                                  <w:marBottom w:val="0"/>
                                  <w:divBdr>
                                    <w:top w:val="none" w:sz="0" w:space="0" w:color="auto"/>
                                    <w:left w:val="none" w:sz="0" w:space="0" w:color="auto"/>
                                    <w:bottom w:val="none" w:sz="0" w:space="0" w:color="auto"/>
                                    <w:right w:val="none" w:sz="0" w:space="0" w:color="auto"/>
                                  </w:divBdr>
                                  <w:divsChild>
                                    <w:div w:id="1954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18588">
      <w:bodyDiv w:val="1"/>
      <w:marLeft w:val="0"/>
      <w:marRight w:val="0"/>
      <w:marTop w:val="0"/>
      <w:marBottom w:val="0"/>
      <w:divBdr>
        <w:top w:val="none" w:sz="0" w:space="0" w:color="auto"/>
        <w:left w:val="none" w:sz="0" w:space="0" w:color="auto"/>
        <w:bottom w:val="none" w:sz="0" w:space="0" w:color="auto"/>
        <w:right w:val="none" w:sz="0" w:space="0" w:color="auto"/>
      </w:divBdr>
    </w:div>
    <w:div w:id="1385760670">
      <w:bodyDiv w:val="1"/>
      <w:marLeft w:val="0"/>
      <w:marRight w:val="0"/>
      <w:marTop w:val="0"/>
      <w:marBottom w:val="0"/>
      <w:divBdr>
        <w:top w:val="none" w:sz="0" w:space="0" w:color="auto"/>
        <w:left w:val="none" w:sz="0" w:space="0" w:color="auto"/>
        <w:bottom w:val="none" w:sz="0" w:space="0" w:color="auto"/>
        <w:right w:val="none" w:sz="0" w:space="0" w:color="auto"/>
      </w:divBdr>
    </w:div>
    <w:div w:id="1422943636">
      <w:bodyDiv w:val="1"/>
      <w:marLeft w:val="0"/>
      <w:marRight w:val="0"/>
      <w:marTop w:val="0"/>
      <w:marBottom w:val="0"/>
      <w:divBdr>
        <w:top w:val="none" w:sz="0" w:space="0" w:color="auto"/>
        <w:left w:val="none" w:sz="0" w:space="0" w:color="auto"/>
        <w:bottom w:val="none" w:sz="0" w:space="0" w:color="auto"/>
        <w:right w:val="none" w:sz="0" w:space="0" w:color="auto"/>
      </w:divBdr>
    </w:div>
    <w:div w:id="1434207183">
      <w:bodyDiv w:val="1"/>
      <w:marLeft w:val="0"/>
      <w:marRight w:val="0"/>
      <w:marTop w:val="0"/>
      <w:marBottom w:val="0"/>
      <w:divBdr>
        <w:top w:val="none" w:sz="0" w:space="0" w:color="auto"/>
        <w:left w:val="none" w:sz="0" w:space="0" w:color="auto"/>
        <w:bottom w:val="none" w:sz="0" w:space="0" w:color="auto"/>
        <w:right w:val="none" w:sz="0" w:space="0" w:color="auto"/>
      </w:divBdr>
    </w:div>
    <w:div w:id="1460879140">
      <w:bodyDiv w:val="1"/>
      <w:marLeft w:val="0"/>
      <w:marRight w:val="0"/>
      <w:marTop w:val="0"/>
      <w:marBottom w:val="0"/>
      <w:divBdr>
        <w:top w:val="none" w:sz="0" w:space="0" w:color="auto"/>
        <w:left w:val="none" w:sz="0" w:space="0" w:color="auto"/>
        <w:bottom w:val="none" w:sz="0" w:space="0" w:color="auto"/>
        <w:right w:val="none" w:sz="0" w:space="0" w:color="auto"/>
      </w:divBdr>
    </w:div>
    <w:div w:id="1497183302">
      <w:bodyDiv w:val="1"/>
      <w:marLeft w:val="0"/>
      <w:marRight w:val="0"/>
      <w:marTop w:val="0"/>
      <w:marBottom w:val="0"/>
      <w:divBdr>
        <w:top w:val="none" w:sz="0" w:space="0" w:color="auto"/>
        <w:left w:val="none" w:sz="0" w:space="0" w:color="auto"/>
        <w:bottom w:val="none" w:sz="0" w:space="0" w:color="auto"/>
        <w:right w:val="none" w:sz="0" w:space="0" w:color="auto"/>
      </w:divBdr>
      <w:divsChild>
        <w:div w:id="1393233059">
          <w:marLeft w:val="0"/>
          <w:marRight w:val="0"/>
          <w:marTop w:val="0"/>
          <w:marBottom w:val="0"/>
          <w:divBdr>
            <w:top w:val="none" w:sz="0" w:space="0" w:color="auto"/>
            <w:left w:val="none" w:sz="0" w:space="0" w:color="auto"/>
            <w:bottom w:val="none" w:sz="0" w:space="0" w:color="auto"/>
            <w:right w:val="none" w:sz="0" w:space="0" w:color="auto"/>
          </w:divBdr>
          <w:divsChild>
            <w:div w:id="1365058017">
              <w:marLeft w:val="0"/>
              <w:marRight w:val="0"/>
              <w:marTop w:val="0"/>
              <w:marBottom w:val="0"/>
              <w:divBdr>
                <w:top w:val="none" w:sz="0" w:space="0" w:color="auto"/>
                <w:left w:val="none" w:sz="0" w:space="0" w:color="auto"/>
                <w:bottom w:val="none" w:sz="0" w:space="0" w:color="auto"/>
                <w:right w:val="none" w:sz="0" w:space="0" w:color="auto"/>
              </w:divBdr>
              <w:divsChild>
                <w:div w:id="1956322938">
                  <w:marLeft w:val="0"/>
                  <w:marRight w:val="0"/>
                  <w:marTop w:val="0"/>
                  <w:marBottom w:val="0"/>
                  <w:divBdr>
                    <w:top w:val="none" w:sz="0" w:space="0" w:color="auto"/>
                    <w:left w:val="none" w:sz="0" w:space="0" w:color="auto"/>
                    <w:bottom w:val="none" w:sz="0" w:space="0" w:color="auto"/>
                    <w:right w:val="none" w:sz="0" w:space="0" w:color="auto"/>
                  </w:divBdr>
                  <w:divsChild>
                    <w:div w:id="1330985354">
                      <w:marLeft w:val="0"/>
                      <w:marRight w:val="0"/>
                      <w:marTop w:val="0"/>
                      <w:marBottom w:val="0"/>
                      <w:divBdr>
                        <w:top w:val="none" w:sz="0" w:space="0" w:color="auto"/>
                        <w:left w:val="none" w:sz="0" w:space="0" w:color="auto"/>
                        <w:bottom w:val="none" w:sz="0" w:space="0" w:color="auto"/>
                        <w:right w:val="none" w:sz="0" w:space="0" w:color="auto"/>
                      </w:divBdr>
                      <w:divsChild>
                        <w:div w:id="129520374">
                          <w:marLeft w:val="0"/>
                          <w:marRight w:val="0"/>
                          <w:marTop w:val="0"/>
                          <w:marBottom w:val="0"/>
                          <w:divBdr>
                            <w:top w:val="none" w:sz="0" w:space="0" w:color="auto"/>
                            <w:left w:val="none" w:sz="0" w:space="0" w:color="auto"/>
                            <w:bottom w:val="none" w:sz="0" w:space="0" w:color="auto"/>
                            <w:right w:val="none" w:sz="0" w:space="0" w:color="auto"/>
                          </w:divBdr>
                          <w:divsChild>
                            <w:div w:id="1624799964">
                              <w:marLeft w:val="0"/>
                              <w:marRight w:val="0"/>
                              <w:marTop w:val="0"/>
                              <w:marBottom w:val="0"/>
                              <w:divBdr>
                                <w:top w:val="none" w:sz="0" w:space="0" w:color="auto"/>
                                <w:left w:val="none" w:sz="0" w:space="0" w:color="auto"/>
                                <w:bottom w:val="none" w:sz="0" w:space="0" w:color="auto"/>
                                <w:right w:val="none" w:sz="0" w:space="0" w:color="auto"/>
                              </w:divBdr>
                              <w:divsChild>
                                <w:div w:id="1232619134">
                                  <w:marLeft w:val="0"/>
                                  <w:marRight w:val="0"/>
                                  <w:marTop w:val="0"/>
                                  <w:marBottom w:val="0"/>
                                  <w:divBdr>
                                    <w:top w:val="none" w:sz="0" w:space="0" w:color="auto"/>
                                    <w:left w:val="none" w:sz="0" w:space="0" w:color="auto"/>
                                    <w:bottom w:val="none" w:sz="0" w:space="0" w:color="auto"/>
                                    <w:right w:val="none" w:sz="0" w:space="0" w:color="auto"/>
                                  </w:divBdr>
                                  <w:divsChild>
                                    <w:div w:id="8331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262021">
      <w:bodyDiv w:val="1"/>
      <w:marLeft w:val="0"/>
      <w:marRight w:val="0"/>
      <w:marTop w:val="0"/>
      <w:marBottom w:val="0"/>
      <w:divBdr>
        <w:top w:val="none" w:sz="0" w:space="0" w:color="auto"/>
        <w:left w:val="none" w:sz="0" w:space="0" w:color="auto"/>
        <w:bottom w:val="none" w:sz="0" w:space="0" w:color="auto"/>
        <w:right w:val="none" w:sz="0" w:space="0" w:color="auto"/>
      </w:divBdr>
    </w:div>
    <w:div w:id="1501774669">
      <w:bodyDiv w:val="1"/>
      <w:marLeft w:val="0"/>
      <w:marRight w:val="0"/>
      <w:marTop w:val="0"/>
      <w:marBottom w:val="0"/>
      <w:divBdr>
        <w:top w:val="none" w:sz="0" w:space="0" w:color="auto"/>
        <w:left w:val="none" w:sz="0" w:space="0" w:color="auto"/>
        <w:bottom w:val="none" w:sz="0" w:space="0" w:color="auto"/>
        <w:right w:val="none" w:sz="0" w:space="0" w:color="auto"/>
      </w:divBdr>
    </w:div>
    <w:div w:id="1518154169">
      <w:bodyDiv w:val="1"/>
      <w:marLeft w:val="0"/>
      <w:marRight w:val="0"/>
      <w:marTop w:val="0"/>
      <w:marBottom w:val="0"/>
      <w:divBdr>
        <w:top w:val="none" w:sz="0" w:space="0" w:color="auto"/>
        <w:left w:val="none" w:sz="0" w:space="0" w:color="auto"/>
        <w:bottom w:val="none" w:sz="0" w:space="0" w:color="auto"/>
        <w:right w:val="none" w:sz="0" w:space="0" w:color="auto"/>
      </w:divBdr>
      <w:divsChild>
        <w:div w:id="1553032221">
          <w:marLeft w:val="0"/>
          <w:marRight w:val="0"/>
          <w:marTop w:val="0"/>
          <w:marBottom w:val="0"/>
          <w:divBdr>
            <w:top w:val="none" w:sz="0" w:space="0" w:color="auto"/>
            <w:left w:val="none" w:sz="0" w:space="0" w:color="auto"/>
            <w:bottom w:val="none" w:sz="0" w:space="0" w:color="auto"/>
            <w:right w:val="none" w:sz="0" w:space="0" w:color="auto"/>
          </w:divBdr>
          <w:divsChild>
            <w:div w:id="1716351880">
              <w:marLeft w:val="0"/>
              <w:marRight w:val="0"/>
              <w:marTop w:val="0"/>
              <w:marBottom w:val="0"/>
              <w:divBdr>
                <w:top w:val="none" w:sz="0" w:space="0" w:color="auto"/>
                <w:left w:val="none" w:sz="0" w:space="0" w:color="auto"/>
                <w:bottom w:val="none" w:sz="0" w:space="0" w:color="auto"/>
                <w:right w:val="none" w:sz="0" w:space="0" w:color="auto"/>
              </w:divBdr>
              <w:divsChild>
                <w:div w:id="1087580506">
                  <w:marLeft w:val="0"/>
                  <w:marRight w:val="0"/>
                  <w:marTop w:val="0"/>
                  <w:marBottom w:val="0"/>
                  <w:divBdr>
                    <w:top w:val="none" w:sz="0" w:space="0" w:color="auto"/>
                    <w:left w:val="none" w:sz="0" w:space="0" w:color="auto"/>
                    <w:bottom w:val="none" w:sz="0" w:space="0" w:color="auto"/>
                    <w:right w:val="none" w:sz="0" w:space="0" w:color="auto"/>
                  </w:divBdr>
                  <w:divsChild>
                    <w:div w:id="814029437">
                      <w:marLeft w:val="4500"/>
                      <w:marRight w:val="0"/>
                      <w:marTop w:val="615"/>
                      <w:marBottom w:val="0"/>
                      <w:divBdr>
                        <w:top w:val="none" w:sz="0" w:space="0" w:color="auto"/>
                        <w:left w:val="none" w:sz="0" w:space="0" w:color="auto"/>
                        <w:bottom w:val="none" w:sz="0" w:space="0" w:color="auto"/>
                        <w:right w:val="none" w:sz="0" w:space="0" w:color="auto"/>
                      </w:divBdr>
                      <w:divsChild>
                        <w:div w:id="247079850">
                          <w:marLeft w:val="0"/>
                          <w:marRight w:val="0"/>
                          <w:marTop w:val="0"/>
                          <w:marBottom w:val="0"/>
                          <w:divBdr>
                            <w:top w:val="none" w:sz="0" w:space="0" w:color="auto"/>
                            <w:left w:val="none" w:sz="0" w:space="0" w:color="auto"/>
                            <w:bottom w:val="none" w:sz="0" w:space="0" w:color="auto"/>
                            <w:right w:val="none" w:sz="0" w:space="0" w:color="auto"/>
                          </w:divBdr>
                          <w:divsChild>
                            <w:div w:id="482702261">
                              <w:marLeft w:val="0"/>
                              <w:marRight w:val="0"/>
                              <w:marTop w:val="0"/>
                              <w:marBottom w:val="0"/>
                              <w:divBdr>
                                <w:top w:val="none" w:sz="0" w:space="0" w:color="auto"/>
                                <w:left w:val="none" w:sz="0" w:space="0" w:color="auto"/>
                                <w:bottom w:val="none" w:sz="0" w:space="0" w:color="auto"/>
                                <w:right w:val="none" w:sz="0" w:space="0" w:color="auto"/>
                              </w:divBdr>
                              <w:divsChild>
                                <w:div w:id="1472625787">
                                  <w:marLeft w:val="0"/>
                                  <w:marRight w:val="0"/>
                                  <w:marTop w:val="0"/>
                                  <w:marBottom w:val="0"/>
                                  <w:divBdr>
                                    <w:top w:val="none" w:sz="0" w:space="0" w:color="auto"/>
                                    <w:left w:val="none" w:sz="0" w:space="0" w:color="auto"/>
                                    <w:bottom w:val="none" w:sz="0" w:space="0" w:color="auto"/>
                                    <w:right w:val="none" w:sz="0" w:space="0" w:color="auto"/>
                                  </w:divBdr>
                                  <w:divsChild>
                                    <w:div w:id="1387071944">
                                      <w:marLeft w:val="0"/>
                                      <w:marRight w:val="0"/>
                                      <w:marTop w:val="150"/>
                                      <w:marBottom w:val="0"/>
                                      <w:divBdr>
                                        <w:top w:val="none" w:sz="0" w:space="0" w:color="auto"/>
                                        <w:left w:val="none" w:sz="0" w:space="0" w:color="auto"/>
                                        <w:bottom w:val="none" w:sz="0" w:space="0" w:color="auto"/>
                                        <w:right w:val="none" w:sz="0" w:space="0" w:color="auto"/>
                                      </w:divBdr>
                                      <w:divsChild>
                                        <w:div w:id="988484878">
                                          <w:marLeft w:val="0"/>
                                          <w:marRight w:val="0"/>
                                          <w:marTop w:val="0"/>
                                          <w:marBottom w:val="0"/>
                                          <w:divBdr>
                                            <w:top w:val="none" w:sz="0" w:space="0" w:color="auto"/>
                                            <w:left w:val="none" w:sz="0" w:space="0" w:color="auto"/>
                                            <w:bottom w:val="none" w:sz="0" w:space="0" w:color="auto"/>
                                            <w:right w:val="none" w:sz="0" w:space="0" w:color="auto"/>
                                          </w:divBdr>
                                          <w:divsChild>
                                            <w:div w:id="583807274">
                                              <w:marLeft w:val="0"/>
                                              <w:marRight w:val="0"/>
                                              <w:marTop w:val="0"/>
                                              <w:marBottom w:val="0"/>
                                              <w:divBdr>
                                                <w:top w:val="none" w:sz="0" w:space="0" w:color="auto"/>
                                                <w:left w:val="none" w:sz="0" w:space="0" w:color="auto"/>
                                                <w:bottom w:val="none" w:sz="0" w:space="0" w:color="auto"/>
                                                <w:right w:val="none" w:sz="0" w:space="0" w:color="auto"/>
                                              </w:divBdr>
                                              <w:divsChild>
                                                <w:div w:id="1773939909">
                                                  <w:marLeft w:val="0"/>
                                                  <w:marRight w:val="0"/>
                                                  <w:marTop w:val="0"/>
                                                  <w:marBottom w:val="0"/>
                                                  <w:divBdr>
                                                    <w:top w:val="none" w:sz="0" w:space="0" w:color="auto"/>
                                                    <w:left w:val="none" w:sz="0" w:space="0" w:color="auto"/>
                                                    <w:bottom w:val="none" w:sz="0" w:space="0" w:color="auto"/>
                                                    <w:right w:val="none" w:sz="0" w:space="0" w:color="auto"/>
                                                  </w:divBdr>
                                                  <w:divsChild>
                                                    <w:div w:id="783228386">
                                                      <w:marLeft w:val="0"/>
                                                      <w:marRight w:val="0"/>
                                                      <w:marTop w:val="150"/>
                                                      <w:marBottom w:val="150"/>
                                                      <w:divBdr>
                                                        <w:top w:val="single" w:sz="6" w:space="0" w:color="6699CC"/>
                                                        <w:left w:val="single" w:sz="6" w:space="0" w:color="6699CC"/>
                                                        <w:bottom w:val="single" w:sz="6" w:space="0" w:color="6699CC"/>
                                                        <w:right w:val="single" w:sz="6" w:space="0" w:color="6699CC"/>
                                                      </w:divBdr>
                                                      <w:divsChild>
                                                        <w:div w:id="11109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526349">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30991032">
      <w:bodyDiv w:val="1"/>
      <w:marLeft w:val="0"/>
      <w:marRight w:val="0"/>
      <w:marTop w:val="0"/>
      <w:marBottom w:val="0"/>
      <w:divBdr>
        <w:top w:val="none" w:sz="0" w:space="0" w:color="auto"/>
        <w:left w:val="none" w:sz="0" w:space="0" w:color="auto"/>
        <w:bottom w:val="none" w:sz="0" w:space="0" w:color="auto"/>
        <w:right w:val="none" w:sz="0" w:space="0" w:color="auto"/>
      </w:divBdr>
    </w:div>
    <w:div w:id="1539200299">
      <w:bodyDiv w:val="1"/>
      <w:marLeft w:val="0"/>
      <w:marRight w:val="0"/>
      <w:marTop w:val="0"/>
      <w:marBottom w:val="0"/>
      <w:divBdr>
        <w:top w:val="none" w:sz="0" w:space="0" w:color="auto"/>
        <w:left w:val="none" w:sz="0" w:space="0" w:color="auto"/>
        <w:bottom w:val="none" w:sz="0" w:space="0" w:color="auto"/>
        <w:right w:val="none" w:sz="0" w:space="0" w:color="auto"/>
      </w:divBdr>
    </w:div>
    <w:div w:id="1542016793">
      <w:bodyDiv w:val="1"/>
      <w:marLeft w:val="0"/>
      <w:marRight w:val="0"/>
      <w:marTop w:val="0"/>
      <w:marBottom w:val="0"/>
      <w:divBdr>
        <w:top w:val="none" w:sz="0" w:space="0" w:color="auto"/>
        <w:left w:val="none" w:sz="0" w:space="0" w:color="auto"/>
        <w:bottom w:val="none" w:sz="0" w:space="0" w:color="auto"/>
        <w:right w:val="none" w:sz="0" w:space="0" w:color="auto"/>
      </w:divBdr>
    </w:div>
    <w:div w:id="1544176119">
      <w:bodyDiv w:val="1"/>
      <w:marLeft w:val="0"/>
      <w:marRight w:val="0"/>
      <w:marTop w:val="0"/>
      <w:marBottom w:val="0"/>
      <w:divBdr>
        <w:top w:val="none" w:sz="0" w:space="0" w:color="auto"/>
        <w:left w:val="none" w:sz="0" w:space="0" w:color="auto"/>
        <w:bottom w:val="none" w:sz="0" w:space="0" w:color="auto"/>
        <w:right w:val="none" w:sz="0" w:space="0" w:color="auto"/>
      </w:divBdr>
    </w:div>
    <w:div w:id="1642072235">
      <w:bodyDiv w:val="1"/>
      <w:marLeft w:val="0"/>
      <w:marRight w:val="0"/>
      <w:marTop w:val="0"/>
      <w:marBottom w:val="0"/>
      <w:divBdr>
        <w:top w:val="none" w:sz="0" w:space="0" w:color="auto"/>
        <w:left w:val="none" w:sz="0" w:space="0" w:color="auto"/>
        <w:bottom w:val="none" w:sz="0" w:space="0" w:color="auto"/>
        <w:right w:val="none" w:sz="0" w:space="0" w:color="auto"/>
      </w:divBdr>
    </w:div>
    <w:div w:id="1662923885">
      <w:bodyDiv w:val="1"/>
      <w:marLeft w:val="0"/>
      <w:marRight w:val="0"/>
      <w:marTop w:val="0"/>
      <w:marBottom w:val="0"/>
      <w:divBdr>
        <w:top w:val="none" w:sz="0" w:space="0" w:color="auto"/>
        <w:left w:val="none" w:sz="0" w:space="0" w:color="auto"/>
        <w:bottom w:val="none" w:sz="0" w:space="0" w:color="auto"/>
        <w:right w:val="none" w:sz="0" w:space="0" w:color="auto"/>
      </w:divBdr>
    </w:div>
    <w:div w:id="1675916360">
      <w:bodyDiv w:val="1"/>
      <w:marLeft w:val="0"/>
      <w:marRight w:val="0"/>
      <w:marTop w:val="0"/>
      <w:marBottom w:val="0"/>
      <w:divBdr>
        <w:top w:val="none" w:sz="0" w:space="0" w:color="auto"/>
        <w:left w:val="none" w:sz="0" w:space="0" w:color="auto"/>
        <w:bottom w:val="none" w:sz="0" w:space="0" w:color="auto"/>
        <w:right w:val="none" w:sz="0" w:space="0" w:color="auto"/>
      </w:divBdr>
    </w:div>
    <w:div w:id="1689214411">
      <w:bodyDiv w:val="1"/>
      <w:marLeft w:val="0"/>
      <w:marRight w:val="0"/>
      <w:marTop w:val="0"/>
      <w:marBottom w:val="0"/>
      <w:divBdr>
        <w:top w:val="none" w:sz="0" w:space="0" w:color="auto"/>
        <w:left w:val="none" w:sz="0" w:space="0" w:color="auto"/>
        <w:bottom w:val="none" w:sz="0" w:space="0" w:color="auto"/>
        <w:right w:val="none" w:sz="0" w:space="0" w:color="auto"/>
      </w:divBdr>
    </w:div>
    <w:div w:id="171083415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sChild>
        <w:div w:id="1547569192">
          <w:marLeft w:val="0"/>
          <w:marRight w:val="0"/>
          <w:marTop w:val="0"/>
          <w:marBottom w:val="0"/>
          <w:divBdr>
            <w:top w:val="none" w:sz="0" w:space="0" w:color="auto"/>
            <w:left w:val="none" w:sz="0" w:space="0" w:color="auto"/>
            <w:bottom w:val="none" w:sz="0" w:space="0" w:color="auto"/>
            <w:right w:val="none" w:sz="0" w:space="0" w:color="auto"/>
          </w:divBdr>
          <w:divsChild>
            <w:div w:id="1998605590">
              <w:marLeft w:val="0"/>
              <w:marRight w:val="0"/>
              <w:marTop w:val="0"/>
              <w:marBottom w:val="0"/>
              <w:divBdr>
                <w:top w:val="none" w:sz="0" w:space="0" w:color="auto"/>
                <w:left w:val="none" w:sz="0" w:space="0" w:color="auto"/>
                <w:bottom w:val="none" w:sz="0" w:space="0" w:color="auto"/>
                <w:right w:val="none" w:sz="0" w:space="0" w:color="auto"/>
              </w:divBdr>
              <w:divsChild>
                <w:div w:id="269632737">
                  <w:marLeft w:val="0"/>
                  <w:marRight w:val="0"/>
                  <w:marTop w:val="0"/>
                  <w:marBottom w:val="0"/>
                  <w:divBdr>
                    <w:top w:val="none" w:sz="0" w:space="0" w:color="auto"/>
                    <w:left w:val="none" w:sz="0" w:space="0" w:color="auto"/>
                    <w:bottom w:val="none" w:sz="0" w:space="0" w:color="auto"/>
                    <w:right w:val="none" w:sz="0" w:space="0" w:color="auto"/>
                  </w:divBdr>
                  <w:divsChild>
                    <w:div w:id="908923535">
                      <w:marLeft w:val="0"/>
                      <w:marRight w:val="0"/>
                      <w:marTop w:val="0"/>
                      <w:marBottom w:val="0"/>
                      <w:divBdr>
                        <w:top w:val="single" w:sz="6" w:space="0" w:color="CCCCCC"/>
                        <w:left w:val="single" w:sz="2" w:space="0" w:color="CCCCCC"/>
                        <w:bottom w:val="single" w:sz="6" w:space="0" w:color="CCCCCC"/>
                        <w:right w:val="single" w:sz="2" w:space="0" w:color="CCCCCC"/>
                      </w:divBdr>
                      <w:divsChild>
                        <w:div w:id="941495245">
                          <w:marLeft w:val="0"/>
                          <w:marRight w:val="0"/>
                          <w:marTop w:val="0"/>
                          <w:marBottom w:val="0"/>
                          <w:divBdr>
                            <w:top w:val="none" w:sz="0" w:space="0" w:color="auto"/>
                            <w:left w:val="none" w:sz="0" w:space="0" w:color="auto"/>
                            <w:bottom w:val="none" w:sz="0" w:space="0" w:color="auto"/>
                            <w:right w:val="none" w:sz="0" w:space="0" w:color="auto"/>
                          </w:divBdr>
                          <w:divsChild>
                            <w:div w:id="1664894565">
                              <w:marLeft w:val="0"/>
                              <w:marRight w:val="0"/>
                              <w:marTop w:val="0"/>
                              <w:marBottom w:val="0"/>
                              <w:divBdr>
                                <w:top w:val="none" w:sz="0" w:space="0" w:color="auto"/>
                                <w:left w:val="none" w:sz="0" w:space="0" w:color="auto"/>
                                <w:bottom w:val="none" w:sz="0" w:space="0" w:color="auto"/>
                                <w:right w:val="none" w:sz="0" w:space="0" w:color="auto"/>
                              </w:divBdr>
                              <w:divsChild>
                                <w:div w:id="1912546412">
                                  <w:marLeft w:val="0"/>
                                  <w:marRight w:val="0"/>
                                  <w:marTop w:val="0"/>
                                  <w:marBottom w:val="0"/>
                                  <w:divBdr>
                                    <w:top w:val="none" w:sz="0" w:space="0" w:color="auto"/>
                                    <w:left w:val="none" w:sz="0" w:space="0" w:color="auto"/>
                                    <w:bottom w:val="none" w:sz="0" w:space="0" w:color="auto"/>
                                    <w:right w:val="none" w:sz="0" w:space="0" w:color="auto"/>
                                  </w:divBdr>
                                  <w:divsChild>
                                    <w:div w:id="1540628682">
                                      <w:marLeft w:val="0"/>
                                      <w:marRight w:val="0"/>
                                      <w:marTop w:val="0"/>
                                      <w:marBottom w:val="0"/>
                                      <w:divBdr>
                                        <w:top w:val="none" w:sz="0" w:space="0" w:color="auto"/>
                                        <w:left w:val="none" w:sz="0" w:space="0" w:color="auto"/>
                                        <w:bottom w:val="none" w:sz="0" w:space="0" w:color="auto"/>
                                        <w:right w:val="none" w:sz="0" w:space="0" w:color="auto"/>
                                      </w:divBdr>
                                      <w:divsChild>
                                        <w:div w:id="14808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541410">
      <w:bodyDiv w:val="1"/>
      <w:marLeft w:val="0"/>
      <w:marRight w:val="0"/>
      <w:marTop w:val="0"/>
      <w:marBottom w:val="0"/>
      <w:divBdr>
        <w:top w:val="none" w:sz="0" w:space="0" w:color="auto"/>
        <w:left w:val="none" w:sz="0" w:space="0" w:color="auto"/>
        <w:bottom w:val="none" w:sz="0" w:space="0" w:color="auto"/>
        <w:right w:val="none" w:sz="0" w:space="0" w:color="auto"/>
      </w:divBdr>
    </w:div>
    <w:div w:id="1768573106">
      <w:bodyDiv w:val="1"/>
      <w:marLeft w:val="0"/>
      <w:marRight w:val="0"/>
      <w:marTop w:val="0"/>
      <w:marBottom w:val="0"/>
      <w:divBdr>
        <w:top w:val="none" w:sz="0" w:space="0" w:color="auto"/>
        <w:left w:val="none" w:sz="0" w:space="0" w:color="auto"/>
        <w:bottom w:val="none" w:sz="0" w:space="0" w:color="auto"/>
        <w:right w:val="none" w:sz="0" w:space="0" w:color="auto"/>
      </w:divBdr>
    </w:div>
    <w:div w:id="1772892413">
      <w:bodyDiv w:val="1"/>
      <w:marLeft w:val="0"/>
      <w:marRight w:val="0"/>
      <w:marTop w:val="0"/>
      <w:marBottom w:val="0"/>
      <w:divBdr>
        <w:top w:val="none" w:sz="0" w:space="0" w:color="auto"/>
        <w:left w:val="none" w:sz="0" w:space="0" w:color="auto"/>
        <w:bottom w:val="none" w:sz="0" w:space="0" w:color="auto"/>
        <w:right w:val="none" w:sz="0" w:space="0" w:color="auto"/>
      </w:divBdr>
    </w:div>
    <w:div w:id="1839611963">
      <w:bodyDiv w:val="1"/>
      <w:marLeft w:val="0"/>
      <w:marRight w:val="0"/>
      <w:marTop w:val="0"/>
      <w:marBottom w:val="0"/>
      <w:divBdr>
        <w:top w:val="none" w:sz="0" w:space="0" w:color="auto"/>
        <w:left w:val="none" w:sz="0" w:space="0" w:color="auto"/>
        <w:bottom w:val="none" w:sz="0" w:space="0" w:color="auto"/>
        <w:right w:val="none" w:sz="0" w:space="0" w:color="auto"/>
      </w:divBdr>
    </w:div>
    <w:div w:id="1866484957">
      <w:bodyDiv w:val="1"/>
      <w:marLeft w:val="0"/>
      <w:marRight w:val="0"/>
      <w:marTop w:val="0"/>
      <w:marBottom w:val="0"/>
      <w:divBdr>
        <w:top w:val="none" w:sz="0" w:space="0" w:color="auto"/>
        <w:left w:val="none" w:sz="0" w:space="0" w:color="auto"/>
        <w:bottom w:val="none" w:sz="0" w:space="0" w:color="auto"/>
        <w:right w:val="none" w:sz="0" w:space="0" w:color="auto"/>
      </w:divBdr>
    </w:div>
    <w:div w:id="1879128240">
      <w:bodyDiv w:val="1"/>
      <w:marLeft w:val="0"/>
      <w:marRight w:val="0"/>
      <w:marTop w:val="0"/>
      <w:marBottom w:val="0"/>
      <w:divBdr>
        <w:top w:val="none" w:sz="0" w:space="0" w:color="auto"/>
        <w:left w:val="none" w:sz="0" w:space="0" w:color="auto"/>
        <w:bottom w:val="none" w:sz="0" w:space="0" w:color="auto"/>
        <w:right w:val="none" w:sz="0" w:space="0" w:color="auto"/>
      </w:divBdr>
    </w:div>
    <w:div w:id="1880312898">
      <w:bodyDiv w:val="1"/>
      <w:marLeft w:val="0"/>
      <w:marRight w:val="0"/>
      <w:marTop w:val="0"/>
      <w:marBottom w:val="0"/>
      <w:divBdr>
        <w:top w:val="none" w:sz="0" w:space="0" w:color="auto"/>
        <w:left w:val="none" w:sz="0" w:space="0" w:color="auto"/>
        <w:bottom w:val="none" w:sz="0" w:space="0" w:color="auto"/>
        <w:right w:val="none" w:sz="0" w:space="0" w:color="auto"/>
      </w:divBdr>
    </w:div>
    <w:div w:id="1885482284">
      <w:bodyDiv w:val="1"/>
      <w:marLeft w:val="0"/>
      <w:marRight w:val="0"/>
      <w:marTop w:val="0"/>
      <w:marBottom w:val="0"/>
      <w:divBdr>
        <w:top w:val="none" w:sz="0" w:space="0" w:color="auto"/>
        <w:left w:val="none" w:sz="0" w:space="0" w:color="auto"/>
        <w:bottom w:val="none" w:sz="0" w:space="0" w:color="auto"/>
        <w:right w:val="none" w:sz="0" w:space="0" w:color="auto"/>
      </w:divBdr>
    </w:div>
    <w:div w:id="1886716613">
      <w:bodyDiv w:val="1"/>
      <w:marLeft w:val="0"/>
      <w:marRight w:val="0"/>
      <w:marTop w:val="0"/>
      <w:marBottom w:val="0"/>
      <w:divBdr>
        <w:top w:val="none" w:sz="0" w:space="0" w:color="auto"/>
        <w:left w:val="none" w:sz="0" w:space="0" w:color="auto"/>
        <w:bottom w:val="none" w:sz="0" w:space="0" w:color="auto"/>
        <w:right w:val="none" w:sz="0" w:space="0" w:color="auto"/>
      </w:divBdr>
    </w:div>
    <w:div w:id="1889490830">
      <w:bodyDiv w:val="1"/>
      <w:marLeft w:val="0"/>
      <w:marRight w:val="0"/>
      <w:marTop w:val="0"/>
      <w:marBottom w:val="0"/>
      <w:divBdr>
        <w:top w:val="none" w:sz="0" w:space="0" w:color="auto"/>
        <w:left w:val="none" w:sz="0" w:space="0" w:color="auto"/>
        <w:bottom w:val="none" w:sz="0" w:space="0" w:color="auto"/>
        <w:right w:val="none" w:sz="0" w:space="0" w:color="auto"/>
      </w:divBdr>
    </w:div>
    <w:div w:id="1912696523">
      <w:bodyDiv w:val="1"/>
      <w:marLeft w:val="0"/>
      <w:marRight w:val="0"/>
      <w:marTop w:val="0"/>
      <w:marBottom w:val="0"/>
      <w:divBdr>
        <w:top w:val="none" w:sz="0" w:space="0" w:color="auto"/>
        <w:left w:val="none" w:sz="0" w:space="0" w:color="auto"/>
        <w:bottom w:val="none" w:sz="0" w:space="0" w:color="auto"/>
        <w:right w:val="none" w:sz="0" w:space="0" w:color="auto"/>
      </w:divBdr>
    </w:div>
    <w:div w:id="1957981282">
      <w:bodyDiv w:val="1"/>
      <w:marLeft w:val="0"/>
      <w:marRight w:val="0"/>
      <w:marTop w:val="0"/>
      <w:marBottom w:val="0"/>
      <w:divBdr>
        <w:top w:val="none" w:sz="0" w:space="0" w:color="auto"/>
        <w:left w:val="none" w:sz="0" w:space="0" w:color="auto"/>
        <w:bottom w:val="none" w:sz="0" w:space="0" w:color="auto"/>
        <w:right w:val="none" w:sz="0" w:space="0" w:color="auto"/>
      </w:divBdr>
    </w:div>
    <w:div w:id="1972903438">
      <w:bodyDiv w:val="1"/>
      <w:marLeft w:val="0"/>
      <w:marRight w:val="0"/>
      <w:marTop w:val="0"/>
      <w:marBottom w:val="0"/>
      <w:divBdr>
        <w:top w:val="none" w:sz="0" w:space="0" w:color="auto"/>
        <w:left w:val="none" w:sz="0" w:space="0" w:color="auto"/>
        <w:bottom w:val="none" w:sz="0" w:space="0" w:color="auto"/>
        <w:right w:val="none" w:sz="0" w:space="0" w:color="auto"/>
      </w:divBdr>
    </w:div>
    <w:div w:id="1983845715">
      <w:bodyDiv w:val="1"/>
      <w:marLeft w:val="0"/>
      <w:marRight w:val="0"/>
      <w:marTop w:val="0"/>
      <w:marBottom w:val="0"/>
      <w:divBdr>
        <w:top w:val="none" w:sz="0" w:space="0" w:color="auto"/>
        <w:left w:val="none" w:sz="0" w:space="0" w:color="auto"/>
        <w:bottom w:val="none" w:sz="0" w:space="0" w:color="auto"/>
        <w:right w:val="none" w:sz="0" w:space="0" w:color="auto"/>
      </w:divBdr>
    </w:div>
    <w:div w:id="1987389454">
      <w:bodyDiv w:val="1"/>
      <w:marLeft w:val="0"/>
      <w:marRight w:val="0"/>
      <w:marTop w:val="0"/>
      <w:marBottom w:val="0"/>
      <w:divBdr>
        <w:top w:val="none" w:sz="0" w:space="0" w:color="auto"/>
        <w:left w:val="none" w:sz="0" w:space="0" w:color="auto"/>
        <w:bottom w:val="none" w:sz="0" w:space="0" w:color="auto"/>
        <w:right w:val="none" w:sz="0" w:space="0" w:color="auto"/>
      </w:divBdr>
      <w:divsChild>
        <w:div w:id="357507257">
          <w:marLeft w:val="0"/>
          <w:marRight w:val="0"/>
          <w:marTop w:val="0"/>
          <w:marBottom w:val="0"/>
          <w:divBdr>
            <w:top w:val="none" w:sz="0" w:space="0" w:color="auto"/>
            <w:left w:val="none" w:sz="0" w:space="0" w:color="auto"/>
            <w:bottom w:val="none" w:sz="0" w:space="0" w:color="auto"/>
            <w:right w:val="none" w:sz="0" w:space="0" w:color="auto"/>
          </w:divBdr>
          <w:divsChild>
            <w:div w:id="503474274">
              <w:marLeft w:val="0"/>
              <w:marRight w:val="0"/>
              <w:marTop w:val="0"/>
              <w:marBottom w:val="0"/>
              <w:divBdr>
                <w:top w:val="none" w:sz="0" w:space="0" w:color="auto"/>
                <w:left w:val="none" w:sz="0" w:space="0" w:color="auto"/>
                <w:bottom w:val="none" w:sz="0" w:space="0" w:color="auto"/>
                <w:right w:val="none" w:sz="0" w:space="0" w:color="auto"/>
              </w:divBdr>
              <w:divsChild>
                <w:div w:id="1801260170">
                  <w:marLeft w:val="0"/>
                  <w:marRight w:val="0"/>
                  <w:marTop w:val="0"/>
                  <w:marBottom w:val="0"/>
                  <w:divBdr>
                    <w:top w:val="none" w:sz="0" w:space="0" w:color="auto"/>
                    <w:left w:val="none" w:sz="0" w:space="0" w:color="auto"/>
                    <w:bottom w:val="none" w:sz="0" w:space="0" w:color="auto"/>
                    <w:right w:val="none" w:sz="0" w:space="0" w:color="auto"/>
                  </w:divBdr>
                  <w:divsChild>
                    <w:div w:id="1630894602">
                      <w:marLeft w:val="0"/>
                      <w:marRight w:val="0"/>
                      <w:marTop w:val="0"/>
                      <w:marBottom w:val="0"/>
                      <w:divBdr>
                        <w:top w:val="none" w:sz="0" w:space="0" w:color="auto"/>
                        <w:left w:val="none" w:sz="0" w:space="0" w:color="auto"/>
                        <w:bottom w:val="none" w:sz="0" w:space="0" w:color="auto"/>
                        <w:right w:val="none" w:sz="0" w:space="0" w:color="auto"/>
                      </w:divBdr>
                      <w:divsChild>
                        <w:div w:id="63795484">
                          <w:marLeft w:val="0"/>
                          <w:marRight w:val="0"/>
                          <w:marTop w:val="0"/>
                          <w:marBottom w:val="0"/>
                          <w:divBdr>
                            <w:top w:val="none" w:sz="0" w:space="0" w:color="auto"/>
                            <w:left w:val="none" w:sz="0" w:space="0" w:color="auto"/>
                            <w:bottom w:val="none" w:sz="0" w:space="0" w:color="auto"/>
                            <w:right w:val="none" w:sz="0" w:space="0" w:color="auto"/>
                          </w:divBdr>
                          <w:divsChild>
                            <w:div w:id="643462029">
                              <w:marLeft w:val="0"/>
                              <w:marRight w:val="0"/>
                              <w:marTop w:val="0"/>
                              <w:marBottom w:val="0"/>
                              <w:divBdr>
                                <w:top w:val="none" w:sz="0" w:space="0" w:color="auto"/>
                                <w:left w:val="none" w:sz="0" w:space="0" w:color="auto"/>
                                <w:bottom w:val="none" w:sz="0" w:space="0" w:color="auto"/>
                                <w:right w:val="none" w:sz="0" w:space="0" w:color="auto"/>
                              </w:divBdr>
                              <w:divsChild>
                                <w:div w:id="1119835186">
                                  <w:marLeft w:val="0"/>
                                  <w:marRight w:val="0"/>
                                  <w:marTop w:val="0"/>
                                  <w:marBottom w:val="0"/>
                                  <w:divBdr>
                                    <w:top w:val="none" w:sz="0" w:space="0" w:color="auto"/>
                                    <w:left w:val="none" w:sz="0" w:space="0" w:color="auto"/>
                                    <w:bottom w:val="none" w:sz="0" w:space="0" w:color="auto"/>
                                    <w:right w:val="none" w:sz="0" w:space="0" w:color="auto"/>
                                  </w:divBdr>
                                  <w:divsChild>
                                    <w:div w:id="976103148">
                                      <w:marLeft w:val="0"/>
                                      <w:marRight w:val="0"/>
                                      <w:marTop w:val="0"/>
                                      <w:marBottom w:val="0"/>
                                      <w:divBdr>
                                        <w:top w:val="none" w:sz="0" w:space="0" w:color="auto"/>
                                        <w:left w:val="none" w:sz="0" w:space="0" w:color="auto"/>
                                        <w:bottom w:val="none" w:sz="0" w:space="0" w:color="auto"/>
                                        <w:right w:val="none" w:sz="0" w:space="0" w:color="auto"/>
                                      </w:divBdr>
                                      <w:divsChild>
                                        <w:div w:id="1029601940">
                                          <w:marLeft w:val="0"/>
                                          <w:marRight w:val="0"/>
                                          <w:marTop w:val="0"/>
                                          <w:marBottom w:val="0"/>
                                          <w:divBdr>
                                            <w:top w:val="none" w:sz="0" w:space="0" w:color="auto"/>
                                            <w:left w:val="none" w:sz="0" w:space="0" w:color="auto"/>
                                            <w:bottom w:val="none" w:sz="0" w:space="0" w:color="auto"/>
                                            <w:right w:val="none" w:sz="0" w:space="0" w:color="auto"/>
                                          </w:divBdr>
                                          <w:divsChild>
                                            <w:div w:id="1381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1247885">
      <w:bodyDiv w:val="1"/>
      <w:marLeft w:val="0"/>
      <w:marRight w:val="0"/>
      <w:marTop w:val="0"/>
      <w:marBottom w:val="0"/>
      <w:divBdr>
        <w:top w:val="none" w:sz="0" w:space="0" w:color="auto"/>
        <w:left w:val="none" w:sz="0" w:space="0" w:color="auto"/>
        <w:bottom w:val="none" w:sz="0" w:space="0" w:color="auto"/>
        <w:right w:val="none" w:sz="0" w:space="0" w:color="auto"/>
      </w:divBdr>
    </w:div>
    <w:div w:id="2032341600">
      <w:bodyDiv w:val="1"/>
      <w:marLeft w:val="0"/>
      <w:marRight w:val="0"/>
      <w:marTop w:val="0"/>
      <w:marBottom w:val="0"/>
      <w:divBdr>
        <w:top w:val="none" w:sz="0" w:space="0" w:color="auto"/>
        <w:left w:val="none" w:sz="0" w:space="0" w:color="auto"/>
        <w:bottom w:val="none" w:sz="0" w:space="0" w:color="auto"/>
        <w:right w:val="none" w:sz="0" w:space="0" w:color="auto"/>
      </w:divBdr>
    </w:div>
    <w:div w:id="2039692787">
      <w:bodyDiv w:val="1"/>
      <w:marLeft w:val="0"/>
      <w:marRight w:val="0"/>
      <w:marTop w:val="0"/>
      <w:marBottom w:val="0"/>
      <w:divBdr>
        <w:top w:val="none" w:sz="0" w:space="0" w:color="auto"/>
        <w:left w:val="none" w:sz="0" w:space="0" w:color="auto"/>
        <w:bottom w:val="none" w:sz="0" w:space="0" w:color="auto"/>
        <w:right w:val="none" w:sz="0" w:space="0" w:color="auto"/>
      </w:divBdr>
    </w:div>
    <w:div w:id="2080519053">
      <w:bodyDiv w:val="1"/>
      <w:marLeft w:val="0"/>
      <w:marRight w:val="0"/>
      <w:marTop w:val="0"/>
      <w:marBottom w:val="0"/>
      <w:divBdr>
        <w:top w:val="none" w:sz="0" w:space="0" w:color="auto"/>
        <w:left w:val="none" w:sz="0" w:space="0" w:color="auto"/>
        <w:bottom w:val="none" w:sz="0" w:space="0" w:color="auto"/>
        <w:right w:val="none" w:sz="0" w:space="0" w:color="auto"/>
      </w:divBdr>
    </w:div>
    <w:div w:id="2099712461">
      <w:bodyDiv w:val="1"/>
      <w:marLeft w:val="0"/>
      <w:marRight w:val="0"/>
      <w:marTop w:val="0"/>
      <w:marBottom w:val="0"/>
      <w:divBdr>
        <w:top w:val="none" w:sz="0" w:space="0" w:color="auto"/>
        <w:left w:val="none" w:sz="0" w:space="0" w:color="auto"/>
        <w:bottom w:val="none" w:sz="0" w:space="0" w:color="auto"/>
        <w:right w:val="none" w:sz="0" w:space="0" w:color="auto"/>
      </w:divBdr>
    </w:div>
    <w:div w:id="2107574318">
      <w:bodyDiv w:val="1"/>
      <w:marLeft w:val="0"/>
      <w:marRight w:val="0"/>
      <w:marTop w:val="0"/>
      <w:marBottom w:val="0"/>
      <w:divBdr>
        <w:top w:val="none" w:sz="0" w:space="0" w:color="auto"/>
        <w:left w:val="none" w:sz="0" w:space="0" w:color="auto"/>
        <w:bottom w:val="none" w:sz="0" w:space="0" w:color="auto"/>
        <w:right w:val="none" w:sz="0" w:space="0" w:color="auto"/>
      </w:divBdr>
    </w:div>
    <w:div w:id="2111847725">
      <w:bodyDiv w:val="1"/>
      <w:marLeft w:val="0"/>
      <w:marRight w:val="0"/>
      <w:marTop w:val="0"/>
      <w:marBottom w:val="0"/>
      <w:divBdr>
        <w:top w:val="none" w:sz="0" w:space="0" w:color="auto"/>
        <w:left w:val="none" w:sz="0" w:space="0" w:color="auto"/>
        <w:bottom w:val="none" w:sz="0" w:space="0" w:color="auto"/>
        <w:right w:val="none" w:sz="0" w:space="0" w:color="auto"/>
      </w:divBdr>
    </w:div>
    <w:div w:id="2112779700">
      <w:bodyDiv w:val="1"/>
      <w:marLeft w:val="0"/>
      <w:marRight w:val="0"/>
      <w:marTop w:val="0"/>
      <w:marBottom w:val="0"/>
      <w:divBdr>
        <w:top w:val="none" w:sz="0" w:space="0" w:color="auto"/>
        <w:left w:val="none" w:sz="0" w:space="0" w:color="auto"/>
        <w:bottom w:val="none" w:sz="0" w:space="0" w:color="auto"/>
        <w:right w:val="none" w:sz="0" w:space="0" w:color="auto"/>
      </w:divBdr>
    </w:div>
    <w:div w:id="213401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56.xml"/><Relationship Id="rId21" Type="http://schemas.openxmlformats.org/officeDocument/2006/relationships/footer" Target="footer4.xml"/><Relationship Id="rId42" Type="http://schemas.openxmlformats.org/officeDocument/2006/relationships/chart" Target="charts/chart12.xml"/><Relationship Id="rId63" Type="http://schemas.openxmlformats.org/officeDocument/2006/relationships/footer" Target="footer14.xml"/><Relationship Id="rId84" Type="http://schemas.openxmlformats.org/officeDocument/2006/relationships/chart" Target="charts/chart36.xml"/><Relationship Id="rId138" Type="http://schemas.openxmlformats.org/officeDocument/2006/relationships/chart" Target="charts/chart65.xml"/><Relationship Id="rId159" Type="http://schemas.openxmlformats.org/officeDocument/2006/relationships/footer" Target="footer36.xml"/><Relationship Id="rId170" Type="http://schemas.openxmlformats.org/officeDocument/2006/relationships/header" Target="header37.xml"/><Relationship Id="rId191" Type="http://schemas.openxmlformats.org/officeDocument/2006/relationships/footer" Target="footer42.xml"/><Relationship Id="rId205" Type="http://schemas.openxmlformats.org/officeDocument/2006/relationships/footer" Target="footer44.xml"/><Relationship Id="rId107" Type="http://schemas.openxmlformats.org/officeDocument/2006/relationships/footer" Target="footer23.xml"/><Relationship Id="rId11" Type="http://schemas.openxmlformats.org/officeDocument/2006/relationships/endnotes" Target="endnotes.xml"/><Relationship Id="rId32" Type="http://schemas.openxmlformats.org/officeDocument/2006/relationships/header" Target="header9.xml"/><Relationship Id="rId53" Type="http://schemas.openxmlformats.org/officeDocument/2006/relationships/chart" Target="charts/chart17.xml"/><Relationship Id="rId74" Type="http://schemas.openxmlformats.org/officeDocument/2006/relationships/chart" Target="charts/chart32.xml"/><Relationship Id="rId128" Type="http://schemas.openxmlformats.org/officeDocument/2006/relationships/chart" Target="charts/chart61.xml"/><Relationship Id="rId149" Type="http://schemas.openxmlformats.org/officeDocument/2006/relationships/footer" Target="footer32.xml"/><Relationship Id="rId5" Type="http://schemas.openxmlformats.org/officeDocument/2006/relationships/numbering" Target="numbering.xml"/><Relationship Id="rId90" Type="http://schemas.openxmlformats.org/officeDocument/2006/relationships/chart" Target="charts/chart42.xml"/><Relationship Id="rId95" Type="http://schemas.openxmlformats.org/officeDocument/2006/relationships/footer" Target="footer19.xml"/><Relationship Id="rId160" Type="http://schemas.openxmlformats.org/officeDocument/2006/relationships/chart" Target="charts/chart75.xml"/><Relationship Id="rId165" Type="http://schemas.openxmlformats.org/officeDocument/2006/relationships/chart" Target="charts/chart80.xml"/><Relationship Id="rId181" Type="http://schemas.openxmlformats.org/officeDocument/2006/relationships/chart" Target="charts/chart90.xml"/><Relationship Id="rId186" Type="http://schemas.openxmlformats.org/officeDocument/2006/relationships/header" Target="header40.xml"/><Relationship Id="rId216" Type="http://schemas.openxmlformats.org/officeDocument/2006/relationships/footer" Target="footer49.xml"/><Relationship Id="rId211" Type="http://schemas.openxmlformats.org/officeDocument/2006/relationships/footer" Target="footer47.xml"/><Relationship Id="rId22" Type="http://schemas.openxmlformats.org/officeDocument/2006/relationships/footer" Target="footer5.xml"/><Relationship Id="rId27" Type="http://schemas.openxmlformats.org/officeDocument/2006/relationships/chart" Target="charts/chart3.xml"/><Relationship Id="rId43" Type="http://schemas.openxmlformats.org/officeDocument/2006/relationships/chart" Target="charts/chart13.xml"/><Relationship Id="rId48"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chart" Target="charts/chart27.xml"/><Relationship Id="rId113" Type="http://schemas.openxmlformats.org/officeDocument/2006/relationships/chart" Target="charts/chart52.xml"/><Relationship Id="rId118" Type="http://schemas.openxmlformats.org/officeDocument/2006/relationships/chart" Target="charts/chart57.xml"/><Relationship Id="rId134" Type="http://schemas.openxmlformats.org/officeDocument/2006/relationships/footer" Target="footer29.xml"/><Relationship Id="rId139" Type="http://schemas.openxmlformats.org/officeDocument/2006/relationships/chart" Target="charts/chart66.xml"/><Relationship Id="rId80" Type="http://schemas.openxmlformats.org/officeDocument/2006/relationships/header" Target="header18.xml"/><Relationship Id="rId85" Type="http://schemas.openxmlformats.org/officeDocument/2006/relationships/chart" Target="charts/chart37.xml"/><Relationship Id="rId150" Type="http://schemas.openxmlformats.org/officeDocument/2006/relationships/header" Target="header33.xml"/><Relationship Id="rId155" Type="http://schemas.openxmlformats.org/officeDocument/2006/relationships/header" Target="header35.xml"/><Relationship Id="rId171" Type="http://schemas.openxmlformats.org/officeDocument/2006/relationships/header" Target="header38.xml"/><Relationship Id="rId176" Type="http://schemas.openxmlformats.org/officeDocument/2006/relationships/chart" Target="charts/chart85.xml"/><Relationship Id="rId192" Type="http://schemas.openxmlformats.org/officeDocument/2006/relationships/chart" Target="charts/chart95.xml"/><Relationship Id="rId197" Type="http://schemas.openxmlformats.org/officeDocument/2006/relationships/chart" Target="charts/chart100.xml"/><Relationship Id="rId206" Type="http://schemas.openxmlformats.org/officeDocument/2006/relationships/header" Target="header45.xml"/><Relationship Id="rId201" Type="http://schemas.openxmlformats.org/officeDocument/2006/relationships/chart" Target="charts/chart104.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footer" Target="footer9.xml"/><Relationship Id="rId38" Type="http://schemas.openxmlformats.org/officeDocument/2006/relationships/chart" Target="charts/chart8.xml"/><Relationship Id="rId59" Type="http://schemas.openxmlformats.org/officeDocument/2006/relationships/chart" Target="charts/chart23.xml"/><Relationship Id="rId103" Type="http://schemas.openxmlformats.org/officeDocument/2006/relationships/chart" Target="charts/chart48.xml"/><Relationship Id="rId108" Type="http://schemas.openxmlformats.org/officeDocument/2006/relationships/header" Target="header24.xml"/><Relationship Id="rId124" Type="http://schemas.openxmlformats.org/officeDocument/2006/relationships/header" Target="header27.xml"/><Relationship Id="rId129" Type="http://schemas.openxmlformats.org/officeDocument/2006/relationships/chart" Target="charts/chart62.xml"/><Relationship Id="rId54" Type="http://schemas.openxmlformats.org/officeDocument/2006/relationships/chart" Target="charts/chart18.xml"/><Relationship Id="rId70" Type="http://schemas.openxmlformats.org/officeDocument/2006/relationships/chart" Target="charts/chart28.xml"/><Relationship Id="rId75" Type="http://schemas.openxmlformats.org/officeDocument/2006/relationships/chart" Target="charts/chart33.xml"/><Relationship Id="rId91" Type="http://schemas.openxmlformats.org/officeDocument/2006/relationships/chart" Target="charts/chart43.xml"/><Relationship Id="rId96" Type="http://schemas.openxmlformats.org/officeDocument/2006/relationships/footer" Target="footer20.xml"/><Relationship Id="rId140" Type="http://schemas.openxmlformats.org/officeDocument/2006/relationships/chart" Target="charts/chart67.xml"/><Relationship Id="rId145" Type="http://schemas.openxmlformats.org/officeDocument/2006/relationships/chart" Target="charts/chart72.xml"/><Relationship Id="rId161" Type="http://schemas.openxmlformats.org/officeDocument/2006/relationships/chart" Target="charts/chart76.xml"/><Relationship Id="rId166" Type="http://schemas.openxmlformats.org/officeDocument/2006/relationships/chart" Target="charts/chart81.xml"/><Relationship Id="rId182" Type="http://schemas.openxmlformats.org/officeDocument/2006/relationships/chart" Target="charts/chart91.xml"/><Relationship Id="rId187" Type="http://schemas.openxmlformats.org/officeDocument/2006/relationships/header" Target="header41.xml"/><Relationship Id="rId217"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48.xml"/><Relationship Id="rId23" Type="http://schemas.openxmlformats.org/officeDocument/2006/relationships/header" Target="header6.xml"/><Relationship Id="rId28" Type="http://schemas.openxmlformats.org/officeDocument/2006/relationships/header" Target="header7.xml"/><Relationship Id="rId49" Type="http://schemas.openxmlformats.org/officeDocument/2006/relationships/footer" Target="footer12.xml"/><Relationship Id="rId114" Type="http://schemas.openxmlformats.org/officeDocument/2006/relationships/chart" Target="charts/chart53.xml"/><Relationship Id="rId119" Type="http://schemas.openxmlformats.org/officeDocument/2006/relationships/chart" Target="charts/chart58.xml"/><Relationship Id="rId44" Type="http://schemas.openxmlformats.org/officeDocument/2006/relationships/header" Target="header10.xml"/><Relationship Id="rId60" Type="http://schemas.openxmlformats.org/officeDocument/2006/relationships/header" Target="header13.xml"/><Relationship Id="rId65" Type="http://schemas.openxmlformats.org/officeDocument/2006/relationships/footer" Target="footer15.xml"/><Relationship Id="rId81" Type="http://schemas.openxmlformats.org/officeDocument/2006/relationships/footer" Target="footer18.xml"/><Relationship Id="rId86" Type="http://schemas.openxmlformats.org/officeDocument/2006/relationships/chart" Target="charts/chart38.xml"/><Relationship Id="rId130" Type="http://schemas.openxmlformats.org/officeDocument/2006/relationships/chart" Target="charts/chart63.xml"/><Relationship Id="rId135" Type="http://schemas.openxmlformats.org/officeDocument/2006/relationships/header" Target="header30.xml"/><Relationship Id="rId151" Type="http://schemas.openxmlformats.org/officeDocument/2006/relationships/footer" Target="footer33.xml"/><Relationship Id="rId156" Type="http://schemas.openxmlformats.org/officeDocument/2006/relationships/footer" Target="footer34.xml"/><Relationship Id="rId177" Type="http://schemas.openxmlformats.org/officeDocument/2006/relationships/chart" Target="charts/chart86.xml"/><Relationship Id="rId198" Type="http://schemas.openxmlformats.org/officeDocument/2006/relationships/chart" Target="charts/chart101.xml"/><Relationship Id="rId172" Type="http://schemas.openxmlformats.org/officeDocument/2006/relationships/footer" Target="footer37.xml"/><Relationship Id="rId193" Type="http://schemas.openxmlformats.org/officeDocument/2006/relationships/chart" Target="charts/chart96.xml"/><Relationship Id="rId202" Type="http://schemas.openxmlformats.org/officeDocument/2006/relationships/header" Target="header43.xml"/><Relationship Id="rId207" Type="http://schemas.openxmlformats.org/officeDocument/2006/relationships/footer" Target="footer45.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9.xml"/><Relationship Id="rId109" Type="http://schemas.openxmlformats.org/officeDocument/2006/relationships/footer" Target="footer24.xml"/><Relationship Id="rId34" Type="http://schemas.openxmlformats.org/officeDocument/2006/relationships/chart" Target="charts/chart4.xml"/><Relationship Id="rId50" Type="http://schemas.openxmlformats.org/officeDocument/2006/relationships/chart" Target="charts/chart14.xml"/><Relationship Id="rId55" Type="http://schemas.openxmlformats.org/officeDocument/2006/relationships/chart" Target="charts/chart19.xml"/><Relationship Id="rId76" Type="http://schemas.openxmlformats.org/officeDocument/2006/relationships/header" Target="header16.xml"/><Relationship Id="rId97" Type="http://schemas.openxmlformats.org/officeDocument/2006/relationships/header" Target="header21.xml"/><Relationship Id="rId104" Type="http://schemas.openxmlformats.org/officeDocument/2006/relationships/header" Target="header22.xml"/><Relationship Id="rId120" Type="http://schemas.openxmlformats.org/officeDocument/2006/relationships/header" Target="header25.xml"/><Relationship Id="rId125" Type="http://schemas.openxmlformats.org/officeDocument/2006/relationships/footer" Target="footer27.xml"/><Relationship Id="rId141" Type="http://schemas.openxmlformats.org/officeDocument/2006/relationships/chart" Target="charts/chart68.xml"/><Relationship Id="rId146" Type="http://schemas.openxmlformats.org/officeDocument/2006/relationships/header" Target="header31.xml"/><Relationship Id="rId167" Type="http://schemas.openxmlformats.org/officeDocument/2006/relationships/chart" Target="charts/chart82.xml"/><Relationship Id="rId188" Type="http://schemas.openxmlformats.org/officeDocument/2006/relationships/footer" Target="footer40.xml"/><Relationship Id="rId7" Type="http://schemas.microsoft.com/office/2007/relationships/stylesWithEffects" Target="stylesWithEffects.xml"/><Relationship Id="rId71" Type="http://schemas.openxmlformats.org/officeDocument/2006/relationships/chart" Target="charts/chart29.xml"/><Relationship Id="rId92" Type="http://schemas.openxmlformats.org/officeDocument/2006/relationships/hyperlink" Target="http://ec.europa.eu/environment/air/transport/ships.htm" TargetMode="External"/><Relationship Id="rId162" Type="http://schemas.openxmlformats.org/officeDocument/2006/relationships/chart" Target="charts/chart77.xml"/><Relationship Id="rId183" Type="http://schemas.openxmlformats.org/officeDocument/2006/relationships/chart" Target="charts/chart92.xml"/><Relationship Id="rId213" Type="http://schemas.openxmlformats.org/officeDocument/2006/relationships/footer" Target="footer48.xml"/><Relationship Id="rId218" Type="http://schemas.openxmlformats.org/officeDocument/2006/relationships/header" Target="header51.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chart" Target="charts/chart10.xml"/><Relationship Id="rId45" Type="http://schemas.openxmlformats.org/officeDocument/2006/relationships/header" Target="header11.xml"/><Relationship Id="rId66" Type="http://schemas.openxmlformats.org/officeDocument/2006/relationships/chart" Target="charts/chart24.xml"/><Relationship Id="rId87" Type="http://schemas.openxmlformats.org/officeDocument/2006/relationships/chart" Target="charts/chart39.xml"/><Relationship Id="rId110" Type="http://schemas.openxmlformats.org/officeDocument/2006/relationships/chart" Target="charts/chart49.xml"/><Relationship Id="rId115" Type="http://schemas.openxmlformats.org/officeDocument/2006/relationships/chart" Target="charts/chart54.xml"/><Relationship Id="rId131" Type="http://schemas.openxmlformats.org/officeDocument/2006/relationships/header" Target="header28.xml"/><Relationship Id="rId136" Type="http://schemas.openxmlformats.org/officeDocument/2006/relationships/footer" Target="footer30.xml"/><Relationship Id="rId157" Type="http://schemas.openxmlformats.org/officeDocument/2006/relationships/footer" Target="footer35.xml"/><Relationship Id="rId178" Type="http://schemas.openxmlformats.org/officeDocument/2006/relationships/chart" Target="charts/chart87.xml"/><Relationship Id="rId61" Type="http://schemas.openxmlformats.org/officeDocument/2006/relationships/header" Target="header14.xml"/><Relationship Id="rId82" Type="http://schemas.openxmlformats.org/officeDocument/2006/relationships/chart" Target="charts/chart34.xml"/><Relationship Id="rId152" Type="http://schemas.openxmlformats.org/officeDocument/2006/relationships/chart" Target="charts/chart73.xml"/><Relationship Id="rId173" Type="http://schemas.openxmlformats.org/officeDocument/2006/relationships/footer" Target="footer38.xml"/><Relationship Id="rId194" Type="http://schemas.openxmlformats.org/officeDocument/2006/relationships/chart" Target="charts/chart97.xml"/><Relationship Id="rId199" Type="http://schemas.openxmlformats.org/officeDocument/2006/relationships/chart" Target="charts/chart102.xml"/><Relationship Id="rId203" Type="http://schemas.openxmlformats.org/officeDocument/2006/relationships/header" Target="header44.xml"/><Relationship Id="rId208" Type="http://schemas.openxmlformats.org/officeDocument/2006/relationships/header" Target="header46.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chart" Target="charts/chart5.xml"/><Relationship Id="rId56" Type="http://schemas.openxmlformats.org/officeDocument/2006/relationships/chart" Target="charts/chart20.xml"/><Relationship Id="rId77" Type="http://schemas.openxmlformats.org/officeDocument/2006/relationships/header" Target="header17.xml"/><Relationship Id="rId100" Type="http://schemas.openxmlformats.org/officeDocument/2006/relationships/chart" Target="charts/chart45.xml"/><Relationship Id="rId105" Type="http://schemas.openxmlformats.org/officeDocument/2006/relationships/header" Target="header23.xml"/><Relationship Id="rId126" Type="http://schemas.openxmlformats.org/officeDocument/2006/relationships/chart" Target="charts/chart59.xml"/><Relationship Id="rId147" Type="http://schemas.openxmlformats.org/officeDocument/2006/relationships/header" Target="header32.xml"/><Relationship Id="rId168" Type="http://schemas.openxmlformats.org/officeDocument/2006/relationships/chart" Target="charts/chart83.xml"/><Relationship Id="rId8" Type="http://schemas.openxmlformats.org/officeDocument/2006/relationships/settings" Target="settings.xml"/><Relationship Id="rId51" Type="http://schemas.openxmlformats.org/officeDocument/2006/relationships/chart" Target="charts/chart15.xml"/><Relationship Id="rId72" Type="http://schemas.openxmlformats.org/officeDocument/2006/relationships/chart" Target="charts/chart30.xml"/><Relationship Id="rId93" Type="http://schemas.openxmlformats.org/officeDocument/2006/relationships/header" Target="header19.xml"/><Relationship Id="rId98" Type="http://schemas.openxmlformats.org/officeDocument/2006/relationships/footer" Target="footer21.xml"/><Relationship Id="rId121" Type="http://schemas.openxmlformats.org/officeDocument/2006/relationships/header" Target="header26.xml"/><Relationship Id="rId142" Type="http://schemas.openxmlformats.org/officeDocument/2006/relationships/chart" Target="charts/chart69.xml"/><Relationship Id="rId163" Type="http://schemas.openxmlformats.org/officeDocument/2006/relationships/chart" Target="charts/chart78.xml"/><Relationship Id="rId184" Type="http://schemas.openxmlformats.org/officeDocument/2006/relationships/chart" Target="charts/chart93.xml"/><Relationship Id="rId189" Type="http://schemas.openxmlformats.org/officeDocument/2006/relationships/footer" Target="footer41.xml"/><Relationship Id="rId219" Type="http://schemas.openxmlformats.org/officeDocument/2006/relationships/footer" Target="footer51.xml"/><Relationship Id="rId3" Type="http://schemas.openxmlformats.org/officeDocument/2006/relationships/customXml" Target="../customXml/item3.xml"/><Relationship Id="rId214" Type="http://schemas.openxmlformats.org/officeDocument/2006/relationships/header" Target="header49.xml"/><Relationship Id="rId25" Type="http://schemas.openxmlformats.org/officeDocument/2006/relationships/chart" Target="charts/chart1.xml"/><Relationship Id="rId46" Type="http://schemas.openxmlformats.org/officeDocument/2006/relationships/footer" Target="footer10.xml"/><Relationship Id="rId67" Type="http://schemas.openxmlformats.org/officeDocument/2006/relationships/chart" Target="charts/chart25.xml"/><Relationship Id="rId116" Type="http://schemas.openxmlformats.org/officeDocument/2006/relationships/chart" Target="charts/chart55.xml"/><Relationship Id="rId137" Type="http://schemas.openxmlformats.org/officeDocument/2006/relationships/chart" Target="charts/chart64.xml"/><Relationship Id="rId158" Type="http://schemas.openxmlformats.org/officeDocument/2006/relationships/header" Target="header36.xml"/><Relationship Id="rId20" Type="http://schemas.openxmlformats.org/officeDocument/2006/relationships/header" Target="header5.xml"/><Relationship Id="rId41" Type="http://schemas.openxmlformats.org/officeDocument/2006/relationships/chart" Target="charts/chart11.xml"/><Relationship Id="rId62" Type="http://schemas.openxmlformats.org/officeDocument/2006/relationships/footer" Target="footer13.xml"/><Relationship Id="rId83" Type="http://schemas.openxmlformats.org/officeDocument/2006/relationships/chart" Target="charts/chart35.xml"/><Relationship Id="rId88" Type="http://schemas.openxmlformats.org/officeDocument/2006/relationships/chart" Target="charts/chart40.xml"/><Relationship Id="rId111" Type="http://schemas.openxmlformats.org/officeDocument/2006/relationships/chart" Target="charts/chart50.xml"/><Relationship Id="rId132" Type="http://schemas.openxmlformats.org/officeDocument/2006/relationships/header" Target="header29.xml"/><Relationship Id="rId153" Type="http://schemas.openxmlformats.org/officeDocument/2006/relationships/chart" Target="charts/chart74.xml"/><Relationship Id="rId174" Type="http://schemas.openxmlformats.org/officeDocument/2006/relationships/header" Target="header39.xml"/><Relationship Id="rId179" Type="http://schemas.openxmlformats.org/officeDocument/2006/relationships/chart" Target="charts/chart88.xml"/><Relationship Id="rId195" Type="http://schemas.openxmlformats.org/officeDocument/2006/relationships/chart" Target="charts/chart98.xml"/><Relationship Id="rId209" Type="http://schemas.openxmlformats.org/officeDocument/2006/relationships/header" Target="header47.xml"/><Relationship Id="rId190" Type="http://schemas.openxmlformats.org/officeDocument/2006/relationships/header" Target="header42.xml"/><Relationship Id="rId204" Type="http://schemas.openxmlformats.org/officeDocument/2006/relationships/footer" Target="footer43.xml"/><Relationship Id="rId22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chart" Target="charts/chart6.xml"/><Relationship Id="rId57" Type="http://schemas.openxmlformats.org/officeDocument/2006/relationships/chart" Target="charts/chart21.xml"/><Relationship Id="rId106" Type="http://schemas.openxmlformats.org/officeDocument/2006/relationships/footer" Target="footer22.xml"/><Relationship Id="rId127" Type="http://schemas.openxmlformats.org/officeDocument/2006/relationships/chart" Target="charts/chart60.xml"/><Relationship Id="rId10" Type="http://schemas.openxmlformats.org/officeDocument/2006/relationships/footnotes" Target="footnotes.xml"/><Relationship Id="rId31" Type="http://schemas.openxmlformats.org/officeDocument/2006/relationships/footer" Target="footer8.xml"/><Relationship Id="rId52" Type="http://schemas.openxmlformats.org/officeDocument/2006/relationships/chart" Target="charts/chart16.xml"/><Relationship Id="rId73" Type="http://schemas.openxmlformats.org/officeDocument/2006/relationships/chart" Target="charts/chart31.xml"/><Relationship Id="rId78" Type="http://schemas.openxmlformats.org/officeDocument/2006/relationships/footer" Target="footer16.xml"/><Relationship Id="rId94" Type="http://schemas.openxmlformats.org/officeDocument/2006/relationships/header" Target="header20.xml"/><Relationship Id="rId99" Type="http://schemas.openxmlformats.org/officeDocument/2006/relationships/chart" Target="charts/chart44.xml"/><Relationship Id="rId101" Type="http://schemas.openxmlformats.org/officeDocument/2006/relationships/chart" Target="charts/chart46.xml"/><Relationship Id="rId122" Type="http://schemas.openxmlformats.org/officeDocument/2006/relationships/footer" Target="footer25.xml"/><Relationship Id="rId143" Type="http://schemas.openxmlformats.org/officeDocument/2006/relationships/chart" Target="charts/chart70.xml"/><Relationship Id="rId148" Type="http://schemas.openxmlformats.org/officeDocument/2006/relationships/footer" Target="footer31.xml"/><Relationship Id="rId164" Type="http://schemas.openxmlformats.org/officeDocument/2006/relationships/chart" Target="charts/chart79.xml"/><Relationship Id="rId169" Type="http://schemas.openxmlformats.org/officeDocument/2006/relationships/chart" Target="charts/chart84.xml"/><Relationship Id="rId185" Type="http://schemas.openxmlformats.org/officeDocument/2006/relationships/chart" Target="charts/chart9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89.xml"/><Relationship Id="rId210" Type="http://schemas.openxmlformats.org/officeDocument/2006/relationships/footer" Target="footer46.xml"/><Relationship Id="rId215" Type="http://schemas.openxmlformats.org/officeDocument/2006/relationships/header" Target="header50.xml"/><Relationship Id="rId26" Type="http://schemas.openxmlformats.org/officeDocument/2006/relationships/chart" Target="charts/chart2.xml"/><Relationship Id="rId47" Type="http://schemas.openxmlformats.org/officeDocument/2006/relationships/footer" Target="footer11.xml"/><Relationship Id="rId68" Type="http://schemas.openxmlformats.org/officeDocument/2006/relationships/chart" Target="charts/chart26.xml"/><Relationship Id="rId89" Type="http://schemas.openxmlformats.org/officeDocument/2006/relationships/chart" Target="charts/chart41.xml"/><Relationship Id="rId112" Type="http://schemas.openxmlformats.org/officeDocument/2006/relationships/chart" Target="charts/chart51.xml"/><Relationship Id="rId133" Type="http://schemas.openxmlformats.org/officeDocument/2006/relationships/footer" Target="footer28.xml"/><Relationship Id="rId154" Type="http://schemas.openxmlformats.org/officeDocument/2006/relationships/header" Target="header34.xml"/><Relationship Id="rId175" Type="http://schemas.openxmlformats.org/officeDocument/2006/relationships/footer" Target="footer39.xml"/><Relationship Id="rId196" Type="http://schemas.openxmlformats.org/officeDocument/2006/relationships/chart" Target="charts/chart99.xml"/><Relationship Id="rId200" Type="http://schemas.openxmlformats.org/officeDocument/2006/relationships/chart" Target="charts/chart103.xml"/><Relationship Id="rId16" Type="http://schemas.openxmlformats.org/officeDocument/2006/relationships/footer" Target="footer2.xml"/><Relationship Id="rId221" Type="http://schemas.openxmlformats.org/officeDocument/2006/relationships/theme" Target="theme/theme1.xml"/><Relationship Id="rId37" Type="http://schemas.openxmlformats.org/officeDocument/2006/relationships/chart" Target="charts/chart7.xml"/><Relationship Id="rId58" Type="http://schemas.openxmlformats.org/officeDocument/2006/relationships/chart" Target="charts/chart22.xml"/><Relationship Id="rId79" Type="http://schemas.openxmlformats.org/officeDocument/2006/relationships/footer" Target="footer17.xml"/><Relationship Id="rId102" Type="http://schemas.openxmlformats.org/officeDocument/2006/relationships/chart" Target="charts/chart47.xml"/><Relationship Id="rId123" Type="http://schemas.openxmlformats.org/officeDocument/2006/relationships/footer" Target="footer26.xml"/><Relationship Id="rId144" Type="http://schemas.openxmlformats.org/officeDocument/2006/relationships/chart" Target="charts/chart71.xml"/></Relationships>
</file>

<file path=word/_rels/footnotes.xml.rels><?xml version="1.0" encoding="UTF-8" standalone="yes"?>
<Relationships xmlns="http://schemas.openxmlformats.org/package/2006/relationships"><Relationship Id="rId117" Type="http://schemas.openxmlformats.org/officeDocument/2006/relationships/hyperlink" Target="http://eur-lex.europa.eu/legal-content/EN/TXT/?qid=1490112709979&amp;uri=CELEX:32000L0060" TargetMode="External"/><Relationship Id="rId299" Type="http://schemas.openxmlformats.org/officeDocument/2006/relationships/hyperlink" Target="http://eur-lex.europa.eu/legal-content/EN/TXT/?qid=1490110432626&amp;uri=CELEX:32014L0017" TargetMode="External"/><Relationship Id="rId21" Type="http://schemas.openxmlformats.org/officeDocument/2006/relationships/hyperlink" Target="http://curia.europa.eu/juris/liste.jsf?pro=&amp;nat=or&amp;oqp=&amp;dates=&amp;lg=&amp;language=en&amp;jur=C%2CT%2CF&amp;cit=none%252CC%252CCJ%252CR%252C2008E%252C%252C%252C%252C%252C%252C%252C%252C%252C%252Ctrue%252Cfalse%252Cfalse&amp;num=C-424%252F15&amp;td=%3BALL&amp;pcs=Oor&amp;avg=&amp;page=1&amp;mat=or&amp;jge=&amp;for=&amp;cid=702564" TargetMode="External"/><Relationship Id="rId63" Type="http://schemas.openxmlformats.org/officeDocument/2006/relationships/hyperlink" Target="http://eur-lex.europa.eu/legal-content/EN/TXT/?qid=1487859221301&amp;uri=CELEX:32010L0031" TargetMode="External"/><Relationship Id="rId159" Type="http://schemas.openxmlformats.org/officeDocument/2006/relationships/hyperlink" Target="http://europa.eu/rapid/press-release_IP-16-1454_en.htm" TargetMode="External"/><Relationship Id="rId324" Type="http://schemas.openxmlformats.org/officeDocument/2006/relationships/hyperlink" Target="http://ec.europa.eu/internal_market/scoreboard/" TargetMode="External"/><Relationship Id="rId366" Type="http://schemas.openxmlformats.org/officeDocument/2006/relationships/hyperlink" Target="http://eur-lex.europa.eu/legal-content/EN/TXT/?qid=1490108422727&amp;uri=CELEX:32014L0068" TargetMode="External"/><Relationship Id="rId531" Type="http://schemas.openxmlformats.org/officeDocument/2006/relationships/hyperlink" Target="http://eur-lex.europa.eu/legal-content/EN/TXT/?qid=1490112954704&amp;uri=CELEX:32009R1072" TargetMode="External"/><Relationship Id="rId573" Type="http://schemas.openxmlformats.org/officeDocument/2006/relationships/hyperlink" Target="http://europa.eu/rapid/press-release_IP-15-6229_en.htm" TargetMode="External"/><Relationship Id="rId629" Type="http://schemas.openxmlformats.org/officeDocument/2006/relationships/hyperlink" Target="http://eur-lex.europa.eu/legal-content/AUTO/?uri=CELEX:32014L0107&amp;qid=1490170628149&amp;rid=6" TargetMode="External"/><Relationship Id="rId170" Type="http://schemas.openxmlformats.org/officeDocument/2006/relationships/hyperlink" Target="http://eur-lex.europa.eu/legal-content/EN/TXT/?qid=1490113918808&amp;uri=CELEX:32014L0080" TargetMode="External"/><Relationship Id="rId226" Type="http://schemas.openxmlformats.org/officeDocument/2006/relationships/hyperlink" Target="http://curia.europa.eu/juris/liste.jsf?language=en&amp;jur=C,T,F&amp;num=C-104/15&amp;td=ALL" TargetMode="External"/><Relationship Id="rId433" Type="http://schemas.openxmlformats.org/officeDocument/2006/relationships/hyperlink" Target="http://curia.europa.eu/juris/liste.jsf?language=en&amp;jur=C,T,F&amp;num=C-659/15&amp;td=ALL" TargetMode="External"/><Relationship Id="rId268" Type="http://schemas.openxmlformats.org/officeDocument/2006/relationships/hyperlink" Target="http://eur-lex.europa.eu/legal-content/EN/TXT/?qid=1490113248209&amp;uri=CELEX:32010L0075" TargetMode="External"/><Relationship Id="rId475" Type="http://schemas.openxmlformats.org/officeDocument/2006/relationships/hyperlink" Target="http://eur-lex.europa.eu/legal-content/EN/TXT/?qid=1490805604130&amp;uri=CELEX:32014L0042" TargetMode="External"/><Relationship Id="rId640" Type="http://schemas.openxmlformats.org/officeDocument/2006/relationships/hyperlink" Target="http://curia.europa.eu/juris/liste.jsf?language=en&amp;jur=C,T,F&amp;num=C-264/15P&amp;td=ALL" TargetMode="External"/><Relationship Id="rId32" Type="http://schemas.openxmlformats.org/officeDocument/2006/relationships/hyperlink" Target="http://curia.europa.eu/jcms/upload/docs/application/pdf/2016-12/cp160145en.pdf" TargetMode="External"/><Relationship Id="rId74" Type="http://schemas.openxmlformats.org/officeDocument/2006/relationships/hyperlink" Target="http://europa.eu/rapid/press-release_MEMO-16-3125_en.htm" TargetMode="External"/><Relationship Id="rId128" Type="http://schemas.openxmlformats.org/officeDocument/2006/relationships/hyperlink" Target="http://europa.eu/rapid/press-release_MEMO-16-1823_en.htm" TargetMode="External"/><Relationship Id="rId335" Type="http://schemas.openxmlformats.org/officeDocument/2006/relationships/hyperlink" Target="http://europa.eu/rapid/press-release_MEMO-16-1823_en.htm" TargetMode="External"/><Relationship Id="rId377" Type="http://schemas.openxmlformats.org/officeDocument/2006/relationships/hyperlink" Target="http://curia.europa.eu/jcms/upload/docs/application/pdf/2016-06/cp160066en.pdfhttp:/curia.europa.eu/jcms/upload/docs/application/pdf/2016-06/cp160067en.pdf" TargetMode="External"/><Relationship Id="rId500" Type="http://schemas.openxmlformats.org/officeDocument/2006/relationships/hyperlink" Target="http://eur-lex.europa.eu/legal-content/EN/TXT/?qid=1490175086145&amp;uri=CELEX:32011L0095" TargetMode="External"/><Relationship Id="rId542" Type="http://schemas.openxmlformats.org/officeDocument/2006/relationships/hyperlink" Target="http://europa.eu/rapid/press-release_IP-16-2104_en.htm" TargetMode="External"/><Relationship Id="rId584" Type="http://schemas.openxmlformats.org/officeDocument/2006/relationships/hyperlink" Target="http://eur-lex.europa.eu/legal-content/EN/TXT/?qid=1490167582427&amp;uri=CELEX:32012L0034" TargetMode="External"/><Relationship Id="rId5" Type="http://schemas.openxmlformats.org/officeDocument/2006/relationships/hyperlink" Target="http://eur-lex.europa.eu/legal-content/EN/TXT/?qid=1487856283165&amp;uri=CELEX:32008R0110" TargetMode="External"/><Relationship Id="rId181" Type="http://schemas.openxmlformats.org/officeDocument/2006/relationships/hyperlink" Target="http://eur-lex.europa.eu/legal-content/EN/TXT/?qid=1490114237071&amp;uri=CELEX:32011L0093" TargetMode="External"/><Relationship Id="rId237" Type="http://schemas.openxmlformats.org/officeDocument/2006/relationships/hyperlink" Target="http://eur-lex.europa.eu/legal-content/EN/TXT/?qid=1490114126663&amp;uri=CELEX:31994L0062" TargetMode="External"/><Relationship Id="rId402" Type="http://schemas.openxmlformats.org/officeDocument/2006/relationships/hyperlink" Target="http://eur-lex.europa.eu/legal-content/EN/TXT/?qid=1490109403162&amp;uri=CELEX:32000L0035" TargetMode="External"/><Relationship Id="rId279" Type="http://schemas.openxmlformats.org/officeDocument/2006/relationships/hyperlink" Target="http://eur-lex.europa.eu/legal-content/EN/TXT/?qid=1490109934767&amp;uri=CELEX:32013L0050" TargetMode="External"/><Relationship Id="rId444" Type="http://schemas.openxmlformats.org/officeDocument/2006/relationships/hyperlink" Target="http://curia.europa.eu/jcms/jcms/Jo2_7052/en/?types=com.jalios.jcms.Content&amp;typesOff=generated.RecueilPublication&amp;textSearch=true&amp;catName=true&amp;searchInFiles=true&amp;langs=user&amp;text=84%2F2016&amp;opSearch=Search&amp;csrftoken=xSx0sYNxmgyrk7Zc&amp;jsp=plugins%2FCuriaPlugin%2Fjsp%2Fquery.jsp" TargetMode="External"/><Relationship Id="rId486" Type="http://schemas.openxmlformats.org/officeDocument/2006/relationships/hyperlink" Target="http://eur-lex.europa.eu/legal-content/EN/TXT/?qid=1490175416184&amp;uri=CELEX:32013L0033" TargetMode="External"/><Relationship Id="rId651" Type="http://schemas.openxmlformats.org/officeDocument/2006/relationships/hyperlink" Target="http://eur-lex.europa.eu/legal-content/EN/TXT/?qid=1490170457522&amp;uri=CELEX:32013R0952" TargetMode="External"/><Relationship Id="rId43" Type="http://schemas.openxmlformats.org/officeDocument/2006/relationships/hyperlink" Target="http://eur-lex.europa.eu/legal-content/EN/TXT/?qid=1487858773200&amp;uri=CELEX:32014L0027" TargetMode="External"/><Relationship Id="rId139" Type="http://schemas.openxmlformats.org/officeDocument/2006/relationships/hyperlink" Target="http://europa.eu/rapid/press-release_MEMO-16-3644_en.htm" TargetMode="External"/><Relationship Id="rId290" Type="http://schemas.openxmlformats.org/officeDocument/2006/relationships/hyperlink" Target="http://eur-lex.europa.eu/legal-content/EN/TXT/?qid=1490110156103&amp;uri=CELEX:32014L0017" TargetMode="External"/><Relationship Id="rId304" Type="http://schemas.openxmlformats.org/officeDocument/2006/relationships/hyperlink" Target="http://eur-lex.europa.eu/legal-content/EN/TXT/?qid=1490106892465&amp;uri=CELEX:32004R0853" TargetMode="External"/><Relationship Id="rId346" Type="http://schemas.openxmlformats.org/officeDocument/2006/relationships/hyperlink" Target="http://europa.eu/rapid/press-release_IP-16-322_EN.htm" TargetMode="External"/><Relationship Id="rId388" Type="http://schemas.openxmlformats.org/officeDocument/2006/relationships/hyperlink" Target="http://curia.europa.eu/juris/liste.jsf?pro=&amp;lgrec=en&amp;nat=or&amp;oqp=&amp;dates=&amp;lg=&amp;language=en&amp;jur=C%2CT%2CF&amp;cit=none%252CC%252CCJ%252CR%252C2008E%252C%252C%252C%252C%252C%252C%252C%252C%252C%252Ctrue%252Cfalse%252Cfalse&amp;td=%3BALL&amp;pcs=Oor&amp;avg=&amp;page=1&amp;mat=or&amp;parties=DHL%2BExpress%2BAustria&amp;jge=&amp;for=&amp;cid=656990" TargetMode="External"/><Relationship Id="rId511" Type="http://schemas.openxmlformats.org/officeDocument/2006/relationships/hyperlink" Target="http://europa.eu/rapid/press-release_MEMO-16-319_en.htm" TargetMode="External"/><Relationship Id="rId553" Type="http://schemas.openxmlformats.org/officeDocument/2006/relationships/hyperlink" Target="http://europa.eu/rapid/press-release_MEMO-15-6006_en.htm" TargetMode="External"/><Relationship Id="rId609" Type="http://schemas.openxmlformats.org/officeDocument/2006/relationships/hyperlink" Target="http://curia.europa.eu/juris/liste.jsf?language=en&amp;jur=C,T,F&amp;num=C-255/15&amp;td=ALL" TargetMode="External"/><Relationship Id="rId85" Type="http://schemas.openxmlformats.org/officeDocument/2006/relationships/hyperlink" Target="http://eur-lex.europa.eu/legal-content/EN/TXT/?qid=1487785780771&amp;uri=CELEX:32010R0994" TargetMode="External"/><Relationship Id="rId150" Type="http://schemas.openxmlformats.org/officeDocument/2006/relationships/hyperlink" Target="http://europa.eu/rapid/press-release_IP-15-4669_en.htm" TargetMode="External"/><Relationship Id="rId192" Type="http://schemas.openxmlformats.org/officeDocument/2006/relationships/hyperlink" Target="http://eur-lex.europa.eu/legal-content/EN/TXT/?qid=1490115937437&amp;uri=CELEX:32011L0093" TargetMode="External"/><Relationship Id="rId206" Type="http://schemas.openxmlformats.org/officeDocument/2006/relationships/hyperlink" Target="http://curia.europa.eu/jcms/upload/docs/application/pdf/2016-09/cp160087en.pdf" TargetMode="External"/><Relationship Id="rId413" Type="http://schemas.openxmlformats.org/officeDocument/2006/relationships/hyperlink" Target="http://eur-lex.europa.eu/legal-content/EN/TXT/?qid=1490111191326&amp;uri=CELEX:32010L0064" TargetMode="External"/><Relationship Id="rId595" Type="http://schemas.openxmlformats.org/officeDocument/2006/relationships/hyperlink" Target="http://eur-lex.europa.eu/legal-content/EN/TXT/?qid=1490168225358&amp;uri=CELEX:31993R0095" TargetMode="External"/><Relationship Id="rId248" Type="http://schemas.openxmlformats.org/officeDocument/2006/relationships/hyperlink" Target="http://curia.europa.eu/juris/liste.jsf?language=en&amp;jur=C,T,F&amp;num=C-444/15&amp;td=ALL" TargetMode="External"/><Relationship Id="rId455" Type="http://schemas.openxmlformats.org/officeDocument/2006/relationships/hyperlink" Target="http://eur-lex.europa.eu/legal-content/EN/TXT/?qid=1490166148135&amp;uri=CELEX:32014L0089" TargetMode="External"/><Relationship Id="rId497" Type="http://schemas.openxmlformats.org/officeDocument/2006/relationships/hyperlink" Target="http://eur-lex.europa.eu/legal-content/EN/TXT/?qid=1463925195425&amp;uri=CELEX:32013L0040" TargetMode="External"/><Relationship Id="rId620" Type="http://schemas.openxmlformats.org/officeDocument/2006/relationships/hyperlink" Target="http://eur-lex.europa.eu/legal-content/EN/TXT/?qid=1490170336174&amp;uri=CELEX:31992L0083" TargetMode="External"/><Relationship Id="rId12" Type="http://schemas.openxmlformats.org/officeDocument/2006/relationships/hyperlink" Target="http://eur-lex.europa.eu/legal-content/EN/TXT/?qid=1487785252330&amp;uri=CELEX:32014L0061" TargetMode="External"/><Relationship Id="rId108" Type="http://schemas.openxmlformats.org/officeDocument/2006/relationships/hyperlink" Target="http://eur-lex.europa.eu/legal-content/EN/TXT/?qid=1490109996860&amp;uri=CELEX:32009L0073" TargetMode="External"/><Relationship Id="rId315" Type="http://schemas.openxmlformats.org/officeDocument/2006/relationships/hyperlink" Target="http://eur-lex.europa.eu/legal-content/EN/TXT/?qid=1490107105830&amp;uri=CELEX:32014L0109" TargetMode="External"/><Relationship Id="rId357" Type="http://schemas.openxmlformats.org/officeDocument/2006/relationships/hyperlink" Target="http://eur-lex.europa.eu/legal-content/EN/TXT/?qid=1490108135286&amp;uri=CELEX:32014L0032" TargetMode="External"/><Relationship Id="rId522" Type="http://schemas.openxmlformats.org/officeDocument/2006/relationships/hyperlink" Target="http://eur-lex.europa.eu/legal-content/EN/TXT/?qid=1490112809234&amp;uri=CELEX:32009L0016" TargetMode="External"/><Relationship Id="rId54" Type="http://schemas.openxmlformats.org/officeDocument/2006/relationships/hyperlink" Target="https://polinet.ec.europa.eu/infr/Annual%20report/ISC/No%20143/2016" TargetMode="External"/><Relationship Id="rId96" Type="http://schemas.openxmlformats.org/officeDocument/2006/relationships/hyperlink" Target="http://eur-lex.europa.eu/legal-content/EN/TXT/?qid=1490117033640&amp;uri=CELEX:32010L0031" TargetMode="External"/><Relationship Id="rId161" Type="http://schemas.openxmlformats.org/officeDocument/2006/relationships/hyperlink" Target="http://europa.eu/rapid/search-result.htm?quickSearch=1&amp;text=IP%2F15%2F4671" TargetMode="External"/><Relationship Id="rId217" Type="http://schemas.openxmlformats.org/officeDocument/2006/relationships/hyperlink" Target="http://curia.europa.eu/juris/liste.jsf?language=en&amp;jur=C,T,F&amp;num=C-346/14&amp;td=ALL" TargetMode="External"/><Relationship Id="rId399" Type="http://schemas.openxmlformats.org/officeDocument/2006/relationships/hyperlink" Target="http://eur-lex.europa.eu/legal-content/EN/TXT/?qid=1490109316376&amp;uri=CELEX:32015L2116" TargetMode="External"/><Relationship Id="rId564" Type="http://schemas.openxmlformats.org/officeDocument/2006/relationships/hyperlink" Target="http://curia.europa.eu/juris/liste.jsf?language=EN&amp;num=C-489/16" TargetMode="External"/><Relationship Id="rId259" Type="http://schemas.openxmlformats.org/officeDocument/2006/relationships/hyperlink" Target="http://eur-lex.europa.eu/legal-content/EN/TXT/?qid=1490113632496&amp;uri=CELEX:31992L0043" TargetMode="External"/><Relationship Id="rId424" Type="http://schemas.openxmlformats.org/officeDocument/2006/relationships/hyperlink" Target="http://eur-lex.europa.eu/legal-content/EN/TXT/?qid=1490164697911&amp;uri=CELEX:31999L0044" TargetMode="External"/><Relationship Id="rId466" Type="http://schemas.openxmlformats.org/officeDocument/2006/relationships/hyperlink" Target="http://eur-lex.europa.eu/legal-content/EN/TXT/?qid=1490087493710&amp;uri=CELEX:32017R0355" TargetMode="External"/><Relationship Id="rId631" Type="http://schemas.openxmlformats.org/officeDocument/2006/relationships/hyperlink" Target="http://curia.europa.eu/juris/liste.jsf?language=en&amp;jur=C,T,F&amp;num=C-66/15&amp;td=ALL" TargetMode="External"/><Relationship Id="rId23" Type="http://schemas.openxmlformats.org/officeDocument/2006/relationships/hyperlink" Target="http://eur-lex.europa.eu/legal-content/EN/TXT/?qid=1487857016375&amp;uri=CELEX:32006L0115" TargetMode="External"/><Relationship Id="rId119" Type="http://schemas.openxmlformats.org/officeDocument/2006/relationships/hyperlink" Target="http://eur-lex.europa.eu/legal-content/EN/TXT/?qid=1490112774207&amp;uri=CELEX:32006L0118" TargetMode="External"/><Relationship Id="rId270" Type="http://schemas.openxmlformats.org/officeDocument/2006/relationships/hyperlink" Target="http://eur-lex.europa.eu/legal-content/EN/TXT/?qid=1490109814219&amp;uri=CELEX:32014L0059" TargetMode="External"/><Relationship Id="rId326" Type="http://schemas.openxmlformats.org/officeDocument/2006/relationships/hyperlink" Target="http://eur-lex.europa.eu/legal-content/EN/TXT/?qid=1490107321365&amp;uri=CELEX:32007R0715" TargetMode="External"/><Relationship Id="rId533" Type="http://schemas.openxmlformats.org/officeDocument/2006/relationships/hyperlink" Target="http://europa.eu/rapid/press-release_MEMO-16-2097_en.htm" TargetMode="External"/><Relationship Id="rId65" Type="http://schemas.openxmlformats.org/officeDocument/2006/relationships/hyperlink" Target="http://eur-lex.europa.eu/legal-content/EN/TXT/?qid=1487859281090&amp;uri=CELEX:32011L0070" TargetMode="External"/><Relationship Id="rId130" Type="http://schemas.openxmlformats.org/officeDocument/2006/relationships/hyperlink" Target="http://europa.eu/rapid/press-release_MEMO-16-3125_en.htm" TargetMode="External"/><Relationship Id="rId368" Type="http://schemas.openxmlformats.org/officeDocument/2006/relationships/hyperlink" Target="http://eur-lex.europa.eu/legal-content/EN/TXT/?qid=1490108563994&amp;uri=CELEX:32016L0970" TargetMode="External"/><Relationship Id="rId575" Type="http://schemas.openxmlformats.org/officeDocument/2006/relationships/hyperlink" Target="http://europa.eu/rapid/press-release_IP-16-2105_en.htm" TargetMode="External"/><Relationship Id="rId172" Type="http://schemas.openxmlformats.org/officeDocument/2006/relationships/hyperlink" Target="http://eur-lex.europa.eu/legal-content/EN/TXT/?qid=1490113950038&amp;uri=CELEX:32012L0033" TargetMode="External"/><Relationship Id="rId228" Type="http://schemas.openxmlformats.org/officeDocument/2006/relationships/hyperlink" Target="http://curia.europa.eu/juris/liste.jsf?language=en&amp;jur=C,T,F&amp;num=C-304/15&amp;td=ALL" TargetMode="External"/><Relationship Id="rId435" Type="http://schemas.openxmlformats.org/officeDocument/2006/relationships/hyperlink" Target="http://curia.europa.eu/juris/liste.jsf?language=en&amp;jur=C,T,F&amp;num=C-154/15&amp;td=ALL" TargetMode="External"/><Relationship Id="rId477" Type="http://schemas.openxmlformats.org/officeDocument/2006/relationships/hyperlink" Target="http://europa.eu/rapid/press-release_MEMO-16-4211_en.htm" TargetMode="External"/><Relationship Id="rId600" Type="http://schemas.openxmlformats.org/officeDocument/2006/relationships/hyperlink" Target="http://eur-lex.europa.eu/legal-content/EN/TXT/?qid=1490168390765&amp;uri=CELEX:32003L0059" TargetMode="External"/><Relationship Id="rId642" Type="http://schemas.openxmlformats.org/officeDocument/2006/relationships/hyperlink" Target="http://curia.europa.eu/juris/liste.jsf?language=en&amp;jur=C,T,F&amp;num=C-300/15&amp;td=ALL" TargetMode="External"/><Relationship Id="rId281" Type="http://schemas.openxmlformats.org/officeDocument/2006/relationships/hyperlink" Target="http://eur-lex.europa.eu/legal-content/EN/TXT/?qid=1490109962278&amp;uri=CELEX:32014L0056" TargetMode="External"/><Relationship Id="rId337" Type="http://schemas.openxmlformats.org/officeDocument/2006/relationships/hyperlink" Target="http://eur-lex.europa.eu/legal-content/EN/TXT/?qid=1490107535036&amp;uri=CELEX:32007R0715" TargetMode="External"/><Relationship Id="rId502" Type="http://schemas.openxmlformats.org/officeDocument/2006/relationships/hyperlink" Target="http://eur-lex.europa.eu/legal-content/EN/TXT/?qid=1490110687644&amp;uri=CELEX:32004L0049" TargetMode="External"/><Relationship Id="rId34" Type="http://schemas.openxmlformats.org/officeDocument/2006/relationships/hyperlink" Target="http://eur-lex.europa.eu/legal-content/EN/TXT/?qid=1487857437210&amp;uri=CELEX:32014R0910" TargetMode="External"/><Relationship Id="rId76" Type="http://schemas.openxmlformats.org/officeDocument/2006/relationships/hyperlink" Target="http://eur-lex.europa.eu/legal-content/EN/TXT/?qid=1490109633827&amp;uri=CELEX:32013L0030" TargetMode="External"/><Relationship Id="rId141" Type="http://schemas.openxmlformats.org/officeDocument/2006/relationships/hyperlink" Target="http://eur-lex.europa.eu/legal-content/EN/TXT/?qid=1490804651495&amp;uri=CELEX:32006L0021" TargetMode="External"/><Relationship Id="rId379" Type="http://schemas.openxmlformats.org/officeDocument/2006/relationships/hyperlink" Target="http://curia.europa.eu/jcms/upload/docs/application/pdf/2016-10/cp160113en.pdf" TargetMode="External"/><Relationship Id="rId544" Type="http://schemas.openxmlformats.org/officeDocument/2006/relationships/hyperlink" Target="http://eur-lex.europa.eu/legal-content/EN/TXT/?qid=1490113026673&amp;uri=CELEX:32005L0065" TargetMode="External"/><Relationship Id="rId586" Type="http://schemas.openxmlformats.org/officeDocument/2006/relationships/hyperlink" Target="http://eur-lex.europa.eu/legal-content/EN/TXT/?qid=1490167643508&amp;uri=CELEX:32008L0057" TargetMode="External"/><Relationship Id="rId7" Type="http://schemas.openxmlformats.org/officeDocument/2006/relationships/hyperlink" Target="http://eur-lex.europa.eu/legal-content/EN/TXT/?qid=1487856559890&amp;uri=CELEX:32002L0020" TargetMode="External"/><Relationship Id="rId183" Type="http://schemas.openxmlformats.org/officeDocument/2006/relationships/hyperlink" Target="http://eur-lex.europa.eu/legal-content/EN/TXT/?qid=1490114280887&amp;uri=CELEX:32013D0056" TargetMode="External"/><Relationship Id="rId239" Type="http://schemas.openxmlformats.org/officeDocument/2006/relationships/hyperlink" Target="http://curia.europa.eu/juris/liste.jsf?language=en&amp;jur=C,T,F&amp;num=C-530/15&amp;td=ALL" TargetMode="External"/><Relationship Id="rId390" Type="http://schemas.openxmlformats.org/officeDocument/2006/relationships/hyperlink" Target="http://curia.europa.eu/juris/liste.jsf?language=en&amp;jur=C,T,F&amp;num=C-303/15&amp;td=ALL" TargetMode="External"/><Relationship Id="rId404" Type="http://schemas.openxmlformats.org/officeDocument/2006/relationships/hyperlink" Target="http://curia.europa.eu/juris/liste.jsf?language=en&amp;num=C-229/16" TargetMode="External"/><Relationship Id="rId446" Type="http://schemas.openxmlformats.org/officeDocument/2006/relationships/hyperlink" Target="http://eur-lex.europa.eu/legal-content/en/TXT/?uri=CELEX%3A31993L0013" TargetMode="External"/><Relationship Id="rId611" Type="http://schemas.openxmlformats.org/officeDocument/2006/relationships/hyperlink" Target="http://curia.europa.eu/juris/liste.jsf?language=en&amp;jur=C,T,F&amp;num=C-146/15&amp;td=ALL" TargetMode="External"/><Relationship Id="rId250" Type="http://schemas.openxmlformats.org/officeDocument/2006/relationships/hyperlink" Target="http://curia.europa.eu/juris/liste.jsf?language=en&amp;jur=C,T,F&amp;num=C-69/15&amp;td=ALL" TargetMode="External"/><Relationship Id="rId292" Type="http://schemas.openxmlformats.org/officeDocument/2006/relationships/hyperlink" Target="http://eur-lex.europa.eu/legal-content/EN/TXT/?uri=CELEX:32014L0092" TargetMode="External"/><Relationship Id="rId306" Type="http://schemas.openxmlformats.org/officeDocument/2006/relationships/hyperlink" Target="http://eur-lex.europa.eu/legal-content/EN/TXT/?qid=1487785500631&amp;uri=CELEX:32014L0040" TargetMode="External"/><Relationship Id="rId488" Type="http://schemas.openxmlformats.org/officeDocument/2006/relationships/hyperlink" Target="http://curia.europa.eu/juris/liste.jsf?language=en&amp;jur=C,T,F&amp;num=C-601/15&amp;td=ALL" TargetMode="External"/><Relationship Id="rId45" Type="http://schemas.openxmlformats.org/officeDocument/2006/relationships/hyperlink" Target="http://curia.europa.eu/juris/liste.jsf?pro=&amp;nat=or&amp;oqp=&amp;dates=&amp;lg=&amp;language=en&amp;jur=C%2CT%2CF&amp;cit=none%252CC%252CCJ%252CR%252C2008E%252C%252C%252C%252C%252C%252C%252C%252C%252C%252Ctrue%252Cfalse%252Cfalse&amp;num=C-511%252F16&amp;td=%3BALL&amp;pcs=Oor&amp;avg=&amp;page=1&amp;mat=or&amp;jge=&amp;for=&amp;cid=710280" TargetMode="External"/><Relationship Id="rId87" Type="http://schemas.openxmlformats.org/officeDocument/2006/relationships/hyperlink" Target="http://europa.eu/rapid/press-release_MEMO-16-3125_en.htm" TargetMode="External"/><Relationship Id="rId110" Type="http://schemas.openxmlformats.org/officeDocument/2006/relationships/hyperlink" Target="http://eur-lex.europa.eu/legal-content/EN/TXT/?qid=1490110054002&amp;uri=CELEX:32012L0027" TargetMode="External"/><Relationship Id="rId348" Type="http://schemas.openxmlformats.org/officeDocument/2006/relationships/hyperlink" Target="http://eur-lex.europa.eu/legal-content/EN/TXT/?qid=1490107829328&amp;uri=CELEX:31992L0050" TargetMode="External"/><Relationship Id="rId513" Type="http://schemas.openxmlformats.org/officeDocument/2006/relationships/hyperlink" Target="http://europa.eu/rapid/press-release_IP-16-2101_en.htm" TargetMode="External"/><Relationship Id="rId555" Type="http://schemas.openxmlformats.org/officeDocument/2006/relationships/hyperlink" Target="http://europa.eu/rapid/press-release_IP-16-324_en.htm" TargetMode="External"/><Relationship Id="rId597" Type="http://schemas.openxmlformats.org/officeDocument/2006/relationships/hyperlink" Target="http://curia.europa.eu/juris/liste.jsf?language=en&amp;jur=C,T,F&amp;num=C-261/15&amp;td=ALL" TargetMode="External"/><Relationship Id="rId152" Type="http://schemas.openxmlformats.org/officeDocument/2006/relationships/hyperlink" Target="http://europa.eu/rapid/press-release_IP-16-1453_en.htm" TargetMode="External"/><Relationship Id="rId194" Type="http://schemas.openxmlformats.org/officeDocument/2006/relationships/hyperlink" Target="http://eur-lex.europa.eu/legal-content/EN/TXT/?qid=1490116069603&amp;uri=CELEX:31992L0043" TargetMode="External"/><Relationship Id="rId208" Type="http://schemas.openxmlformats.org/officeDocument/2006/relationships/hyperlink" Target="http://curia.europa.eu/juris/liste.jsf?language=en&amp;jur=C,T,F&amp;num=C-38/15&amp;td=ALL" TargetMode="External"/><Relationship Id="rId415" Type="http://schemas.openxmlformats.org/officeDocument/2006/relationships/hyperlink" Target="http://europa.eu/rapid/press-release_MEMO-16-1823_en.htm" TargetMode="External"/><Relationship Id="rId457" Type="http://schemas.openxmlformats.org/officeDocument/2006/relationships/hyperlink" Target="http://eur-lex.europa.eu/legal-content/EN/TXT/?qid=1456924136498&amp;uri=CELEX:32014L0089" TargetMode="External"/><Relationship Id="rId622" Type="http://schemas.openxmlformats.org/officeDocument/2006/relationships/hyperlink" Target="http://europa.eu/rapid/press-release_IP-16-1461_EN.htm" TargetMode="External"/><Relationship Id="rId261" Type="http://schemas.openxmlformats.org/officeDocument/2006/relationships/hyperlink" Target="http://eur-lex.europa.eu/legal-content/EN/TXT/?qid=1490113504088&amp;uri=CELEX:32011L0092" TargetMode="External"/><Relationship Id="rId499" Type="http://schemas.openxmlformats.org/officeDocument/2006/relationships/hyperlink" Target="http://eur-lex.europa.eu/legal-content/EN/TXT/?qid=1490175043090&amp;uri=CELEX:32014L0066" TargetMode="External"/><Relationship Id="rId14" Type="http://schemas.openxmlformats.org/officeDocument/2006/relationships/hyperlink" Target="http://eur-lex.europa.eu/legal-content/EN/TXT/?qid=1487856787116&amp;uri=CELEX:32014L0026" TargetMode="External"/><Relationship Id="rId56" Type="http://schemas.openxmlformats.org/officeDocument/2006/relationships/hyperlink" Target="http://curia.europa.eu/juris/liste.jsf?pro=&amp;nat=or&amp;oqp=&amp;dates=&amp;lg=&amp;language=en&amp;jur=C%2CT%2CF&amp;cit=none%252CC%252CCJ%252CR%252C2008E%252C%252C%252C%252C%252C%252C%252C%252C%252C%252Ctrue%252Cfalse%252Cfalse&amp;num=C-453%252F14&amp;td=%3BALL&amp;pcs=Oor&amp;avg=&amp;page=1&amp;mat=or&amp;jge=&amp;for=&amp;cid=711722" TargetMode="External"/><Relationship Id="rId317" Type="http://schemas.openxmlformats.org/officeDocument/2006/relationships/hyperlink" Target="http://eur-lex.europa.eu/legal-content/EN/TXT/?qid=1456333138556&amp;uri=CELEX:32008L0120" TargetMode="External"/><Relationship Id="rId359" Type="http://schemas.openxmlformats.org/officeDocument/2006/relationships/hyperlink" Target="http://eur-lex.europa.eu/legal-content/EN/TXT/?qid=1490108197730&amp;uri=CELEX:32013L0053" TargetMode="External"/><Relationship Id="rId524" Type="http://schemas.openxmlformats.org/officeDocument/2006/relationships/hyperlink" Target="http://eur-lex.europa.eu/legal-content/EN/TXT/?qid=1490112854266&amp;uri=CELEX:32003L0059" TargetMode="External"/><Relationship Id="rId566" Type="http://schemas.openxmlformats.org/officeDocument/2006/relationships/hyperlink" Target="http://eur-lex.europa.eu/legal-content/EN/TXT/?qid=1490114542862&amp;uri=CELEX:32010R1177" TargetMode="External"/><Relationship Id="rId98" Type="http://schemas.openxmlformats.org/officeDocument/2006/relationships/hyperlink" Target="http://europa.eu/rapid/press-release_IP-15-6007_EN.htm" TargetMode="External"/><Relationship Id="rId121" Type="http://schemas.openxmlformats.org/officeDocument/2006/relationships/hyperlink" Target="http://eur-lex.europa.eu/legal-content/EN/TXT/?qid=1490112841812&amp;uri=CELEX:32002L0049" TargetMode="External"/><Relationship Id="rId163" Type="http://schemas.openxmlformats.org/officeDocument/2006/relationships/hyperlink" Target="http://europa.eu/rapid/press-release_IP-15-6009_en.htm" TargetMode="External"/><Relationship Id="rId219" Type="http://schemas.openxmlformats.org/officeDocument/2006/relationships/hyperlink" Target="http://curia.europa.eu/juris/document/document.jsf;jsessionid=9ea7d0f130d6cbe793675e92400baf56c3152eaf3714.e34KaxiLc3eQc40LaxqMbN4PahmOe0?text=&amp;docid=181111&amp;pageIndex=0&amp;doclang=EN&amp;mode=lst&amp;dir=&amp;occ=first&amp;part=1&amp;cid=458028" TargetMode="External"/><Relationship Id="rId370" Type="http://schemas.openxmlformats.org/officeDocument/2006/relationships/hyperlink" Target="http://curia.europa.eu/juris/liste.jsf?language=en&amp;jur=C,T,F&amp;num=C-525/14&amp;td=ALL" TargetMode="External"/><Relationship Id="rId426" Type="http://schemas.openxmlformats.org/officeDocument/2006/relationships/hyperlink" Target="http://curia.europa.eu/juris/liste.jsf?language=en&amp;jur=C,T,F&amp;num=C-554/14&amp;td=ALL" TargetMode="External"/><Relationship Id="rId633" Type="http://schemas.openxmlformats.org/officeDocument/2006/relationships/hyperlink" Target="http://curia.europa.eu/juris/liste.jsf?language=en&amp;jur=C,T,F&amp;num=C-22/15&amp;td=ALL" TargetMode="External"/><Relationship Id="rId230" Type="http://schemas.openxmlformats.org/officeDocument/2006/relationships/hyperlink" Target="http://curia.europa.eu/juris/liste.jsf?language=en&amp;jur=C,T,F&amp;num=C-387/15&amp;td=ALL" TargetMode="External"/><Relationship Id="rId468" Type="http://schemas.openxmlformats.org/officeDocument/2006/relationships/hyperlink" Target="http://europa.eu/rapid/press-release_MEMO-16-3125_en.htm" TargetMode="External"/><Relationship Id="rId25" Type="http://schemas.openxmlformats.org/officeDocument/2006/relationships/hyperlink" Target="http://curia.europa.eu/jcms/upload/docs/application/pdf/2016-11/cp160123en.pdf" TargetMode="External"/><Relationship Id="rId67" Type="http://schemas.openxmlformats.org/officeDocument/2006/relationships/hyperlink" Target="http://eur-lex.europa.eu/legal-content/EN/TXT/?qid=1487859336738&amp;uri=CELEX:32009L0072" TargetMode="External"/><Relationship Id="rId272" Type="http://schemas.openxmlformats.org/officeDocument/2006/relationships/hyperlink" Target="http://eur-lex.europa.eu/legal-content/EN/TXT/?qid=1490109846811&amp;uri=CELEX:32013L0036" TargetMode="External"/><Relationship Id="rId328" Type="http://schemas.openxmlformats.org/officeDocument/2006/relationships/hyperlink" Target="http://europa.eu/rapid/press-release_IP-16-323_en.htm" TargetMode="External"/><Relationship Id="rId535"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30%252F16&amp;td=%3BALL&amp;pcs=Oor&amp;avg=&amp;page=1&amp;mat=or&amp;jge=&amp;for=&amp;cid=858892" TargetMode="External"/><Relationship Id="rId577" Type="http://schemas.openxmlformats.org/officeDocument/2006/relationships/hyperlink" Target="http://eur-lex.europa.eu/legal-content/EN/TXT/?qid=1490167315000&amp;uri=CELEX:32004L0049" TargetMode="External"/><Relationship Id="rId132" Type="http://schemas.openxmlformats.org/officeDocument/2006/relationships/hyperlink" Target="http://eur-lex.europa.eu/legal-content/EN/TXT/?qid=1490113062610&amp;uri=CELEX:32004L0035" TargetMode="External"/><Relationship Id="rId174" Type="http://schemas.openxmlformats.org/officeDocument/2006/relationships/hyperlink" Target="http://europa.eu/rapid/press-release_IP-15-6008_en.htm" TargetMode="External"/><Relationship Id="rId381" Type="http://schemas.openxmlformats.org/officeDocument/2006/relationships/hyperlink" Target="http://curia.europa.eu/juris/liste.jsf?language=en&amp;jur=C,T,F&amp;num=C-201/15&amp;td=ALL" TargetMode="External"/><Relationship Id="rId602" Type="http://schemas.openxmlformats.org/officeDocument/2006/relationships/hyperlink" Target="http://eur-lex.europa.eu/legal-content/EN/TXT/?qid=1490168327385&amp;uri=CELEX:32007R1370" TargetMode="External"/><Relationship Id="rId241" Type="http://schemas.openxmlformats.org/officeDocument/2006/relationships/hyperlink" Target="http://curia.europa.eu/juris/liste.jsf?language=en&amp;jur=C,T,F&amp;num=C-379/15&amp;td=ALL" TargetMode="External"/><Relationship Id="rId437" Type="http://schemas.openxmlformats.org/officeDocument/2006/relationships/hyperlink" Target="http://curia.europa.eu/juris/liste.jsf?language=en&amp;jur=C,T,F&amp;num=C-308/15&amp;td=ALL" TargetMode="External"/><Relationship Id="rId479" Type="http://schemas.openxmlformats.org/officeDocument/2006/relationships/hyperlink" Target="http://europa.eu/rapid/press-release_MEMO-16-4211_en.htm" TargetMode="External"/><Relationship Id="rId644" Type="http://schemas.openxmlformats.org/officeDocument/2006/relationships/hyperlink" Target="http://curia.europa.eu/juris/liste.jsf?language=en&amp;jur=C,T,F&amp;num=C-291/15&amp;td=ALL" TargetMode="External"/><Relationship Id="rId36" Type="http://schemas.openxmlformats.org/officeDocument/2006/relationships/hyperlink" Target="http://eur-lex.europa.eu/legal-content/EN/TXT/?qid=1487857464494&amp;uri=CELEX:32014L0026" TargetMode="External"/><Relationship Id="rId283" Type="http://schemas.openxmlformats.org/officeDocument/2006/relationships/hyperlink" Target="http://eur-lex.europa.eu/legal-content/EN/TXT/?qid=1490109990296&amp;uri=CELEX:32014L0017" TargetMode="External"/><Relationship Id="rId339" Type="http://schemas.openxmlformats.org/officeDocument/2006/relationships/hyperlink" Target="http://eur-lex.europa.eu/legal-content/EN/TXT/?qid=1456927136179&amp;uri=CELEX:32006L0123" TargetMode="External"/><Relationship Id="rId490" Type="http://schemas.openxmlformats.org/officeDocument/2006/relationships/hyperlink" Target="http://curia.europa.eu/juris/liste.jsf?language=en&amp;jur=C,T,F&amp;num=C-155/15&amp;td=ALL" TargetMode="External"/><Relationship Id="rId504" Type="http://schemas.openxmlformats.org/officeDocument/2006/relationships/hyperlink" Target="http://eur-lex.europa.eu/legal-content/EN/TXT/?qid=1490110784388&amp;uri=CELEX:32012L0034" TargetMode="External"/><Relationship Id="rId546" Type="http://schemas.openxmlformats.org/officeDocument/2006/relationships/hyperlink" Target="http://europa.eu/rapid/press-release_IP-15-5659_en.htm" TargetMode="External"/><Relationship Id="rId78" Type="http://schemas.openxmlformats.org/officeDocument/2006/relationships/hyperlink" Target="http://europa.eu/rapid/press-release_MEMO-16-1452_en.htm" TargetMode="External"/><Relationship Id="rId101" Type="http://schemas.openxmlformats.org/officeDocument/2006/relationships/hyperlink" Target="http://curia.europa.eu/juris/liste.jsf?language=en&amp;jur=C,T,F&amp;num=C-492/14&amp;td=ALL" TargetMode="External"/><Relationship Id="rId143" Type="http://schemas.openxmlformats.org/officeDocument/2006/relationships/hyperlink" Target="http://eur-lex.europa.eu/legal-content/EN/TXT/?qid=1490113448649&amp;uri=CELEX:32008L0098" TargetMode="External"/><Relationship Id="rId185" Type="http://schemas.openxmlformats.org/officeDocument/2006/relationships/hyperlink" Target="http://eur-lex.europa.eu/legal-content/EN/TXT/?qid=1490114321493&amp;uri=CELEX:32010R0995" TargetMode="External"/><Relationship Id="rId350" Type="http://schemas.openxmlformats.org/officeDocument/2006/relationships/hyperlink" Target="http://curia.europa.eu/juris/liste.jsf?pro=&amp;nat=or&amp;oqp=&amp;dates=&amp;lg=&amp;language=en&amp;jur=C%2CT%2CF&amp;cit=none%252CC%252CCJ%252CR%252C2008E%252C%252C%252C%252C%252C%252C%252C%252C%252C%252Ctrue%252Cfalse%252Cfalse&amp;num=C-187%252F16&amp;td=%3BALL&amp;pcs=Oor&amp;avg=&amp;page=1&amp;mat=or&amp;jge=&amp;for=&amp;cid=1145026" TargetMode="External"/><Relationship Id="rId406" Type="http://schemas.openxmlformats.org/officeDocument/2006/relationships/hyperlink" Target="http://eur-lex.europa.eu/legal-content/EN/TXT/?qid=1490111056824&amp;uri=CELEX:32011L0083" TargetMode="External"/><Relationship Id="rId588" Type="http://schemas.openxmlformats.org/officeDocument/2006/relationships/hyperlink" Target="http://eur-lex.europa.eu/legal-content/EN/TXT/?qid=1490167936698&amp;uri=CELEX:32009R1072" TargetMode="External"/><Relationship Id="rId9" Type="http://schemas.openxmlformats.org/officeDocument/2006/relationships/hyperlink" Target="http://eur-lex.europa.eu/legal-content/EN/TXT/?qid=1487856559890&amp;uri=CELEX:32002L0020" TargetMode="External"/><Relationship Id="rId210" Type="http://schemas.openxmlformats.org/officeDocument/2006/relationships/hyperlink" Target="http://eur-lex.europa.eu/legal-content/EN/TXT/?qid=1490116304746&amp;uri=CELEX:31992L0043" TargetMode="External"/><Relationship Id="rId392" Type="http://schemas.openxmlformats.org/officeDocument/2006/relationships/hyperlink" Target="http://curia.europa.eu/juris/liste.jsf?language=en&amp;jur=C,T,F&amp;num=C-256/15&amp;td=ALL" TargetMode="External"/><Relationship Id="rId448" Type="http://schemas.openxmlformats.org/officeDocument/2006/relationships/hyperlink" Target="http://curia.europa.eu/juris/liste.jsf?language=en&amp;jur=C,T,F&amp;num=C-42/15&amp;td=ALL" TargetMode="External"/><Relationship Id="rId613" Type="http://schemas.openxmlformats.org/officeDocument/2006/relationships/hyperlink" Target="http://eur-lex.europa.eu/legal-content/EN/TXT/?qid=1490170040426&amp;uri=CELEX:32014L0045" TargetMode="External"/><Relationship Id="rId252" Type="http://schemas.openxmlformats.org/officeDocument/2006/relationships/hyperlink" Target="http://curia.europa.eu/jcms/upload/docs/application/pdf/2016-11/cp160128en.pdf" TargetMode="External"/><Relationship Id="rId294" Type="http://schemas.openxmlformats.org/officeDocument/2006/relationships/hyperlink" Target="http://eur-lex.europa.eu/legal-content/EN/TXT/?qid=1490110245849&amp;uri=CELEX:32014L0059" TargetMode="External"/><Relationship Id="rId308" Type="http://schemas.openxmlformats.org/officeDocument/2006/relationships/hyperlink" Target="http://eur-lex.europa.eu/legal-content/EN/TXT/?qid=1456332194571&amp;uri=CELEX:32015D0789" TargetMode="External"/><Relationship Id="rId515" Type="http://schemas.openxmlformats.org/officeDocument/2006/relationships/hyperlink" Target="http://eur-lex.europa.eu/legal-content/EN/TXT/?qid=1456924770791&amp;uri=CELEX:32012R0748" TargetMode="External"/><Relationship Id="rId47" Type="http://schemas.openxmlformats.org/officeDocument/2006/relationships/hyperlink" Target="http://curia.europa.eu/juris/liste.jsf?language=en&amp;jur=C,T,F&amp;num=C-515/14&amp;td=ALL" TargetMode="External"/><Relationship Id="rId89" Type="http://schemas.openxmlformats.org/officeDocument/2006/relationships/hyperlink" Target="http://eur-lex.europa.eu/legal-content/EN/TXT/?qid=1490116963247&amp;uri=CELEX:32011L0070" TargetMode="External"/><Relationship Id="rId112" Type="http://schemas.openxmlformats.org/officeDocument/2006/relationships/hyperlink" Target="http://eur-lex.europa.eu/legal-content/EN/TXT/?qid=1490110150234&amp;uri=CELEX:32006R1367" TargetMode="External"/><Relationship Id="rId154" Type="http://schemas.openxmlformats.org/officeDocument/2006/relationships/hyperlink" Target="http://europa.eu/rapid/press-release_IP-15-6224_en.htm" TargetMode="External"/><Relationship Id="rId361" Type="http://schemas.openxmlformats.org/officeDocument/2006/relationships/hyperlink" Target="http://eur-lex.europa.eu/legal-content/EN/TXT/?qid=1490108257430&amp;uri=CELEX:32014L0030" TargetMode="External"/><Relationship Id="rId557"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388%252F16&amp;td=%3BALL&amp;pcs=Oor&amp;avg=&amp;page=1&amp;mat=or&amp;jge=&amp;for=&amp;cid=858892" TargetMode="External"/><Relationship Id="rId599" Type="http://schemas.openxmlformats.org/officeDocument/2006/relationships/hyperlink" Target="http://curia.europa.eu/juris/liste.jsf?language=en&amp;jur=C,T,F&amp;num=C-92/15&amp;td=ALL" TargetMode="External"/><Relationship Id="rId196" Type="http://schemas.openxmlformats.org/officeDocument/2006/relationships/hyperlink" Target="http://eur-lex.europa.eu/legal-content/EN/TXT/?qid=1490116109501&amp;uri=CELEX:32000L0060" TargetMode="External"/><Relationship Id="rId417" Type="http://schemas.openxmlformats.org/officeDocument/2006/relationships/hyperlink" Target="http://eur-lex.europa.eu/legal-content/EN/TXT/?qid=1490164420477&amp;uri=CELEX:32012L0029" TargetMode="External"/><Relationship Id="rId459" Type="http://schemas.openxmlformats.org/officeDocument/2006/relationships/hyperlink" Target="http://eur-lex.europa.eu/legal-content/EN/TXT/?qid=1486569010751&amp;uri=CELEX:32009R1224" TargetMode="External"/><Relationship Id="rId624" Type="http://schemas.openxmlformats.org/officeDocument/2006/relationships/hyperlink" Target="http://curia.europa.eu/juris/liste.jsf?language=en&amp;jur=C,T,F&amp;num=C-590/16&amp;td=ALL" TargetMode="External"/><Relationship Id="rId16" Type="http://schemas.openxmlformats.org/officeDocument/2006/relationships/hyperlink" Target="http://eur-lex.europa.eu/legal-content/EN/TXT/?qid=1487856844554&amp;uri=CELEX:32002L0022" TargetMode="External"/><Relationship Id="rId221" Type="http://schemas.openxmlformats.org/officeDocument/2006/relationships/hyperlink" Target="http://curia.europa.eu/juris/liste.jsf?language=en&amp;jur=C,T,F&amp;num=C-557/14&amp;td=ALL" TargetMode="External"/><Relationship Id="rId263" Type="http://schemas.openxmlformats.org/officeDocument/2006/relationships/hyperlink" Target="http://eur-lex.europa.eu/legal-content/EN/TXT/?qid=1490113555559&amp;uri=CELEX:32001L0042" TargetMode="External"/><Relationship Id="rId319" Type="http://schemas.openxmlformats.org/officeDocument/2006/relationships/hyperlink" Target="http://eur-lex.europa.eu/legal-content/EN/TXT/?qid=1495035421653&amp;uri=CELEX:32000L0013" TargetMode="External"/><Relationship Id="rId470" Type="http://schemas.openxmlformats.org/officeDocument/2006/relationships/hyperlink" Target="http://europa.eu/rapid/press-release_MEMO-16-3125_en.htm" TargetMode="External"/><Relationship Id="rId526" Type="http://schemas.openxmlformats.org/officeDocument/2006/relationships/hyperlink" Target="http://europa.eu/rapid/press-release_MEMO-16-2490_en.htm" TargetMode="External"/><Relationship Id="rId58" Type="http://schemas.openxmlformats.org/officeDocument/2006/relationships/hyperlink" Target="http://eur-lex.europa.eu/legal-content/EN/TXT/?qid=1487859183031&amp;uri=CELEX:32014L0027" TargetMode="External"/><Relationship Id="rId123" Type="http://schemas.openxmlformats.org/officeDocument/2006/relationships/hyperlink" Target="http://eur-lex.europa.eu/legal-content/EN/TXT/?qid=1490112934119&amp;uri=CELEX:32004L0035" TargetMode="External"/><Relationship Id="rId330" Type="http://schemas.openxmlformats.org/officeDocument/2006/relationships/hyperlink" Target="http://europa.eu/rapid/press-release_IP-16-3646_en.htm" TargetMode="External"/><Relationship Id="rId568" Type="http://schemas.openxmlformats.org/officeDocument/2006/relationships/hyperlink" Target="http://eur-lex.europa.eu/legal-content/EN/TXT/?qid=1490114636481&amp;uri=CELEX:32009R1071" TargetMode="External"/><Relationship Id="rId165" Type="http://schemas.openxmlformats.org/officeDocument/2006/relationships/hyperlink" Target="http://europa.eu/rapid/press-release_IP-16-2099_en.htm" TargetMode="External"/><Relationship Id="rId372" Type="http://schemas.openxmlformats.org/officeDocument/2006/relationships/hyperlink" Target="http://curia.europa.eu/juris/liste.jsf?language=en&amp;jur=C,T,F&amp;num=C-220/15&amp;td=ALL" TargetMode="External"/><Relationship Id="rId428" Type="http://schemas.openxmlformats.org/officeDocument/2006/relationships/hyperlink" Target="http://curia.europa.eu/juris/liste.jsf?language=en&amp;jur=C,T,F&amp;num=C-299/14&amp;td=ALL" TargetMode="External"/><Relationship Id="rId635" Type="http://schemas.openxmlformats.org/officeDocument/2006/relationships/hyperlink" Target="http://curia.europa.eu/juris/liste.jsf?language=en&amp;jur=C,T,F&amp;num=C-522/14&amp;td=ALL" TargetMode="External"/><Relationship Id="rId232" Type="http://schemas.openxmlformats.org/officeDocument/2006/relationships/hyperlink" Target="http://eur-lex.europa.eu/legal-content/EN/TXT/?qid=1490114405017&amp;uri=CELEX:32001L0042" TargetMode="External"/><Relationship Id="rId274" Type="http://schemas.openxmlformats.org/officeDocument/2006/relationships/hyperlink" Target="http://eur-lex.europa.eu/legal-content/EN/TXT/?qid=1490109886095&amp;uri=CELEX:32013L0034" TargetMode="External"/><Relationship Id="rId481" Type="http://schemas.openxmlformats.org/officeDocument/2006/relationships/hyperlink" Target="http://curia.europa.eu/juris/liste.jsf?language=en&amp;jur=C,T,F&amp;num=C-443/14&amp;td=ALL" TargetMode="External"/><Relationship Id="rId27" Type="http://schemas.openxmlformats.org/officeDocument/2006/relationships/hyperlink" Target="http://curia.europa.eu/juris/liste.jsf?pro=&amp;nat=or&amp;oqp=&amp;dates=&amp;lg=&amp;language=en&amp;jur=C%2CT%2CF&amp;cit=none%252CC%252CCJ%252CR%252C2008E%252C%252C%252C%252C%252C%252C%252C%252C%252C%252Ctrue%252Cfalse%252Cfalse&amp;num=C-397%252F14&amp;td=%3BALL&amp;pcs=Oor&amp;avg=&amp;page=1&amp;mat=or&amp;jge=&amp;for=&amp;cid=703214" TargetMode="External"/><Relationship Id="rId69" Type="http://schemas.openxmlformats.org/officeDocument/2006/relationships/hyperlink" Target="http://eur-lex.europa.eu/legal-content/EN/TXT/?qid=1487859336738&amp;uri=CELEX:32009L0072" TargetMode="External"/><Relationship Id="rId134" Type="http://schemas.openxmlformats.org/officeDocument/2006/relationships/hyperlink" Target="http://europa.eu/rapid/press-release_MEMO-16-1452_en.htm" TargetMode="External"/><Relationship Id="rId537" Type="http://schemas.openxmlformats.org/officeDocument/2006/relationships/hyperlink" Target="http://europa.eu/rapid/press-release_MEMO-15-6223_en.htm" TargetMode="External"/><Relationship Id="rId579" Type="http://schemas.openxmlformats.org/officeDocument/2006/relationships/hyperlink" Target="http://eur-lex.europa.eu/legal-content/EN/TXT/?qid=1490167399395&amp;uri=CELEX:31992R3577" TargetMode="External"/><Relationship Id="rId80" Type="http://schemas.openxmlformats.org/officeDocument/2006/relationships/hyperlink" Target="http://eur-lex.europa.eu/legal-content/EN/TXT/?qid=1490109664240&amp;uri=CELEX:32012L0027" TargetMode="External"/><Relationship Id="rId176" Type="http://schemas.openxmlformats.org/officeDocument/2006/relationships/hyperlink" Target="http://eur-lex.europa.eu/legal-content/EN/TXT/?qid=1490114078541&amp;uri=CELEX:32008L0098" TargetMode="External"/><Relationship Id="rId341" Type="http://schemas.openxmlformats.org/officeDocument/2006/relationships/hyperlink" Target="http://eur-lex.europa.eu/legal-content/EN/TXT/?qid=1456927136179&amp;uri=CELEX:32006L0123" TargetMode="External"/><Relationship Id="rId383" Type="http://schemas.openxmlformats.org/officeDocument/2006/relationships/hyperlink" Target="http://eur-lex.europa.eu/legal-content/EN/TXT/?qid=1490108953800&amp;uri=CELEX:32006L0123" TargetMode="External"/><Relationship Id="rId439" Type="http://schemas.openxmlformats.org/officeDocument/2006/relationships/hyperlink" Target="http://curia.europa.eu/juris/liste.jsf?language=en&amp;jur=C,T,F&amp;num=C-235/14&amp;td=ALL" TargetMode="External"/><Relationship Id="rId590" Type="http://schemas.openxmlformats.org/officeDocument/2006/relationships/hyperlink" Target="http://curia.europa.eu/juris/liste.jsf?language=en&amp;jur=C,T,F&amp;num=C-152/16&amp;td=ALL" TargetMode="External"/><Relationship Id="rId604" Type="http://schemas.openxmlformats.org/officeDocument/2006/relationships/hyperlink" Target="http://eur-lex.europa.eu/legal-content/EN/TXT/?qid=1490168435631&amp;uri=CELEX:31985R3821" TargetMode="External"/><Relationship Id="rId646" Type="http://schemas.openxmlformats.org/officeDocument/2006/relationships/hyperlink" Target="http://curia.europa.eu/juris/liste.jsf?language=en&amp;jur=C,T,F&amp;num=C-200/14&amp;td=ALL" TargetMode="External"/><Relationship Id="rId201" Type="http://schemas.openxmlformats.org/officeDocument/2006/relationships/hyperlink" Target="http://eur-lex.europa.eu/legal-content/EN/TXT/?qid=1490116154917&amp;uri=CELEX:32011L0093" TargetMode="External"/><Relationship Id="rId243" Type="http://schemas.openxmlformats.org/officeDocument/2006/relationships/hyperlink" Target="http://curia.europa.eu/juris/liste.jsf?language=en&amp;jur=C,T,F&amp;num=C-686/15&amp;td=ALL" TargetMode="External"/><Relationship Id="rId285" Type="http://schemas.openxmlformats.org/officeDocument/2006/relationships/hyperlink" Target="http://europa.eu/rapid/press-release_MEMO-16-4211_en.htm" TargetMode="External"/><Relationship Id="rId450" Type="http://schemas.openxmlformats.org/officeDocument/2006/relationships/hyperlink" Target="http://eur-lex.europa.eu/legal-content/EN/TXT/?qid=1490165757852&amp;uri=CELEX:32014L0041" TargetMode="External"/><Relationship Id="rId506" Type="http://schemas.openxmlformats.org/officeDocument/2006/relationships/hyperlink" Target="http://eur-lex.europa.eu/legal-content/EN/TXT/?qid=1490110846991&amp;uri=CELEX:32009L0012" TargetMode="External"/><Relationship Id="rId38" Type="http://schemas.openxmlformats.org/officeDocument/2006/relationships/hyperlink" Target="http://eur-lex.europa.eu/legal-content/EN/TXT/?qid=1487858646573&amp;uri=CELEX:32008R1272" TargetMode="External"/><Relationship Id="rId103" Type="http://schemas.openxmlformats.org/officeDocument/2006/relationships/hyperlink" Target="http://curia.europa.eu/juris/liste.jsf?language=en&amp;jur=C,T,F&amp;num=C-121/15&amp;td=ALL" TargetMode="External"/><Relationship Id="rId310" Type="http://schemas.openxmlformats.org/officeDocument/2006/relationships/hyperlink" Target="http://eur-lex.europa.eu/legal-content/EN/TXT/?qid=1456331676616&amp;uri=CELEX:32011L0024" TargetMode="External"/><Relationship Id="rId492" Type="http://schemas.openxmlformats.org/officeDocument/2006/relationships/hyperlink" Target="http://eur-lex.europa.eu/legal-content/EN/TXT/?uri=celex:32008D0616" TargetMode="External"/><Relationship Id="rId548"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152%252F16&amp;td=%3BALL&amp;pcs=Oor&amp;avg=&amp;page=1&amp;mat=or&amp;jge=&amp;for=&amp;cid=858892" TargetMode="External"/><Relationship Id="rId91" Type="http://schemas.openxmlformats.org/officeDocument/2006/relationships/hyperlink" Target="http://eur-lex.europa.eu/legal-content/EN/TXT/?qid=1490116985458&amp;uri=CELEX:32009L0028" TargetMode="External"/><Relationship Id="rId145" Type="http://schemas.openxmlformats.org/officeDocument/2006/relationships/hyperlink" Target="http://eur-lex.europa.eu/legal-content/EN/TXT/?qid=1490113483503&amp;uri=CELEX:32008L0050" TargetMode="External"/><Relationship Id="rId187" Type="http://schemas.openxmlformats.org/officeDocument/2006/relationships/hyperlink" Target="http://eur-lex.europa.eu/legal-content/EN/TXT/?qid=1490114386392&amp;uri=CELEX:32010L0075" TargetMode="External"/><Relationship Id="rId352" Type="http://schemas.openxmlformats.org/officeDocument/2006/relationships/hyperlink" Target="http://eur-lex.europa.eu/legal-content/EN/TXT/?qid=1490107949948&amp;uri=CELEX:32014L0023" TargetMode="External"/><Relationship Id="rId394" Type="http://schemas.openxmlformats.org/officeDocument/2006/relationships/hyperlink" Target="http://curia.europa.eu/juris/liste.jsf?language=en&amp;jur=C,T,F&amp;num=C-316/15&amp;td=ALL" TargetMode="External"/><Relationship Id="rId408" Type="http://schemas.openxmlformats.org/officeDocument/2006/relationships/hyperlink" Target="http://eur-lex.europa.eu/legal-content/EN/TXT/?qid=1490111130001&amp;uri=CELEX:32011L0099" TargetMode="External"/><Relationship Id="rId615" Type="http://schemas.openxmlformats.org/officeDocument/2006/relationships/hyperlink" Target="http://eur-lex.europa.eu/legal-content/EN/TXT/?qid=1490170138058&amp;uri=CELEX:32014L0047" TargetMode="External"/><Relationship Id="rId212" Type="http://schemas.openxmlformats.org/officeDocument/2006/relationships/hyperlink" Target="http://eur-lex.europa.eu/legal-content/EN/TXT/?qid=1490116346124&amp;uri=CELEX:31999L0031" TargetMode="External"/><Relationship Id="rId254" Type="http://schemas.openxmlformats.org/officeDocument/2006/relationships/hyperlink" Target="http://eur-lex.europa.eu/legal-content/EN/TXT/?qid=1490113769067&amp;uri=CELEX:31997L0011" TargetMode="External"/><Relationship Id="rId28" Type="http://schemas.openxmlformats.org/officeDocument/2006/relationships/hyperlink" Target="http://curia.europa.eu/juris/liste.jsf?pro=&amp;nat=or&amp;oqp=&amp;dates=&amp;lg=&amp;language=en&amp;jur=C%2CT%2CF&amp;cit=none%252CC%252CCJ%252CR%252C2008E%252C%252C%252C%252C%252C%252C%252C%252C%252C%252Ctrue%252Cfalse%252Cfalse&amp;num=C-314%252F14&amp;td=%3BALL&amp;pcs=Oor&amp;avg=&amp;page=1&amp;mat=or&amp;jge=&amp;for=&amp;cid=703300" TargetMode="External"/><Relationship Id="rId49" Type="http://schemas.openxmlformats.org/officeDocument/2006/relationships/hyperlink" Target="http://eur-lex.europa.eu/legal-content/EN/TXT/?qid=1487858969972&amp;uri=CELEX:32004R0883" TargetMode="External"/><Relationship Id="rId114" Type="http://schemas.openxmlformats.org/officeDocument/2006/relationships/hyperlink" Target="http://eur-lex.europa.eu/legal-content/EN/TXT/?qid=1490110248041&amp;uri=CELEX:31992L0043" TargetMode="External"/><Relationship Id="rId275" Type="http://schemas.openxmlformats.org/officeDocument/2006/relationships/hyperlink" Target="http://europa.eu/rapid/press-release_MEMO-16-2097_en.htm" TargetMode="External"/><Relationship Id="rId296" Type="http://schemas.openxmlformats.org/officeDocument/2006/relationships/hyperlink" Target="http://eur-lex.europa.eu/legal-content/EN/TXT/?qid=1490110339824&amp;uri=CELEX:32002L0047" TargetMode="External"/><Relationship Id="rId300" Type="http://schemas.openxmlformats.org/officeDocument/2006/relationships/hyperlink" Target="http://eur-lex.europa.eu/legal-content/EN/TXT/?qid=1490110462399&amp;uri=CELEX:32014L0092" TargetMode="External"/><Relationship Id="rId461" Type="http://schemas.openxmlformats.org/officeDocument/2006/relationships/hyperlink" Target="http://eur-lex.europa.eu/legal-content/EN/TXT/?qid=1463925195425&amp;uri=CELEX:32013L0040" TargetMode="External"/><Relationship Id="rId482" Type="http://schemas.openxmlformats.org/officeDocument/2006/relationships/hyperlink" Target="http://curia.europa.eu/juris/liste.jsf?pro=&amp;nat=or&amp;oqp=&amp;dates=&amp;lg=&amp;language=en&amp;jur=C%2CT%2CF&amp;cit=none%252CC%252CCJ%252CR%252C2008E%252C%252C%252C%252C%252C%252C%252C%252C%252C%252Ctrue%252Cfalse%252Cfalse&amp;num=444%252F14&amp;td=%3BALL&amp;pcs=Oor&amp;avg=&amp;page=1&amp;mat=or&amp;jge=&amp;for=&amp;cid=1153609" TargetMode="External"/><Relationship Id="rId517" Type="http://schemas.openxmlformats.org/officeDocument/2006/relationships/hyperlink" Target="http://eur-lex.europa.eu/legal-content/EN/TXT/?qid=1490111180892&amp;uri=CELEX:32010R1177" TargetMode="External"/><Relationship Id="rId538" Type="http://schemas.openxmlformats.org/officeDocument/2006/relationships/hyperlink" Target="http://eur-lex.europa.eu/legal-content/EN/TXT/?qid=1490112989906&amp;uri=CELEX:32006L0126" TargetMode="External"/><Relationship Id="rId559" Type="http://schemas.openxmlformats.org/officeDocument/2006/relationships/hyperlink" Target="http://europa.eu/rapid/press-release_MEMO-16-1452_en.htm" TargetMode="External"/><Relationship Id="rId60" Type="http://schemas.openxmlformats.org/officeDocument/2006/relationships/hyperlink" Target="http://eur-lex.europa.eu/legal-content/EN/TXT/?qid=1487784783426&amp;uri=CELEX:32014L0067" TargetMode="External"/><Relationship Id="rId81" Type="http://schemas.openxmlformats.org/officeDocument/2006/relationships/hyperlink" Target="http://eur-lex.europa.eu/legal-content/EN/TXT/?qid=1490109709971&amp;uri=CELEX:32010L0031" TargetMode="External"/><Relationship Id="rId135" Type="http://schemas.openxmlformats.org/officeDocument/2006/relationships/hyperlink" Target="http://europa.eu/rapid/press-release_MEMO-16-319_en.htm" TargetMode="External"/><Relationship Id="rId156" Type="http://schemas.openxmlformats.org/officeDocument/2006/relationships/hyperlink" Target="http://curia.europa.eu/juris/liste.jsf?language=en&amp;jur=C,T,F&amp;num=C-336/16&amp;td=ALL" TargetMode="External"/><Relationship Id="rId177" Type="http://schemas.openxmlformats.org/officeDocument/2006/relationships/hyperlink" Target="http://eur-lex.europa.eu/legal-content/EN/TXT/?qid=1490114105290&amp;uri=CELEX:32006L0118" TargetMode="External"/><Relationship Id="rId198" Type="http://schemas.openxmlformats.org/officeDocument/2006/relationships/hyperlink" Target="http://eur-lex.europa.eu/legal-content/EN/TXT/?qid=1490115815258&amp;uri=CELEX:31992L0043" TargetMode="External"/><Relationship Id="rId321" Type="http://schemas.openxmlformats.org/officeDocument/2006/relationships/hyperlink" Target="http://curia.europa.eu/juris/liste.jsf?pro=&amp;nat=or&amp;oqp=&amp;dates=&amp;lg=&amp;language=en&amp;jur=C%2CT%2CF&amp;cit=none%252CC%252CCJ%252CR%252C2008E%252C%252C%252C%252C%252C%252C%252C%252C%252C%252Ctrue%252Cfalse%252Cfalse&amp;num=C-448%252F14&amp;td=%3BALL&amp;pcs=Oor&amp;avg=&amp;page=1&amp;mat=or&amp;jge=&amp;for=&amp;cid=613428" TargetMode="External"/><Relationship Id="rId342" Type="http://schemas.openxmlformats.org/officeDocument/2006/relationships/hyperlink" Target="http://europa.eu/rapid/press-release_MEMO-16-3125_en.htm" TargetMode="External"/><Relationship Id="rId363" Type="http://schemas.openxmlformats.org/officeDocument/2006/relationships/hyperlink" Target="http://eur-lex.europa.eu/legal-content/EN/TXT/?qid=1490108332008&amp;uri=CELEX:32014L0034" TargetMode="External"/><Relationship Id="rId384" Type="http://schemas.openxmlformats.org/officeDocument/2006/relationships/hyperlink" Target="http://curia.europa.eu/juris/liste.jsf?language=en&amp;jur=C,T,F&amp;num=C-458/14&amp;td=ALL" TargetMode="External"/><Relationship Id="rId419" Type="http://schemas.openxmlformats.org/officeDocument/2006/relationships/hyperlink" Target="http://eur-lex.europa.eu/legal-content/EN/TXT/?qid=1490164548494&amp;uri=CELEX:32004L0113" TargetMode="External"/><Relationship Id="rId570" Type="http://schemas.openxmlformats.org/officeDocument/2006/relationships/hyperlink" Target="http://eur-lex.europa.eu/legal-content/EN/TXT/?qid=1490114746217&amp;uri=CELEX:32008R0300" TargetMode="External"/><Relationship Id="rId591" Type="http://schemas.openxmlformats.org/officeDocument/2006/relationships/hyperlink" Target="http://eur-lex.europa.eu/legal-content/EN/TXT/?qid=1490168116964&amp;uri=CELEX:32009R1071" TargetMode="External"/><Relationship Id="rId605" Type="http://schemas.openxmlformats.org/officeDocument/2006/relationships/hyperlink" Target="http://curia.europa.eu/juris/liste.jsf?language=en&amp;jur=C,T,F&amp;num=C-501/14&amp;td=ALL" TargetMode="External"/><Relationship Id="rId626" Type="http://schemas.openxmlformats.org/officeDocument/2006/relationships/hyperlink" Target="http://europa.eu/rapid/press-release_IP-15-4674_EN.htm" TargetMode="External"/><Relationship Id="rId202" Type="http://schemas.openxmlformats.org/officeDocument/2006/relationships/hyperlink" Target="http://curia.europa.eu/juris/liste.jsf?language=en&amp;jur=C,T,F&amp;num=C-141/14&amp;td=ALL" TargetMode="External"/><Relationship Id="rId223" Type="http://schemas.openxmlformats.org/officeDocument/2006/relationships/hyperlink" Target="http://eur-lex.europa.eu/legal-content/EN/TXT/?qid=1490114244685&amp;uri=CELEX:31991L0271" TargetMode="External"/><Relationship Id="rId244" Type="http://schemas.openxmlformats.org/officeDocument/2006/relationships/hyperlink" Target="http://eur-lex.europa.eu/legal-content/EN/TXT/?qid=1490113967352&amp;uri=CELEX:32006L0021" TargetMode="External"/><Relationship Id="rId430" Type="http://schemas.openxmlformats.org/officeDocument/2006/relationships/hyperlink" Target="http://curia.europa.eu/juris/liste.jsf?language=en&amp;jur=C,T,F&amp;num=C-438/14&amp;td=ALL" TargetMode="External"/><Relationship Id="rId647" Type="http://schemas.openxmlformats.org/officeDocument/2006/relationships/hyperlink" Target="http://curia.europa.eu/juris/liste.jsf?language=en&amp;jur=C,T,F&amp;num=C-288/14&amp;td=ALL" TargetMode="External"/><Relationship Id="rId18" Type="http://schemas.openxmlformats.org/officeDocument/2006/relationships/hyperlink" Target="http://curia.europa.eu/juris/liste.jsf?pro=&amp;nat=or&amp;oqp=&amp;dates=&amp;lg=&amp;language=en&amp;jur=C%2CT%2CF&amp;cit=none%252CC%252CCJ%252CR%252C2008E%252C%252C%252C%252C%252C%252C%252C%252C%252C%252Ctrue%252Cfalse%252Cfalse&amp;num=C-484%252F14&amp;td=%3BALL&amp;pcs=Oor&amp;avg=&amp;page=1&amp;mat=or&amp;jge=&amp;for=&amp;cid=875443" TargetMode="External"/><Relationship Id="rId39" Type="http://schemas.openxmlformats.org/officeDocument/2006/relationships/hyperlink" Target="http://eur-lex.europa.eu/legal-content/EN/TXT/?qid=1487858310408&amp;uri=CELEX:31999L0070" TargetMode="External"/><Relationship Id="rId265" Type="http://schemas.openxmlformats.org/officeDocument/2006/relationships/hyperlink" Target="http://www.eea.europa.eu/themes/air/air-quality/resources/glossary/pm10" TargetMode="External"/><Relationship Id="rId286" Type="http://schemas.openxmlformats.org/officeDocument/2006/relationships/hyperlink" Target="http://europa.eu/rapid/press-release_MEMO-16-4211_en.htm" TargetMode="External"/><Relationship Id="rId451" Type="http://schemas.openxmlformats.org/officeDocument/2006/relationships/hyperlink" Target="http://eur-lex.europa.eu/legal-content/EN/TXT/?qid=1490165790956&amp;uri=CELEX:32015L0849" TargetMode="External"/><Relationship Id="rId472" Type="http://schemas.openxmlformats.org/officeDocument/2006/relationships/hyperlink" Target="http://eur-lex.europa.eu/search.html?DTN=0051&amp;DTA=2011&amp;qid=1490105913104&amp;CASE_LAW_SUMMARY=false&amp;DTS_DOM=ALL&amp;excConsLeg=true&amp;type=advanced&amp;SUBDOM_INIT=ALL_ALL&amp;DTS_SUBDOM=ALL_ALL" TargetMode="External"/><Relationship Id="rId493" Type="http://schemas.openxmlformats.org/officeDocument/2006/relationships/hyperlink" Target="http://eur-lex.europa.eu/legal-content/EN/TXT/?uri=celex:32008D0616" TargetMode="External"/><Relationship Id="rId507" Type="http://schemas.openxmlformats.org/officeDocument/2006/relationships/hyperlink" Target="http://eur-lex.europa.eu/legal-content/EN/TXT/?qid=1490110880879&amp;uri=CELEX:32009L0016" TargetMode="External"/><Relationship Id="rId528" Type="http://schemas.openxmlformats.org/officeDocument/2006/relationships/hyperlink" Target="http://eur-lex.europa.eu/legal-content/EN/TXT/?qid=1490112922585&amp;uri=CELEX:32006L0126" TargetMode="External"/><Relationship Id="rId549" Type="http://schemas.openxmlformats.org/officeDocument/2006/relationships/hyperlink" Target="http://europa.eu/rapid/press-release_IP-15-5829_en.htm" TargetMode="External"/><Relationship Id="rId50" Type="http://schemas.openxmlformats.org/officeDocument/2006/relationships/hyperlink" Target="http://curia.europa.eu/juris/liste.jsf?language=en&amp;jur=C,T,F&amp;num=C-308/14&amp;td=ALL" TargetMode="External"/><Relationship Id="rId104" Type="http://schemas.openxmlformats.org/officeDocument/2006/relationships/hyperlink" Target="http://curia.europa.eu/jcms/upload/docs/application/pdf/2016-09/cp160088en.pdf" TargetMode="External"/><Relationship Id="rId125" Type="http://schemas.openxmlformats.org/officeDocument/2006/relationships/hyperlink" Target="http://europa.eu/rapid/press-release_MEMO-16-3644_en.htm" TargetMode="External"/><Relationship Id="rId146" Type="http://schemas.openxmlformats.org/officeDocument/2006/relationships/hyperlink" Target="http://eur-lex.europa.eu/legal-content/EN/TXT/?qid=1490113528941&amp;uri=CELEX:32010R0995" TargetMode="External"/><Relationship Id="rId167" Type="http://schemas.openxmlformats.org/officeDocument/2006/relationships/hyperlink" Target="http://eur-lex.europa.eu/legal-content/EN/TXT/?qid=1490113798962&amp;uri=CELEX:32008L0098" TargetMode="External"/><Relationship Id="rId188" Type="http://schemas.openxmlformats.org/officeDocument/2006/relationships/hyperlink" Target="http://eur-lex.europa.eu/legal-content/EN/TXT/?qid=1490114407220&amp;uri=CELEX:32011L0093" TargetMode="External"/><Relationship Id="rId311" Type="http://schemas.openxmlformats.org/officeDocument/2006/relationships/hyperlink" Target="http://europa.eu/rapid/press-release_MEMO-16-1452_en.htm" TargetMode="External"/><Relationship Id="rId332" Type="http://schemas.openxmlformats.org/officeDocument/2006/relationships/hyperlink" Target="http://eur-lex.europa.eu/legal-content/EN/TXT/?qid=1490107376899&amp;uri=CELEX:32014L0023" TargetMode="External"/><Relationship Id="rId353" Type="http://schemas.openxmlformats.org/officeDocument/2006/relationships/hyperlink" Target="http://eur-lex.europa.eu/legal-content/EN/TXT/?qid=1490107983180&amp;uri=CELEX:32014L0024" TargetMode="External"/><Relationship Id="rId374" Type="http://schemas.openxmlformats.org/officeDocument/2006/relationships/hyperlink" Target="http://curia.europa.eu/juris/liste.jsf?language=en&amp;jur=C,T,F&amp;num=C-179/14&amp;td=ALL" TargetMode="External"/><Relationship Id="rId395" Type="http://schemas.openxmlformats.org/officeDocument/2006/relationships/hyperlink" Target="http://curia.europa.eu/jcms/upload/docs/application/pdf/2016-11/cp160127en.pdf" TargetMode="External"/><Relationship Id="rId409" Type="http://schemas.openxmlformats.org/officeDocument/2006/relationships/hyperlink" Target="http://europa.eu/rapid/press-release_MEMO-16-2490_en.htm" TargetMode="External"/><Relationship Id="rId560" Type="http://schemas.openxmlformats.org/officeDocument/2006/relationships/hyperlink" Target="http://eur-lex.europa.eu/legal-content/EN/TXT/?qid=1490114240720&amp;uri=CELEX:32014L0085" TargetMode="External"/><Relationship Id="rId581" Type="http://schemas.openxmlformats.org/officeDocument/2006/relationships/hyperlink" Target="http://eur-lex.europa.eu/legal-content/EN/TXT/?qid=1490167456894&amp;uri=CELEX:32009L0018" TargetMode="External"/><Relationship Id="rId71" Type="http://schemas.openxmlformats.org/officeDocument/2006/relationships/hyperlink" Target="http://europa.eu/rapid/press-release_MEMO-16-319_en.htm" TargetMode="External"/><Relationship Id="rId92" Type="http://schemas.openxmlformats.org/officeDocument/2006/relationships/hyperlink" Target="http://europa.eu/rapid/press-release_MEMO-16-1823_en.htm" TargetMode="External"/><Relationship Id="rId213" Type="http://schemas.openxmlformats.org/officeDocument/2006/relationships/hyperlink" Target="http://curia.europa.eu/juris/liste.jsf?language=en&amp;jur=C,T,F&amp;num=C-454/14&amp;td=ALL" TargetMode="External"/><Relationship Id="rId234" Type="http://schemas.openxmlformats.org/officeDocument/2006/relationships/hyperlink" Target="http://eur-lex.europa.eu/legal-content/EN/TXT/?qid=1490114356322&amp;uri=CELEX:31992L0043" TargetMode="External"/><Relationship Id="rId420" Type="http://schemas.openxmlformats.org/officeDocument/2006/relationships/hyperlink" Target="http://eur-lex.europa.eu/legal-content/EN/TXT/?qid=1490164609142&amp;uri=CELEX:32006L0054" TargetMode="External"/><Relationship Id="rId616" Type="http://schemas.openxmlformats.org/officeDocument/2006/relationships/hyperlink" Target="http://eur-lex.europa.eu/legal-content/EN/TXT/?qid=1490170208866&amp;uri=CELEX:31991L0440" TargetMode="External"/><Relationship Id="rId637" Type="http://schemas.openxmlformats.org/officeDocument/2006/relationships/hyperlink" Target="http://curia.europa.eu/juris/liste.jsf?language=en&amp;jur=C,T,F&amp;num=C-123/15&amp;td=ALL" TargetMode="External"/><Relationship Id="rId2" Type="http://schemas.openxmlformats.org/officeDocument/2006/relationships/hyperlink" Target="http://europa.eu/rapid/press-release_MEMO-16-2490_en.htm" TargetMode="External"/><Relationship Id="rId29" Type="http://schemas.openxmlformats.org/officeDocument/2006/relationships/hyperlink" Target="http://eur-lex.europa.eu/legal-content/EN/TXT/?qid=1487857292125&amp;uri=CELEX:32002L0058" TargetMode="External"/><Relationship Id="rId255" Type="http://schemas.openxmlformats.org/officeDocument/2006/relationships/hyperlink" Target="http://curia.europa.eu/juris/liste.jsf?language=en&amp;jur=C,T,F&amp;num=C-348/15&amp;td=ALL" TargetMode="External"/><Relationship Id="rId276" Type="http://schemas.openxmlformats.org/officeDocument/2006/relationships/hyperlink" Target="http://europa.eu/rapid/press-release_MEMO-16-3644_en.htm" TargetMode="External"/><Relationship Id="rId297" Type="http://schemas.openxmlformats.org/officeDocument/2006/relationships/hyperlink" Target="http://curia.europa.eu/juris/liste.jsf?language=en&amp;jur=C,T,F&amp;num=C-156/15&amp;td=ALL" TargetMode="External"/><Relationship Id="rId441" Type="http://schemas.openxmlformats.org/officeDocument/2006/relationships/hyperlink" Target="http://curia.europa.eu/juris/liste.jsf?language=en&amp;jur=C,T,F&amp;num=C-304/14&amp;td=ALL" TargetMode="External"/><Relationship Id="rId462" Type="http://schemas.openxmlformats.org/officeDocument/2006/relationships/hyperlink" Target="http://europa.eu/rapid/press-release_MEMO-16-4211_en.htm" TargetMode="External"/><Relationship Id="rId483" Type="http://schemas.openxmlformats.org/officeDocument/2006/relationships/hyperlink" Target="http://curia.europa.eu/juris/liste.jsf?language=en&amp;jur=C,T,F&amp;num=C-429/15&amp;td=ALL" TargetMode="External"/><Relationship Id="rId518" Type="http://schemas.openxmlformats.org/officeDocument/2006/relationships/hyperlink" Target="http://europa.eu/rapid/press-release_MEMO-16-3644_en.htm" TargetMode="External"/><Relationship Id="rId539" Type="http://schemas.openxmlformats.org/officeDocument/2006/relationships/hyperlink" Target="http://europa.eu/rapid/press-release_IP-15-6229_en.htm" TargetMode="External"/><Relationship Id="rId40" Type="http://schemas.openxmlformats.org/officeDocument/2006/relationships/hyperlink" Target="http://eur-lex.europa.eu/legal-content/EN/TXT/?qid=1487784658133&amp;uri=CELEX:32014L0054" TargetMode="External"/><Relationship Id="rId115" Type="http://schemas.openxmlformats.org/officeDocument/2006/relationships/hyperlink" Target="http://eur-lex.europa.eu/legal-content/EN/TXT/?qid=1490112273505&amp;uri=CELEX:32008L0098" TargetMode="External"/><Relationship Id="rId136" Type="http://schemas.openxmlformats.org/officeDocument/2006/relationships/hyperlink" Target="http://europa.eu/rapid/press-release_MEMO-16-1823_en.htm" TargetMode="External"/><Relationship Id="rId157" Type="http://schemas.openxmlformats.org/officeDocument/2006/relationships/hyperlink" Target="http://europa.eu/rapid/search-result.htm?quickSearch=1&amp;text=IP%2F15%2F6225" TargetMode="External"/><Relationship Id="rId178" Type="http://schemas.openxmlformats.org/officeDocument/2006/relationships/hyperlink" Target="http://eur-lex.europa.eu/legal-content/EN/TXT/?qid=1490114128506&amp;uri=CELEX:32008L0105" TargetMode="External"/><Relationship Id="rId301" Type="http://schemas.openxmlformats.org/officeDocument/2006/relationships/hyperlink" Target="http://eur-lex.europa.eu/legal-content/EN/TXT/?qid=1490110491287&amp;uri=CELEX:32014L0056" TargetMode="External"/><Relationship Id="rId322" Type="http://schemas.openxmlformats.org/officeDocument/2006/relationships/hyperlink" Target="http://eur-lex.europa.eu/legal-content/EN/TXT/?qid=1456333266221&amp;uri=CELEX:32011L0024" TargetMode="External"/><Relationship Id="rId343" Type="http://schemas.openxmlformats.org/officeDocument/2006/relationships/hyperlink" Target="http://eur-lex.europa.eu/legal-content/EN/TXT/?qid=1490172605567&amp;uri=CELEX:31992L0013http://eur-lex.europa.eu/legal-content/EN/TXT/?qid=1490110831593&amp;uri=CELEX:31992L0013" TargetMode="External"/><Relationship Id="rId364" Type="http://schemas.openxmlformats.org/officeDocument/2006/relationships/hyperlink" Target="http://eur-lex.europa.eu/legal-content/EN/TXT/?qid=1490108360707&amp;uri=CELEX:32014L0035" TargetMode="External"/><Relationship Id="rId550" Type="http://schemas.openxmlformats.org/officeDocument/2006/relationships/hyperlink" Target="http://europa.eu/rapid/press-release_MEMO-15-5826_en.htm" TargetMode="External"/><Relationship Id="rId61" Type="http://schemas.openxmlformats.org/officeDocument/2006/relationships/hyperlink" Target="http://eur-lex.europa.eu/legal-content/EN/TXT/?qid=1495439009288&amp;uri=CELEX:32014L0112" TargetMode="External"/><Relationship Id="rId82" Type="http://schemas.openxmlformats.org/officeDocument/2006/relationships/hyperlink" Target="http://europa.eu/rapid/press-release_MEMO-16-3644_en.htm" TargetMode="External"/><Relationship Id="rId199" Type="http://schemas.openxmlformats.org/officeDocument/2006/relationships/hyperlink" Target="http://eur-lex.europa.eu/legal-content/EN/TXT/?qid=1490116183022&amp;uri=CELEX:32009L0147" TargetMode="External"/><Relationship Id="rId203" Type="http://schemas.openxmlformats.org/officeDocument/2006/relationships/hyperlink" Target="http://eur-lex.europa.eu/legal-content/EN/TXT/?qid=1490115815258&amp;uri=CELEX:31992L0043" TargetMode="External"/><Relationship Id="rId385"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67%252F15&amp;td=%3BALL&amp;pcs=Oor&amp;avg=&amp;page=1&amp;mat=or&amp;jge=&amp;for=&amp;cid=1146670" TargetMode="External"/><Relationship Id="rId571" Type="http://schemas.openxmlformats.org/officeDocument/2006/relationships/hyperlink" Target="http://eur-lex.europa.eu/legal-content/EN/TXT/?qid=1490114785382&amp;uri=CELEX:32010R0018" TargetMode="External"/><Relationship Id="rId592" Type="http://schemas.openxmlformats.org/officeDocument/2006/relationships/hyperlink" Target="http://curia.europa.eu/juris/liste.jsf?language=en&amp;jur=C,T,F&amp;num=C-23/16&amp;td=ALL" TargetMode="External"/><Relationship Id="rId606" Type="http://schemas.openxmlformats.org/officeDocument/2006/relationships/hyperlink" Target="http://curia.europa.eu/juris/liste.jsf?language=en&amp;jur=C,T,F&amp;num=C-429/14&amp;td=ALL" TargetMode="External"/><Relationship Id="rId627" Type="http://schemas.openxmlformats.org/officeDocument/2006/relationships/hyperlink" Target="http://eur-lex.europa.eu/legal-content/AUTO/?uri=CELEX:32014L0086&amp;qid=1490170546478&amp;rid=6" TargetMode="External"/><Relationship Id="rId648" Type="http://schemas.openxmlformats.org/officeDocument/2006/relationships/hyperlink" Target="http://europa.eu/rapid/press-release_IP-11-1551_en.htm" TargetMode="External"/><Relationship Id="rId19" Type="http://schemas.openxmlformats.org/officeDocument/2006/relationships/hyperlink" Target="http://curia.europa.eu/jcms/upload/docs/application/pdf/2016-09/cp160099en.pdf" TargetMode="External"/><Relationship Id="rId224" Type="http://schemas.openxmlformats.org/officeDocument/2006/relationships/hyperlink" Target="http://curia.europa.eu/juris/liste.jsf?language=en&amp;jur=C,T,F&amp;num=C-398/14&amp;td=ALL" TargetMode="External"/><Relationship Id="rId245" Type="http://schemas.openxmlformats.org/officeDocument/2006/relationships/hyperlink" Target="http://eur-lex.europa.eu/legal-content/EN/TXT/?qid=1490114002326&amp;uri=CELEX:31999L0031" TargetMode="External"/><Relationship Id="rId266" Type="http://schemas.openxmlformats.org/officeDocument/2006/relationships/hyperlink" Target="http://eur-lex.europa.eu/legal-content/EN/TXT/?qid=1490113424204&amp;uri=CELEX:32008L0050" TargetMode="External"/><Relationship Id="rId287" Type="http://schemas.openxmlformats.org/officeDocument/2006/relationships/hyperlink" Target="http://europa.eu/rapid/press-release_MEMO-16-3125_en.htm" TargetMode="External"/><Relationship Id="rId410" Type="http://schemas.openxmlformats.org/officeDocument/2006/relationships/hyperlink" Target="http://eur-lex.europa.eu/legal-content/EN/TXT/?qid=1490111160453&amp;uri=CELEX:31993L0013" TargetMode="External"/><Relationship Id="rId431" Type="http://schemas.openxmlformats.org/officeDocument/2006/relationships/hyperlink" Target="http://curia.europa.eu/jcms/jcms/Jo2_7052/en/?types=com.jalios.jcms.Content&amp;typesOff=generated.RecueilPublication&amp;textSearch=true&amp;catName=true&amp;searchInFiles=true&amp;langs=user&amp;text=119%2F2016&amp;opSearch=Search&amp;csrftoken=xSx0sYNxmgyrk7Zc&amp;jsp=plugins%2FCuriaPlugin%2Fjsp%2Fquery.jsp" TargetMode="External"/><Relationship Id="rId452" Type="http://schemas.openxmlformats.org/officeDocument/2006/relationships/hyperlink" Target="http://eur-lex.europa.eu/legal-content/EN/TXT/?qid=1490165818409&amp;uri=CELEX:32012L0029" TargetMode="External"/><Relationship Id="rId473" Type="http://schemas.openxmlformats.org/officeDocument/2006/relationships/hyperlink" Target="http://eur-lex.europa.eu/legal-content/EN/TXT/?qid=1463924653585&amp;uri=CELEX:32006F0960" TargetMode="External"/><Relationship Id="rId494" Type="http://schemas.openxmlformats.org/officeDocument/2006/relationships/hyperlink" Target="http://eur-lex.europa.eu/legal-content/EN/TXT/?uri=celex:32006F0960" TargetMode="External"/><Relationship Id="rId508" Type="http://schemas.openxmlformats.org/officeDocument/2006/relationships/hyperlink" Target="http://eur-lex.europa.eu/legal-content/EN/TXT/?qid=1490110915584&amp;uri=CELEX:32009L0018" TargetMode="External"/><Relationship Id="rId529"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314%252F16&amp;td=%3BALL&amp;pcs=Oor&amp;avg=&amp;page=1&amp;mat=or&amp;jge=&amp;for=&amp;cid=858892" TargetMode="External"/><Relationship Id="rId30" Type="http://schemas.openxmlformats.org/officeDocument/2006/relationships/hyperlink" Target="http://curia.europa.eu/juris/liste.jsf?pro=&amp;nat=or&amp;oqp=&amp;dates=&amp;lg=&amp;language=en&amp;jur=C%2CT%2CF&amp;cit=none%252CC%252CCJ%252CR%252C2008E%252C%252C%252C%252C%252C%252C%252C%252C%252C%252Ctrue%252Cfalse%252Cfalse&amp;num=C-203%252F15&amp;td=%3BALL&amp;pcs=Oor&amp;avg=&amp;page=1&amp;mat=or&amp;jge=&amp;for=&amp;cid=703563" TargetMode="External"/><Relationship Id="rId105" Type="http://schemas.openxmlformats.org/officeDocument/2006/relationships/hyperlink" Target="http://eur-lex.europa.eu/legal-content/EN/TXT/?qid=1490109901418&amp;uri=CELEX:32014L0087" TargetMode="External"/><Relationship Id="rId126" Type="http://schemas.openxmlformats.org/officeDocument/2006/relationships/hyperlink" Target="http://europa.eu/rapid/press-release_MEMO-16-1452_en.htm" TargetMode="External"/><Relationship Id="rId147" Type="http://schemas.openxmlformats.org/officeDocument/2006/relationships/hyperlink" Target="http://eur-lex.europa.eu/legal-content/EN/TXT/?qid=1490113564528&amp;uri=CELEX:32000L0060" TargetMode="External"/><Relationship Id="rId168" Type="http://schemas.openxmlformats.org/officeDocument/2006/relationships/hyperlink" Target="http://eur-lex.europa.eu/legal-content/EN/TXT/?qid=1490113851100&amp;uri=CELEX:32014L0099" TargetMode="External"/><Relationship Id="rId312" Type="http://schemas.openxmlformats.org/officeDocument/2006/relationships/hyperlink" Target="http://eur-lex.europa.eu/legal-content/EN/TXT/?qid=1487785379675&amp;uri=CELEX:32015L0565" TargetMode="External"/><Relationship Id="rId333" Type="http://schemas.openxmlformats.org/officeDocument/2006/relationships/hyperlink" Target="http://eur-lex.europa.eu/legal-content/EN/TXT/?qid=1490107406980&amp;uri=CELEX:32014L0024" TargetMode="External"/><Relationship Id="rId354" Type="http://schemas.openxmlformats.org/officeDocument/2006/relationships/hyperlink" Target="http://eur-lex.europa.eu/legal-content/EN/TXT/?qid=1490108016642&amp;uri=CELEX:32014L0025" TargetMode="External"/><Relationship Id="rId540" Type="http://schemas.openxmlformats.org/officeDocument/2006/relationships/hyperlink" Target="http://europa.eu/rapid/press-release_MEMO-15-6223_en.htm" TargetMode="External"/><Relationship Id="rId51" Type="http://schemas.openxmlformats.org/officeDocument/2006/relationships/hyperlink" Target="http://curia.europa.eu/juris/liste.jsf?pro=&amp;nat=or&amp;oqp=&amp;dates=&amp;lg=&amp;language=en&amp;jur=C%2CT%2CF&amp;cit=none%252CC%252CCJ%252CR%252C2008E%252C%252C%252C%252C%252C%252C%252C%252C%252C%252Ctrue%252Cfalse%252Cfalse&amp;num=C-187%252F15&amp;td=%3BALL&amp;pcs=Oor&amp;avg=&amp;page=1&amp;mat=or&amp;jge=&amp;for=&amp;cid=711795" TargetMode="External"/><Relationship Id="rId72" Type="http://schemas.openxmlformats.org/officeDocument/2006/relationships/hyperlink" Target="http://europa.eu/rapid/press-release_MEMO-16-1452_en.htm" TargetMode="External"/><Relationship Id="rId93" Type="http://schemas.openxmlformats.org/officeDocument/2006/relationships/hyperlink" Target="http://europa.eu/rapid/press-release_MEMO-16-1452_en.htm" TargetMode="External"/><Relationship Id="rId189" Type="http://schemas.openxmlformats.org/officeDocument/2006/relationships/hyperlink" Target="http://eur-lex.europa.eu/legal-content/EN/TXT/?qid=1490114453663&amp;uri=CELEX:31992L0043" TargetMode="External"/><Relationship Id="rId375" Type="http://schemas.openxmlformats.org/officeDocument/2006/relationships/hyperlink" Target="http://curia.europa.eu/juris/liste.jsf?language=en&amp;jur=C,T,F&amp;num=C-221/15&amp;td=ALL" TargetMode="External"/><Relationship Id="rId396" Type="http://schemas.openxmlformats.org/officeDocument/2006/relationships/hyperlink" Target="http://curia.europa.eu/juris/liste.jsf?language=en&amp;jur=C,T,F&amp;num=C-592/14&amp;td=ALL" TargetMode="External"/><Relationship Id="rId561" Type="http://schemas.openxmlformats.org/officeDocument/2006/relationships/hyperlink" Target="http://eur-lex.europa.eu/legal-content/EN/TXT/?qid=1490114278605&amp;uri=CELEX:32014L0090" TargetMode="External"/><Relationship Id="rId582" Type="http://schemas.openxmlformats.org/officeDocument/2006/relationships/hyperlink" Target="http://eur-lex.europa.eu/legal-content/EN/TXT/?qid=1490167497348&amp;uri=CELEX:32012R0748" TargetMode="External"/><Relationship Id="rId617" Type="http://schemas.openxmlformats.org/officeDocument/2006/relationships/hyperlink" Target="http://eur-lex.europa.eu/legal-content/EN/TXT/?qid=1490170255770&amp;uri=CELEX:32014L0094" TargetMode="External"/><Relationship Id="rId638" Type="http://schemas.openxmlformats.org/officeDocument/2006/relationships/hyperlink" Target="http://eur-lex.europa.eu/legal-content/EN/TXT/?qid=1490170659674&amp;uri=CELEX:31993R2454" TargetMode="External"/><Relationship Id="rId3" Type="http://schemas.openxmlformats.org/officeDocument/2006/relationships/hyperlink" Target="http://eur-lex.europa.eu/legal-content/EN/TXT/?qid=1487856146510&amp;uri=CELEX:32008R0543" TargetMode="External"/><Relationship Id="rId214" Type="http://schemas.openxmlformats.org/officeDocument/2006/relationships/hyperlink" Target="http://eur-lex.europa.eu/legal-content/EN/TXT/?qid=1490116383306&amp;uri=CELEX:31991L0271" TargetMode="External"/><Relationship Id="rId235" Type="http://schemas.openxmlformats.org/officeDocument/2006/relationships/hyperlink" Target="http://curia.europa.eu/juris/liste.jsf?language=en&amp;jur=C,T,F&amp;num=C-399/14&amp;td=ALL" TargetMode="External"/><Relationship Id="rId256" Type="http://schemas.openxmlformats.org/officeDocument/2006/relationships/hyperlink" Target="http://curia.europa.eu/juris/liste.jsf?language=en&amp;jur=C,T,F&amp;num=C-243/15&amp;td=ALL" TargetMode="External"/><Relationship Id="rId277" Type="http://schemas.openxmlformats.org/officeDocument/2006/relationships/hyperlink" Target="http://europa.eu/rapid/press-release_IP-16-1827_en.htm" TargetMode="External"/><Relationship Id="rId298" Type="http://schemas.openxmlformats.org/officeDocument/2006/relationships/hyperlink" Target="http://eur-lex.europa.eu/legal-content/EN/TXT/?qid=1490110403898&amp;uri=CELEX:32014L0091" TargetMode="External"/><Relationship Id="rId400" Type="http://schemas.openxmlformats.org/officeDocument/2006/relationships/hyperlink" Target="http://eur-lex.europa.eu/legal-content/EN/TXT/?qid=1490109345998&amp;uri=CELEX:32015L2117" TargetMode="External"/><Relationship Id="rId421" Type="http://schemas.openxmlformats.org/officeDocument/2006/relationships/hyperlink" Target="http://eur-lex.europa.eu/legal-content/EN/TXT/?qid=1490164646312&amp;uri=CELEX:32004L0080" TargetMode="External"/><Relationship Id="rId442" Type="http://schemas.openxmlformats.org/officeDocument/2006/relationships/hyperlink" Target="http://curia.europa.eu/jcms/jcms/Jo2_7052/en/?types=com.jalios.jcms.Content&amp;typesOff=generated.RecueilPublication&amp;textSearch=true&amp;catName=true&amp;searchInFiles=true&amp;langs=user&amp;text=95%2F2016&amp;opSearch=Search&amp;csrftoken=xSx0sYNxmgyrk7Zc&amp;jsp=plugins%2FCuriaPlugin%2Fjsp%2Fquery.jsp" TargetMode="External"/><Relationship Id="rId463" Type="http://schemas.openxmlformats.org/officeDocument/2006/relationships/hyperlink" Target="http://eur-lex.europa.eu/legal-content/EN/TXT/?qid=1490117166167&amp;uri=CELEX:32003L0109" TargetMode="External"/><Relationship Id="rId484" Type="http://schemas.openxmlformats.org/officeDocument/2006/relationships/hyperlink" Target="http://curia.europa.eu/juris/liste.jsf?language=en&amp;jur=C,T,F&amp;num=C-558/14&amp;td=ALL" TargetMode="External"/><Relationship Id="rId519" Type="http://schemas.openxmlformats.org/officeDocument/2006/relationships/hyperlink" Target="http://eur-lex.europa.eu/legal-content/EN/TXT/?qid=1490112336771&amp;uri=CELEX:32001L0012" TargetMode="External"/><Relationship Id="rId116" Type="http://schemas.openxmlformats.org/officeDocument/2006/relationships/hyperlink" Target="http://eur-lex.europa.eu/legal-content/EN/TXT/?qid=1490112442226&amp;uri=CELEX:31999L0031" TargetMode="External"/><Relationship Id="rId137" Type="http://schemas.openxmlformats.org/officeDocument/2006/relationships/hyperlink" Target="http://eur-lex.europa.eu/legal-content/EN/TXT/?qid=1490113187912&amp;uri=CELEX:31992L0043" TargetMode="External"/><Relationship Id="rId158" Type="http://schemas.openxmlformats.org/officeDocument/2006/relationships/hyperlink" Target="http://curia.europa.eu/juris/liste.jsf?language=en&amp;jur=C,T,F&amp;num=C-526/16&amp;td=ALL" TargetMode="External"/><Relationship Id="rId302" Type="http://schemas.openxmlformats.org/officeDocument/2006/relationships/hyperlink" Target="http://eur-lex.europa.eu/legal-content/EN/TXT/?qid=1490110518356&amp;uri=CELEX:32014L0049" TargetMode="External"/><Relationship Id="rId323" Type="http://schemas.openxmlformats.org/officeDocument/2006/relationships/hyperlink" Target="http://eur-lex.europa.eu/legal-content/EN/TXT/?qid=1456333305820&amp;uri=CELEX:32014L0040" TargetMode="External"/><Relationship Id="rId344" Type="http://schemas.openxmlformats.org/officeDocument/2006/relationships/hyperlink" Target="http://europa.eu/rapid/press-release_MEMO-16-3125_en.htm" TargetMode="External"/><Relationship Id="rId530" Type="http://schemas.openxmlformats.org/officeDocument/2006/relationships/hyperlink" Target="http://europa.eu/rapid/search-result.htm?quickSearch=1&amp;text=IP%2F15%2F6013" TargetMode="External"/><Relationship Id="rId20" Type="http://schemas.openxmlformats.org/officeDocument/2006/relationships/hyperlink" Target="http://eur-lex.europa.eu/legal-content/EN/TXT/?qid=1487856931331&amp;uri=CELEX:32002L0021" TargetMode="External"/><Relationship Id="rId41" Type="http://schemas.openxmlformats.org/officeDocument/2006/relationships/hyperlink" Target="http://eur-lex.europa.eu/legal-content/EN/TXT/?qid=1487784783426&amp;uri=CELEX:32014L0067" TargetMode="External"/><Relationship Id="rId62" Type="http://schemas.openxmlformats.org/officeDocument/2006/relationships/hyperlink" Target="http://curia.europa.eu/juris/liste.jsf?language=en&amp;jur=C,T,F&amp;num=C-690/15&amp;td=ALL" TargetMode="External"/><Relationship Id="rId83" Type="http://schemas.openxmlformats.org/officeDocument/2006/relationships/hyperlink" Target="http://europa.eu/rapid/press-release_MEMO-16-319_en.htm" TargetMode="External"/><Relationship Id="rId179" Type="http://schemas.openxmlformats.org/officeDocument/2006/relationships/hyperlink" Target="http://eur-lex.europa.eu/legal-content/EN/TXT/?qid=1490114194017&amp;uri=CELEX:31999L0031" TargetMode="External"/><Relationship Id="rId365" Type="http://schemas.openxmlformats.org/officeDocument/2006/relationships/hyperlink" Target="http://eur-lex.europa.eu/legal-content/EN/TXT/?qid=1490108389485&amp;uri=CELEX:32014L0053" TargetMode="External"/><Relationship Id="rId386" Type="http://schemas.openxmlformats.org/officeDocument/2006/relationships/hyperlink" Target="http://curia.europa.eu/jcms/upload/docs/application/pdf/2016-07/cp160077en.pdf" TargetMode="External"/><Relationship Id="rId551"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23%252F16&amp;td=%3BALL&amp;pcs=Oor&amp;avg=&amp;page=1&amp;mat=or&amp;jge=&amp;for=&amp;cid=858892" TargetMode="External"/><Relationship Id="rId572" Type="http://schemas.openxmlformats.org/officeDocument/2006/relationships/hyperlink" Target="http://eur-lex.europa.eu/legal-content/EN/TXT/?qid=1490167344749&amp;uri=CELEX:32006L0126" TargetMode="External"/><Relationship Id="rId593" Type="http://schemas.openxmlformats.org/officeDocument/2006/relationships/hyperlink" Target="http://eur-lex.europa.eu/legal-content/EN/TXT/?qid=1490168116964&amp;uri=CELEX:32009R1071" TargetMode="External"/><Relationship Id="rId607" Type="http://schemas.openxmlformats.org/officeDocument/2006/relationships/hyperlink" Target="http://eur-lex.europa.eu/legal-content/EN/TXT/?qid=1490168471310&amp;uri=CELEX:32006R0561" TargetMode="External"/><Relationship Id="rId628" Type="http://schemas.openxmlformats.org/officeDocument/2006/relationships/hyperlink" Target="http://eur-lex.europa.eu/legal-content/EN/TXT/?qid=1490170585593&amp;uri=CELEX:32015L0121" TargetMode="External"/><Relationship Id="rId649" Type="http://schemas.openxmlformats.org/officeDocument/2006/relationships/hyperlink" Target="http://europa.eu/rapid/press-release_IP-12-340_en.htm" TargetMode="External"/><Relationship Id="rId190" Type="http://schemas.openxmlformats.org/officeDocument/2006/relationships/hyperlink" Target="http://eur-lex.europa.eu/legal-content/EN/TXT/?qid=1490114480418&amp;uri=CELEX:32012L0019" TargetMode="External"/><Relationship Id="rId204" Type="http://schemas.openxmlformats.org/officeDocument/2006/relationships/hyperlink" Target="http://curia.europa.eu/juris/liste.jsf?language=en&amp;jur=C,T,F&amp;num=C-504/14&amp;td=ALL" TargetMode="External"/><Relationship Id="rId225" Type="http://schemas.openxmlformats.org/officeDocument/2006/relationships/hyperlink" Target="http://eur-lex.europa.eu/legal-content/EN/TXT/?qid=1490114286661&amp;uri=CELEX:32006L0021" TargetMode="External"/><Relationship Id="rId246" Type="http://schemas.openxmlformats.org/officeDocument/2006/relationships/hyperlink" Target="http://curia.europa.eu/juris/liste.jsf?language=en&amp;jur=C,T,F&amp;num=C-147/15&amp;td=ALL" TargetMode="External"/><Relationship Id="rId267" Type="http://schemas.openxmlformats.org/officeDocument/2006/relationships/hyperlink" Target="http://eur-lex.europa.eu/legal-content/EN/TXT/?qid=1490113390320&amp;uri=CELEX:32002L0049" TargetMode="External"/><Relationship Id="rId288" Type="http://schemas.openxmlformats.org/officeDocument/2006/relationships/hyperlink" Target="http://eur-lex.europa.eu/legal-content/EN/TXT/?qid=1477468908375&amp;uri=CELEX:32013L0050" TargetMode="External"/><Relationship Id="rId411" Type="http://schemas.openxmlformats.org/officeDocument/2006/relationships/hyperlink" Target="http://europa.eu/rapid/press-release_MEMO-16-1452_en.htm" TargetMode="External"/><Relationship Id="rId432" Type="http://schemas.openxmlformats.org/officeDocument/2006/relationships/hyperlink" Target="http://curia.europa.eu/juris/liste.jsf?language=en&amp;jur=C,T,F&amp;num=C-404/15&amp;td=ALL" TargetMode="External"/><Relationship Id="rId453" Type="http://schemas.openxmlformats.org/officeDocument/2006/relationships/hyperlink" Target="http://eur-lex.europa.eu/legal-content/EN/TXT/?qid=1490165860781&amp;uri=CELEX:32002F0584" TargetMode="External"/><Relationship Id="rId474" Type="http://schemas.openxmlformats.org/officeDocument/2006/relationships/hyperlink" Target="http://eur-lex.europa.eu/legal-content/EN/TXT/?qid=1490174973845&amp;uri=CELEX:32014L0036" TargetMode="External"/><Relationship Id="rId509" Type="http://schemas.openxmlformats.org/officeDocument/2006/relationships/hyperlink" Target="http://eur-lex.europa.eu/legal-content/EN/TXT/?qid=1490110954845&amp;uri=CELEX:32009L0021" TargetMode="External"/><Relationship Id="rId106" Type="http://schemas.openxmlformats.org/officeDocument/2006/relationships/hyperlink" Target="http://eur-lex.europa.eu/legal-content/EN/TXT/?qid=1490109932135&amp;uri=CELEX:32015L1513" TargetMode="External"/><Relationship Id="rId127" Type="http://schemas.openxmlformats.org/officeDocument/2006/relationships/hyperlink" Target="http://europa.eu/rapid/press-release_MEMO-16-4211_en.htm" TargetMode="External"/><Relationship Id="rId313" Type="http://schemas.openxmlformats.org/officeDocument/2006/relationships/hyperlink" Target="http://eur-lex.europa.eu/legal-content/EN/TXT/?qid=1487785432965&amp;uri=CELEX:32015L0566" TargetMode="External"/><Relationship Id="rId495" Type="http://schemas.openxmlformats.org/officeDocument/2006/relationships/hyperlink" Target="http://eur-lex.europa.eu/legal-content/EN/TXT/?qid=1490175171200&amp;uri=CELEX:32009F0905" TargetMode="External"/><Relationship Id="rId10" Type="http://schemas.openxmlformats.org/officeDocument/2006/relationships/hyperlink" Target="http://eur-lex.europa.eu/legal-content/EN/TXT/?qid=1487856595118&amp;uri=CELEX:32002L0021" TargetMode="External"/><Relationship Id="rId31" Type="http://schemas.openxmlformats.org/officeDocument/2006/relationships/hyperlink" Target="http://curia.europa.eu/juris/liste.jsf?pro=&amp;nat=or&amp;oqp=&amp;dates=&amp;lg=&amp;language=en&amp;jur=C%2CT%2CF&amp;cit=none%252CC%252CCJ%252CR%252C2008E%252C%252C%252C%252C%252C%252C%252C%252C%252C%252Ctrue%252Cfalse%252Cfalse&amp;num=C-698%252F15&amp;td=%3BALL&amp;pcs=Oor&amp;avg=&amp;page=1&amp;mat=or&amp;jge=&amp;for=&amp;cid=703625" TargetMode="External"/><Relationship Id="rId52" Type="http://schemas.openxmlformats.org/officeDocument/2006/relationships/hyperlink" Target="http://eur-lex.europa.eu/legal-content/EN/TXT/?qid=1487859023881&amp;uri=CELEX:31998L0059" TargetMode="External"/><Relationship Id="rId73" Type="http://schemas.openxmlformats.org/officeDocument/2006/relationships/hyperlink" Target="http://europa.eu/rapid/press-release_MEMO-16-2490_en.htm" TargetMode="External"/><Relationship Id="rId94" Type="http://schemas.openxmlformats.org/officeDocument/2006/relationships/hyperlink" Target="http://eur-lex.europa.eu/legal-content/EN/TXT/?qid=1490117009577&amp;uri=CELEX:32009L0119" TargetMode="External"/><Relationship Id="rId148" Type="http://schemas.openxmlformats.org/officeDocument/2006/relationships/hyperlink" Target="http://eur-lex.europa.eu/legal-content/EN/TXT/?qid=1490113623494&amp;uri=CELEX:31992L0043" TargetMode="External"/><Relationship Id="rId169" Type="http://schemas.openxmlformats.org/officeDocument/2006/relationships/hyperlink" Target="http://eur-lex.europa.eu/legal-content/EN/TXT/?qid=1490113889728&amp;uri=CELEX:32009L0126" TargetMode="External"/><Relationship Id="rId334" Type="http://schemas.openxmlformats.org/officeDocument/2006/relationships/hyperlink" Target="http://eur-lex.europa.eu/legal-content/EN/TXT/?qid=1490107448816&amp;uri=CELEX:32014L0025" TargetMode="External"/><Relationship Id="rId355" Type="http://schemas.openxmlformats.org/officeDocument/2006/relationships/hyperlink" Target="http://europa.eu/rapid/press-release_MEMO-16-1823_en.htm" TargetMode="External"/><Relationship Id="rId376" Type="http://schemas.openxmlformats.org/officeDocument/2006/relationships/hyperlink" Target="http://curia.europa.eu/juris/liste.jsf?language=en&amp;jur=C,T,F&amp;num=C-15/15&amp;td=ALL" TargetMode="External"/><Relationship Id="rId397" Type="http://schemas.openxmlformats.org/officeDocument/2006/relationships/hyperlink" Target="http://curia.europa.eu/jcms/upload/docs/application/pdf/2016-09/cp160105en.pdf" TargetMode="External"/><Relationship Id="rId520" Type="http://schemas.openxmlformats.org/officeDocument/2006/relationships/hyperlink" Target="http://eur-lex.europa.eu/legal-content/EN/TXT/?qid=1490112732861&amp;uri=CELEX:32001L0013" TargetMode="External"/><Relationship Id="rId541"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620%252F16&amp;td=%3BALL&amp;pcs=Oor&amp;avg=&amp;page=1&amp;mat=or&amp;jge=&amp;for=&amp;cid=858892" TargetMode="External"/><Relationship Id="rId562" Type="http://schemas.openxmlformats.org/officeDocument/2006/relationships/hyperlink" Target="http://eur-lex.europa.eu/legal-content/EN/TXT/?qid=1490114319540&amp;uri=CELEX:32016L0882" TargetMode="External"/><Relationship Id="rId583" Type="http://schemas.openxmlformats.org/officeDocument/2006/relationships/hyperlink" Target="http://eur-lex.europa.eu/legal-content/EN/TXT/?qid=1490167527048&amp;uri=CELEX:32014R1321" TargetMode="External"/><Relationship Id="rId618" Type="http://schemas.openxmlformats.org/officeDocument/2006/relationships/hyperlink" Target="http://europa.eu/rapid/press-release_IP-14-31_en.htm" TargetMode="External"/><Relationship Id="rId639" Type="http://schemas.openxmlformats.org/officeDocument/2006/relationships/hyperlink" Target="http://curia.europa.eu/juris/liste.jsf?language=en&amp;jur=C,T,F&amp;num=C-80/15&amp;td=ALL" TargetMode="External"/><Relationship Id="rId4" Type="http://schemas.openxmlformats.org/officeDocument/2006/relationships/hyperlink" Target="http://curia.europa.eu/juris/liste.jsf?pro=&amp;nat=or&amp;oqp=&amp;dates=&amp;lg=&amp;language=en&amp;jur=C%2CT%2CF&amp;cit=none%252CC%252CCJ%252CR%252C2008E%252C%252C%252C%252C%252C%252C%252C%252C%252C%252Ctrue%252Cfalse%252Cfalse&amp;num=C-134%252F15&amp;td=%3BALL&amp;pcs=Oor&amp;avg=&amp;page=1&amp;mat=or&amp;jge=&amp;for=&amp;cid=700601" TargetMode="External"/><Relationship Id="rId180" Type="http://schemas.openxmlformats.org/officeDocument/2006/relationships/hyperlink" Target="http://eur-lex.europa.eu/legal-content/EN/TXT/?qid=1490114215153&amp;uri=CELEX:32008L0098" TargetMode="External"/><Relationship Id="rId215" Type="http://schemas.openxmlformats.org/officeDocument/2006/relationships/hyperlink" Target="http://curia.europa.eu/juris/liste.jsf?language=en&amp;jur=C,T,F&amp;num=C-314/15&amp;td=ALL" TargetMode="External"/><Relationship Id="rId236" Type="http://schemas.openxmlformats.org/officeDocument/2006/relationships/hyperlink" Target="http://curia.europa.eu/juris/liste.jsf?language=en&amp;jur=C,T,F&amp;num=C-645/15&amp;td=ALL" TargetMode="External"/><Relationship Id="rId257" Type="http://schemas.openxmlformats.org/officeDocument/2006/relationships/hyperlink" Target="http://eur-lex.europa.eu/legal-content/EN/TXT/?qid=1490113665684&amp;uri=CELEX:32015L0720" TargetMode="External"/><Relationship Id="rId278" Type="http://schemas.openxmlformats.org/officeDocument/2006/relationships/hyperlink" Target="http://europa.eu/rapid/press-release_MEMO-16-1823_en.htm" TargetMode="External"/><Relationship Id="rId401" Type="http://schemas.openxmlformats.org/officeDocument/2006/relationships/hyperlink" Target="http://eur-lex.europa.eu/legal-content/EN/TXT/?qid=1490109374116&amp;uri=CELEX:32016L2037" TargetMode="External"/><Relationship Id="rId422" Type="http://schemas.openxmlformats.org/officeDocument/2006/relationships/hyperlink" Target="http://curia.europa.eu/juris/liste.jsf?language=en&amp;jur=C,T,F&amp;num=C-601/14&amp;td=ALL" TargetMode="External"/><Relationship Id="rId443" Type="http://schemas.openxmlformats.org/officeDocument/2006/relationships/hyperlink" Target="http://curia.europa.eu/juris/liste.jsf?language=en&amp;jur=C,T,F&amp;num=C-182/15&amp;td=ALL" TargetMode="External"/><Relationship Id="rId464" Type="http://schemas.openxmlformats.org/officeDocument/2006/relationships/hyperlink" Target="http://eur-lex.europa.eu/legal-content/EN/TXT/?qid=1490092479449&amp;uri=CELEX:32013L0032" TargetMode="External"/><Relationship Id="rId650" Type="http://schemas.openxmlformats.org/officeDocument/2006/relationships/hyperlink" Target="http://europa.eu/rapid/press-release_IP-14-31_en.htm" TargetMode="External"/><Relationship Id="rId303" Type="http://schemas.openxmlformats.org/officeDocument/2006/relationships/hyperlink" Target="http://eur-lex.europa.eu/legal-content/EN/TXT/?qid=1490110553304&amp;uri=CELEX:32014L0095" TargetMode="External"/><Relationship Id="rId485" Type="http://schemas.openxmlformats.org/officeDocument/2006/relationships/hyperlink" Target="http://curia.europa.eu/juris/liste.jsf?language=en&amp;jur=C,T,F&amp;num=C-695/15&amp;td=ALL" TargetMode="External"/><Relationship Id="rId42" Type="http://schemas.openxmlformats.org/officeDocument/2006/relationships/hyperlink" Target="http://eur-lex.europa.eu/legal-content/EN/TXT/?qid=1487784879883&amp;uri=CELEX:32013L0035" TargetMode="External"/><Relationship Id="rId84" Type="http://schemas.openxmlformats.org/officeDocument/2006/relationships/hyperlink" Target="http://europa.eu/rapid/press-release_MEMO-16-2490_en.htm" TargetMode="External"/><Relationship Id="rId138" Type="http://schemas.openxmlformats.org/officeDocument/2006/relationships/hyperlink" Target="http://eur-lex.europa.eu/legal-content/EN/TXT/?qid=1490113228501&amp;uri=CELEX:32007L0060" TargetMode="External"/><Relationship Id="rId345" Type="http://schemas.openxmlformats.org/officeDocument/2006/relationships/hyperlink" Target="http://curia.europa.eu/juris/liste.jsf?language=en&amp;jur=C,T,F&amp;num=C-575/16&amp;td=ALL" TargetMode="External"/><Relationship Id="rId387" Type="http://schemas.openxmlformats.org/officeDocument/2006/relationships/hyperlink" Target="http://eur-lex.europa.eu/legal-content/EN/TXT/?qid=1490805035121&amp;uri=CELEX:31997L0067" TargetMode="External"/><Relationship Id="rId510" Type="http://schemas.openxmlformats.org/officeDocument/2006/relationships/hyperlink" Target="http://eur-lex.europa.eu/legal-content/EN/TXT/?qid=1456831762410&amp;uri=CELEX:32009L0012" TargetMode="External"/><Relationship Id="rId552" Type="http://schemas.openxmlformats.org/officeDocument/2006/relationships/hyperlink" Target="http://europa.eu/rapid/press-release_IP-15-6012_en.htm" TargetMode="External"/><Relationship Id="rId594" Type="http://schemas.openxmlformats.org/officeDocument/2006/relationships/hyperlink" Target="http://curia.europa.eu/juris/liste.jsf?language=en&amp;jur=C,T,F&amp;num=C-583/15&amp;td=ALL" TargetMode="External"/><Relationship Id="rId608" Type="http://schemas.openxmlformats.org/officeDocument/2006/relationships/hyperlink" Target="http://curia.europa.eu/juris/liste.jsf?language=en&amp;jur=C,T,F&amp;num=C-287/14&amp;td=ALL" TargetMode="External"/><Relationship Id="rId191" Type="http://schemas.openxmlformats.org/officeDocument/2006/relationships/hyperlink" Target="http://eur-lex.europa.eu/legal-content/EN/TXT/?qid=1490115909967&amp;uri=CELEX:31999L0031" TargetMode="External"/><Relationship Id="rId205" Type="http://schemas.openxmlformats.org/officeDocument/2006/relationships/hyperlink" Target="http://curia.europa.eu/juris/liste.jsf?language=en&amp;jur=C,T,F&amp;num=C-584/14&amp;td=ALL" TargetMode="External"/><Relationship Id="rId247" Type="http://schemas.openxmlformats.org/officeDocument/2006/relationships/hyperlink" Target="http://eur-lex.europa.eu/legal-content/EN/TXT/?qid=1490113934826&amp;uri=CELEX:32001L0042" TargetMode="External"/><Relationship Id="rId412" Type="http://schemas.openxmlformats.org/officeDocument/2006/relationships/hyperlink" Target="http://eur-lex.europa.eu/legal-content/EN/TXT/?qid=1490111225844&amp;uri=CELEX:31979L0007" TargetMode="External"/><Relationship Id="rId107" Type="http://schemas.openxmlformats.org/officeDocument/2006/relationships/hyperlink" Target="http://eur-lex.europa.eu/legal-content/EN/TXT/?qid=1490109969634&amp;uri=CELEX:32009L0072" TargetMode="External"/><Relationship Id="rId289" Type="http://schemas.openxmlformats.org/officeDocument/2006/relationships/hyperlink" Target="http://eur-lex.europa.eu/legal-content/EN/TXT/?qid=1490110079506&amp;uri=CELEX:32014L0091" TargetMode="External"/><Relationship Id="rId454" Type="http://schemas.openxmlformats.org/officeDocument/2006/relationships/hyperlink" Target="http://eur-lex.europa.eu/legal-content/EN/TXT/?qid=1490165892865&amp;uri=CELEX:32014L0092" TargetMode="External"/><Relationship Id="rId496" Type="http://schemas.openxmlformats.org/officeDocument/2006/relationships/hyperlink" Target="http://eur-lex.europa.eu/legal-content/EN/TXT/?qid=1463924998767&amp;uri=CELEX:32011L0093" TargetMode="External"/><Relationship Id="rId11" Type="http://schemas.openxmlformats.org/officeDocument/2006/relationships/hyperlink" Target="http://eur-lex.europa.eu/legal-content/EN/TXT/?qid=1487856665563&amp;uri=CELEX:32002L0077" TargetMode="External"/><Relationship Id="rId53" Type="http://schemas.openxmlformats.org/officeDocument/2006/relationships/hyperlink" Target="http://curia.europa.eu/juris/liste.jsf?pro=&amp;nat=or&amp;oqp=&amp;dates=&amp;lg=&amp;language=en&amp;jur=C%2CT%2CF&amp;cit=none%252CC%252CCJ%252CR%252C2008E%252C%252C%252C%252C%252C%252C%252C%252C%252C%252Ctrue%252Cfalse%252Cfalse&amp;num=C-201%252F15&amp;td=%3BALL&amp;pcs=Oor&amp;avg=&amp;page=1&amp;mat=or&amp;jge=&amp;for=&amp;cid=711625" TargetMode="External"/><Relationship Id="rId149" Type="http://schemas.openxmlformats.org/officeDocument/2006/relationships/hyperlink" Target="http://curia.europa.eu/juris/liste.jsf?language=en&amp;jur=C,T,F&amp;num=C-142/16&amp;td=ALL" TargetMode="External"/><Relationship Id="rId314" Type="http://schemas.openxmlformats.org/officeDocument/2006/relationships/hyperlink" Target="http://eur-lex.europa.eu/legal-content/EN/TXT/?qid=1487785500631&amp;uri=CELEX:32014L0040" TargetMode="External"/><Relationship Id="rId356" Type="http://schemas.openxmlformats.org/officeDocument/2006/relationships/hyperlink" Target="http://eur-lex.europa.eu/legal-content/EN/TXT/?qid=1490108103167&amp;uri=CELEX:32014L0031" TargetMode="External"/><Relationship Id="rId398" Type="http://schemas.openxmlformats.org/officeDocument/2006/relationships/hyperlink" Target="http://eur-lex.europa.eu/legal-content/EN/TXT/?qid=1490109280327&amp;uri=CELEX:32015L2115" TargetMode="External"/><Relationship Id="rId521" Type="http://schemas.openxmlformats.org/officeDocument/2006/relationships/hyperlink" Target="http://eur-lex.europa.eu/legal-content/EN/TXT/?qid=1490112775387&amp;uri=CELEX:32001L0014" TargetMode="External"/><Relationship Id="rId563" Type="http://schemas.openxmlformats.org/officeDocument/2006/relationships/hyperlink" Target="http://eur-lex.europa.eu/legal-content/EN/TXT/?qid=1490114403433&amp;uri=CELEX:32012L0034" TargetMode="External"/><Relationship Id="rId619" Type="http://schemas.openxmlformats.org/officeDocument/2006/relationships/hyperlink" Target="http://eur-lex.europa.eu/legal-content/EN/ALL/?uri=celex:32011L0016" TargetMode="External"/><Relationship Id="rId95" Type="http://schemas.openxmlformats.org/officeDocument/2006/relationships/hyperlink" Target="http://europa.eu/rapid/press-release_MEMO-16-3644_en.htm" TargetMode="External"/><Relationship Id="rId160" Type="http://schemas.openxmlformats.org/officeDocument/2006/relationships/hyperlink" Target="http://curia.europa.eu/juris/liste.jsf?language=en&amp;jur=C,T,F&amp;num=C-153/16&amp;td=ALL" TargetMode="External"/><Relationship Id="rId216" Type="http://schemas.openxmlformats.org/officeDocument/2006/relationships/hyperlink" Target="http://eur-lex.europa.eu/legal-content/EN/TXT/?qid=1490114196105&amp;uri=CELEX:32000L0060" TargetMode="External"/><Relationship Id="rId423" Type="http://schemas.openxmlformats.org/officeDocument/2006/relationships/hyperlink" Target="http://curia.europa.eu/jcms/jcms/Jo2_7052/en/?types=com.jalios.jcms.Content&amp;typesOff=generated.RecueilPublication&amp;textSearch=true&amp;catName=true&amp;searchInFiles=true&amp;langs=user&amp;text=109%2F2016&amp;opSearch=Search&amp;csrftoken=xSx0sYNxmgyrk7Zc&amp;jsp=plugins%2FCuriaPlugin%2Fjsp%2Fquery.jsp" TargetMode="External"/><Relationship Id="rId258" Type="http://schemas.openxmlformats.org/officeDocument/2006/relationships/hyperlink" Target="http://eur-lex.europa.eu/legal-content/EN/TXT/?qid=1490113730295&amp;uri=CELEX:31994L0062" TargetMode="External"/><Relationship Id="rId465" Type="http://schemas.openxmlformats.org/officeDocument/2006/relationships/hyperlink" Target="http://eur-lex.europa.eu/legal-content/EN/TXT/?qid=1490092540668&amp;uri=CELEX:32013L0033" TargetMode="External"/><Relationship Id="rId630" Type="http://schemas.openxmlformats.org/officeDocument/2006/relationships/hyperlink" Target="http://eur-lex.europa.eu/legal-content/AUTO/?uri=CELEX:32011L0096&amp;qid=1490170679872&amp;rid=5" TargetMode="External"/><Relationship Id="rId22" Type="http://schemas.openxmlformats.org/officeDocument/2006/relationships/hyperlink" Target="http://curia.europa.eu/juris/liste.jsf?pro=&amp;nat=or&amp;oqp=&amp;dates=&amp;lg=&amp;language=en&amp;jur=C%2CT%2CF&amp;cit=none%252CC%252CCJ%252CR%252C2008E%252C%252C%252C%252C%252C%252C%252C%252C%252C%252Ctrue%252Cfalse%252Cfalse&amp;num=C-160%252F15&amp;td=%3BALL&amp;pcs=Oor&amp;avg=&amp;page=1&amp;mat=or&amp;jge=&amp;for=&amp;cid=702619" TargetMode="External"/><Relationship Id="rId64" Type="http://schemas.openxmlformats.org/officeDocument/2006/relationships/hyperlink" Target="http://eur-lex.europa.eu/legal-content/EN/TXT/?qid=1487859255185&amp;uri=CELEX:32012L0027" TargetMode="External"/><Relationship Id="rId118" Type="http://schemas.openxmlformats.org/officeDocument/2006/relationships/hyperlink" Target="http://eur-lex.europa.eu/legal-content/EN/TXT/?qid=1490112741368&amp;uri=CELEX:32007L0060" TargetMode="External"/><Relationship Id="rId325" Type="http://schemas.openxmlformats.org/officeDocument/2006/relationships/hyperlink" Target="http://eur-lex.europa.eu/legal-content/EN/TXT/?qid=1490107268234&amp;uri=CELEX:32007L0046" TargetMode="External"/><Relationship Id="rId367" Type="http://schemas.openxmlformats.org/officeDocument/2006/relationships/hyperlink" Target="http://eur-lex.europa.eu/legal-content/EN/TXT/?qid=1490108482923&amp;uri=CELEX:32014L0028" TargetMode="External"/><Relationship Id="rId532"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541%252F16&amp;td=%3BALL&amp;pcs=Oor&amp;avg=&amp;page=1&amp;mat=or&amp;jge=&amp;for=&amp;cid=858892" TargetMode="External"/><Relationship Id="rId574" Type="http://schemas.openxmlformats.org/officeDocument/2006/relationships/hyperlink" Target="http://europa.eu/rapid/press-release_MEMO-15-6223_en.htm" TargetMode="External"/><Relationship Id="rId171" Type="http://schemas.openxmlformats.org/officeDocument/2006/relationships/hyperlink" Target="http://eur-lex.europa.eu/legal-content/EN/TXT/?qid=1490113989527&amp;uri=CELEX:32006L0118" TargetMode="External"/><Relationship Id="rId227" Type="http://schemas.openxmlformats.org/officeDocument/2006/relationships/hyperlink" Target="http://eur-lex.europa.eu/legal-content/EN/TXT/?qid=1490114326882&amp;uri=CELEX:32001L0080" TargetMode="External"/><Relationship Id="rId269" Type="http://schemas.openxmlformats.org/officeDocument/2006/relationships/hyperlink" Target="http://eur-lex.europa.eu/legal-content/EN/TXT/?qid=1490113329399&amp;uri=CELEX:32004L0035" TargetMode="External"/><Relationship Id="rId434" Type="http://schemas.openxmlformats.org/officeDocument/2006/relationships/hyperlink" Target="http://curia.europa.eu/jcms/jcms/Jo2_7052/en/?types=com.jalios.jcms.Content&amp;typesOff=generated.RecueilPublication&amp;textSearch=true&amp;catName=true&amp;searchInFiles=true&amp;langs=user&amp;text=36%2F2016&amp;opSearch=Search&amp;csrftoken=xSx0sYNxmgyrk7Zc&amp;jsp=plugins%2FCuriaPlugin%2Fjsp%2Fquery.jsp" TargetMode="External"/><Relationship Id="rId476" Type="http://schemas.openxmlformats.org/officeDocument/2006/relationships/hyperlink" Target="http://eur-lex.europa.eu/legal-content/EN/TXT/?qid=1490100300908&amp;uri=CELEX:32013R0603" TargetMode="External"/><Relationship Id="rId641" Type="http://schemas.openxmlformats.org/officeDocument/2006/relationships/hyperlink" Target="http://curia.europa.eu/juris/liste.jsf?language=en&amp;jur=C,T,F&amp;num=C-265/15P&amp;td=ALL" TargetMode="External"/><Relationship Id="rId33" Type="http://schemas.openxmlformats.org/officeDocument/2006/relationships/hyperlink" Target="http://eur-lex.europa.eu/legal-content/EN/TXT/?qid=1487857407586&amp;uri=CELEX:32015R2120" TargetMode="External"/><Relationship Id="rId129" Type="http://schemas.openxmlformats.org/officeDocument/2006/relationships/hyperlink" Target="http://eur-lex.europa.eu/legal-content/EN/TXT/?qid=1490113003347&amp;uri=CELEX:32008L0098" TargetMode="External"/><Relationship Id="rId280" Type="http://schemas.openxmlformats.org/officeDocument/2006/relationships/hyperlink" Target="http://europa.eu/rapid/press-release_MEMO-16-3644_en.htm" TargetMode="External"/><Relationship Id="rId336" Type="http://schemas.openxmlformats.org/officeDocument/2006/relationships/hyperlink" Target="http://eur-lex.europa.eu/legal-content/EN/TXT/?qid=1490107481940&amp;uri=CELEX:32007L0046" TargetMode="External"/><Relationship Id="rId501" Type="http://schemas.openxmlformats.org/officeDocument/2006/relationships/hyperlink" Target="http://eur-lex.europa.eu/search.html?DTN=0051&amp;DTA=2011&amp;qid=1490105913104&amp;CASE_LAW_SUMMARY=false&amp;DTS_DOM=ALL&amp;excConsLeg=true&amp;type=advanced&amp;SUBDOM_INIT=ALL_ALL&amp;DTS_SUBDOM=ALL_ALL" TargetMode="External"/><Relationship Id="rId543" Type="http://schemas.openxmlformats.org/officeDocument/2006/relationships/hyperlink" Target="http://europa.eu/rapid/press-release_MEMO-16-2097_en.htm" TargetMode="External"/><Relationship Id="rId75" Type="http://schemas.openxmlformats.org/officeDocument/2006/relationships/hyperlink" Target="http://europa.eu/rapid/press-release_MEMO-16-4211_en.htm" TargetMode="External"/><Relationship Id="rId140" Type="http://schemas.openxmlformats.org/officeDocument/2006/relationships/hyperlink" Target="http://europa.eu/rapid/press-release_MEMO-16-1452_en.htm" TargetMode="External"/><Relationship Id="rId182" Type="http://schemas.openxmlformats.org/officeDocument/2006/relationships/hyperlink" Target="http://eur-lex.europa.eu/legal-content/EN/TXT/?qid=1490114260906&amp;uri=CELEX:32009L0147" TargetMode="External"/><Relationship Id="rId378" Type="http://schemas.openxmlformats.org/officeDocument/2006/relationships/hyperlink" Target="http://curia.europa.eu/juris/liste.jsf?language=en&amp;jur=C,T,F&amp;num=C-148/15&amp;td=ALL" TargetMode="External"/><Relationship Id="rId403" Type="http://schemas.openxmlformats.org/officeDocument/2006/relationships/hyperlink" Target="http://curia.europa.eu/juris/liste.jsf?language=en&amp;jur=C,T,F&amp;num=C-555/14&amp;td=ALL" TargetMode="External"/><Relationship Id="rId585" Type="http://schemas.openxmlformats.org/officeDocument/2006/relationships/hyperlink" Target="http://eur-lex.europa.eu/legal-content/EN/TXT/?qid=1490167613636&amp;uri=CELEX:32007R1370" TargetMode="External"/><Relationship Id="rId6" Type="http://schemas.openxmlformats.org/officeDocument/2006/relationships/hyperlink" Target="http://curia.europa.eu/juris/liste.jsf?pro=&amp;nat=or&amp;oqp=&amp;dates=&amp;lg=&amp;language=en&amp;jur=C%2CT%2CF&amp;cit=none%252CC%252CCJ%252CR%252C2008E%252C%252C%252C%252C%252C%252C%252C%252C%252C%252Ctrue%252Cfalse%252Cfalse&amp;num=C-75%252F15&amp;td=%3BALL&amp;pcs=Oor&amp;avg=&amp;page=1&amp;mat=or&amp;jge=&amp;for=&amp;cid=700811" TargetMode="External"/><Relationship Id="rId238" Type="http://schemas.openxmlformats.org/officeDocument/2006/relationships/hyperlink" Target="http://curia.europa.eu/juris/liste.jsf?language=en&amp;jur=C,T,F&amp;num=C-313/15&amp;td=ALL" TargetMode="External"/><Relationship Id="rId445" Type="http://schemas.openxmlformats.org/officeDocument/2006/relationships/hyperlink" Target="http://curia.europa.eu/juris/liste.jsf?language=en&amp;jur=C,T,F&amp;num=C-191/15&amp;td=ALL" TargetMode="External"/><Relationship Id="rId487" Type="http://schemas.openxmlformats.org/officeDocument/2006/relationships/hyperlink" Target="http://eur-lex.europa.eu/legal-content/EN/TXT/?qid=1490093500512&amp;uri=CELEX:32008L0115" TargetMode="External"/><Relationship Id="rId610" Type="http://schemas.openxmlformats.org/officeDocument/2006/relationships/hyperlink" Target="http://curia.europa.eu/juris/liste.jsf?language=en&amp;jur=C,T,F&amp;num=C-145/15&amp;td=ALL" TargetMode="External"/><Relationship Id="rId652" Type="http://schemas.openxmlformats.org/officeDocument/2006/relationships/hyperlink" Target="http://eur-lex.europa.eu/legal-content/EN/TXT/?qid=1490170407528&amp;uri=CELEX:32005R1889" TargetMode="External"/><Relationship Id="rId291" Type="http://schemas.openxmlformats.org/officeDocument/2006/relationships/hyperlink" Target="http://eur-lex.europa.eu/legal-content/EN/TXT/?qid=1490110183380&amp;uri=CELEX:32014L0056" TargetMode="External"/><Relationship Id="rId305" Type="http://schemas.openxmlformats.org/officeDocument/2006/relationships/hyperlink" Target="http://eur-lex.europa.eu/legal-content/EN/TXT/?qid=1490106932195&amp;uri=CELEX:32004R0854" TargetMode="External"/><Relationship Id="rId347" Type="http://schemas.openxmlformats.org/officeDocument/2006/relationships/hyperlink" Target="http://europa.eu/rapid/press-release_MEMO-16-319_EN.htm" TargetMode="External"/><Relationship Id="rId512" Type="http://schemas.openxmlformats.org/officeDocument/2006/relationships/hyperlink" Target="http://eur-lex.europa.eu/legal-content/EN/TXT/?qid=1490111044471&amp;uri=CELEX:32009L0018" TargetMode="External"/><Relationship Id="rId44" Type="http://schemas.openxmlformats.org/officeDocument/2006/relationships/hyperlink" Target="http://eur-lex.europa.eu/legal-content/EN/TXT/?qid=1487858646573&amp;uri=CELEX:32008R1272" TargetMode="External"/><Relationship Id="rId86" Type="http://schemas.openxmlformats.org/officeDocument/2006/relationships/hyperlink" Target="http://eur-lex.europa.eu/legal-content/EN/TXT/?qid=1490116934800&amp;uri=CELEX:32012L0027" TargetMode="External"/><Relationship Id="rId151" Type="http://schemas.openxmlformats.org/officeDocument/2006/relationships/hyperlink" Target="http://curia.europa.eu/juris/liste.jsf?language=en&amp;jur=C,T,F&amp;num=C-543/16&amp;td=ALL" TargetMode="External"/><Relationship Id="rId389" Type="http://schemas.openxmlformats.org/officeDocument/2006/relationships/hyperlink" Target="http://eur-lex.europa.eu/legal-content/EN/TXT/?qid=1490109059482&amp;uri=CELEX:32015L1535" TargetMode="External"/><Relationship Id="rId554"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530%252F16&amp;td=%3BALL&amp;pcs=Oor&amp;avg=&amp;page=1&amp;mat=or&amp;jge=&amp;for=&amp;cid=858892" TargetMode="External"/><Relationship Id="rId596" Type="http://schemas.openxmlformats.org/officeDocument/2006/relationships/hyperlink" Target="http://curia.europa.eu/juris/liste.jsf?language=en&amp;jur=C,T,F&amp;num=C-205/14&amp;td=ALL" TargetMode="External"/><Relationship Id="rId193" Type="http://schemas.openxmlformats.org/officeDocument/2006/relationships/hyperlink" Target="http://eur-lex.europa.eu/legal-content/EN/TXT/?qid=1490115973203&amp;uri=CELEX:32008L0098" TargetMode="External"/><Relationship Id="rId207" Type="http://schemas.openxmlformats.org/officeDocument/2006/relationships/hyperlink" Target="http://eur-lex.europa.eu/legal-content/EN/TXT/?qid=1490116254500&amp;uri=CELEX:31991L0271" TargetMode="External"/><Relationship Id="rId249" Type="http://schemas.openxmlformats.org/officeDocument/2006/relationships/hyperlink" Target="http://eur-lex.europa.eu/legal-content/EN/TXT/?qid=1490113897267&amp;uri=CELEX:32006R1013" TargetMode="External"/><Relationship Id="rId414" Type="http://schemas.openxmlformats.org/officeDocument/2006/relationships/hyperlink" Target="http://europa.eu/rapid/press-release_MEMO-16-3644_en.htm" TargetMode="External"/><Relationship Id="rId456" Type="http://schemas.openxmlformats.org/officeDocument/2006/relationships/hyperlink" Target="http://eur-lex.europa.eu/legal-content/EN/TXT/?qid=1490166193651&amp;uri=CELEX:32006R1967" TargetMode="External"/><Relationship Id="rId498" Type="http://schemas.openxmlformats.org/officeDocument/2006/relationships/hyperlink" Target="http://eur-lex.europa.eu/legal-content/EN/TXT/?qid=1490174973845&amp;uri=CELEX:32014L0036" TargetMode="External"/><Relationship Id="rId621" Type="http://schemas.openxmlformats.org/officeDocument/2006/relationships/hyperlink" Target="http://curia.europa.eu/juris/liste.jsf?language=en&amp;jur=C,T,F&amp;num=C-380/16&amp;td=ALL" TargetMode="External"/><Relationship Id="rId13" Type="http://schemas.openxmlformats.org/officeDocument/2006/relationships/hyperlink" Target="http://eur-lex.europa.eu/legal-content/EN/TXT/?qid=1487856787116&amp;uri=CELEX:32014L0026" TargetMode="External"/><Relationship Id="rId109" Type="http://schemas.openxmlformats.org/officeDocument/2006/relationships/hyperlink" Target="http://eur-lex.europa.eu/search.html?DTN=0031&amp;DTA=2010&amp;qid=1490110027746&amp;DB_TYPE_OF_ACT=directive&amp;CASE_LAW_SUMMARY=false&amp;DTS_DOM=ALL&amp;excConsLeg=true&amp;typeOfActStatus=DIRECTIVE&amp;type=advanced&amp;SUBDOM_INIT=ALL_ALL&amp;DTS_SUBDOM=ALL_ALL" TargetMode="External"/><Relationship Id="rId260" Type="http://schemas.openxmlformats.org/officeDocument/2006/relationships/hyperlink" Target="http://eur-lex.europa.eu/legal-content/EN/TXT/?qid=1490113587201&amp;uri=CELEX:62014CA0052" TargetMode="External"/><Relationship Id="rId316" Type="http://schemas.openxmlformats.org/officeDocument/2006/relationships/hyperlink" Target="http://eur-lex.europa.eu/legal-content/EN/TXT/?qid=1490107138985&amp;uri=CELEX:32002L0098" TargetMode="External"/><Relationship Id="rId523" Type="http://schemas.openxmlformats.org/officeDocument/2006/relationships/hyperlink" Target="http://europa.eu/rapid/press-release_MEMO-16-319_en.htm" TargetMode="External"/><Relationship Id="rId55" Type="http://schemas.openxmlformats.org/officeDocument/2006/relationships/hyperlink" Target="http://curia.europa.eu/juris/liste.jsf?pro=&amp;nat=or&amp;oqp=&amp;dates=&amp;lg=&amp;language=en&amp;jur=C%2CT%2CF&amp;cit=none%252CC%252CCJ%252CR%252C2008E%252C%252C%252C%252C%252C%252C%252C%252C%252C%252Ctrue%252Cfalse%252Cfalse&amp;num=C-238%252F15&amp;td=%3BALL&amp;pcs=Oor&amp;avg=&amp;page=1&amp;mat=or&amp;jge=&amp;for=&amp;cid=711669" TargetMode="External"/><Relationship Id="rId97" Type="http://schemas.openxmlformats.org/officeDocument/2006/relationships/hyperlink" Target="http://curia.europa.eu/juris/liste.jsf?language=en&amp;jur=C,T,F&amp;num=C-160/16&amp;td=ALL" TargetMode="External"/><Relationship Id="rId120" Type="http://schemas.openxmlformats.org/officeDocument/2006/relationships/hyperlink" Target="http://eur-lex.europa.eu/legal-content/EN/TXT/?qid=1490112804858&amp;uri=CELEX:32008L0056" TargetMode="External"/><Relationship Id="rId358" Type="http://schemas.openxmlformats.org/officeDocument/2006/relationships/hyperlink" Target="http://eur-lex.europa.eu/legal-content/EN/TXT/?qid=1490108168748&amp;uri=CELEX:32015L0013" TargetMode="External"/><Relationship Id="rId565" Type="http://schemas.openxmlformats.org/officeDocument/2006/relationships/hyperlink" Target="http://europa.eu/rapid/press-release_IP-16-2494_EN.htm" TargetMode="External"/><Relationship Id="rId162" Type="http://schemas.openxmlformats.org/officeDocument/2006/relationships/hyperlink" Target="http://curia.europa.eu/juris/liste.jsf?language=en&amp;jur=C,T,F&amp;num=C-328/16&amp;td=ALL" TargetMode="External"/><Relationship Id="rId218" Type="http://schemas.openxmlformats.org/officeDocument/2006/relationships/hyperlink" Target="http://eur-lex.europa.eu/legal-content/EN/TXT/?qid=1490114196105&amp;uri=CELEX:32000L0060" TargetMode="External"/><Relationship Id="rId425" Type="http://schemas.openxmlformats.org/officeDocument/2006/relationships/hyperlink" Target="http://curia.europa.eu/juris/liste.jsf?language=en&amp;num=C-149/15" TargetMode="External"/><Relationship Id="rId467" Type="http://schemas.openxmlformats.org/officeDocument/2006/relationships/hyperlink" Target="http://eur-lex.europa.eu/legal-content/EN/TXT/?qid=1490087596517&amp;uri=CELEX:32008D0616" TargetMode="External"/><Relationship Id="rId632" Type="http://schemas.openxmlformats.org/officeDocument/2006/relationships/hyperlink" Target="http://curia.europa.eu/juris/liste.jsf?language=en&amp;jur=C,T,F&amp;num=C-244/15&amp;td=ALL" TargetMode="External"/><Relationship Id="rId271" Type="http://schemas.openxmlformats.org/officeDocument/2006/relationships/hyperlink" Target="http://europa.eu/rapid/press-release_MEMO-16-1452_en.htm" TargetMode="External"/><Relationship Id="rId24" Type="http://schemas.openxmlformats.org/officeDocument/2006/relationships/hyperlink" Target="http://curia.europa.eu/juris/liste.jsf?pro=&amp;nat=or&amp;oqp=&amp;dates=&amp;lg=&amp;language=en&amp;jur=C%2CT%2CF&amp;cit=none%252CC%252CCJ%252CR%252C2008E%252C%252C%252C%252C%252C%252C%252C%252C%252C%252Ctrue%252Cfalse%252Cfalse&amp;num=C-174%252F15&amp;td=%3BALL&amp;pcs=Oor&amp;avg=&amp;page=1&amp;mat=or&amp;jge=&amp;for=&amp;cid=702848" TargetMode="External"/><Relationship Id="rId66" Type="http://schemas.openxmlformats.org/officeDocument/2006/relationships/hyperlink" Target="http://eur-lex.europa.eu/legal-content/EN/TXT/?qid=1487785667576&amp;uri=CELEX:32013L0051" TargetMode="External"/><Relationship Id="rId131" Type="http://schemas.openxmlformats.org/officeDocument/2006/relationships/hyperlink" Target="http://eur-lex.europa.eu/legal-content/EN/TXT/?qid=1490113034535&amp;uri=CELEX:32008L0050" TargetMode="External"/><Relationship Id="rId327" Type="http://schemas.openxmlformats.org/officeDocument/2006/relationships/hyperlink" Target="http://eur-lex.europa.eu/legal-content/EN/TXT/?qid=1456927136179&amp;uri=CELEX:32006L0123" TargetMode="External"/><Relationship Id="rId369" Type="http://schemas.openxmlformats.org/officeDocument/2006/relationships/hyperlink" Target="http://eur-lex.europa.eu/legal-content/EN/TXT/?qid=1490108619086&amp;uri=CELEX:32013L0055" TargetMode="External"/><Relationship Id="rId534" Type="http://schemas.openxmlformats.org/officeDocument/2006/relationships/hyperlink" Target="http://eur-lex.europa.eu/legal-content/EN/TXT/?qid=1490112989906&amp;uri=CELEX:32006L0126" TargetMode="External"/><Relationship Id="rId576" Type="http://schemas.openxmlformats.org/officeDocument/2006/relationships/hyperlink" Target="http://eur-lex.europa.eu/legal-content/EN/TXT/?qid=1490167283127&amp;uri=CELEX:32010R0996" TargetMode="External"/><Relationship Id="rId173" Type="http://schemas.openxmlformats.org/officeDocument/2006/relationships/hyperlink" Target="http://curia.europa.eu/juris/liste.jsf?language=en&amp;jur=C,T,F&amp;num=C-62/16&amp;td=ALL" TargetMode="External"/><Relationship Id="rId229" Type="http://schemas.openxmlformats.org/officeDocument/2006/relationships/hyperlink" Target="http://eur-lex.europa.eu/legal-content/EN/TXT/?qid=1490114356322&amp;uri=CELEX:31992L0043" TargetMode="External"/><Relationship Id="rId380" Type="http://schemas.openxmlformats.org/officeDocument/2006/relationships/hyperlink" Target="http://eur-lex.europa.eu/legal-content/EN/TXT/?qid=1490108874920&amp;uri=CELEX:31998L0059" TargetMode="External"/><Relationship Id="rId436" Type="http://schemas.openxmlformats.org/officeDocument/2006/relationships/hyperlink" Target="http://curia.europa.eu/juris/liste.jsf?language=en&amp;jur=C,T,F&amp;num=C-307/15&amp;td=ALL" TargetMode="External"/><Relationship Id="rId601" Type="http://schemas.openxmlformats.org/officeDocument/2006/relationships/hyperlink" Target="http://curia.europa.eu/juris/liste.jsf?language=en&amp;jur=C,T,F&amp;num=C-447/15&amp;td=ALL" TargetMode="External"/><Relationship Id="rId643" Type="http://schemas.openxmlformats.org/officeDocument/2006/relationships/hyperlink" Target="http://eur-lex.europa.eu/legal-content/EN/TXT/?qid=1490170710416&amp;uri=CELEX:31992R2913" TargetMode="External"/><Relationship Id="rId240" Type="http://schemas.openxmlformats.org/officeDocument/2006/relationships/hyperlink" Target="http://eur-lex.europa.eu/legal-content/EN/TXT/?qid=1490114077489&amp;uri=CELEX:32001L0042" TargetMode="External"/><Relationship Id="rId478" Type="http://schemas.openxmlformats.org/officeDocument/2006/relationships/hyperlink" Target="http://eur-lex.europa.eu/legal-content/EN/TXT/?qid=1463925195425&amp;uri=CELEX:32013L0040" TargetMode="External"/><Relationship Id="rId35" Type="http://schemas.openxmlformats.org/officeDocument/2006/relationships/hyperlink" Target="http://eur-lex.europa.eu/legal-content/EN/TXT/?qid=1487785252330&amp;uri=CELEX:32014L0061" TargetMode="External"/><Relationship Id="rId77" Type="http://schemas.openxmlformats.org/officeDocument/2006/relationships/hyperlink" Target="http://europa.eu/rapid/press-release_MEMO-16-319_en.htm" TargetMode="External"/><Relationship Id="rId100" Type="http://schemas.openxmlformats.org/officeDocument/2006/relationships/hyperlink" Target="http://eur-lex.europa.eu/legal-content/EN/TXT/?qid=1490109787212&amp;uri=CELEX:32013L0030" TargetMode="External"/><Relationship Id="rId282" Type="http://schemas.openxmlformats.org/officeDocument/2006/relationships/hyperlink" Target="http://europa.eu/rapid/press-release_MEMO-16-3644_en.htm" TargetMode="External"/><Relationship Id="rId338" Type="http://schemas.openxmlformats.org/officeDocument/2006/relationships/hyperlink" Target="http://europa.eu/rapid/press-release_IP-16-4214_en.htm" TargetMode="External"/><Relationship Id="rId503" Type="http://schemas.openxmlformats.org/officeDocument/2006/relationships/hyperlink" Target="http://eur-lex.europa.eu/legal-content/EN/TXT/?qid=1490110742094&amp;uri=CELEX:32008L0057" TargetMode="External"/><Relationship Id="rId545"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58%252F16&amp;td=%3BALL&amp;pcs=Oor&amp;avg=&amp;page=1&amp;mat=or&amp;jge=&amp;for=&amp;cid=858892" TargetMode="External"/><Relationship Id="rId587" Type="http://schemas.openxmlformats.org/officeDocument/2006/relationships/hyperlink" Target="http://eur-lex.europa.eu/legal-content/EN/TXT/?qid=1490114636481&amp;uri=CELEX:32009R1071" TargetMode="External"/><Relationship Id="rId8" Type="http://schemas.openxmlformats.org/officeDocument/2006/relationships/hyperlink" Target="http://eur-lex.europa.eu/legal-content/EN/TXT/?qid=1487856595118&amp;uri=CELEX:32002L0021" TargetMode="External"/><Relationship Id="rId142" Type="http://schemas.openxmlformats.org/officeDocument/2006/relationships/hyperlink" Target="http://europa.eu/rapid/press-release_MEMO-16-2490_en.htm" TargetMode="External"/><Relationship Id="rId184" Type="http://schemas.openxmlformats.org/officeDocument/2006/relationships/hyperlink" Target="http://eur-lex.europa.eu/legal-content/EN/TXT/?qid=1490114300357&amp;uri=CELEX:32013D0039" TargetMode="External"/><Relationship Id="rId391" Type="http://schemas.openxmlformats.org/officeDocument/2006/relationships/hyperlink" Target="http://eur-lex.europa.eu/legal-content/EN/TXT/?qid=1490109093033&amp;uri=CELEX:32000L0035" TargetMode="External"/><Relationship Id="rId405" Type="http://schemas.openxmlformats.org/officeDocument/2006/relationships/hyperlink" Target="http://eur-lex.europa.eu/legal-content/EN/TXT/?qid=1490111022996&amp;uri=CELEX:32005L0029" TargetMode="External"/><Relationship Id="rId447" Type="http://schemas.openxmlformats.org/officeDocument/2006/relationships/hyperlink" Target="http://eur-lex.europa.eu/legal-content/EN/TXT/?qid=1490165725473&amp;uri=CELEX:32008L0048" TargetMode="External"/><Relationship Id="rId612" Type="http://schemas.openxmlformats.org/officeDocument/2006/relationships/hyperlink" Target="http://curia.europa.eu/jcms/jcms/Jo2_7052/en/?types=com.jalios.jcms.Content&amp;typesOff=generated.RecueilPublication&amp;textSearch=true&amp;catName=true&amp;searchInFiles=true&amp;langs=user&amp;text=No+31%2F2016&amp;opSearch=Search&amp;csrftoken=keaRJbln9yAfffde&amp;jsp=plugins%2FCuriaPlugin%2Fjsp%2Fquery.jsp" TargetMode="External"/><Relationship Id="rId251" Type="http://schemas.openxmlformats.org/officeDocument/2006/relationships/hyperlink" Target="http://curia.europa.eu/juris/liste.jsf?language=en&amp;jur=C,T,F&amp;num=C-442/14&amp;td=ALL" TargetMode="External"/><Relationship Id="rId489" Type="http://schemas.openxmlformats.org/officeDocument/2006/relationships/hyperlink" Target="http://eur-lex.europa.eu/legal-content/EN/TXT/?qid=1490106634906&amp;uri=CELEX:32013R0604" TargetMode="External"/><Relationship Id="rId46" Type="http://schemas.openxmlformats.org/officeDocument/2006/relationships/hyperlink" Target="http://europa.eu/rapid/press-release_IP-16-2599_EN.htm" TargetMode="External"/><Relationship Id="rId293" Type="http://schemas.openxmlformats.org/officeDocument/2006/relationships/hyperlink" Target="http://eur-lex.europa.eu/legal-content/EN/TXT/?qid=1490110215314&amp;uri=CELEX:32013L0036" TargetMode="External"/><Relationship Id="rId307" Type="http://schemas.openxmlformats.org/officeDocument/2006/relationships/hyperlink" Target="http://europa.eu/rapid/press-release_MEMO-16-4211_en.htm" TargetMode="External"/><Relationship Id="rId349" Type="http://schemas.openxmlformats.org/officeDocument/2006/relationships/hyperlink" Target="http://eur-lex.europa.eu/legal-content/EN/TXT/?qid=1490107861615&amp;uri=CELEX:32004L0018" TargetMode="External"/><Relationship Id="rId514" Type="http://schemas.openxmlformats.org/officeDocument/2006/relationships/hyperlink" Target="http://europa.eu/rapid/press-release_IP-16-1456_en.htm" TargetMode="External"/><Relationship Id="rId556" Type="http://schemas.openxmlformats.org/officeDocument/2006/relationships/hyperlink" Target="http://europa.eu/rapid/press-release_MEMO-16-319_en.htm" TargetMode="External"/><Relationship Id="rId88" Type="http://schemas.openxmlformats.org/officeDocument/2006/relationships/hyperlink" Target="http://europa.eu/rapid/press-release_MEMO-16-1452_en.htm" TargetMode="External"/><Relationship Id="rId111" Type="http://schemas.openxmlformats.org/officeDocument/2006/relationships/hyperlink" Target="http://eur-lex.europa.eu/legal-content/EN/TXT/?qid=1490110124335&amp;uri=CELEX:32013L0030" TargetMode="External"/><Relationship Id="rId153" Type="http://schemas.openxmlformats.org/officeDocument/2006/relationships/hyperlink" Target="http://curia.europa.eu/juris/liste.jsf?language=en&amp;jur=C,T,F&amp;num=C-202/16&amp;td=ALL" TargetMode="External"/><Relationship Id="rId195" Type="http://schemas.openxmlformats.org/officeDocument/2006/relationships/hyperlink" Target="http://eur-lex.europa.eu/legal-content/EN/TXT/?qid=1490116088017&amp;uri=CELEX:32007L0060" TargetMode="External"/><Relationship Id="rId209" Type="http://schemas.openxmlformats.org/officeDocument/2006/relationships/hyperlink" Target="http://eur-lex.europa.eu/legal-content/EN/TXT/?qid=1490116220580&amp;uri=CELEX:32009L0147" TargetMode="External"/><Relationship Id="rId360" Type="http://schemas.openxmlformats.org/officeDocument/2006/relationships/hyperlink" Target="http://eur-lex.europa.eu/legal-content/EN/TXT/?qid=1490108226647&amp;uri=CELEX:32014L0029" TargetMode="External"/><Relationship Id="rId416" Type="http://schemas.openxmlformats.org/officeDocument/2006/relationships/hyperlink" Target="http://eur-lex.europa.eu/legal-content/EN/TXT/?qid=1490164378716&amp;uri=CELEX:32014L0057" TargetMode="External"/><Relationship Id="rId598" Type="http://schemas.openxmlformats.org/officeDocument/2006/relationships/hyperlink" Target="http://eur-lex.europa.eu/legal-content/EN/TXT/?qid=1490168357079&amp;uri=CELEX:31996L0075" TargetMode="External"/><Relationship Id="rId220" Type="http://schemas.openxmlformats.org/officeDocument/2006/relationships/hyperlink" Target="http://eur-lex.europa.eu/legal-content/EN/TXT/?qid=1490114244685&amp;uri=CELEX:31991L0271" TargetMode="External"/><Relationship Id="rId458" Type="http://schemas.openxmlformats.org/officeDocument/2006/relationships/hyperlink" Target="http://eur-lex.europa.eu/legal-content/EN/TXT/?qid=1486569010751&amp;uri=CELEX:32009R1224" TargetMode="External"/><Relationship Id="rId623" Type="http://schemas.openxmlformats.org/officeDocument/2006/relationships/hyperlink" Target="http://eur-lex.europa.eu/legal-content/en/ALL/?uri=CELEX:32008L0118" TargetMode="External"/><Relationship Id="rId15" Type="http://schemas.openxmlformats.org/officeDocument/2006/relationships/hyperlink" Target="http://eur-lex.europa.eu/legal-content/EN/TXT/?qid=1487785252330&amp;uri=CELEX:32014L0061" TargetMode="External"/><Relationship Id="rId57" Type="http://schemas.openxmlformats.org/officeDocument/2006/relationships/hyperlink" Target="http://eur-lex.europa.eu/legal-content/EN/TXT/?qid=1487784879883&amp;uri=CELEX:32013L0035" TargetMode="External"/><Relationship Id="rId262" Type="http://schemas.openxmlformats.org/officeDocument/2006/relationships/hyperlink" Target="http://eur-lex.europa.eu/legal-content/EN/TXT/?qid=1490113504088&amp;uri=CELEX:32011L0092" TargetMode="External"/><Relationship Id="rId318" Type="http://schemas.openxmlformats.org/officeDocument/2006/relationships/hyperlink" Target="http://curia.europa.eu/juris/liste.jsf?pro=&amp;nat=or&amp;oqp=&amp;dates=&amp;lg=&amp;language=en&amp;jur=C%2CT%2CF&amp;cit=none%252CC%252CCJ%252CR%252C2008E%252C%252C%252C%252C%252C%252C%252C%252C%252C%252Ctrue%252Cfalse%252Cfalse&amp;num=C-78%252F16&amp;td=%3BALL&amp;pcs=Oor&amp;avg=&amp;page=1&amp;mat=or&amp;jge=&amp;for=&amp;cid=1145026" TargetMode="External"/><Relationship Id="rId525" Type="http://schemas.openxmlformats.org/officeDocument/2006/relationships/hyperlink" Target="http://eur-lex.europa.eu/legal-content/EN/TXT/?qid=1490112893223&amp;uri=CELEX:32009L0021" TargetMode="External"/><Relationship Id="rId567" Type="http://schemas.openxmlformats.org/officeDocument/2006/relationships/hyperlink" Target="http://europa.eu/rapid/press-release_MEMO-16-1452_en.htm" TargetMode="External"/><Relationship Id="rId99" Type="http://schemas.openxmlformats.org/officeDocument/2006/relationships/hyperlink" Target="http://eur-lex.europa.eu/legal-content/EN/TXT/?qid=1487785667576&amp;uri=CELEX:32013L0051" TargetMode="External"/><Relationship Id="rId122" Type="http://schemas.openxmlformats.org/officeDocument/2006/relationships/hyperlink" Target="http://eur-lex.europa.eu/legal-content/EN/TXT/?qid=1490112871881&amp;uri=CELEX:32010L0075" TargetMode="External"/><Relationship Id="rId164" Type="http://schemas.openxmlformats.org/officeDocument/2006/relationships/hyperlink" Target="http://curia.europa.eu/juris/liste.jsf?language=en&amp;jur=C,T,F&amp;num=C-626/16&amp;td=ALL" TargetMode="External"/><Relationship Id="rId371" Type="http://schemas.openxmlformats.org/officeDocument/2006/relationships/hyperlink" Target="http://eur-lex.europa.eu/legal-content/EN/TXT/?qid=1490108687999&amp;uri=CELEX:32007L0023" TargetMode="External"/><Relationship Id="rId427" Type="http://schemas.openxmlformats.org/officeDocument/2006/relationships/hyperlink" Target="http://curia.europa.eu/jcms/jcms/Jo2_7052/en/?types=com.jalios.jcms.Content&amp;typesOff=generated.RecueilPublication&amp;textSearch=true&amp;catName=true&amp;searchInFiles=true&amp;langs=user&amp;text=117%2F2016&amp;opSearch=Search&amp;csrftoken=xSx0sYNxmgyrk7Zc&amp;jsp=plugins%2FCuriaPlugin%2Fjsp%2Fquery.jsp" TargetMode="External"/><Relationship Id="rId469" Type="http://schemas.openxmlformats.org/officeDocument/2006/relationships/hyperlink" Target="http://eur-lex.europa.eu/legal-content/EN/TXT/?qid=1490089772204&amp;uri=CELEX:32013R0098" TargetMode="External"/><Relationship Id="rId634" Type="http://schemas.openxmlformats.org/officeDocument/2006/relationships/hyperlink" Target="http://curia.europa.eu/juris/liste.jsf?language=en&amp;jur=C,T,F&amp;num=C-200/15&amp;td=ALL" TargetMode="External"/><Relationship Id="rId26" Type="http://schemas.openxmlformats.org/officeDocument/2006/relationships/hyperlink" Target="http://eur-lex.europa.eu/legal-content/EN/TXT/?qid=1487856844554&amp;uri=CELEX:32002L0022" TargetMode="External"/><Relationship Id="rId231" Type="http://schemas.openxmlformats.org/officeDocument/2006/relationships/hyperlink" Target="http://curia.europa.eu/juris/liste.jsf?language=en&amp;jur=C,T,F&amp;num=C-388/15&amp;td=ALL" TargetMode="External"/><Relationship Id="rId273" Type="http://schemas.openxmlformats.org/officeDocument/2006/relationships/hyperlink" Target="http://europa.eu/rapid/press-release_MEMO-16-1452_en.htm" TargetMode="External"/><Relationship Id="rId329" Type="http://schemas.openxmlformats.org/officeDocument/2006/relationships/hyperlink" Target="http://europa.eu/rapid/press-release_MEMO-16-319_en.htm" TargetMode="External"/><Relationship Id="rId480" Type="http://schemas.openxmlformats.org/officeDocument/2006/relationships/hyperlink" Target="http://eur-lex.europa.eu/legal-content/EN/TXT/?qid=1490093618035&amp;uri=CELEX:32011L0095" TargetMode="External"/><Relationship Id="rId536" Type="http://schemas.openxmlformats.org/officeDocument/2006/relationships/hyperlink" Target="http://europa.eu/rapid/press-release_IP-15-6229_en.htm" TargetMode="External"/><Relationship Id="rId68" Type="http://schemas.openxmlformats.org/officeDocument/2006/relationships/hyperlink" Target="http://eur-lex.europa.eu/legal-content/EN/TXT/?qid=1487859358604&amp;uri=CELEX:32009L0073" TargetMode="External"/><Relationship Id="rId133" Type="http://schemas.openxmlformats.org/officeDocument/2006/relationships/hyperlink" Target="http://eur-lex.europa.eu/legal-content/EN/TXT/?qid=1490113159431&amp;uri=CELEX:32002L0049" TargetMode="External"/><Relationship Id="rId175" Type="http://schemas.openxmlformats.org/officeDocument/2006/relationships/hyperlink" Target="http://eur-lex.europa.eu/legal-content/EN/TXT/?qid=1490114043431&amp;uri=CELEX:32012L0018" TargetMode="External"/><Relationship Id="rId340" Type="http://schemas.openxmlformats.org/officeDocument/2006/relationships/hyperlink" Target="http://eur-lex.europa.eu/legal-content/EN/TXT/?qid=1490107591288&amp;uri=CELEX:32005L0036" TargetMode="External"/><Relationship Id="rId578" Type="http://schemas.openxmlformats.org/officeDocument/2006/relationships/hyperlink" Target="http://eur-lex.europa.eu/legal-content/EN/TXT/?qid=1490167368230&amp;uri=CELEX:32009L0012" TargetMode="External"/><Relationship Id="rId200" Type="http://schemas.openxmlformats.org/officeDocument/2006/relationships/hyperlink" Target="http://eur-lex.europa.eu/legal-content/EN/TXT/?qid=1490115815258&amp;uri=CELEX:31992L0043" TargetMode="External"/><Relationship Id="rId382" Type="http://schemas.openxmlformats.org/officeDocument/2006/relationships/hyperlink" Target="http://curia.europa.eu/jcms/upload/docs/application/pdf/2016-12/cp160143en.pdf" TargetMode="External"/><Relationship Id="rId438" Type="http://schemas.openxmlformats.org/officeDocument/2006/relationships/hyperlink" Target="http://eur-lex.europa.eu/legal-content/EN/TXT/?qid=1490165662951&amp;uri=CELEX:32005L0060" TargetMode="External"/><Relationship Id="rId603" Type="http://schemas.openxmlformats.org/officeDocument/2006/relationships/hyperlink" Target="http://curia.europa.eu/juris/liste.jsf?language=en&amp;jur=C,T,F&amp;num=C-292/15&amp;td=ALL" TargetMode="External"/><Relationship Id="rId645" Type="http://schemas.openxmlformats.org/officeDocument/2006/relationships/hyperlink" Target="http://curia.europa.eu/juris/liste.jsf?language=en&amp;jur=C,T,F&amp;num=C-18/15&amp;td=ALL" TargetMode="External"/><Relationship Id="rId242" Type="http://schemas.openxmlformats.org/officeDocument/2006/relationships/hyperlink" Target="http://eur-lex.europa.eu/legal-content/EN/TXT/?qid=1490114038741&amp;uri=CELEX:32000L0060" TargetMode="External"/><Relationship Id="rId284" Type="http://schemas.openxmlformats.org/officeDocument/2006/relationships/hyperlink" Target="http://europa.eu/rapid/press-release_MEMO-16-3644_en.htm" TargetMode="External"/><Relationship Id="rId491" Type="http://schemas.openxmlformats.org/officeDocument/2006/relationships/hyperlink" Target="http://eur-lex.europa.eu/legal-content/EN/TXT/?qid=1463924572252&amp;uri=CELEX:32013R0098" TargetMode="External"/><Relationship Id="rId505" Type="http://schemas.openxmlformats.org/officeDocument/2006/relationships/hyperlink" Target="http://eur-lex.europa.eu/legal-content/EN/TXT/?qid=1490110816729&amp;uri=CELEX:32004L0052" TargetMode="External"/><Relationship Id="rId37" Type="http://schemas.openxmlformats.org/officeDocument/2006/relationships/hyperlink" Target="http://eur-lex.europa.eu/legal-content/EN/TXT/?qid=1487858494593&amp;uri=CELEX:32014L0027" TargetMode="External"/><Relationship Id="rId79" Type="http://schemas.openxmlformats.org/officeDocument/2006/relationships/hyperlink" Target="http://europa.eu/rapid/press-release_MEMO-16-3644_en.htm" TargetMode="External"/><Relationship Id="rId102" Type="http://schemas.openxmlformats.org/officeDocument/2006/relationships/hyperlink" Target="http://eur-lex.europa.eu/legal-content/EN/TXT/?qid=1490109865923&amp;uri=CELEX:32009L0072" TargetMode="External"/><Relationship Id="rId144" Type="http://schemas.openxmlformats.org/officeDocument/2006/relationships/hyperlink" Target="http://www.eea.europa.eu/themes/air/air-quality/resources/glossary/pm10" TargetMode="External"/><Relationship Id="rId547" Type="http://schemas.openxmlformats.org/officeDocument/2006/relationships/hyperlink" Target="http://europa.eu/rapid/press-release_MEMO-15-5657_en.htm" TargetMode="External"/><Relationship Id="rId589" Type="http://schemas.openxmlformats.org/officeDocument/2006/relationships/hyperlink" Target="http://eur-lex.europa.eu/legal-content/EN/TXT/?qid=1490168116964&amp;uri=CELEX:32009R1071" TargetMode="External"/><Relationship Id="rId90" Type="http://schemas.openxmlformats.org/officeDocument/2006/relationships/hyperlink" Target="http://europa.eu/rapid/press-release_MEMO-16-1452_en.htm" TargetMode="External"/><Relationship Id="rId186" Type="http://schemas.openxmlformats.org/officeDocument/2006/relationships/hyperlink" Target="http://eur-lex.europa.eu/legal-content/EN/TXT/?qid=1490114361101&amp;uri=CELEX:32005R2173" TargetMode="External"/><Relationship Id="rId351" Type="http://schemas.openxmlformats.org/officeDocument/2006/relationships/hyperlink" Target="http://europa.eu/rapid/press-release_IP-15-6226_EN.htm" TargetMode="External"/><Relationship Id="rId393" Type="http://schemas.openxmlformats.org/officeDocument/2006/relationships/hyperlink" Target="http://eur-lex.europa.eu/legal-content/EN/TXT/?qid=1490109188963&amp;uri=CELEX:32006L0123" TargetMode="External"/><Relationship Id="rId407" Type="http://schemas.openxmlformats.org/officeDocument/2006/relationships/hyperlink" Target="http://eur-lex.europa.eu/legal-content/EN/TXT/?qid=1490111088980&amp;uri=CELEX:32013L0011" TargetMode="External"/><Relationship Id="rId449" Type="http://schemas.openxmlformats.org/officeDocument/2006/relationships/hyperlink" Target="http://curia.europa.eu/jcms/jcms/Jo2_7052/en/?types=com.jalios.jcms.Content&amp;typesOff=generated.RecueilPublication&amp;textSearch=true&amp;catName=true&amp;searchInFiles=true&amp;langs=user&amp;text=+56%2F2016&amp;opSearch=Search&amp;csrftoken=xSx0sYNxmgyrk7Zc&amp;jsp=plugins%2FCuriaPlugin%2Fjsp%2Fquery.jsp" TargetMode="External"/><Relationship Id="rId614" Type="http://schemas.openxmlformats.org/officeDocument/2006/relationships/hyperlink" Target="http://eur-lex.europa.eu/legal-content/EN/TXT/?qid=1490170102909&amp;uri=CELEX:32014L0046" TargetMode="External"/><Relationship Id="rId211" Type="http://schemas.openxmlformats.org/officeDocument/2006/relationships/hyperlink" Target="http://curia.europa.eu/juris/liste.jsf?language=en&amp;jur=C,T,F&amp;num=C-461/14&amp;td=ALL" TargetMode="External"/><Relationship Id="rId253" Type="http://schemas.openxmlformats.org/officeDocument/2006/relationships/hyperlink" Target="http://eur-lex.europa.eu/legal-content/EN/TXT/?qid=1490113806654&amp;uri=CELEX:31985L0337" TargetMode="External"/><Relationship Id="rId295" Type="http://schemas.openxmlformats.org/officeDocument/2006/relationships/hyperlink" Target="http://eur-lex.europa.eu/legal-content/EN/TXT/?qid=1490110306166&amp;uri=CELEX:32014L0049" TargetMode="External"/><Relationship Id="rId309" Type="http://schemas.openxmlformats.org/officeDocument/2006/relationships/hyperlink" Target="http://europa.eu/rapid/press-release_MEMO-16-2490_en.htm" TargetMode="External"/><Relationship Id="rId460" Type="http://schemas.openxmlformats.org/officeDocument/2006/relationships/hyperlink" Target="http://eur-lex.europa.eu/legal-content/EN/TXT/?qid=1486568421947&amp;uri=CELEX:32013R1380" TargetMode="External"/><Relationship Id="rId516" Type="http://schemas.openxmlformats.org/officeDocument/2006/relationships/hyperlink" Target="http://eur-lex.europa.eu/legal-content/EN/TXT/?qid=1456831717066&amp;uri=CELEX:32014R1321" TargetMode="External"/><Relationship Id="rId48" Type="http://schemas.openxmlformats.org/officeDocument/2006/relationships/hyperlink" Target="http://curia.europa.eu/juris/liste.jsf?language=en&amp;jur=C,T,F&amp;num=C-12/14&amp;td=ALL" TargetMode="External"/><Relationship Id="rId113" Type="http://schemas.openxmlformats.org/officeDocument/2006/relationships/hyperlink" Target="http://curia.europa.eu/juris/liste.jsf?language=en&amp;jur=C,T,F&amp;num=T-307/16&amp;td=ALL" TargetMode="External"/><Relationship Id="rId320" Type="http://schemas.openxmlformats.org/officeDocument/2006/relationships/hyperlink" Target="http://curia.europa.eu/juris/liste.jsf?pro=&amp;nat=or&amp;oqp=&amp;dates=&amp;lg=&amp;language=en&amp;jur=C%2CT%2CF&amp;cit=none%252CC%252CCJ%252CR%252C2008E%252C%252C%252C%252C%252C%252C%252C%252C%252C%252Ctrue%252Cfalse%252Cfalse&amp;num=C-113%252F15&amp;td=%3BALL&amp;pcs=Oor&amp;avg=&amp;page=1&amp;mat=or&amp;jge=&amp;for=&amp;cid=613428" TargetMode="External"/><Relationship Id="rId558" Type="http://schemas.openxmlformats.org/officeDocument/2006/relationships/hyperlink" Target="http://europa.eu/rapid/press-release_IP-16-1455_EN.htm" TargetMode="External"/><Relationship Id="rId155" Type="http://schemas.openxmlformats.org/officeDocument/2006/relationships/hyperlink" Target="http://eur-lex.europa.eu/legal-content/EN/TXT/?qid=1490113653392&amp;uri=CELEX:32008L0050" TargetMode="External"/><Relationship Id="rId197" Type="http://schemas.openxmlformats.org/officeDocument/2006/relationships/hyperlink" Target="http://eur-lex.europa.eu/legal-content/EN/TXT/?qid=1490116128704&amp;uri=CELEX:32010L0075" TargetMode="External"/><Relationship Id="rId362" Type="http://schemas.openxmlformats.org/officeDocument/2006/relationships/hyperlink" Target="http://eur-lex.europa.eu/legal-content/EN/TXT/?qid=1490108286401&amp;uri=CELEX:32014L0033" TargetMode="External"/><Relationship Id="rId418" Type="http://schemas.openxmlformats.org/officeDocument/2006/relationships/hyperlink" Target="http://eur-lex.europa.eu/legal-content/EN/TXT/?qid=1490164506916&amp;uri=CELEX:32000L0043" TargetMode="External"/><Relationship Id="rId625" Type="http://schemas.openxmlformats.org/officeDocument/2006/relationships/hyperlink" Target="http://curia.europa.eu/juris/liste.jsf?language=en&amp;jur=C,T,F&amp;num=C-98/16&amp;td=ALL" TargetMode="External"/><Relationship Id="rId222" Type="http://schemas.openxmlformats.org/officeDocument/2006/relationships/hyperlink" Target="http://curia.europa.eu/jcms/upload/docs/application/pdf/2016-06/cp160067en.pdf" TargetMode="External"/><Relationship Id="rId264" Type="http://schemas.openxmlformats.org/officeDocument/2006/relationships/hyperlink" Target="http://eur-lex.europa.eu/legal-content/EN/TXT/?qid=1490113467664&amp;uri=CELEX:32000L0060" TargetMode="External"/><Relationship Id="rId471" Type="http://schemas.openxmlformats.org/officeDocument/2006/relationships/hyperlink" Target="http://eur-lex.europa.eu/legal-content/EN/TXT/?qid=1490093814543&amp;uri=CELEX:32008L0115" TargetMode="External"/><Relationship Id="rId17" Type="http://schemas.openxmlformats.org/officeDocument/2006/relationships/hyperlink" Target="http://curia.europa.eu/juris/liste.jsf?language=en&amp;jur=C,T,F&amp;num=C-327/15&amp;td=ALL" TargetMode="External"/><Relationship Id="rId59" Type="http://schemas.openxmlformats.org/officeDocument/2006/relationships/hyperlink" Target="http://eur-lex.europa.eu/legal-content/EN/TXT/?qid=1487784658133&amp;uri=CELEX:32014L0054" TargetMode="External"/><Relationship Id="rId124" Type="http://schemas.openxmlformats.org/officeDocument/2006/relationships/hyperlink" Target="http://eur-lex.europa.eu/legal-content/en/TXT/?uri=CELEX%3A32008L0050" TargetMode="External"/><Relationship Id="rId527" Type="http://schemas.openxmlformats.org/officeDocument/2006/relationships/hyperlink" Target="http://europa.eu/rapid/press-release_MEMO-16-3125_en.htm" TargetMode="External"/><Relationship Id="rId569" Type="http://schemas.openxmlformats.org/officeDocument/2006/relationships/hyperlink" Target="http://eur-lex.europa.eu/legal-content/EN/TXT/?qid=1490114678796&amp;uri=CELEX:32004L0052" TargetMode="External"/><Relationship Id="rId70" Type="http://schemas.openxmlformats.org/officeDocument/2006/relationships/hyperlink" Target="http://eur-lex.europa.eu/legal-content/EN/TXT/?qid=1487859358604&amp;uri=CELEX:32009L0073" TargetMode="External"/><Relationship Id="rId166" Type="http://schemas.openxmlformats.org/officeDocument/2006/relationships/hyperlink" Target="http://eur-lex.europa.eu/legal-content/EN/TXT/?qid=1490113744060&amp;uri=CELEX:32015L1127" TargetMode="External"/><Relationship Id="rId331" Type="http://schemas.openxmlformats.org/officeDocument/2006/relationships/hyperlink" Target="http://europa.eu/rapid/press-release_MEMO-16-3644_en.htm" TargetMode="External"/><Relationship Id="rId373" Type="http://schemas.openxmlformats.org/officeDocument/2006/relationships/hyperlink" Target="http://eur-lex.europa.eu/legal-content/EN/TXT/?qid=1456927136179&amp;uri=CELEX:32006L0123" TargetMode="External"/><Relationship Id="rId429" Type="http://schemas.openxmlformats.org/officeDocument/2006/relationships/hyperlink" Target="http://curia.europa.eu/jcms/jcms/Jo2_7052/en/?types=com.jalios.jcms.Content&amp;typesOff=generated.RecueilPublication&amp;textSearch=true&amp;catName=true&amp;searchInFiles=true&amp;langs=user&amp;text=18%2F2016&amp;opSearch=Search&amp;csrftoken=xSx0sYNxmgyrk7Zc&amp;jsp=plugins%2FCuriaPlugin%2Fjsp%2Fquery.jsp" TargetMode="External"/><Relationship Id="rId580" Type="http://schemas.openxmlformats.org/officeDocument/2006/relationships/hyperlink" Target="http://eur-lex.europa.eu/legal-content/EN/TXT/?qid=1490167430514&amp;uri=CELEX:32011R0492" TargetMode="External"/><Relationship Id="rId636" Type="http://schemas.openxmlformats.org/officeDocument/2006/relationships/hyperlink" Target="http://curia.europa.eu/juris/liste.jsf?language=en&amp;jur=C,T,F&amp;num=C-478/15&amp;td=ALL" TargetMode="External"/><Relationship Id="rId1" Type="http://schemas.openxmlformats.org/officeDocument/2006/relationships/hyperlink" Target="http://eur-lex.europa.eu/legal-content/EN/TXT/?qid=1487856020549&amp;uri=CELEX:32013R1307" TargetMode="External"/><Relationship Id="rId233" Type="http://schemas.openxmlformats.org/officeDocument/2006/relationships/hyperlink" Target="http://curia.europa.eu/juris/liste.jsf?language=en&amp;jur=C,T,F&amp;num=C-290/15&amp;td=ALL" TargetMode="External"/><Relationship Id="rId440" Type="http://schemas.openxmlformats.org/officeDocument/2006/relationships/hyperlink" Target="http://curia.europa.eu/juris/liste.jsf?language=en&amp;jur=C,T,F&amp;num=C-165/14&amp;td=A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282017259167058E-2"/>
                  <c:y val="7.6946264455026434E-2"/>
                </c:manualLayout>
              </c:layout>
              <c:dLblPos val="r"/>
              <c:showLegendKey val="0"/>
              <c:showVal val="1"/>
              <c:showCatName val="0"/>
              <c:showSerName val="0"/>
              <c:showPercent val="0"/>
              <c:showBubbleSize val="0"/>
            </c:dLbl>
            <c:dLbl>
              <c:idx val="1"/>
              <c:layout>
                <c:manualLayout>
                  <c:x val="-3.3670033670033669E-2"/>
                  <c:y val="6.6312997347480113E-2"/>
                </c:manualLayout>
              </c:layout>
              <c:dLblPos val="r"/>
              <c:showLegendKey val="0"/>
              <c:showVal val="1"/>
              <c:showCatName val="0"/>
              <c:showSerName val="0"/>
              <c:showPercent val="0"/>
              <c:showBubbleSize val="0"/>
            </c:dLbl>
            <c:dLbl>
              <c:idx val="2"/>
              <c:layout>
                <c:manualLayout>
                  <c:x val="-3.0864197530864196E-2"/>
                  <c:y val="8.6206896551724144E-2"/>
                </c:manualLayout>
              </c:layout>
              <c:dLblPos val="r"/>
              <c:showLegendKey val="0"/>
              <c:showVal val="1"/>
              <c:showCatName val="0"/>
              <c:showSerName val="0"/>
              <c:showPercent val="0"/>
              <c:showBubbleSize val="0"/>
            </c:dLbl>
            <c:dLbl>
              <c:idx val="3"/>
              <c:layout>
                <c:manualLayout>
                  <c:x val="-4.217774707394556E-2"/>
                  <c:y val="7.0205249949546383E-2"/>
                </c:manualLayout>
              </c:layout>
              <c:dLblPos val="r"/>
              <c:showLegendKey val="0"/>
              <c:showVal val="1"/>
              <c:showCatName val="0"/>
              <c:showSerName val="0"/>
              <c:showPercent val="0"/>
              <c:showBubbleSize val="0"/>
            </c:dLbl>
            <c:spPr>
              <a:noFill/>
              <a:ln w="25378">
                <a:noFill/>
              </a:ln>
            </c:spPr>
            <c:txPr>
              <a:bodyPr rot="0" spcFirstLastPara="1" vertOverflow="ellipsis" vert="horz" wrap="square" lIns="38100" tIns="19050" rIns="38100" bIns="19050" anchor="t" anchorCtr="0">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59</c:v>
                </c:pt>
                <c:pt idx="1">
                  <c:v>98</c:v>
                </c:pt>
                <c:pt idx="2">
                  <c:v>115</c:v>
                </c:pt>
                <c:pt idx="3">
                  <c:v>91</c:v>
                </c:pt>
                <c:pt idx="4">
                  <c:v>105</c:v>
                </c:pt>
              </c:numCache>
            </c:numRef>
          </c:val>
          <c:smooth val="0"/>
        </c:ser>
        <c:dLbls>
          <c:showLegendKey val="0"/>
          <c:showVal val="0"/>
          <c:showCatName val="0"/>
          <c:showSerName val="0"/>
          <c:showPercent val="0"/>
          <c:showBubbleSize val="0"/>
        </c:dLbls>
        <c:marker val="1"/>
        <c:smooth val="0"/>
        <c:axId val="63214336"/>
        <c:axId val="63215872"/>
      </c:lineChart>
      <c:catAx>
        <c:axId val="63214336"/>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3215872"/>
        <c:crosses val="autoZero"/>
        <c:auto val="1"/>
        <c:lblAlgn val="ctr"/>
        <c:lblOffset val="100"/>
        <c:noMultiLvlLbl val="0"/>
      </c:catAx>
      <c:valAx>
        <c:axId val="63215872"/>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63214336"/>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58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layout>
        <c:manualLayout>
          <c:xMode val="edge"/>
          <c:yMode val="edge"/>
          <c:x val="0.25399218313791178"/>
          <c:y val="3.0651340996168581E-2"/>
        </c:manualLayout>
      </c:layout>
      <c:overlay val="0"/>
      <c:spPr>
        <a:noFill/>
        <a:ln w="25374">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C0504D"/>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delete val="1"/>
            </c:dLbl>
            <c:dLbl>
              <c:idx val="1"/>
              <c:layout>
                <c:manualLayout>
                  <c:x val="-5.8626465661641515E-2"/>
                  <c:y val="-0.35388737465509112"/>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1.9546771477685892E-2"/>
                  <c:y val="8.6151070058550369E-2"/>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3.0792240355430431E-6"/>
                  <c:y val="-1.6054149648406249E-2"/>
                </c:manualLayout>
              </c:layout>
              <c:dLblPos val="bestFit"/>
              <c:showLegendKey val="1"/>
              <c:showVal val="1"/>
              <c:showCatName val="1"/>
              <c:showSerName val="0"/>
              <c:showPercent val="0"/>
              <c:showBubbleSize val="0"/>
              <c:separator>
</c:separator>
            </c:dLbl>
            <c:dLbl>
              <c:idx val="4"/>
              <c:layout>
                <c:manualLayout>
                  <c:x val="0"/>
                  <c:y val="1.6025641025641024E-2"/>
                </c:manualLayout>
              </c:layout>
              <c:dLblPos val="bestFit"/>
              <c:showLegendKey val="1"/>
              <c:showVal val="1"/>
              <c:showCatName val="1"/>
              <c:showSerName val="0"/>
              <c:showPercent val="0"/>
              <c:showBubbleSize val="0"/>
              <c:separator>
</c:separator>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Copyright</c:v>
                </c:pt>
                <c:pt idx="2">
                  <c:v>Electronic communications</c:v>
                </c:pt>
                <c:pt idx="3">
                  <c:v>Audiovisual and media services</c:v>
                </c:pt>
                <c:pt idx="4">
                  <c:v>Data policy and innovation</c:v>
                </c:pt>
              </c:strCache>
            </c:strRef>
          </c:cat>
          <c:val>
            <c:numRef>
              <c:f>Blad1!$B$2:$B$6</c:f>
              <c:numCache>
                <c:formatCode>General</c:formatCode>
                <c:ptCount val="5"/>
                <c:pt idx="0">
                  <c:v>0</c:v>
                </c:pt>
                <c:pt idx="1">
                  <c:v>26</c:v>
                </c:pt>
                <c:pt idx="2">
                  <c:v>25</c:v>
                </c:pt>
                <c:pt idx="3">
                  <c:v>4</c:v>
                </c:pt>
                <c:pt idx="4">
                  <c:v>3</c:v>
                </c:pt>
              </c:numCache>
            </c:numRef>
          </c:val>
        </c:ser>
        <c:dLbls>
          <c:showLegendKey val="0"/>
          <c:showVal val="0"/>
          <c:showCatName val="0"/>
          <c:showSerName val="0"/>
          <c:showPercent val="0"/>
          <c:showBubbleSize val="0"/>
          <c:showLeaderLines val="0"/>
        </c:dLbls>
        <c:firstSliceAng val="145"/>
      </c:pieChart>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193</c:v>
                </c:pt>
                <c:pt idx="1">
                  <c:v>174</c:v>
                </c:pt>
                <c:pt idx="2">
                  <c:v>130</c:v>
                </c:pt>
                <c:pt idx="3">
                  <c:v>108</c:v>
                </c:pt>
                <c:pt idx="4">
                  <c:v>118</c:v>
                </c:pt>
              </c:numCache>
            </c:numRef>
          </c:val>
          <c:smooth val="0"/>
        </c:ser>
        <c:dLbls>
          <c:showLegendKey val="0"/>
          <c:showVal val="0"/>
          <c:showCatName val="0"/>
          <c:showSerName val="0"/>
          <c:showPercent val="0"/>
          <c:showBubbleSize val="0"/>
        </c:dLbls>
        <c:marker val="1"/>
        <c:smooth val="0"/>
        <c:axId val="106805120"/>
        <c:axId val="106806656"/>
      </c:lineChart>
      <c:catAx>
        <c:axId val="106805120"/>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806656"/>
        <c:crosses val="autoZero"/>
        <c:auto val="1"/>
        <c:lblAlgn val="ctr"/>
        <c:lblOffset val="100"/>
        <c:noMultiLvlLbl val="0"/>
      </c:catAx>
      <c:valAx>
        <c:axId val="106806656"/>
        <c:scaling>
          <c:orientation val="minMax"/>
          <c:min val="90"/>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106805120"/>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118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0.39031160349142402"/>
                  <c:y val="-0.10855766922939933"/>
                </c:manualLayout>
              </c:layout>
              <c:dLblPos val="bestFit"/>
              <c:showLegendKey val="1"/>
              <c:showVal val="1"/>
              <c:showCatName val="1"/>
              <c:showSerName val="0"/>
              <c:showPercent val="0"/>
              <c:showBubbleSize val="0"/>
              <c:separator>
</c:separator>
            </c:dLbl>
            <c:dLbl>
              <c:idx val="2"/>
              <c:layout>
                <c:manualLayout>
                  <c:x val="-3.0454042081949059E-2"/>
                  <c:y val="0.10737628384687206"/>
                </c:manualLayout>
              </c:layout>
              <c:dLblPos val="bestFit"/>
              <c:showLegendKey val="1"/>
              <c:showVal val="1"/>
              <c:showCatName val="1"/>
              <c:showSerName val="0"/>
              <c:showPercent val="0"/>
              <c:showBubbleSize val="0"/>
              <c:separator>
</c:separator>
            </c:dLbl>
            <c:dLbl>
              <c:idx val="3"/>
              <c:layout>
                <c:manualLayout>
                  <c:x val="-2.2074493595277335E-2"/>
                  <c:y val="3.7348272642390289E-2"/>
                </c:manualLayout>
              </c:layout>
              <c:dLblPos val="bestFit"/>
              <c:showLegendKey val="1"/>
              <c:showVal val="1"/>
              <c:showCatName val="1"/>
              <c:showSerName val="0"/>
              <c:showPercent val="0"/>
              <c:showBubbleSize val="0"/>
              <c:separator>
</c:separator>
            </c:dLbl>
            <c:dLbl>
              <c:idx val="4"/>
              <c:layout>
                <c:manualLayout>
                  <c:x val="6.7398084934674021E-5"/>
                  <c:y val="-9.5517421501673475E-3"/>
                </c:manualLayout>
              </c:layout>
              <c:dLblPos val="bestFit"/>
              <c:showLegendKey val="1"/>
              <c:showVal val="1"/>
              <c:showCatName val="1"/>
              <c:showSerName val="0"/>
              <c:showPercent val="0"/>
              <c:showBubbleSize val="0"/>
              <c:separator>
</c:separator>
            </c:dLbl>
            <c:dLbl>
              <c:idx val="5"/>
              <c:layout>
                <c:manualLayout>
                  <c:x val="1.6638981173864895E-2"/>
                  <c:y val="-6.5205819860752703E-2"/>
                </c:manualLayout>
              </c:layout>
              <c:dLblPos val="bestFit"/>
              <c:showLegendKey val="1"/>
              <c:showVal val="1"/>
              <c:showCatName val="1"/>
              <c:showSerName val="0"/>
              <c:showPercent val="0"/>
              <c:showBubbleSize val="0"/>
              <c:separator>
</c:separator>
            </c:dLbl>
            <c:dLbl>
              <c:idx val="6"/>
              <c:layout>
                <c:manualLayout>
                  <c:x val="1.1074197120708647E-2"/>
                  <c:y val="5.6022408963585436E-2"/>
                </c:manualLayout>
              </c:layout>
              <c:dLblPos val="bestFit"/>
              <c:showLegendKey val="1"/>
              <c:showVal val="1"/>
              <c:showCatName val="1"/>
              <c:showSerName val="0"/>
              <c:showPercent val="0"/>
              <c:showBubbleSize val="0"/>
              <c:separator>
</c:separator>
            </c:dLbl>
            <c:dLbl>
              <c:idx val="7"/>
              <c:layout>
                <c:manualLayout>
                  <c:x val="-8.3056478405315621E-3"/>
                  <c:y val="0.18674136321195145"/>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Direct taxation</c:v>
                </c:pt>
                <c:pt idx="2">
                  <c:v>Indirect taxation - VAT</c:v>
                </c:pt>
                <c:pt idx="3">
                  <c:v>Indirect taxation - excise duties</c:v>
                </c:pt>
                <c:pt idx="4">
                  <c:v>Other</c:v>
                </c:pt>
              </c:strCache>
            </c:strRef>
          </c:cat>
          <c:val>
            <c:numRef>
              <c:f>Blad1!$B$2:$B$6</c:f>
              <c:numCache>
                <c:formatCode>General</c:formatCode>
                <c:ptCount val="5"/>
                <c:pt idx="0">
                  <c:v>0</c:v>
                </c:pt>
                <c:pt idx="1">
                  <c:v>64</c:v>
                </c:pt>
                <c:pt idx="2">
                  <c:v>29</c:v>
                </c:pt>
                <c:pt idx="3">
                  <c:v>13</c:v>
                </c:pt>
                <c:pt idx="4">
                  <c:v>12</c:v>
                </c:pt>
              </c:numCache>
            </c:numRef>
          </c:val>
        </c:ser>
        <c:dLbls>
          <c:showLegendKey val="0"/>
          <c:showVal val="0"/>
          <c:showCatName val="0"/>
          <c:showSerName val="0"/>
          <c:showPercent val="0"/>
          <c:showBubbleSize val="0"/>
          <c:showLeaderLines val="0"/>
        </c:dLbls>
        <c:firstSliceAng val="98"/>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40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8.3001107419712103E-2"/>
                  <c:y val="-3.1671822272215746E-3"/>
                </c:manualLayout>
              </c:layout>
              <c:dLblPos val="bestFit"/>
              <c:showLegendKey val="1"/>
              <c:showVal val="1"/>
              <c:showCatName val="1"/>
              <c:showSerName val="0"/>
              <c:showPercent val="0"/>
              <c:showBubbleSize val="0"/>
              <c:separator>
</c:separator>
            </c:dLbl>
            <c:dLbl>
              <c:idx val="2"/>
              <c:layout>
                <c:manualLayout>
                  <c:x val="-2.1799600631316434E-7"/>
                  <c:y val="7.5218332083489561E-2"/>
                </c:manualLayout>
              </c:layout>
              <c:dLblPos val="bestFit"/>
              <c:showLegendKey val="1"/>
              <c:showVal val="1"/>
              <c:showCatName val="1"/>
              <c:showSerName val="0"/>
              <c:showPercent val="0"/>
              <c:showBubbleSize val="0"/>
              <c:separator>
</c:separator>
            </c:dLbl>
            <c:dLbl>
              <c:idx val="3"/>
              <c:layout>
                <c:manualLayout>
                  <c:x val="7.3900646140162717E-5"/>
                  <c:y val="8.7534370703662046E-2"/>
                </c:manualLayout>
              </c:layout>
              <c:dLblPos val="bestFit"/>
              <c:showLegendKey val="1"/>
              <c:showVal val="1"/>
              <c:showCatName val="1"/>
              <c:showSerName val="0"/>
              <c:showPercent val="0"/>
              <c:showBubbleSize val="0"/>
              <c:separator>
</c:separator>
            </c:dLbl>
            <c:dLbl>
              <c:idx val="4"/>
              <c:layout>
                <c:manualLayout>
                  <c:x val="6.6205387117308015E-3"/>
                  <c:y val="5.5743032120984873E-3"/>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Direct taxation</c:v>
                </c:pt>
                <c:pt idx="2">
                  <c:v>Indirect taxation - VAT</c:v>
                </c:pt>
                <c:pt idx="3">
                  <c:v>Indirect taxation - excise duties</c:v>
                </c:pt>
                <c:pt idx="4">
                  <c:v>Other</c:v>
                </c:pt>
              </c:strCache>
            </c:strRef>
          </c:cat>
          <c:val>
            <c:numRef>
              <c:f>Blad1!$B$2:$B$6</c:f>
              <c:numCache>
                <c:formatCode>General</c:formatCode>
                <c:ptCount val="5"/>
                <c:pt idx="0">
                  <c:v>0</c:v>
                </c:pt>
                <c:pt idx="1">
                  <c:v>28</c:v>
                </c:pt>
                <c:pt idx="2">
                  <c:v>8</c:v>
                </c:pt>
                <c:pt idx="3">
                  <c:v>2</c:v>
                </c:pt>
                <c:pt idx="4">
                  <c:v>2</c:v>
                </c:pt>
              </c:numCache>
            </c:numRef>
          </c:val>
        </c:ser>
        <c:dLbls>
          <c:showLegendKey val="0"/>
          <c:showVal val="0"/>
          <c:showCatName val="0"/>
          <c:showSerName val="0"/>
          <c:showPercent val="0"/>
          <c:showBubbleSize val="0"/>
          <c:showLeaderLines val="0"/>
        </c:dLbls>
        <c:firstSliceAng val="36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3657174762702403E-2"/>
                  <c:y val="-8.099219620958753E-2"/>
                </c:manualLayout>
              </c:layout>
              <c:dLblPos val="r"/>
              <c:showLegendKey val="0"/>
              <c:showVal val="1"/>
              <c:showCatName val="0"/>
              <c:showSerName val="0"/>
              <c:showPercent val="0"/>
              <c:showBubbleSize val="0"/>
            </c:dLbl>
            <c:dLbl>
              <c:idx val="2"/>
              <c:layout>
                <c:manualLayout>
                  <c:x val="-1.2171970965940816E-2"/>
                  <c:y val="1.9341813042600443E-2"/>
                </c:manualLayout>
              </c:layout>
              <c:dLblPos val="r"/>
              <c:showLegendKey val="0"/>
              <c:showVal val="1"/>
              <c:showCatName val="0"/>
              <c:showSerName val="0"/>
              <c:showPercent val="0"/>
              <c:showBubbleSize val="0"/>
            </c:dLbl>
            <c:dLbl>
              <c:idx val="3"/>
              <c:layout>
                <c:manualLayout>
                  <c:x val="-3.5708507542084877E-2"/>
                  <c:y val="5.7792378795459932E-2"/>
                </c:manualLayout>
              </c:layout>
              <c:dLblPos val="r"/>
              <c:showLegendKey val="0"/>
              <c:showVal val="1"/>
              <c:showCatName val="0"/>
              <c:showSerName val="0"/>
              <c:showPercent val="0"/>
              <c:showBubbleSize val="0"/>
            </c:dLbl>
            <c:dLbl>
              <c:idx val="4"/>
              <c:layout>
                <c:manualLayout>
                  <c:x val="-4.0126485445600706E-2"/>
                  <c:y val="-7.8919670994302984E-2"/>
                </c:manualLayout>
              </c:layout>
              <c:dLblPos val="r"/>
              <c:showLegendKey val="0"/>
              <c:showVal val="1"/>
              <c:showCatName val="0"/>
              <c:showSerName val="0"/>
              <c:showPercent val="0"/>
              <c:showBubbleSize val="0"/>
            </c:dLbl>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18</c:v>
                </c:pt>
                <c:pt idx="1">
                  <c:v>34</c:v>
                </c:pt>
                <c:pt idx="2">
                  <c:v>0</c:v>
                </c:pt>
                <c:pt idx="3">
                  <c:v>11</c:v>
                </c:pt>
                <c:pt idx="4">
                  <c:v>34</c:v>
                </c:pt>
              </c:numCache>
            </c:numRef>
          </c:val>
          <c:smooth val="0"/>
        </c:ser>
        <c:dLbls>
          <c:showLegendKey val="0"/>
          <c:showVal val="0"/>
          <c:showCatName val="0"/>
          <c:showSerName val="0"/>
          <c:showPercent val="0"/>
          <c:showBubbleSize val="0"/>
        </c:dLbls>
        <c:marker val="1"/>
        <c:smooth val="0"/>
        <c:axId val="106980480"/>
        <c:axId val="106982016"/>
      </c:lineChart>
      <c:catAx>
        <c:axId val="106980480"/>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982016"/>
        <c:crosses val="autoZero"/>
        <c:auto val="1"/>
        <c:lblAlgn val="ctr"/>
        <c:lblOffset val="100"/>
        <c:noMultiLvlLbl val="0"/>
      </c:catAx>
      <c:valAx>
        <c:axId val="106982016"/>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06980480"/>
        <c:crosses val="autoZero"/>
        <c:crossBetween val="between"/>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34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000099"/>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4.4248483462388778E-2"/>
                  <c:y val="-0.1"/>
                </c:manualLayout>
              </c:layout>
              <c:dLblPos val="bestFit"/>
              <c:showLegendKey val="1"/>
              <c:showVal val="1"/>
              <c:showCatName val="1"/>
              <c:showSerName val="0"/>
              <c:showPercent val="0"/>
              <c:showBubbleSize val="0"/>
              <c:separator>
</c:separator>
            </c:dLbl>
            <c:dLbl>
              <c:idx val="1"/>
              <c:layout>
                <c:manualLayout>
                  <c:x val="1.6611295681063124E-2"/>
                  <c:y val="3.7037037037037035E-2"/>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Blad1!$A$4:$A$5</c:f>
              <c:strCache>
                <c:ptCount val="2"/>
                <c:pt idx="0">
                  <c:v>Direct taxation</c:v>
                </c:pt>
                <c:pt idx="1">
                  <c:v>Indirect taxation - VAT</c:v>
                </c:pt>
              </c:strCache>
            </c:strRef>
          </c:cat>
          <c:val>
            <c:numRef>
              <c:f>Blad1!$B$4:$B$5</c:f>
              <c:numCache>
                <c:formatCode>General</c:formatCode>
                <c:ptCount val="2"/>
                <c:pt idx="0">
                  <c:v>27</c:v>
                </c:pt>
                <c:pt idx="1">
                  <c:v>7</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53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layout>
        <c:manualLayout>
          <c:xMode val="edge"/>
          <c:yMode val="edge"/>
          <c:x val="0.25399218313791178"/>
          <c:y val="3.0651340996168581E-2"/>
        </c:manualLayout>
      </c:layout>
      <c:overlay val="0"/>
      <c:spPr>
        <a:noFill/>
        <a:ln w="25374">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delete val="1"/>
            </c:dLbl>
            <c:dLbl>
              <c:idx val="1"/>
              <c:layout>
                <c:manualLayout>
                  <c:x val="3.1806011685725215E-2"/>
                  <c:y val="2.8244245911568745E-2"/>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5.0246640024268326E-2"/>
                  <c:y val="-0.26107115216367183"/>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954215522054718E-2"/>
                  <c:y val="-2.1367521367521465E-2"/>
                </c:manualLayout>
              </c:layout>
              <c:dLblPos val="bestFit"/>
              <c:showLegendKey val="1"/>
              <c:showVal val="1"/>
              <c:showCatName val="1"/>
              <c:showSerName val="0"/>
              <c:showPercent val="0"/>
              <c:showBubbleSize val="0"/>
              <c:separator>
</c:separator>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Blad1!$A$2:$A$5</c:f>
              <c:strCache>
                <c:ptCount val="4"/>
                <c:pt idx="0">
                  <c:v>Sectors</c:v>
                </c:pt>
                <c:pt idx="1">
                  <c:v>Electronic communications</c:v>
                </c:pt>
                <c:pt idx="2">
                  <c:v>Copyright</c:v>
                </c:pt>
                <c:pt idx="3">
                  <c:v>Audiovisual and media services</c:v>
                </c:pt>
              </c:strCache>
            </c:strRef>
          </c:cat>
          <c:val>
            <c:numRef>
              <c:f>Blad1!$B$2:$B$5</c:f>
              <c:numCache>
                <c:formatCode>General</c:formatCode>
                <c:ptCount val="4"/>
                <c:pt idx="0">
                  <c:v>0</c:v>
                </c:pt>
                <c:pt idx="1">
                  <c:v>29</c:v>
                </c:pt>
                <c:pt idx="2">
                  <c:v>23</c:v>
                </c:pt>
                <c:pt idx="3">
                  <c:v>1</c:v>
                </c:pt>
              </c:numCache>
            </c:numRef>
          </c:val>
        </c:ser>
        <c:dLbls>
          <c:showLegendKey val="0"/>
          <c:showVal val="0"/>
          <c:showCatName val="0"/>
          <c:showSerName val="0"/>
          <c:showPercent val="0"/>
          <c:showBubbleSize val="0"/>
          <c:showLeaderLines val="0"/>
        </c:dLbls>
        <c:firstSliceAng val="224"/>
      </c:pieChart>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496062992125984E-2"/>
          <c:y val="5.8201058201058198E-2"/>
          <c:w val="0.93701430681471831"/>
          <c:h val="0.817601966420864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586071137659517E-2"/>
                  <c:y val="-8.1435493640218043E-2"/>
                </c:manualLayout>
              </c:layout>
              <c:dLblPos val="r"/>
              <c:showLegendKey val="0"/>
              <c:showVal val="1"/>
              <c:showCatName val="0"/>
              <c:showSerName val="0"/>
              <c:showPercent val="0"/>
              <c:showBubbleSize val="0"/>
            </c:dLbl>
            <c:dLbl>
              <c:idx val="1"/>
              <c:layout>
                <c:manualLayout>
                  <c:x val="-4.0081804754270131E-2"/>
                  <c:y val="-7.407407407407407E-2"/>
                </c:manualLayout>
              </c:layout>
              <c:dLblPos val="r"/>
              <c:showLegendKey val="0"/>
              <c:showVal val="1"/>
              <c:showCatName val="0"/>
              <c:showSerName val="0"/>
              <c:showPercent val="0"/>
              <c:showBubbleSize val="0"/>
            </c:dLbl>
            <c:dLbl>
              <c:idx val="2"/>
              <c:layout>
                <c:manualLayout>
                  <c:x val="-2.862986053876438E-2"/>
                  <c:y val="-6.8783068783068779E-2"/>
                </c:manualLayout>
              </c:layout>
              <c:dLblPos val="r"/>
              <c:showLegendKey val="0"/>
              <c:showVal val="1"/>
              <c:showCatName val="0"/>
              <c:showSerName val="0"/>
              <c:showPercent val="0"/>
              <c:showBubbleSize val="0"/>
            </c:dLbl>
            <c:dLbl>
              <c:idx val="3"/>
              <c:layout>
                <c:manualLayout>
                  <c:x val="-3.4355832646517259E-2"/>
                  <c:y val="-6.3492063492063489E-2"/>
                </c:manualLayout>
              </c:layout>
              <c:dLblPos val="r"/>
              <c:showLegendKey val="0"/>
              <c:showVal val="1"/>
              <c:showCatName val="0"/>
              <c:showSerName val="0"/>
              <c:showPercent val="0"/>
              <c:showBubbleSize val="0"/>
            </c:dLbl>
            <c:dLbl>
              <c:idx val="4"/>
              <c:layout>
                <c:manualLayout>
                  <c:x val="-4.0081804754270131E-2"/>
                  <c:y val="-6.3492063492063489E-2"/>
                </c:manualLayout>
              </c:layout>
              <c:dLblPos val="r"/>
              <c:showLegendKey val="0"/>
              <c:showVal val="1"/>
              <c:showCatName val="0"/>
              <c:showSerName val="0"/>
              <c:showPercent val="0"/>
              <c:showBubbleSize val="0"/>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0</c:v>
                </c:pt>
                <c:pt idx="1">
                  <c:v>0</c:v>
                </c:pt>
                <c:pt idx="2">
                  <c:v>0</c:v>
                </c:pt>
                <c:pt idx="3">
                  <c:v>17</c:v>
                </c:pt>
                <c:pt idx="4">
                  <c:v>50</c:v>
                </c:pt>
              </c:numCache>
            </c:numRef>
          </c:val>
          <c:smooth val="0"/>
        </c:ser>
        <c:dLbls>
          <c:showLegendKey val="0"/>
          <c:showVal val="0"/>
          <c:showCatName val="0"/>
          <c:showSerName val="0"/>
          <c:showPercent val="0"/>
          <c:showBubbleSize val="0"/>
        </c:dLbls>
        <c:marker val="1"/>
        <c:smooth val="0"/>
        <c:axId val="95375360"/>
        <c:axId val="95376896"/>
      </c:lineChart>
      <c:catAx>
        <c:axId val="9537536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376896"/>
        <c:crosses val="autoZero"/>
        <c:auto val="1"/>
        <c:lblAlgn val="ctr"/>
        <c:lblOffset val="100"/>
        <c:noMultiLvlLbl val="0"/>
      </c:catAx>
      <c:valAx>
        <c:axId val="95376896"/>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95375360"/>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50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5.5419380716945264E-2"/>
                  <c:y val="-0.20582010582010582"/>
                </c:manualLayout>
              </c:layout>
              <c:dLblPos val="bestFit"/>
              <c:showLegendKey val="1"/>
              <c:showVal val="1"/>
              <c:showCatName val="1"/>
              <c:showSerName val="0"/>
              <c:showPercent val="0"/>
              <c:showBubbleSize val="0"/>
              <c:separator>
</c:separator>
            </c:dLbl>
            <c:dLbl>
              <c:idx val="1"/>
              <c:layout>
                <c:manualLayout>
                  <c:x val="1.6611295681063124E-2"/>
                  <c:y val="-0.18518518518518517"/>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Blad1!$A$4:$A$5</c:f>
              <c:strCache>
                <c:ptCount val="2"/>
                <c:pt idx="0">
                  <c:v>Copyright</c:v>
                </c:pt>
                <c:pt idx="1">
                  <c:v>Electronic communication</c:v>
                </c:pt>
              </c:strCache>
            </c:strRef>
          </c:cat>
          <c:val>
            <c:numRef>
              <c:f>Blad1!$B$4:$B$5</c:f>
              <c:numCache>
                <c:formatCode>General</c:formatCode>
                <c:ptCount val="2"/>
                <c:pt idx="0">
                  <c:v>23</c:v>
                </c:pt>
                <c:pt idx="1">
                  <c:v>27</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0.05"/>
                  <c:y val="7.6419213973799124E-2"/>
                </c:manualLayout>
              </c:layout>
              <c:dLblPos val="r"/>
              <c:showLegendKey val="0"/>
              <c:showVal val="1"/>
              <c:showCatName val="0"/>
              <c:showSerName val="0"/>
              <c:showPercent val="0"/>
              <c:showBubbleSize val="0"/>
            </c:dLbl>
            <c:dLbl>
              <c:idx val="1"/>
              <c:layout>
                <c:manualLayout>
                  <c:x val="-0.05"/>
                  <c:y val="6.5502183406113537E-2"/>
                </c:manualLayout>
              </c:layout>
              <c:dLblPos val="r"/>
              <c:showLegendKey val="0"/>
              <c:showVal val="1"/>
              <c:showCatName val="0"/>
              <c:showSerName val="0"/>
              <c:showPercent val="0"/>
              <c:showBubbleSize val="0"/>
            </c:dLbl>
            <c:dLbl>
              <c:idx val="2"/>
              <c:layout>
                <c:manualLayout>
                  <c:x val="-0.05"/>
                  <c:y val="7.0960698689956386E-2"/>
                </c:manualLayout>
              </c:layout>
              <c:dLblPos val="r"/>
              <c:showLegendKey val="0"/>
              <c:showVal val="1"/>
              <c:showCatName val="0"/>
              <c:showSerName val="0"/>
              <c:showPercent val="0"/>
              <c:showBubbleSize val="0"/>
            </c:dLbl>
            <c:dLbl>
              <c:idx val="3"/>
              <c:layout>
                <c:manualLayout>
                  <c:x val="-4.7222222222222221E-2"/>
                  <c:y val="7.6419213973799152E-2"/>
                </c:manualLayout>
              </c:layout>
              <c:dLblPos val="r"/>
              <c:showLegendKey val="0"/>
              <c:showVal val="1"/>
              <c:showCatName val="0"/>
              <c:showSerName val="0"/>
              <c:showPercent val="0"/>
              <c:showBubbleSize val="0"/>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309</c:v>
                </c:pt>
                <c:pt idx="1">
                  <c:v>470</c:v>
                </c:pt>
                <c:pt idx="2">
                  <c:v>666</c:v>
                </c:pt>
                <c:pt idx="3">
                  <c:v>612</c:v>
                </c:pt>
                <c:pt idx="4">
                  <c:v>679</c:v>
                </c:pt>
              </c:numCache>
            </c:numRef>
          </c:val>
          <c:smooth val="0"/>
        </c:ser>
        <c:dLbls>
          <c:showLegendKey val="0"/>
          <c:showVal val="0"/>
          <c:showCatName val="0"/>
          <c:showSerName val="0"/>
          <c:showPercent val="0"/>
          <c:showBubbleSize val="0"/>
        </c:dLbls>
        <c:marker val="1"/>
        <c:smooth val="0"/>
        <c:axId val="97527680"/>
        <c:axId val="97529216"/>
      </c:lineChart>
      <c:catAx>
        <c:axId val="9752768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529216"/>
        <c:crosses val="autoZero"/>
        <c:auto val="1"/>
        <c:lblAlgn val="ctr"/>
        <c:lblOffset val="100"/>
        <c:noMultiLvlLbl val="0"/>
      </c:catAx>
      <c:valAx>
        <c:axId val="97529216"/>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97527680"/>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679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6.63588563057525E-2"/>
                  <c:y val="-0.45600208727618247"/>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2.4470051708652698E-3"/>
                  <c:y val="2.8562583237926119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5.218606395130841E-3"/>
                  <c:y val="-3.1904951050258186E-3"/>
                </c:manualLayout>
              </c:layout>
              <c:spPr>
                <a:noFill/>
                <a:ln w="2538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2.2323009042474341E-2"/>
                  <c:y val="-7.418397626112759E-2"/>
                </c:manualLayout>
              </c:layout>
              <c:dLblPos val="bestFit"/>
              <c:showLegendKey val="1"/>
              <c:showVal val="1"/>
              <c:showCatName val="1"/>
              <c:showSerName val="0"/>
              <c:showPercent val="0"/>
              <c:showBubbleSize val="0"/>
              <c:separator>
</c:separator>
            </c:dLbl>
            <c:dLbl>
              <c:idx val="5"/>
              <c:layout>
                <c:manualLayout>
                  <c:x val="5.2577584778646852E-2"/>
                  <c:y val="4.5358766773871575E-4"/>
                </c:manualLayout>
              </c:layout>
              <c:dLblPos val="bestFit"/>
              <c:showLegendKey val="1"/>
              <c:showVal val="1"/>
              <c:showCatName val="1"/>
              <c:showSerName val="0"/>
              <c:showPercent val="0"/>
              <c:showBubbleSize val="0"/>
              <c:separator>
</c:separator>
            </c:dLbl>
            <c:dLbl>
              <c:idx val="6"/>
              <c:layout>
                <c:manualLayout>
                  <c:x val="1.3842746400886037E-2"/>
                  <c:y val="-0.33802816901408445"/>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1">
                  <c:v>Labour law</c:v>
                </c:pt>
                <c:pt idx="2">
                  <c:v>Social security</c:v>
                </c:pt>
                <c:pt idx="3">
                  <c:v>Anti-discrimination</c:v>
                </c:pt>
                <c:pt idx="4">
                  <c:v>Other</c:v>
                </c:pt>
              </c:strCache>
            </c:strRef>
          </c:cat>
          <c:val>
            <c:numRef>
              <c:f>Blad1!$B$2:$B$6</c:f>
              <c:numCache>
                <c:formatCode>General</c:formatCode>
                <c:ptCount val="5"/>
                <c:pt idx="1">
                  <c:v>330</c:v>
                </c:pt>
                <c:pt idx="2">
                  <c:v>150</c:v>
                </c:pt>
                <c:pt idx="3">
                  <c:v>77</c:v>
                </c:pt>
                <c:pt idx="4">
                  <c:v>122</c:v>
                </c:pt>
              </c:numCache>
            </c:numRef>
          </c:val>
        </c:ser>
        <c:ser>
          <c:idx val="1"/>
          <c:order val="1"/>
          <c:tx>
            <c:strRef>
              <c:f>Blad1!$C$1</c:f>
              <c:strCache>
                <c:ptCount val="1"/>
                <c:pt idx="0">
                  <c:v>[Number of new complaints] complaints in 2015</c:v>
                </c:pt>
              </c:strCache>
            </c:strRef>
          </c:tx>
          <c:cat>
            <c:strRef>
              <c:f>Blad1!$A$2:$A$6</c:f>
              <c:strCache>
                <c:ptCount val="5"/>
                <c:pt idx="1">
                  <c:v>Labour law</c:v>
                </c:pt>
                <c:pt idx="2">
                  <c:v>Social security</c:v>
                </c:pt>
                <c:pt idx="3">
                  <c:v>Anti-discrimination</c:v>
                </c:pt>
                <c:pt idx="4">
                  <c:v>Other</c:v>
                </c:pt>
              </c:strCache>
            </c:strRef>
          </c:cat>
          <c:val>
            <c:numRef>
              <c:f>Blad1!$C$2:$C$6</c:f>
              <c:numCache>
                <c:formatCode>General</c:formatCode>
                <c:ptCount val="5"/>
              </c:numCache>
            </c:numRef>
          </c:val>
        </c:ser>
        <c:dLbls>
          <c:showLegendKey val="0"/>
          <c:showVal val="0"/>
          <c:showCatName val="0"/>
          <c:showSerName val="0"/>
          <c:showPercent val="0"/>
          <c:showBubbleSize val="0"/>
          <c:showLeaderLines val="0"/>
        </c:dLbls>
        <c:firstSliceAng val="161"/>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7170029800658937E-2"/>
                  <c:y val="5.9642147117296221E-2"/>
                </c:manualLayout>
              </c:layout>
              <c:dLblPos val="r"/>
              <c:showLegendKey val="0"/>
              <c:showVal val="1"/>
              <c:showCatName val="0"/>
              <c:showSerName val="0"/>
              <c:showPercent val="0"/>
              <c:showBubbleSize val="0"/>
            </c:dLbl>
            <c:dLbl>
              <c:idx val="1"/>
              <c:layout>
                <c:manualLayout>
                  <c:x val="-5.2719200887902329E-2"/>
                  <c:y val="-6.9582504970178941E-2"/>
                </c:manualLayout>
              </c:layout>
              <c:dLblPos val="r"/>
              <c:showLegendKey val="0"/>
              <c:showVal val="1"/>
              <c:showCatName val="0"/>
              <c:showSerName val="0"/>
              <c:showPercent val="0"/>
              <c:showBubbleSize val="0"/>
            </c:dLbl>
            <c:dLbl>
              <c:idx val="2"/>
              <c:layout>
                <c:manualLayout>
                  <c:x val="-4.1620421753607105E-2"/>
                  <c:y val="5.9642147117296221E-2"/>
                </c:manualLayout>
              </c:layout>
              <c:dLblPos val="r"/>
              <c:showLegendKey val="0"/>
              <c:showVal val="1"/>
              <c:showCatName val="0"/>
              <c:showSerName val="0"/>
              <c:showPercent val="0"/>
              <c:showBubbleSize val="0"/>
            </c:dLbl>
            <c:dLbl>
              <c:idx val="3"/>
              <c:layout>
                <c:manualLayout>
                  <c:x val="-4.1620421753607001E-2"/>
                  <c:y val="6.9582504970178927E-2"/>
                </c:manualLayout>
              </c:layout>
              <c:dLblPos val="r"/>
              <c:showLegendKey val="0"/>
              <c:showVal val="1"/>
              <c:showCatName val="0"/>
              <c:showSerName val="0"/>
              <c:showPercent val="0"/>
              <c:showBubbleSize val="0"/>
            </c:dLbl>
            <c:dLbl>
              <c:idx val="4"/>
              <c:layout>
                <c:manualLayout>
                  <c:x val="-3.5991140642303535E-2"/>
                  <c:y val="7.31981981981982E-2"/>
                </c:manualLayout>
              </c:layout>
              <c:showLegendKey val="0"/>
              <c:showVal val="1"/>
              <c:showCatName val="0"/>
              <c:showSerName val="0"/>
              <c:showPercent val="0"/>
              <c:showBubbleSize val="0"/>
            </c:dLbl>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61</c:v>
                </c:pt>
                <c:pt idx="1">
                  <c:v>62</c:v>
                </c:pt>
                <c:pt idx="2">
                  <c:v>68</c:v>
                </c:pt>
                <c:pt idx="3">
                  <c:v>40</c:v>
                </c:pt>
                <c:pt idx="4">
                  <c:v>37</c:v>
                </c:pt>
              </c:numCache>
            </c:numRef>
          </c:val>
          <c:smooth val="0"/>
        </c:ser>
        <c:dLbls>
          <c:showLegendKey val="0"/>
          <c:showVal val="0"/>
          <c:showCatName val="0"/>
          <c:showSerName val="0"/>
          <c:showPercent val="0"/>
          <c:showBubbleSize val="0"/>
        </c:dLbls>
        <c:marker val="1"/>
        <c:smooth val="0"/>
        <c:axId val="97213440"/>
        <c:axId val="97235712"/>
      </c:lineChart>
      <c:catAx>
        <c:axId val="97213440"/>
        <c:scaling>
          <c:orientation val="minMax"/>
        </c:scaling>
        <c:delete val="0"/>
        <c:axPos val="b"/>
        <c:numFmt formatCode="General" sourceLinked="1"/>
        <c:majorTickMark val="none"/>
        <c:minorTickMark val="none"/>
        <c:tickLblPos val="nextTo"/>
        <c:spPr>
          <a:noFill/>
          <a:ln w="1267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235712"/>
        <c:crosses val="autoZero"/>
        <c:auto val="1"/>
        <c:lblAlgn val="ctr"/>
        <c:lblOffset val="100"/>
        <c:noMultiLvlLbl val="0"/>
      </c:catAx>
      <c:valAx>
        <c:axId val="97235712"/>
        <c:scaling>
          <c:orientation val="minMax"/>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97213440"/>
        <c:crosses val="autoZero"/>
        <c:crossBetween val="between"/>
      </c:valAx>
      <c:spPr>
        <a:noFill/>
        <a:ln w="25356">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37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37ACDE"/>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dLbl>
            <c:dLbl>
              <c:idx val="1"/>
              <c:layout>
                <c:manualLayout>
                  <c:x val="-9.1059602649006616E-2"/>
                  <c:y val="-0.15151515151515155"/>
                </c:manualLayout>
              </c:layout>
              <c:spPr>
                <a:noFill/>
                <a:ln w="2537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8.5540838852097137E-2"/>
                  <c:y val="-0.15151515151515152"/>
                </c:manualLayout>
              </c:layout>
              <c:dLblPos val="bestFit"/>
              <c:showLegendKey val="1"/>
              <c:showVal val="1"/>
              <c:showCatName val="1"/>
              <c:showSerName val="0"/>
              <c:showPercent val="0"/>
              <c:showBubbleSize val="0"/>
              <c:separator>
</c:separator>
            </c:dLbl>
            <c:dLbl>
              <c:idx val="3"/>
              <c:layout>
                <c:manualLayout>
                  <c:x val="1.9315673289183224E-2"/>
                  <c:y val="-5.2083333333333287E-2"/>
                </c:manualLayout>
              </c:layout>
              <c:dLblPos val="bestFit"/>
              <c:showLegendKey val="1"/>
              <c:showVal val="1"/>
              <c:showCatName val="1"/>
              <c:showSerName val="0"/>
              <c:showPercent val="0"/>
              <c:showBubbleSize val="0"/>
              <c:separator>
</c:separator>
            </c:dLbl>
            <c:dLbl>
              <c:idx val="4"/>
              <c:layout>
                <c:manualLayout>
                  <c:x val="4.967843306836027E-2"/>
                  <c:y val="4.6650659884102684E-2"/>
                </c:manualLayout>
              </c:layout>
              <c:tx>
                <c:rich>
                  <a:bodyPr/>
                  <a:lstStyle/>
                  <a:p>
                    <a:r>
                      <a:rPr lang="en-US"/>
                      <a:t>Labour mobility
5</a:t>
                    </a:r>
                  </a:p>
                </c:rich>
              </c:tx>
              <c:dLblPos val="bestFit"/>
              <c:showLegendKey val="1"/>
              <c:showVal val="1"/>
              <c:showCatName val="1"/>
              <c:showSerName val="0"/>
              <c:showPercent val="0"/>
              <c:showBubbleSize val="0"/>
              <c:separator>
</c:separator>
            </c:dLbl>
            <c:dLbl>
              <c:idx val="5"/>
              <c:layout>
                <c:manualLayout>
                  <c:x val="5.7947019867549666E-2"/>
                  <c:y val="1.4204172631830112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5"/>
                <c:pt idx="1">
                  <c:v>Health and safety at work</c:v>
                </c:pt>
                <c:pt idx="2">
                  <c:v>Labour law</c:v>
                </c:pt>
                <c:pt idx="3">
                  <c:v>Social security</c:v>
                </c:pt>
                <c:pt idx="4">
                  <c:v>Free movement of workers</c:v>
                </c:pt>
              </c:strCache>
            </c:strRef>
          </c:cat>
          <c:val>
            <c:numRef>
              <c:f>Blad1!$B$2:$B$7</c:f>
              <c:numCache>
                <c:formatCode>General</c:formatCode>
                <c:ptCount val="6"/>
                <c:pt idx="1">
                  <c:v>15</c:v>
                </c:pt>
                <c:pt idx="2">
                  <c:v>11</c:v>
                </c:pt>
                <c:pt idx="3">
                  <c:v>6</c:v>
                </c:pt>
                <c:pt idx="4">
                  <c:v>5</c:v>
                </c:pt>
              </c:numCache>
            </c:numRef>
          </c:val>
        </c:ser>
        <c:dLbls>
          <c:showLegendKey val="0"/>
          <c:showVal val="0"/>
          <c:showCatName val="0"/>
          <c:showSerName val="0"/>
          <c:showPercent val="0"/>
          <c:showBubbleSize val="0"/>
          <c:showLeaderLines val="0"/>
        </c:dLbls>
        <c:firstSliceAng val="0"/>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Employment policies</c:v>
                </c:pt>
              </c:strCache>
            </c:strRef>
          </c:tx>
          <c:spPr>
            <a:effectLst>
              <a:outerShdw blurRad="40000" dist="23000" dir="5400000" rotWithShape="0">
                <a:srgbClr val="000000">
                  <a:alpha val="35000"/>
                </a:srgbClr>
              </a:outerShdw>
            </a:effectLst>
          </c:spPr>
          <c:dLbls>
            <c:dLbl>
              <c:idx val="0"/>
              <c:layout>
                <c:manualLayout>
                  <c:x val="-6.4025863046188999E-2"/>
                  <c:y val="6.4856811562938196E-2"/>
                </c:manualLayout>
              </c:layout>
              <c:dLblPos val="r"/>
              <c:showLegendKey val="0"/>
              <c:showVal val="1"/>
              <c:showCatName val="0"/>
              <c:showSerName val="0"/>
              <c:showPercent val="0"/>
              <c:showBubbleSize val="0"/>
            </c:dLbl>
            <c:dLbl>
              <c:idx val="4"/>
              <c:layout>
                <c:manualLayout>
                  <c:x val="-3.89050932586915E-2"/>
                  <c:y val="-7.1546578937906738E-2"/>
                </c:manualLayout>
              </c:layout>
              <c:dLblPos val="r"/>
              <c:showLegendKey val="0"/>
              <c:showVal val="1"/>
              <c:showCatName val="0"/>
              <c:showSerName val="0"/>
              <c:showPercent val="0"/>
              <c:showBubbleSize val="0"/>
            </c:dLbl>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0.64</c:v>
                </c:pt>
                <c:pt idx="1">
                  <c:v>0.59</c:v>
                </c:pt>
                <c:pt idx="2">
                  <c:v>0.46</c:v>
                </c:pt>
                <c:pt idx="3">
                  <c:v>0.72</c:v>
                </c:pt>
                <c:pt idx="4">
                  <c:v>0.92</c:v>
                </c:pt>
              </c:numCache>
            </c:numRef>
          </c:val>
          <c:smooth val="0"/>
        </c:ser>
        <c:ser>
          <c:idx val="1"/>
          <c:order val="1"/>
          <c:tx>
            <c:strRef>
              <c:f>Blad1!$C$2</c:f>
              <c:strCache>
                <c:ptCount val="1"/>
                <c:pt idx="0">
                  <c:v>General rate for all policy areas</c:v>
                </c:pt>
              </c:strCache>
            </c:strRef>
          </c:tx>
          <c:spPr>
            <a:ln w="25383">
              <a:solidFill>
                <a:srgbClr val="92D050"/>
              </a:solidFill>
            </a:ln>
          </c:spPr>
          <c:marker>
            <c:symbol val="square"/>
            <c:size val="4"/>
            <c:spPr>
              <a:solidFill>
                <a:srgbClr val="92D050"/>
              </a:solidFill>
              <a:ln w="6346">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dLbl>
            <c:dLbl>
              <c:idx val="4"/>
              <c:layout>
                <c:manualLayout>
                  <c:x val="-3.7520818618602909E-2"/>
                  <c:y val="-5.6877629166217233E-2"/>
                </c:manualLayout>
              </c:layout>
              <c:dLblPos val="r"/>
              <c:showLegendKey val="0"/>
              <c:showVal val="1"/>
              <c:showCatName val="0"/>
              <c:showSerName val="0"/>
              <c:showPercent val="0"/>
              <c:showBubbleSize val="0"/>
            </c:dLbl>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7364608"/>
        <c:axId val="97374592"/>
      </c:lineChart>
      <c:catAx>
        <c:axId val="973646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374592"/>
        <c:crosses val="autoZero"/>
        <c:auto val="1"/>
        <c:lblAlgn val="ctr"/>
        <c:lblOffset val="100"/>
        <c:noMultiLvlLbl val="0"/>
      </c:catAx>
      <c:valAx>
        <c:axId val="97374592"/>
        <c:scaling>
          <c:orientation val="minMax"/>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97364608"/>
        <c:crosses val="autoZero"/>
        <c:crossBetween val="between"/>
      </c:valAx>
      <c:spPr>
        <a:noFill/>
        <a:ln w="2538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62</c:v>
                </c:pt>
                <c:pt idx="1">
                  <c:v>60</c:v>
                </c:pt>
                <c:pt idx="2">
                  <c:v>72</c:v>
                </c:pt>
                <c:pt idx="3">
                  <c:v>75</c:v>
                </c:pt>
                <c:pt idx="4">
                  <c:v>83</c:v>
                </c:pt>
              </c:numCache>
            </c:numRef>
          </c:val>
          <c:smooth val="0"/>
        </c:ser>
        <c:dLbls>
          <c:showLegendKey val="0"/>
          <c:showVal val="0"/>
          <c:showCatName val="0"/>
          <c:showSerName val="0"/>
          <c:showPercent val="0"/>
          <c:showBubbleSize val="0"/>
        </c:dLbls>
        <c:marker val="1"/>
        <c:smooth val="0"/>
        <c:axId val="97407360"/>
        <c:axId val="97408896"/>
      </c:lineChart>
      <c:catAx>
        <c:axId val="9740736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408896"/>
        <c:crosses val="autoZero"/>
        <c:auto val="1"/>
        <c:lblAlgn val="ctr"/>
        <c:lblOffset val="100"/>
        <c:noMultiLvlLbl val="0"/>
      </c:catAx>
      <c:valAx>
        <c:axId val="97408896"/>
        <c:scaling>
          <c:orientation val="minMax"/>
          <c:min val="5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97407360"/>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255629785656815E-2"/>
                  <c:y val="0.11003814359653638"/>
                </c:manualLayout>
              </c:layout>
              <c:dLblPos val="r"/>
              <c:showLegendKey val="0"/>
              <c:showVal val="1"/>
              <c:showCatName val="0"/>
              <c:showSerName val="0"/>
              <c:showPercent val="0"/>
              <c:showBubbleSize val="0"/>
            </c:dLbl>
            <c:dLbl>
              <c:idx val="1"/>
              <c:layout>
                <c:manualLayout>
                  <c:x val="-4.2313116428758693E-2"/>
                  <c:y val="0.11468467142541762"/>
                </c:manualLayout>
              </c:layout>
              <c:dLblPos val="r"/>
              <c:showLegendKey val="0"/>
              <c:showVal val="1"/>
              <c:showCatName val="0"/>
              <c:showSerName val="0"/>
              <c:showPercent val="0"/>
              <c:showBubbleSize val="0"/>
            </c:dLbl>
            <c:dLbl>
              <c:idx val="2"/>
              <c:layout>
                <c:manualLayout>
                  <c:x val="-3.4690192285091806E-2"/>
                  <c:y val="0.13158069026418426"/>
                </c:manualLayout>
              </c:layout>
              <c:dLblPos val="r"/>
              <c:showLegendKey val="0"/>
              <c:showVal val="1"/>
              <c:showCatName val="0"/>
              <c:showSerName val="0"/>
              <c:showPercent val="0"/>
              <c:showBubbleSize val="0"/>
            </c:dLbl>
            <c:dLbl>
              <c:idx val="3"/>
              <c:layout>
                <c:manualLayout>
                  <c:x val="-3.4443168771526873E-2"/>
                  <c:y val="0.12461059190031153"/>
                </c:manualLayout>
              </c:layout>
              <c:dLblPos val="r"/>
              <c:showLegendKey val="0"/>
              <c:showVal val="1"/>
              <c:showCatName val="0"/>
              <c:showSerName val="0"/>
              <c:showPercent val="0"/>
              <c:showBubbleSize val="0"/>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22</c:v>
                </c:pt>
                <c:pt idx="1">
                  <c:v>22</c:v>
                </c:pt>
                <c:pt idx="2">
                  <c:v>30</c:v>
                </c:pt>
                <c:pt idx="3">
                  <c:v>36</c:v>
                </c:pt>
                <c:pt idx="4">
                  <c:v>25</c:v>
                </c:pt>
              </c:numCache>
            </c:numRef>
          </c:val>
          <c:smooth val="0"/>
        </c:ser>
        <c:dLbls>
          <c:showLegendKey val="0"/>
          <c:showVal val="0"/>
          <c:showCatName val="0"/>
          <c:showSerName val="0"/>
          <c:showPercent val="0"/>
          <c:showBubbleSize val="0"/>
        </c:dLbls>
        <c:marker val="1"/>
        <c:smooth val="0"/>
        <c:axId val="66205568"/>
        <c:axId val="66207104"/>
      </c:lineChart>
      <c:catAx>
        <c:axId val="66205568"/>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6207104"/>
        <c:crosses val="autoZero"/>
        <c:auto val="1"/>
        <c:lblAlgn val="ctr"/>
        <c:lblOffset val="100"/>
        <c:noMultiLvlLbl val="0"/>
      </c:catAx>
      <c:valAx>
        <c:axId val="66207104"/>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66205568"/>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83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layout>
        <c:manualLayout>
          <c:xMode val="edge"/>
          <c:yMode val="edge"/>
          <c:x val="0.28947253686312469"/>
          <c:y val="2.9154518950437316E-2"/>
        </c:manualLayout>
      </c:layout>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C00000"/>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8.5868375661235896E-2"/>
                  <c:y val="-0.23156275442085253"/>
                </c:manualLayout>
              </c:layout>
              <c:tx>
                <c:rich>
                  <a:bodyPr/>
                  <a:lstStyle/>
                  <a:p>
                    <a:r>
                      <a:rPr lang="en-US"/>
                      <a:t>Labour</a:t>
                    </a:r>
                    <a:r>
                      <a:rPr lang="en-US" baseline="0"/>
                      <a:t> mobility</a:t>
                    </a:r>
                    <a:r>
                      <a:rPr lang="en-US"/>
                      <a:t>
31</a:t>
                    </a:r>
                  </a:p>
                </c:rich>
              </c:tx>
              <c:dLblPos val="bestFit"/>
              <c:showLegendKey val="1"/>
              <c:showVal val="1"/>
              <c:showCatName val="1"/>
              <c:showSerName val="0"/>
              <c:showPercent val="0"/>
              <c:showBubbleSize val="0"/>
              <c:separator>
</c:separator>
            </c:dLbl>
            <c:dLbl>
              <c:idx val="2"/>
              <c:layout>
                <c:manualLayout>
                  <c:x val="-8.3056478405315621E-3"/>
                  <c:y val="3.0963859109448055E-2"/>
                </c:manualLayout>
              </c:layout>
              <c:dLblPos val="bestFit"/>
              <c:showLegendKey val="1"/>
              <c:showVal val="1"/>
              <c:showCatName val="1"/>
              <c:showSerName val="0"/>
              <c:showPercent val="0"/>
              <c:showBubbleSize val="0"/>
              <c:separator>
</c:separator>
            </c:dLbl>
            <c:dLbl>
              <c:idx val="3"/>
              <c:layout>
                <c:manualLayout>
                  <c:x val="-2.761159215563171E-2"/>
                  <c:y val="-3.6681511749806786E-2"/>
                </c:manualLayout>
              </c:layout>
              <c:dLblPos val="bestFit"/>
              <c:showLegendKey val="1"/>
              <c:showVal val="1"/>
              <c:showCatName val="1"/>
              <c:showSerName val="0"/>
              <c:showPercent val="0"/>
              <c:showBubbleSize val="0"/>
              <c:separator>
</c:separator>
            </c:dLbl>
            <c:dLbl>
              <c:idx val="4"/>
              <c:layout>
                <c:manualLayout>
                  <c:x val="1.3907273218754632E-2"/>
                  <c:y val="-3.90326209223847E-2"/>
                </c:manualLayout>
              </c:layout>
              <c:dLblPos val="bestFit"/>
              <c:showLegendKey val="1"/>
              <c:showVal val="1"/>
              <c:showCatName val="1"/>
              <c:showSerName val="0"/>
              <c:showPercent val="0"/>
              <c:showBubbleSize val="0"/>
              <c:separator>
</c:separator>
            </c:dLbl>
            <c:dLbl>
              <c:idx val="5"/>
              <c:layout>
                <c:manualLayout>
                  <c:x val="-2.4889258028792913E-2"/>
                  <c:y val="3.2552053442299303E-3"/>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6"/>
                <c:pt idx="0">
                  <c:v>Sectors</c:v>
                </c:pt>
                <c:pt idx="1">
                  <c:v>Free movement of workers</c:v>
                </c:pt>
                <c:pt idx="2">
                  <c:v>Labour law</c:v>
                </c:pt>
                <c:pt idx="3">
                  <c:v>Health and safety at work</c:v>
                </c:pt>
                <c:pt idx="4">
                  <c:v>Social security</c:v>
                </c:pt>
                <c:pt idx="5">
                  <c:v>Anti-discrimination</c:v>
                </c:pt>
              </c:strCache>
            </c:strRef>
          </c:cat>
          <c:val>
            <c:numRef>
              <c:f>Blad1!$B$2:$B$8</c:f>
              <c:numCache>
                <c:formatCode>General</c:formatCode>
                <c:ptCount val="7"/>
                <c:pt idx="0">
                  <c:v>0</c:v>
                </c:pt>
                <c:pt idx="1">
                  <c:v>31</c:v>
                </c:pt>
                <c:pt idx="2">
                  <c:v>25</c:v>
                </c:pt>
                <c:pt idx="3">
                  <c:v>17</c:v>
                </c:pt>
                <c:pt idx="4">
                  <c:v>8</c:v>
                </c:pt>
                <c:pt idx="5">
                  <c:v>2</c:v>
                </c:pt>
              </c:numCache>
            </c:numRef>
          </c:val>
        </c:ser>
        <c:dLbls>
          <c:showLegendKey val="0"/>
          <c:showVal val="0"/>
          <c:showCatName val="0"/>
          <c:showSerName val="0"/>
          <c:showPercent val="0"/>
          <c:showBubbleSize val="0"/>
          <c:showLeaderLines val="0"/>
        </c:dLbls>
        <c:firstSliceAng val="142"/>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39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dPt>
          <c:dLbls>
            <c:dLbl>
              <c:idx val="0"/>
              <c:delete val="1"/>
            </c:dLbl>
            <c:dLbl>
              <c:idx val="1"/>
              <c:layout>
                <c:manualLayout>
                  <c:x val="4.7123978688710426E-2"/>
                  <c:y val="-0.1636444567236113"/>
                </c:manualLayout>
              </c:layout>
              <c:dLblPos val="bestFit"/>
              <c:showLegendKey val="1"/>
              <c:showVal val="1"/>
              <c:showCatName val="1"/>
              <c:showSerName val="0"/>
              <c:showPercent val="0"/>
              <c:showBubbleSize val="0"/>
              <c:separator>
</c:separator>
            </c:dLbl>
            <c:dLbl>
              <c:idx val="2"/>
              <c:layout>
                <c:manualLayout>
                  <c:x val="-1.1074197120708749E-2"/>
                  <c:y val="0.10721247563352822"/>
                </c:manualLayout>
              </c:layout>
              <c:tx>
                <c:rich>
                  <a:bodyPr/>
                  <a:lstStyle/>
                  <a:p>
                    <a:r>
                      <a:rPr lang="en-US" sz="899" b="0" i="0" u="none" strike="noStrike" baseline="0">
                        <a:effectLst/>
                      </a:rPr>
                      <a:t>Labour mobility</a:t>
                    </a:r>
                    <a:r>
                      <a:rPr lang="en-US"/>
                      <a:t>
27</a:t>
                    </a:r>
                  </a:p>
                </c:rich>
              </c:tx>
              <c:dLblPos val="bestFit"/>
              <c:showLegendKey val="1"/>
              <c:showVal val="1"/>
              <c:showCatName val="1"/>
              <c:showSerName val="0"/>
              <c:showPercent val="0"/>
              <c:showBubbleSize val="0"/>
              <c:separator>
</c:separator>
            </c:dLbl>
            <c:dLbl>
              <c:idx val="3"/>
              <c:layout>
                <c:manualLayout>
                  <c:x val="-2.2074493595277335E-2"/>
                  <c:y val="3.2679738562091484E-2"/>
                </c:manualLayout>
              </c:layout>
              <c:dLblPos val="bestFit"/>
              <c:showLegendKey val="1"/>
              <c:showVal val="1"/>
              <c:showCatName val="1"/>
              <c:showSerName val="0"/>
              <c:showPercent val="0"/>
              <c:showBubbleSize val="0"/>
              <c:separator>
</c:separator>
            </c:dLbl>
            <c:dLbl>
              <c:idx val="4"/>
              <c:layout>
                <c:manualLayout>
                  <c:x val="-2.7042404583148038E-3"/>
                  <c:y val="4.6716219296117398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Blad1!$A$2:$A$5</c:f>
              <c:strCache>
                <c:ptCount val="3"/>
                <c:pt idx="0">
                  <c:v>Sectors</c:v>
                </c:pt>
                <c:pt idx="1">
                  <c:v>Health and safety at work</c:v>
                </c:pt>
                <c:pt idx="2">
                  <c:v>Free movement of workers</c:v>
                </c:pt>
              </c:strCache>
            </c:strRef>
          </c:cat>
          <c:val>
            <c:numRef>
              <c:f>Blad1!$B$2:$B$5</c:f>
              <c:numCache>
                <c:formatCode>General</c:formatCode>
                <c:ptCount val="4"/>
                <c:pt idx="0">
                  <c:v>0</c:v>
                </c:pt>
                <c:pt idx="1">
                  <c:v>12</c:v>
                </c:pt>
                <c:pt idx="2">
                  <c:v>27</c:v>
                </c:pt>
              </c:numCache>
            </c:numRef>
          </c:val>
        </c:ser>
        <c:dLbls>
          <c:showLegendKey val="0"/>
          <c:showVal val="0"/>
          <c:showCatName val="0"/>
          <c:showSerName val="0"/>
          <c:showPercent val="0"/>
          <c:showBubbleSize val="0"/>
          <c:showLeaderLines val="0"/>
        </c:dLbls>
        <c:firstSliceAng val="8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25</c:v>
                </c:pt>
                <c:pt idx="1">
                  <c:v>13</c:v>
                </c:pt>
                <c:pt idx="2">
                  <c:v>17</c:v>
                </c:pt>
                <c:pt idx="3">
                  <c:v>14</c:v>
                </c:pt>
                <c:pt idx="4">
                  <c:v>39</c:v>
                </c:pt>
              </c:numCache>
            </c:numRef>
          </c:val>
          <c:smooth val="0"/>
        </c:ser>
        <c:dLbls>
          <c:showLegendKey val="0"/>
          <c:showVal val="0"/>
          <c:showCatName val="0"/>
          <c:showSerName val="0"/>
          <c:showPercent val="0"/>
          <c:showBubbleSize val="0"/>
        </c:dLbls>
        <c:marker val="1"/>
        <c:smooth val="0"/>
        <c:axId val="97742208"/>
        <c:axId val="97772672"/>
      </c:lineChart>
      <c:catAx>
        <c:axId val="97742208"/>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772672"/>
        <c:crosses val="autoZero"/>
        <c:auto val="1"/>
        <c:lblAlgn val="ctr"/>
        <c:lblOffset val="100"/>
        <c:noMultiLvlLbl val="0"/>
      </c:catAx>
      <c:valAx>
        <c:axId val="97772672"/>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97742208"/>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39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3.6039535755704954E-2"/>
                  <c:y val="5.2868391451068621E-4"/>
                </c:manualLayout>
              </c:layout>
              <c:dLblPos val="bestFit"/>
              <c:showLegendKey val="1"/>
              <c:showVal val="1"/>
              <c:showCatName val="1"/>
              <c:showSerName val="0"/>
              <c:showPercent val="0"/>
              <c:showBubbleSize val="0"/>
              <c:separator>
</c:separator>
            </c:dLbl>
            <c:dLbl>
              <c:idx val="1"/>
              <c:layout>
                <c:manualLayout>
                  <c:x val="3.5991140642303431E-2"/>
                  <c:y val="-0.50264550264550267"/>
                </c:manualLayout>
              </c:layout>
              <c:tx>
                <c:rich>
                  <a:bodyPr/>
                  <a:lstStyle/>
                  <a:p>
                    <a:r>
                      <a:rPr lang="en-US" sz="900" b="0" i="0" u="none" strike="noStrike" baseline="0">
                        <a:effectLst/>
                      </a:rPr>
                      <a:t>Labour mobility</a:t>
                    </a:r>
                    <a:r>
                      <a:rPr lang="en-US"/>
                      <a:t>
27</a:t>
                    </a:r>
                  </a:p>
                </c:rich>
              </c:tx>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Blad1!$A$4:$A$5</c:f>
              <c:strCache>
                <c:ptCount val="2"/>
                <c:pt idx="0">
                  <c:v>Health and safety at work</c:v>
                </c:pt>
                <c:pt idx="1">
                  <c:v>Free movement of workers</c:v>
                </c:pt>
              </c:strCache>
            </c:strRef>
          </c:cat>
          <c:val>
            <c:numRef>
              <c:f>Blad1!$B$4:$B$5</c:f>
              <c:numCache>
                <c:formatCode>General</c:formatCode>
                <c:ptCount val="2"/>
                <c:pt idx="0">
                  <c:v>12</c:v>
                </c:pt>
                <c:pt idx="1">
                  <c:v>27</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71</c:v>
                </c:pt>
                <c:pt idx="1">
                  <c:v>72</c:v>
                </c:pt>
                <c:pt idx="2">
                  <c:v>67</c:v>
                </c:pt>
                <c:pt idx="3">
                  <c:v>91</c:v>
                </c:pt>
                <c:pt idx="4">
                  <c:v>60</c:v>
                </c:pt>
              </c:numCache>
            </c:numRef>
          </c:val>
          <c:smooth val="0"/>
        </c:ser>
        <c:dLbls>
          <c:showLegendKey val="0"/>
          <c:showVal val="0"/>
          <c:showCatName val="0"/>
          <c:showSerName val="0"/>
          <c:showPercent val="0"/>
          <c:showBubbleSize val="0"/>
        </c:dLbls>
        <c:marker val="1"/>
        <c:smooth val="0"/>
        <c:axId val="98391552"/>
        <c:axId val="98393088"/>
      </c:lineChart>
      <c:catAx>
        <c:axId val="98391552"/>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393088"/>
        <c:crosses val="autoZero"/>
        <c:auto val="1"/>
        <c:lblAlgn val="ctr"/>
        <c:lblOffset val="100"/>
        <c:noMultiLvlLbl val="0"/>
      </c:catAx>
      <c:valAx>
        <c:axId val="98393088"/>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9839155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60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5.8202414135920234E-2"/>
                  <c:y val="-7.9479747684135377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1.4184431135638487E-2"/>
                  <c:y val="7.2762978875910211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5.2207137199196479E-2"/>
                  <c:y val="2.3152179309648507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5.4600893314770875E-3"/>
                  <c:y val="-3.0097165556105816E-2"/>
                </c:manualLayout>
              </c:layout>
              <c:dLblPos val="bestFit"/>
              <c:showLegendKey val="1"/>
              <c:showVal val="1"/>
              <c:showCatName val="1"/>
              <c:showSerName val="0"/>
              <c:showPercent val="0"/>
              <c:showBubbleSize val="0"/>
              <c:separator>
</c:separator>
            </c:dLbl>
            <c:dLbl>
              <c:idx val="5"/>
              <c:layout>
                <c:manualLayout>
                  <c:x val="1.6573397126186263E-2"/>
                  <c:y val="-3.1942097022033621E-2"/>
                </c:manualLayout>
              </c:layout>
              <c:dLblPos val="bestFit"/>
              <c:showLegendKey val="1"/>
              <c:showVal val="1"/>
              <c:showCatName val="1"/>
              <c:showSerName val="0"/>
              <c:showPercent val="0"/>
              <c:showBubbleSize val="0"/>
              <c:separator>
</c:separator>
            </c:dLbl>
            <c:dLbl>
              <c:idx val="6"/>
              <c:layout>
                <c:manualLayout>
                  <c:x val="-4.706533776301218E-2"/>
                  <c:y val="4.225352112676056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6"/>
                <c:pt idx="0">
                  <c:v>Sector</c:v>
                </c:pt>
                <c:pt idx="1">
                  <c:v>Internal energy market and consumer protection</c:v>
                </c:pt>
                <c:pt idx="2">
                  <c:v>Renewable energy</c:v>
                </c:pt>
                <c:pt idx="3">
                  <c:v>Energy efficiency</c:v>
                </c:pt>
                <c:pt idx="4">
                  <c:v>Security of supply and offshore  safety</c:v>
                </c:pt>
                <c:pt idx="5">
                  <c:v>Euroatom</c:v>
                </c:pt>
              </c:strCache>
            </c:strRef>
          </c:cat>
          <c:val>
            <c:numRef>
              <c:f>Blad1!$B$2:$B$7</c:f>
              <c:numCache>
                <c:formatCode>General</c:formatCode>
                <c:ptCount val="6"/>
                <c:pt idx="0">
                  <c:v>0</c:v>
                </c:pt>
                <c:pt idx="1">
                  <c:v>18</c:v>
                </c:pt>
                <c:pt idx="2">
                  <c:v>18</c:v>
                </c:pt>
                <c:pt idx="3">
                  <c:v>9</c:v>
                </c:pt>
                <c:pt idx="4">
                  <c:v>8</c:v>
                </c:pt>
                <c:pt idx="5">
                  <c:v>7</c:v>
                </c:pt>
              </c:numCache>
            </c:numRef>
          </c:val>
        </c:ser>
        <c:dLbls>
          <c:showLegendKey val="0"/>
          <c:showVal val="0"/>
          <c:showCatName val="0"/>
          <c:showSerName val="0"/>
          <c:showPercent val="0"/>
          <c:showBubbleSize val="0"/>
          <c:showLeaderLines val="0"/>
        </c:dLbls>
        <c:firstSliceAng val="163"/>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50</c:v>
                </c:pt>
                <c:pt idx="1">
                  <c:v>105</c:v>
                </c:pt>
                <c:pt idx="2">
                  <c:v>124</c:v>
                </c:pt>
                <c:pt idx="3">
                  <c:v>88</c:v>
                </c:pt>
                <c:pt idx="4">
                  <c:v>65</c:v>
                </c:pt>
              </c:numCache>
            </c:numRef>
          </c:val>
          <c:smooth val="0"/>
        </c:ser>
        <c:dLbls>
          <c:showLegendKey val="0"/>
          <c:showVal val="0"/>
          <c:showCatName val="0"/>
          <c:showSerName val="0"/>
          <c:showPercent val="0"/>
          <c:showBubbleSize val="0"/>
        </c:dLbls>
        <c:marker val="1"/>
        <c:smooth val="0"/>
        <c:axId val="98072064"/>
        <c:axId val="98073600"/>
      </c:lineChart>
      <c:catAx>
        <c:axId val="98072064"/>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73600"/>
        <c:crosses val="autoZero"/>
        <c:auto val="1"/>
        <c:lblAlgn val="ctr"/>
        <c:lblOffset val="100"/>
        <c:noMultiLvlLbl val="0"/>
      </c:catAx>
      <c:valAx>
        <c:axId val="98073600"/>
        <c:scaling>
          <c:orientation val="minMax"/>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98072064"/>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65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7.1783473257895747E-2"/>
                  <c:y val="-0.23149718146027201"/>
                </c:manualLayout>
              </c:layout>
              <c:dLblPos val="bestFit"/>
              <c:showLegendKey val="1"/>
              <c:showVal val="1"/>
              <c:showCatName val="1"/>
              <c:showSerName val="0"/>
              <c:showPercent val="0"/>
              <c:showBubbleSize val="0"/>
              <c:separator>
</c:separator>
            </c:dLbl>
            <c:dLbl>
              <c:idx val="3"/>
              <c:layout>
                <c:manualLayout>
                  <c:x val="-8.2781456953642391E-3"/>
                  <c:y val="0.18465909090909091"/>
                </c:manualLayout>
              </c:layout>
              <c:dLblPos val="bestFit"/>
              <c:showLegendKey val="1"/>
              <c:showVal val="1"/>
              <c:showCatName val="1"/>
              <c:showSerName val="0"/>
              <c:showPercent val="0"/>
              <c:showBubbleSize val="0"/>
              <c:separator>
</c:separator>
            </c:dLbl>
            <c:dLbl>
              <c:idx val="4"/>
              <c:layout>
                <c:manualLayout>
                  <c:x val="-2.7289337451603078E-3"/>
                  <c:y val="2.3680497384635433E-2"/>
                </c:manualLayout>
              </c:layout>
              <c:dLblPos val="bestFit"/>
              <c:showLegendKey val="1"/>
              <c:showVal val="1"/>
              <c:showCatName val="1"/>
              <c:showSerName val="0"/>
              <c:showPercent val="0"/>
              <c:showBubbleSize val="0"/>
              <c:separator>
</c:separator>
            </c:dLbl>
            <c:dLbl>
              <c:idx val="5"/>
              <c:layout>
                <c:manualLayout>
                  <c:x val="0.1462689680346248"/>
                  <c:y val="7.5730732522071104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5"/>
                <c:pt idx="0">
                  <c:v>Sector</c:v>
                </c:pt>
                <c:pt idx="1">
                  <c:v>Energy efficiency </c:v>
                </c:pt>
                <c:pt idx="2">
                  <c:v>Energy infrastructure</c:v>
                </c:pt>
                <c:pt idx="3">
                  <c:v>Internal energy market and consumer protection</c:v>
                </c:pt>
                <c:pt idx="4">
                  <c:v>Other</c:v>
                </c:pt>
              </c:strCache>
            </c:strRef>
          </c:cat>
          <c:val>
            <c:numRef>
              <c:f>Blad1!$B$2:$B$7</c:f>
              <c:numCache>
                <c:formatCode>General</c:formatCode>
                <c:ptCount val="6"/>
                <c:pt idx="0">
                  <c:v>0</c:v>
                </c:pt>
                <c:pt idx="1">
                  <c:v>29</c:v>
                </c:pt>
                <c:pt idx="2">
                  <c:v>26</c:v>
                </c:pt>
                <c:pt idx="3">
                  <c:v>4</c:v>
                </c:pt>
                <c:pt idx="4">
                  <c:v>6</c:v>
                </c:pt>
              </c:numCache>
            </c:numRef>
          </c:val>
        </c:ser>
        <c:dLbls>
          <c:showLegendKey val="0"/>
          <c:showVal val="0"/>
          <c:showCatName val="0"/>
          <c:showSerName val="0"/>
          <c:showPercent val="0"/>
          <c:showBubbleSize val="0"/>
          <c:showLeaderLines val="0"/>
        </c:dLbls>
        <c:firstSliceAng val="0"/>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Energy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6.6397681250108587E-2"/>
                  <c:y val="5.4394977168949775E-2"/>
                </c:manualLayout>
              </c:layout>
              <c:dLblPos val="r"/>
              <c:showLegendKey val="0"/>
              <c:showVal val="1"/>
              <c:showCatName val="0"/>
              <c:showSerName val="0"/>
              <c:showPercent val="0"/>
              <c:showBubbleSize val="0"/>
            </c:dLbl>
            <c:dLbl>
              <c:idx val="3"/>
              <c:layout>
                <c:manualLayout>
                  <c:x val="-6.6397681250108642E-2"/>
                  <c:y val="4.2979452054794517E-2"/>
                </c:manualLayout>
              </c:layout>
              <c:dLblPos val="r"/>
              <c:showLegendKey val="0"/>
              <c:showVal val="1"/>
              <c:showCatName val="0"/>
              <c:showSerName val="0"/>
              <c:showPercent val="0"/>
              <c:showBubbleSize val="0"/>
            </c:dLbl>
            <c:dLbl>
              <c:idx val="4"/>
              <c:layout>
                <c:manualLayout>
                  <c:x val="-4.4322626062470671E-2"/>
                  <c:y val="6.0102739726027296E-2"/>
                </c:manualLayout>
              </c:layout>
              <c:dLblPos val="r"/>
              <c:showLegendKey val="0"/>
              <c:showVal val="1"/>
              <c:showCatName val="0"/>
              <c:showSerName val="0"/>
              <c:showPercent val="0"/>
              <c:showBubbleSize val="0"/>
            </c:dLbl>
            <c:txPr>
              <a:bodyPr/>
              <a:lstStyle/>
              <a:p>
                <a:pPr>
                  <a:defRPr sz="90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0.82</c:v>
                </c:pt>
                <c:pt idx="1">
                  <c:v>0.9</c:v>
                </c:pt>
                <c:pt idx="2">
                  <c:v>0.71</c:v>
                </c:pt>
                <c:pt idx="3">
                  <c:v>0.45</c:v>
                </c:pt>
                <c:pt idx="4">
                  <c:v>0.66</c:v>
                </c:pt>
              </c:numCache>
            </c:numRef>
          </c:val>
          <c:smooth val="0"/>
        </c:ser>
        <c:ser>
          <c:idx val="1"/>
          <c:order val="1"/>
          <c:tx>
            <c:strRef>
              <c:f>Blad1!$C$2</c:f>
              <c:strCache>
                <c:ptCount val="1"/>
                <c:pt idx="0">
                  <c:v>General rate for all policy areas</c:v>
                </c:pt>
              </c:strCache>
            </c:strRef>
          </c:tx>
          <c:spPr>
            <a:ln w="25372">
              <a:solidFill>
                <a:srgbClr val="92D050"/>
              </a:solidFill>
            </a:ln>
          </c:spPr>
          <c:marker>
            <c:symbol val="square"/>
            <c:size val="4"/>
            <c:spPr>
              <a:solidFill>
                <a:srgbClr val="92D050"/>
              </a:solidFill>
              <a:ln>
                <a:solidFill>
                  <a:srgbClr val="92D050"/>
                </a:solidFill>
              </a:ln>
            </c:spPr>
          </c:marker>
          <c:dLbls>
            <c:dLbl>
              <c:idx val="2"/>
              <c:layout>
                <c:manualLayout>
                  <c:x val="-4.5702317011698038E-2"/>
                  <c:y val="-7.4372146118721491E-2"/>
                </c:manualLayout>
              </c:layout>
              <c:dLblPos val="r"/>
              <c:showLegendKey val="0"/>
              <c:showVal val="1"/>
              <c:showCatName val="0"/>
              <c:showSerName val="0"/>
              <c:showPercent val="0"/>
              <c:showBubbleSize val="0"/>
            </c:dLbl>
            <c:dLbl>
              <c:idx val="3"/>
              <c:layout>
                <c:manualLayout>
                  <c:x val="-5.3980462707062277E-2"/>
                  <c:y val="-8.5787671232876742E-2"/>
                </c:manualLayout>
              </c:layout>
              <c:dLblPos val="r"/>
              <c:showLegendKey val="0"/>
              <c:showVal val="1"/>
              <c:showCatName val="0"/>
              <c:showSerName val="0"/>
              <c:showPercent val="0"/>
              <c:showBubbleSize val="0"/>
            </c:dLbl>
            <c:dLbl>
              <c:idx val="4"/>
              <c:layout>
                <c:manualLayout>
                  <c:x val="-5.122108080860753E-2"/>
                  <c:y val="-6.8664383561643894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8215040"/>
        <c:axId val="98216576"/>
      </c:lineChart>
      <c:catAx>
        <c:axId val="9821504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216576"/>
        <c:crosses val="autoZero"/>
        <c:auto val="1"/>
        <c:lblAlgn val="ctr"/>
        <c:lblOffset val="100"/>
        <c:noMultiLvlLbl val="0"/>
      </c:catAx>
      <c:valAx>
        <c:axId val="98216576"/>
        <c:scaling>
          <c:orientation val="minMax"/>
          <c:min val="0.4"/>
        </c:scaling>
        <c:delete val="1"/>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crossAx val="98215040"/>
        <c:crosses val="autoZero"/>
        <c:crossBetween val="between"/>
      </c:valAx>
      <c:spPr>
        <a:noFill/>
        <a:ln w="25372">
          <a:noFill/>
        </a:ln>
      </c:spPr>
    </c:plotArea>
    <c:legend>
      <c:legendPos val="b"/>
      <c:overlay val="0"/>
      <c:txPr>
        <a:bodyPr/>
        <a:lstStyle/>
        <a:p>
          <a:pPr>
            <a:defRPr sz="899">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93</c:v>
                </c:pt>
                <c:pt idx="1">
                  <c:v>95</c:v>
                </c:pt>
                <c:pt idx="2">
                  <c:v>71</c:v>
                </c:pt>
                <c:pt idx="3">
                  <c:v>73</c:v>
                </c:pt>
                <c:pt idx="4">
                  <c:v>56</c:v>
                </c:pt>
              </c:numCache>
            </c:numRef>
          </c:val>
          <c:smooth val="0"/>
        </c:ser>
        <c:dLbls>
          <c:showLegendKey val="0"/>
          <c:showVal val="0"/>
          <c:showCatName val="0"/>
          <c:showSerName val="0"/>
          <c:showPercent val="0"/>
          <c:showBubbleSize val="0"/>
        </c:dLbls>
        <c:marker val="1"/>
        <c:smooth val="0"/>
        <c:axId val="98253440"/>
        <c:axId val="98263424"/>
      </c:lineChart>
      <c:catAx>
        <c:axId val="9825344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263424"/>
        <c:crosses val="autoZero"/>
        <c:auto val="1"/>
        <c:lblAlgn val="ctr"/>
        <c:lblOffset val="100"/>
        <c:noMultiLvlLbl val="0"/>
      </c:catAx>
      <c:valAx>
        <c:axId val="9826342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98253440"/>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Agriculture and rural development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0.95</c:v>
                </c:pt>
                <c:pt idx="1">
                  <c:v>0.89</c:v>
                </c:pt>
                <c:pt idx="2">
                  <c:v>0.97</c:v>
                </c:pt>
                <c:pt idx="3">
                  <c:v>1</c:v>
                </c:pt>
                <c:pt idx="4">
                  <c:v>0.95</c:v>
                </c:pt>
              </c:numCache>
            </c:numRef>
          </c:val>
          <c:smooth val="0"/>
        </c:ser>
        <c:ser>
          <c:idx val="1"/>
          <c:order val="1"/>
          <c:tx>
            <c:strRef>
              <c:f>Blad1!$C$2</c:f>
              <c:strCache>
                <c:ptCount val="1"/>
                <c:pt idx="0">
                  <c:v>General rate for all policy areas</c:v>
                </c:pt>
              </c:strCache>
            </c:strRef>
          </c:tx>
          <c:spPr>
            <a:ln w="25354">
              <a:solidFill>
                <a:srgbClr val="92D050"/>
              </a:solidFill>
            </a:ln>
          </c:spPr>
          <c:marker>
            <c:symbol val="square"/>
            <c:size val="4"/>
            <c:spPr>
              <a:solidFill>
                <a:srgbClr val="92D050"/>
              </a:solidFill>
              <a:ln w="6338">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65876736"/>
        <c:axId val="65878272"/>
      </c:lineChart>
      <c:catAx>
        <c:axId val="65876736"/>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5878272"/>
        <c:crosses val="autoZero"/>
        <c:auto val="1"/>
        <c:lblAlgn val="ctr"/>
        <c:lblOffset val="100"/>
        <c:noMultiLvlLbl val="0"/>
      </c:catAx>
      <c:valAx>
        <c:axId val="65878272"/>
        <c:scaling>
          <c:orientation val="minMax"/>
          <c:min val="0.5"/>
        </c:scaling>
        <c:delete val="1"/>
        <c:axPos val="l"/>
        <c:majorGridlines>
          <c:spPr>
            <a:ln w="9508" cap="flat" cmpd="sng" algn="ctr">
              <a:solidFill>
                <a:schemeClr val="tx1">
                  <a:lumMod val="15000"/>
                  <a:lumOff val="85000"/>
                </a:schemeClr>
              </a:solidFill>
              <a:round/>
            </a:ln>
            <a:effectLst/>
          </c:spPr>
        </c:majorGridlines>
        <c:numFmt formatCode="0%" sourceLinked="1"/>
        <c:majorTickMark val="none"/>
        <c:minorTickMark val="none"/>
        <c:tickLblPos val="nextTo"/>
        <c:crossAx val="65876736"/>
        <c:crosses val="autoZero"/>
        <c:crossBetween val="between"/>
      </c:valAx>
      <c:spPr>
        <a:noFill/>
        <a:ln w="25354">
          <a:noFill/>
        </a:ln>
      </c:spPr>
    </c:plotArea>
    <c:legend>
      <c:legendPos val="b"/>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56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A676"/>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1.9435215946843856E-2"/>
                  <c:y val="5.6298109795099145E-2"/>
                </c:manualLayout>
              </c:layout>
              <c:dLblPos val="bestFit"/>
              <c:showLegendKey val="1"/>
              <c:showVal val="1"/>
              <c:showCatName val="1"/>
              <c:showSerName val="0"/>
              <c:showPercent val="0"/>
              <c:showBubbleSize val="0"/>
              <c:separator>
</c:separator>
            </c:dLbl>
            <c:dLbl>
              <c:idx val="2"/>
              <c:layout>
                <c:manualLayout>
                  <c:x val="4.7107846984243251E-2"/>
                  <c:y val="-3.2679738562091505E-2"/>
                </c:manualLayout>
              </c:layout>
              <c:dLblPos val="bestFit"/>
              <c:showLegendKey val="1"/>
              <c:showVal val="1"/>
              <c:showCatName val="1"/>
              <c:showSerName val="0"/>
              <c:showPercent val="0"/>
              <c:showBubbleSize val="0"/>
              <c:separator>
</c:separator>
            </c:dLbl>
            <c:dLbl>
              <c:idx val="3"/>
              <c:layout>
                <c:manualLayout>
                  <c:x val="-3.3132777007525219E-2"/>
                  <c:y val="-7.8138394465397706E-2"/>
                </c:manualLayout>
              </c:layout>
              <c:dLblPos val="bestFit"/>
              <c:showLegendKey val="1"/>
              <c:showVal val="1"/>
              <c:showCatName val="1"/>
              <c:showSerName val="0"/>
              <c:showPercent val="0"/>
              <c:showBubbleSize val="0"/>
              <c:separator>
</c:separator>
            </c:dLbl>
            <c:dLbl>
              <c:idx val="4"/>
              <c:layout>
                <c:manualLayout>
                  <c:x val="1.6675604502925521E-2"/>
                  <c:y val="5.1384753376416181E-2"/>
                </c:manualLayout>
              </c:layout>
              <c:dLblPos val="bestFit"/>
              <c:showLegendKey val="1"/>
              <c:showVal val="1"/>
              <c:showCatName val="1"/>
              <c:showSerName val="0"/>
              <c:showPercent val="0"/>
              <c:showBubbleSize val="0"/>
              <c:separator>
</c:separator>
            </c:dLbl>
            <c:dLbl>
              <c:idx val="5"/>
              <c:layout>
                <c:manualLayout>
                  <c:x val="2.7712960298567329E-2"/>
                  <c:y val="6.0844600307314527E-2"/>
                </c:manualLayout>
              </c:layout>
              <c:dLblPos val="bestFit"/>
              <c:showLegendKey val="1"/>
              <c:showVal val="1"/>
              <c:showCatName val="1"/>
              <c:showSerName val="0"/>
              <c:showPercent val="0"/>
              <c:showBubbleSize val="0"/>
              <c:separator>
</c:separator>
            </c:dLbl>
            <c:dLbl>
              <c:idx val="6"/>
              <c:layout>
                <c:manualLayout>
                  <c:x val="1.6611295681063124E-2"/>
                  <c:y val="3.2679738562091505E-2"/>
                </c:manualLayout>
              </c:layout>
              <c:dLblPos val="bestFit"/>
              <c:showLegendKey val="1"/>
              <c:showVal val="1"/>
              <c:showCatName val="1"/>
              <c:showSerName val="0"/>
              <c:showPercent val="0"/>
              <c:showBubbleSize val="0"/>
              <c:separator>
</c:separator>
            </c:dLbl>
            <c:dLbl>
              <c:idx val="7"/>
              <c:layout>
                <c:manualLayout>
                  <c:x val="5.8139534883720929E-2"/>
                  <c:y val="4.6685340802987861E-3"/>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6"/>
                <c:pt idx="0">
                  <c:v>Sectors</c:v>
                </c:pt>
                <c:pt idx="1">
                  <c:v>Energy efficiency</c:v>
                </c:pt>
                <c:pt idx="2">
                  <c:v>Security of supply and offshore safety</c:v>
                </c:pt>
                <c:pt idx="3">
                  <c:v>Euratom</c:v>
                </c:pt>
                <c:pt idx="4">
                  <c:v>Internal energy market and consumer protection</c:v>
                </c:pt>
                <c:pt idx="5">
                  <c:v>Renewable energy</c:v>
                </c:pt>
              </c:strCache>
            </c:strRef>
          </c:cat>
          <c:val>
            <c:numRef>
              <c:f>Blad1!$B$2:$B$8</c:f>
              <c:numCache>
                <c:formatCode>General</c:formatCode>
                <c:ptCount val="7"/>
                <c:pt idx="0">
                  <c:v>0</c:v>
                </c:pt>
                <c:pt idx="1">
                  <c:v>21</c:v>
                </c:pt>
                <c:pt idx="2">
                  <c:v>12</c:v>
                </c:pt>
                <c:pt idx="3">
                  <c:v>10</c:v>
                </c:pt>
                <c:pt idx="4">
                  <c:v>10</c:v>
                </c:pt>
                <c:pt idx="5">
                  <c:v>3</c:v>
                </c:pt>
              </c:numCache>
            </c:numRef>
          </c:val>
        </c:ser>
        <c:ser>
          <c:idx val="1"/>
          <c:order val="1"/>
          <c:tx>
            <c:strRef>
              <c:f>Blad1!$C$1</c:f>
              <c:strCache>
                <c:ptCount val="1"/>
                <c:pt idx="0">
                  <c:v>[Number of infringement cases] infringement cases in 2015</c:v>
                </c:pt>
              </c:strCache>
            </c:strRef>
          </c:tx>
          <c:cat>
            <c:strRef>
              <c:f>Blad1!$A$2:$A$8</c:f>
              <c:strCache>
                <c:ptCount val="6"/>
                <c:pt idx="0">
                  <c:v>Sectors</c:v>
                </c:pt>
                <c:pt idx="1">
                  <c:v>Energy efficiency</c:v>
                </c:pt>
                <c:pt idx="2">
                  <c:v>Security of supply and offshore safety</c:v>
                </c:pt>
                <c:pt idx="3">
                  <c:v>Euratom</c:v>
                </c:pt>
                <c:pt idx="4">
                  <c:v>Internal energy market and consumer protection</c:v>
                </c:pt>
                <c:pt idx="5">
                  <c:v>Renewable energy</c:v>
                </c:pt>
              </c:strCache>
            </c:strRef>
          </c:cat>
          <c:val>
            <c:numRef>
              <c:f>Blad1!$C$2:$C$8</c:f>
              <c:numCache>
                <c:formatCode>General</c:formatCode>
                <c:ptCount val="7"/>
              </c:numCache>
            </c:numRef>
          </c:val>
        </c:ser>
        <c:dLbls>
          <c:showLegendKey val="0"/>
          <c:showVal val="0"/>
          <c:showCatName val="0"/>
          <c:showSerName val="0"/>
          <c:showPercent val="0"/>
          <c:showBubbleSize val="0"/>
          <c:showLeaderLines val="0"/>
        </c:dLbls>
        <c:firstSliceAng val="332"/>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30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9.1306755260243636E-2"/>
                  <c:y val="-2.4218911411583757E-4"/>
                </c:manualLayout>
              </c:layout>
              <c:dLblPos val="bestFit"/>
              <c:showLegendKey val="1"/>
              <c:showVal val="1"/>
              <c:showCatName val="1"/>
              <c:showSerName val="0"/>
              <c:showPercent val="0"/>
              <c:showBubbleSize val="0"/>
              <c:separator>
</c:separator>
            </c:dLbl>
            <c:dLbl>
              <c:idx val="2"/>
              <c:layout>
                <c:manualLayout>
                  <c:x val="1.3842528404879623E-2"/>
                  <c:y val="1.4577259475218637E-2"/>
                </c:manualLayout>
              </c:layout>
              <c:dLblPos val="bestFit"/>
              <c:showLegendKey val="1"/>
              <c:showVal val="1"/>
              <c:showCatName val="1"/>
              <c:showSerName val="0"/>
              <c:showPercent val="0"/>
              <c:showBubbleSize val="0"/>
              <c:separator>
</c:separator>
            </c:dLbl>
            <c:dLbl>
              <c:idx val="3"/>
              <c:layout>
                <c:manualLayout>
                  <c:x val="-1.653739503492296E-2"/>
                  <c:y val="8.583633678443256E-2"/>
                </c:manualLayout>
              </c:layout>
              <c:dLblPos val="bestFit"/>
              <c:showLegendKey val="1"/>
              <c:showVal val="1"/>
              <c:showCatName val="1"/>
              <c:showSerName val="0"/>
              <c:showPercent val="0"/>
              <c:showBubbleSize val="0"/>
              <c:separator>
</c:separator>
            </c:dLbl>
            <c:dLbl>
              <c:idx val="4"/>
              <c:layout>
                <c:manualLayout>
                  <c:x val="2.8330760980458838E-3"/>
                  <c:y val="0.19286976882991666"/>
                </c:manualLayout>
              </c:layout>
              <c:dLblPos val="bestFit"/>
              <c:showLegendKey val="1"/>
              <c:showVal val="1"/>
              <c:showCatName val="1"/>
              <c:showSerName val="0"/>
              <c:showPercent val="0"/>
              <c:showBubbleSize val="0"/>
              <c:separator>
</c:separator>
            </c:dLbl>
            <c:dLbl>
              <c:idx val="5"/>
              <c:layout>
                <c:manualLayout>
                  <c:x val="-1.3815060908084164E-2"/>
                  <c:y val="5.150753214671695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Energy efficiency</c:v>
                </c:pt>
                <c:pt idx="2">
                  <c:v>Euratom</c:v>
                </c:pt>
                <c:pt idx="3">
                  <c:v>Security of supply and offshore safety</c:v>
                </c:pt>
                <c:pt idx="4">
                  <c:v>Internal energy market and consumer protection</c:v>
                </c:pt>
              </c:strCache>
            </c:strRef>
          </c:cat>
          <c:val>
            <c:numRef>
              <c:f>Blad1!$B$2:$B$6</c:f>
              <c:numCache>
                <c:formatCode>General</c:formatCode>
                <c:ptCount val="5"/>
                <c:pt idx="0">
                  <c:v>0</c:v>
                </c:pt>
                <c:pt idx="1">
                  <c:v>14</c:v>
                </c:pt>
                <c:pt idx="2">
                  <c:v>12</c:v>
                </c:pt>
                <c:pt idx="3">
                  <c:v>2</c:v>
                </c:pt>
                <c:pt idx="4">
                  <c:v>2</c:v>
                </c:pt>
              </c:numCache>
            </c:numRef>
          </c:val>
        </c:ser>
        <c:dLbls>
          <c:showLegendKey val="0"/>
          <c:showVal val="0"/>
          <c:showCatName val="0"/>
          <c:showSerName val="0"/>
          <c:showPercent val="0"/>
          <c:showBubbleSize val="0"/>
          <c:showLeaderLines val="0"/>
        </c:dLbls>
        <c:firstSliceAng val="83"/>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3909191583610185"/>
          <c:h val="0.83447965088701259"/>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759227770947235E-2"/>
                  <c:y val="5.6512269550643521E-2"/>
                </c:manualLayout>
              </c:layout>
              <c:dLblPos val="r"/>
              <c:showLegendKey val="0"/>
              <c:showVal val="1"/>
              <c:showCatName val="0"/>
              <c:showSerName val="0"/>
              <c:showPercent val="0"/>
              <c:showBubbleSize val="0"/>
            </c:dLbl>
            <c:dLbl>
              <c:idx val="1"/>
              <c:layout>
                <c:manualLayout>
                  <c:x val="-4.1851745276026545E-2"/>
                  <c:y val="5.7561743035132659E-2"/>
                </c:manualLayout>
              </c:layout>
              <c:dLblPos val="r"/>
              <c:showLegendKey val="0"/>
              <c:showVal val="1"/>
              <c:showCatName val="0"/>
              <c:showSerName val="0"/>
              <c:showPercent val="0"/>
              <c:showBubbleSize val="0"/>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24</c:v>
                </c:pt>
                <c:pt idx="1">
                  <c:v>33</c:v>
                </c:pt>
                <c:pt idx="2">
                  <c:v>25</c:v>
                </c:pt>
                <c:pt idx="3">
                  <c:v>22</c:v>
                </c:pt>
                <c:pt idx="4">
                  <c:v>4</c:v>
                </c:pt>
              </c:numCache>
            </c:numRef>
          </c:val>
          <c:smooth val="0"/>
        </c:ser>
        <c:dLbls>
          <c:showLegendKey val="0"/>
          <c:showVal val="0"/>
          <c:showCatName val="0"/>
          <c:showSerName val="0"/>
          <c:showPercent val="0"/>
          <c:showBubbleSize val="0"/>
        </c:dLbls>
        <c:marker val="1"/>
        <c:smooth val="0"/>
        <c:axId val="98844032"/>
        <c:axId val="98874496"/>
      </c:lineChart>
      <c:catAx>
        <c:axId val="98844032"/>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874496"/>
        <c:crosses val="autoZero"/>
        <c:auto val="1"/>
        <c:lblAlgn val="ctr"/>
        <c:lblOffset val="100"/>
        <c:noMultiLvlLbl val="0"/>
      </c:catAx>
      <c:valAx>
        <c:axId val="98874496"/>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9884403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4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0.40967531674819718"/>
                  <c:y val="-0.14569442117607639"/>
                </c:manualLayout>
              </c:layout>
              <c:dLblPos val="bestFit"/>
              <c:showLegendKey val="1"/>
              <c:showVal val="1"/>
              <c:showCatName val="1"/>
              <c:showSerName val="0"/>
              <c:showPercent val="0"/>
              <c:showBubbleSize val="0"/>
              <c:separator>
</c:separator>
            </c:dLbl>
            <c:dLbl>
              <c:idx val="1"/>
              <c:layout>
                <c:manualLayout>
                  <c:x val="1.6611295681063124E-2"/>
                  <c:y val="-7.2340425531914887E-2"/>
                </c:manualLayout>
              </c:layout>
              <c:dLblPos val="bestFit"/>
              <c:showLegendKey val="1"/>
              <c:showVal val="1"/>
              <c:showCatName val="1"/>
              <c:showSerName val="0"/>
              <c:showPercent val="0"/>
              <c:showBubbleSize val="0"/>
              <c:separator>
</c:separator>
            </c:dLbl>
            <c:dLbl>
              <c:idx val="2"/>
              <c:layout>
                <c:manualLayout>
                  <c:x val="5.2602436323366558E-2"/>
                  <c:y val="-8.7817397825271842E-2"/>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Blad1!$A$4:$A$5</c:f>
              <c:strCache>
                <c:ptCount val="2"/>
                <c:pt idx="0">
                  <c:v>Euratom</c:v>
                </c:pt>
                <c:pt idx="1">
                  <c:v>Security of supply and offshore safety</c:v>
                </c:pt>
              </c:strCache>
            </c:strRef>
          </c:cat>
          <c:val>
            <c:numRef>
              <c:f>Blad1!$B$4:$B$5</c:f>
              <c:numCache>
                <c:formatCode>General</c:formatCode>
                <c:ptCount val="2"/>
                <c:pt idx="0">
                  <c:v>3</c:v>
                </c:pt>
                <c:pt idx="1">
                  <c:v>1</c:v>
                </c:pt>
              </c:numCache>
            </c:numRef>
          </c:val>
        </c:ser>
        <c:dLbls>
          <c:showLegendKey val="0"/>
          <c:showVal val="0"/>
          <c:showCatName val="0"/>
          <c:showSerName val="0"/>
          <c:showPercent val="0"/>
          <c:showBubbleSize val="0"/>
          <c:showLeaderLines val="0"/>
        </c:dLbls>
        <c:firstSliceAng val="159"/>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588</c:v>
                </c:pt>
                <c:pt idx="1">
                  <c:v>520</c:v>
                </c:pt>
                <c:pt idx="2">
                  <c:v>508</c:v>
                </c:pt>
                <c:pt idx="3">
                  <c:v>363</c:v>
                </c:pt>
                <c:pt idx="4">
                  <c:v>348</c:v>
                </c:pt>
              </c:numCache>
            </c:numRef>
          </c:val>
          <c:smooth val="0"/>
        </c:ser>
        <c:dLbls>
          <c:showLegendKey val="0"/>
          <c:showVal val="0"/>
          <c:showCatName val="0"/>
          <c:showSerName val="0"/>
          <c:showPercent val="0"/>
          <c:showBubbleSize val="0"/>
        </c:dLbls>
        <c:marker val="1"/>
        <c:smooth val="0"/>
        <c:axId val="99099008"/>
        <c:axId val="99100544"/>
      </c:lineChart>
      <c:catAx>
        <c:axId val="9909900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100544"/>
        <c:crosses val="autoZero"/>
        <c:auto val="1"/>
        <c:lblAlgn val="ctr"/>
        <c:lblOffset val="100"/>
        <c:noMultiLvlLbl val="0"/>
      </c:catAx>
      <c:valAx>
        <c:axId val="99100544"/>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9909900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348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1.0376827896512937E-2"/>
                  <c:y val="5.3735536579054381E-3"/>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1.9701389070552227E-2"/>
                  <c:y val="7.8755674966304881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3524254235662402E-2"/>
                  <c:y val="-2.5886328429129846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0.19102968233621961"/>
                  <c:y val="-0.13158475603393613"/>
                </c:manualLayout>
              </c:layout>
              <c:dLblPos val="bestFit"/>
              <c:showLegendKey val="1"/>
              <c:showVal val="1"/>
              <c:showCatName val="1"/>
              <c:showSerName val="0"/>
              <c:showPercent val="0"/>
              <c:showBubbleSize val="0"/>
              <c:separator>
</c:separator>
            </c:dLbl>
            <c:dLbl>
              <c:idx val="5"/>
              <c:layout>
                <c:manualLayout>
                  <c:x val="5.512465011640987E-3"/>
                  <c:y val="5.1484233484898898E-3"/>
                </c:manualLayout>
              </c:layout>
              <c:dLblPos val="bestFit"/>
              <c:showLegendKey val="1"/>
              <c:showVal val="1"/>
              <c:showCatName val="1"/>
              <c:showSerName val="0"/>
              <c:showPercent val="0"/>
              <c:showBubbleSize val="0"/>
              <c:separator>
</c:separator>
            </c:dLbl>
            <c:dLbl>
              <c:idx val="6"/>
              <c:layout>
                <c:manualLayout>
                  <c:x val="-1.3842746400885935E-2"/>
                  <c:y val="4.6948356807511738E-3"/>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Blad1!$A$2:$A$9</c:f>
              <c:strCache>
                <c:ptCount val="5"/>
                <c:pt idx="0">
                  <c:v>Sector</c:v>
                </c:pt>
                <c:pt idx="1">
                  <c:v>Nature protection </c:v>
                </c:pt>
                <c:pt idx="2">
                  <c:v>Impact assessments</c:v>
                </c:pt>
                <c:pt idx="3">
                  <c:v>Chemicals</c:v>
                </c:pt>
                <c:pt idx="4">
                  <c:v>Other</c:v>
                </c:pt>
              </c:strCache>
            </c:strRef>
          </c:cat>
          <c:val>
            <c:numRef>
              <c:f>Blad1!$B$2:$B$9</c:f>
              <c:numCache>
                <c:formatCode>General</c:formatCode>
                <c:ptCount val="8"/>
                <c:pt idx="0">
                  <c:v>0</c:v>
                </c:pt>
                <c:pt idx="1">
                  <c:v>87</c:v>
                </c:pt>
                <c:pt idx="2">
                  <c:v>70</c:v>
                </c:pt>
                <c:pt idx="3">
                  <c:v>49</c:v>
                </c:pt>
                <c:pt idx="4">
                  <c:v>142</c:v>
                </c:pt>
              </c:numCache>
            </c:numRef>
          </c:val>
        </c:ser>
        <c:ser>
          <c:idx val="1"/>
          <c:order val="1"/>
          <c:tx>
            <c:strRef>
              <c:f>Blad1!$C$1</c:f>
              <c:strCache>
                <c:ptCount val="1"/>
                <c:pt idx="0">
                  <c:v>[Number of new complaints] complaints in 2015</c:v>
                </c:pt>
              </c:strCache>
            </c:strRef>
          </c:tx>
          <c:cat>
            <c:strRef>
              <c:f>Blad1!$A$2:$A$9</c:f>
              <c:strCache>
                <c:ptCount val="5"/>
                <c:pt idx="0">
                  <c:v>Sector</c:v>
                </c:pt>
                <c:pt idx="1">
                  <c:v>Nature protection </c:v>
                </c:pt>
                <c:pt idx="2">
                  <c:v>Impact assessments</c:v>
                </c:pt>
                <c:pt idx="3">
                  <c:v>Chemicals</c:v>
                </c:pt>
                <c:pt idx="4">
                  <c:v>Other</c:v>
                </c:pt>
              </c:strCache>
            </c:strRef>
          </c:cat>
          <c:val>
            <c:numRef>
              <c:f>Blad1!$C$2:$C$9</c:f>
              <c:numCache>
                <c:formatCode>General</c:formatCode>
                <c:ptCount val="8"/>
              </c:numCache>
            </c:numRef>
          </c:val>
        </c:ser>
        <c:dLbls>
          <c:showLegendKey val="0"/>
          <c:showVal val="0"/>
          <c:showCatName val="0"/>
          <c:showSerName val="0"/>
          <c:showPercent val="0"/>
          <c:showBubbleSize val="0"/>
          <c:showLeaderLines val="0"/>
        </c:dLbls>
        <c:firstSliceAng val="249"/>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386</c:v>
                </c:pt>
                <c:pt idx="1">
                  <c:v>279</c:v>
                </c:pt>
                <c:pt idx="2">
                  <c:v>207</c:v>
                </c:pt>
                <c:pt idx="3">
                  <c:v>101</c:v>
                </c:pt>
                <c:pt idx="4">
                  <c:v>151</c:v>
                </c:pt>
              </c:numCache>
            </c:numRef>
          </c:val>
          <c:smooth val="0"/>
        </c:ser>
        <c:dLbls>
          <c:showLegendKey val="0"/>
          <c:showVal val="0"/>
          <c:showCatName val="0"/>
          <c:showSerName val="0"/>
          <c:showPercent val="0"/>
          <c:showBubbleSize val="0"/>
        </c:dLbls>
        <c:marker val="1"/>
        <c:smooth val="0"/>
        <c:axId val="98481280"/>
        <c:axId val="98482816"/>
      </c:lineChart>
      <c:catAx>
        <c:axId val="98481280"/>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482816"/>
        <c:crosses val="autoZero"/>
        <c:auto val="1"/>
        <c:lblAlgn val="ctr"/>
        <c:lblOffset val="100"/>
        <c:noMultiLvlLbl val="0"/>
      </c:catAx>
      <c:valAx>
        <c:axId val="98482816"/>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98481280"/>
        <c:crosses val="autoZero"/>
        <c:crossBetween val="between"/>
      </c:valAx>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151</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2016</a:t>
            </a:r>
          </a:p>
        </c:rich>
      </c:tx>
      <c:layout>
        <c:manualLayout>
          <c:xMode val="edge"/>
          <c:yMode val="edge"/>
          <c:x val="0.26448675496688739"/>
          <c:y val="2.7777777777777776E-2"/>
        </c:manualLayout>
      </c:layout>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1.9315890563348457E-2"/>
                  <c:y val="0.12247419072615923"/>
                </c:manualLayout>
              </c:layout>
              <c:dLblPos val="bestFit"/>
              <c:showLegendKey val="1"/>
              <c:showVal val="1"/>
              <c:showCatName val="1"/>
              <c:showSerName val="0"/>
              <c:showPercent val="0"/>
              <c:showBubbleSize val="0"/>
              <c:separator>
</c:separator>
            </c:dLbl>
            <c:dLbl>
              <c:idx val="2"/>
              <c:layout>
                <c:manualLayout>
                  <c:x val="-3.8631346578366449E-2"/>
                  <c:y val="-6.0290463692038498E-2"/>
                </c:manualLayout>
              </c:layout>
              <c:dLblPos val="bestFit"/>
              <c:showLegendKey val="1"/>
              <c:showVal val="1"/>
              <c:showCatName val="1"/>
              <c:showSerName val="0"/>
              <c:showPercent val="0"/>
              <c:showBubbleSize val="0"/>
              <c:separator>
</c:separator>
            </c:dLbl>
            <c:dLbl>
              <c:idx val="3"/>
              <c:layout>
                <c:manualLayout>
                  <c:x val="3.3112582781456956E-2"/>
                  <c:y val="-8.7499999999999994E-2"/>
                </c:manualLayout>
              </c:layout>
              <c:dLblPos val="bestFit"/>
              <c:showLegendKey val="1"/>
              <c:showVal val="1"/>
              <c:showCatName val="1"/>
              <c:showSerName val="0"/>
              <c:showPercent val="0"/>
              <c:showBubbleSize val="0"/>
              <c:separator>
</c:separator>
            </c:dLbl>
            <c:dLbl>
              <c:idx val="4"/>
              <c:layout>
                <c:manualLayout>
                  <c:x val="-3.5871964679911703E-2"/>
                  <c:y val="-0.10555555555555565"/>
                </c:manualLayout>
              </c:layout>
              <c:dLblPos val="bestFit"/>
              <c:showLegendKey val="1"/>
              <c:showVal val="1"/>
              <c:showCatName val="1"/>
              <c:showSerName val="0"/>
              <c:showPercent val="0"/>
              <c:showBubbleSize val="0"/>
              <c:separator>
</c:separator>
            </c:dLbl>
            <c:dLbl>
              <c:idx val="5"/>
              <c:layout>
                <c:manualLayout>
                  <c:x val="-1.6556291390728502E-2"/>
                  <c:y val="5.6818181818181816E-2"/>
                </c:manualLayout>
              </c:layout>
              <c:dLblPos val="bestFit"/>
              <c:showLegendKey val="1"/>
              <c:showVal val="1"/>
              <c:showCatName val="1"/>
              <c:showSerName val="0"/>
              <c:showPercent val="0"/>
              <c:showBubbleSize val="0"/>
              <c:separator>
</c:separator>
            </c:dLbl>
            <c:dLbl>
              <c:idx val="6"/>
              <c:layout>
                <c:manualLayout>
                  <c:x val="-3.8631346578366449E-2"/>
                  <c:y val="6.6287878787878785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5"/>
                <c:pt idx="0">
                  <c:v>Sector</c:v>
                </c:pt>
                <c:pt idx="1">
                  <c:v>Water protection &amp; management</c:v>
                </c:pt>
                <c:pt idx="2">
                  <c:v>Nature protection</c:v>
                </c:pt>
                <c:pt idx="3">
                  <c:v>Chemicals</c:v>
                </c:pt>
                <c:pt idx="4">
                  <c:v>Other</c:v>
                </c:pt>
              </c:strCache>
            </c:strRef>
          </c:cat>
          <c:val>
            <c:numRef>
              <c:f>Blad1!$B$2:$B$8</c:f>
              <c:numCache>
                <c:formatCode>General</c:formatCode>
                <c:ptCount val="7"/>
                <c:pt idx="0">
                  <c:v>0</c:v>
                </c:pt>
                <c:pt idx="1">
                  <c:v>53</c:v>
                </c:pt>
                <c:pt idx="2">
                  <c:v>34</c:v>
                </c:pt>
                <c:pt idx="3">
                  <c:v>24</c:v>
                </c:pt>
                <c:pt idx="4">
                  <c:v>42</c:v>
                </c:pt>
              </c:numCache>
            </c:numRef>
          </c:val>
        </c:ser>
        <c:dLbls>
          <c:showLegendKey val="0"/>
          <c:showVal val="0"/>
          <c:showCatName val="0"/>
          <c:showSerName val="0"/>
          <c:showPercent val="0"/>
          <c:showBubbleSize val="0"/>
          <c:showLeaderLines val="0"/>
        </c:dLbls>
        <c:firstSliceAng val="262"/>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Environment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4"/>
              <c:layout>
                <c:manualLayout>
                  <c:x val="-6.1284776902887139E-2"/>
                  <c:y val="6.0937499999999999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0.74</c:v>
                </c:pt>
                <c:pt idx="1">
                  <c:v>0.74</c:v>
                </c:pt>
                <c:pt idx="2">
                  <c:v>0.79</c:v>
                </c:pt>
                <c:pt idx="3">
                  <c:v>0.76</c:v>
                </c:pt>
                <c:pt idx="4">
                  <c:v>0.65</c:v>
                </c:pt>
              </c:numCache>
            </c:numRef>
          </c:val>
          <c:smooth val="0"/>
        </c:ser>
        <c:ser>
          <c:idx val="1"/>
          <c:order val="1"/>
          <c:tx>
            <c:strRef>
              <c:f>Blad1!$C$2</c:f>
              <c:strCache>
                <c:ptCount val="1"/>
                <c:pt idx="0">
                  <c:v>General rate for all policy areas</c:v>
                </c:pt>
              </c:strCache>
            </c:strRef>
          </c:tx>
          <c:spPr>
            <a:ln w="25389">
              <a:solidFill>
                <a:srgbClr val="92D050"/>
              </a:solidFill>
            </a:ln>
          </c:spPr>
          <c:marker>
            <c:symbol val="square"/>
            <c:size val="4"/>
            <c:spPr>
              <a:solidFill>
                <a:srgbClr val="92D050"/>
              </a:solidFill>
              <a:ln>
                <a:solidFill>
                  <a:srgbClr val="92D050"/>
                </a:solidFill>
              </a:ln>
            </c:spPr>
          </c:marker>
          <c:dLbls>
            <c:dLbl>
              <c:idx val="4"/>
              <c:layout>
                <c:manualLayout>
                  <c:x val="-4.3708442694663063E-2"/>
                  <c:y val="-6.031505176436279E-2"/>
                </c:manualLayout>
              </c:layout>
              <c:dLblPos val="r"/>
              <c:showLegendKey val="0"/>
              <c:showVal val="1"/>
              <c:showCatName val="0"/>
              <c:showSerName val="0"/>
              <c:showPercent val="0"/>
              <c:showBubbleSize val="0"/>
            </c:dLbl>
            <c:txPr>
              <a:bodyPr/>
              <a:lstStyle/>
              <a:p>
                <a:pPr>
                  <a:defRPr>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8607872"/>
        <c:axId val="98609408"/>
      </c:lineChart>
      <c:catAx>
        <c:axId val="98607872"/>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609408"/>
        <c:crosses val="autoZero"/>
        <c:auto val="1"/>
        <c:lblAlgn val="ctr"/>
        <c:lblOffset val="100"/>
        <c:noMultiLvlLbl val="0"/>
      </c:catAx>
      <c:valAx>
        <c:axId val="98609408"/>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98607872"/>
        <c:crosses val="autoZero"/>
        <c:crossBetween val="between"/>
      </c:valAx>
      <c:spPr>
        <a:noFill/>
        <a:ln w="25389">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7671457342357351E-2"/>
                  <c:y val="-7.0111892819755453E-2"/>
                </c:manualLayout>
              </c:layout>
              <c:dLblPos val="r"/>
              <c:showLegendKey val="0"/>
              <c:showVal val="1"/>
              <c:showCatName val="0"/>
              <c:showSerName val="0"/>
              <c:showPercent val="0"/>
              <c:showBubbleSize val="0"/>
            </c:dLbl>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272</c:v>
                </c:pt>
                <c:pt idx="1">
                  <c:v>334</c:v>
                </c:pt>
                <c:pt idx="2">
                  <c:v>322</c:v>
                </c:pt>
                <c:pt idx="3">
                  <c:v>276</c:v>
                </c:pt>
                <c:pt idx="4">
                  <c:v>269</c:v>
                </c:pt>
              </c:numCache>
            </c:numRef>
          </c:val>
          <c:smooth val="0"/>
        </c:ser>
        <c:dLbls>
          <c:showLegendKey val="0"/>
          <c:showVal val="0"/>
          <c:showCatName val="0"/>
          <c:showSerName val="0"/>
          <c:showPercent val="0"/>
          <c:showBubbleSize val="0"/>
        </c:dLbls>
        <c:marker val="1"/>
        <c:smooth val="0"/>
        <c:axId val="98646272"/>
        <c:axId val="98648064"/>
      </c:lineChart>
      <c:catAx>
        <c:axId val="98646272"/>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648064"/>
        <c:crosses val="autoZero"/>
        <c:auto val="1"/>
        <c:lblAlgn val="ctr"/>
        <c:lblOffset val="100"/>
        <c:noMultiLvlLbl val="0"/>
      </c:catAx>
      <c:valAx>
        <c:axId val="98648064"/>
        <c:scaling>
          <c:orientation val="minMax"/>
          <c:min val="200"/>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98646272"/>
        <c:crosses val="autoZero"/>
        <c:crossBetween val="between"/>
      </c:valAx>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34437086092714E-2"/>
          <c:y val="4.7425474254742549E-2"/>
          <c:w val="0.93929359823399561"/>
          <c:h val="0.776411027889806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7587779759743284E-2"/>
                  <c:y val="5.8947371678263388E-2"/>
                </c:manualLayout>
              </c:layout>
              <c:dLblPos val="r"/>
              <c:showLegendKey val="0"/>
              <c:showVal val="1"/>
              <c:showCatName val="0"/>
              <c:showSerName val="0"/>
              <c:showPercent val="0"/>
              <c:showBubbleSize val="0"/>
            </c:dLbl>
            <c:dLbl>
              <c:idx val="1"/>
              <c:layout>
                <c:manualLayout>
                  <c:x val="-4.350241608871739E-2"/>
                  <c:y val="7.6553997823442799E-2"/>
                </c:manualLayout>
              </c:layout>
              <c:dLblPos val="r"/>
              <c:showLegendKey val="0"/>
              <c:showVal val="1"/>
              <c:showCatName val="0"/>
              <c:showSerName val="0"/>
              <c:showPercent val="0"/>
              <c:showBubbleSize val="0"/>
            </c:dLbl>
            <c:dLbl>
              <c:idx val="2"/>
              <c:layout>
                <c:manualLayout>
                  <c:x val="-3.4696412085916874E-2"/>
                  <c:y val="5.8947371678263388E-2"/>
                </c:manualLayout>
              </c:layout>
              <c:dLblPos val="r"/>
              <c:showLegendKey val="0"/>
              <c:showVal val="1"/>
              <c:showCatName val="0"/>
              <c:showSerName val="0"/>
              <c:showPercent val="0"/>
              <c:showBubbleSize val="0"/>
            </c:dLbl>
            <c:dLbl>
              <c:idx val="3"/>
              <c:layout>
                <c:manualLayout>
                  <c:x val="-4.4150110375275942E-2"/>
                  <c:y val="-8.1300813008130079E-2"/>
                </c:manualLayout>
              </c:layout>
              <c:showLegendKey val="0"/>
              <c:showVal val="1"/>
              <c:showCatName val="0"/>
              <c:showSerName val="0"/>
              <c:showPercent val="0"/>
              <c:showBubbleSize val="0"/>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28</c:v>
                </c:pt>
                <c:pt idx="1">
                  <c:v>32</c:v>
                </c:pt>
                <c:pt idx="2">
                  <c:v>18</c:v>
                </c:pt>
                <c:pt idx="3">
                  <c:v>78</c:v>
                </c:pt>
                <c:pt idx="4">
                  <c:v>66</c:v>
                </c:pt>
              </c:numCache>
            </c:numRef>
          </c:val>
          <c:smooth val="0"/>
        </c:ser>
        <c:dLbls>
          <c:showLegendKey val="0"/>
          <c:showVal val="0"/>
          <c:showCatName val="0"/>
          <c:showSerName val="0"/>
          <c:showPercent val="0"/>
          <c:showBubbleSize val="0"/>
        </c:dLbls>
        <c:marker val="1"/>
        <c:smooth val="0"/>
        <c:axId val="66327296"/>
        <c:axId val="66328832"/>
      </c:lineChart>
      <c:catAx>
        <c:axId val="6632729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6328832"/>
        <c:crosses val="autoZero"/>
        <c:auto val="1"/>
        <c:lblAlgn val="ctr"/>
        <c:lblOffset val="100"/>
        <c:noMultiLvlLbl val="0"/>
      </c:catAx>
      <c:valAx>
        <c:axId val="66328832"/>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66327296"/>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269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3.8815060908084162E-2"/>
                  <c:y val="4.7328147425680554E-2"/>
                </c:manualLayout>
              </c:layout>
              <c:spPr>
                <a:noFill/>
                <a:ln w="2538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2.768549280177187E-2"/>
                  <c:y val="-0.12588116817724068"/>
                </c:manualLayout>
              </c:layout>
              <c:dLblPos val="bestFit"/>
              <c:showLegendKey val="1"/>
              <c:showVal val="1"/>
              <c:showCatName val="1"/>
              <c:showSerName val="0"/>
              <c:showPercent val="0"/>
              <c:showBubbleSize val="0"/>
              <c:separator>
</c:separator>
            </c:dLbl>
            <c:dLbl>
              <c:idx val="3"/>
              <c:layout>
                <c:manualLayout>
                  <c:x val="2.2222222222222223E-2"/>
                  <c:y val="0"/>
                </c:manualLayout>
              </c:layout>
              <c:dLblPos val="bestFit"/>
              <c:showLegendKey val="1"/>
              <c:showVal val="1"/>
              <c:showCatName val="1"/>
              <c:showSerName val="0"/>
              <c:showPercent val="0"/>
              <c:showBubbleSize val="0"/>
              <c:separator>
</c:separator>
            </c:dLbl>
            <c:dLbl>
              <c:idx val="4"/>
              <c:layout>
                <c:manualLayout>
                  <c:x val="5.9948901736120197E-5"/>
                  <c:y val="-8.596553829562846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dLbl>
              <c:idx val="6"/>
              <c:layout>
                <c:manualLayout>
                  <c:x val="1.1074197120708749E-2"/>
                  <c:y val="4.2016806722689086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6"/>
                <c:pt idx="0">
                  <c:v>Sectors</c:v>
                </c:pt>
                <c:pt idx="1">
                  <c:v>Water protection &amp; management</c:v>
                </c:pt>
                <c:pt idx="2">
                  <c:v>Waste management</c:v>
                </c:pt>
                <c:pt idx="3">
                  <c:v>Nature protection</c:v>
                </c:pt>
                <c:pt idx="4">
                  <c:v>Air quality</c:v>
                </c:pt>
                <c:pt idx="5">
                  <c:v>Other</c:v>
                </c:pt>
              </c:strCache>
            </c:strRef>
          </c:cat>
          <c:val>
            <c:numRef>
              <c:f>Blad1!$B$2:$B$8</c:f>
              <c:numCache>
                <c:formatCode>General</c:formatCode>
                <c:ptCount val="7"/>
                <c:pt idx="0">
                  <c:v>0</c:v>
                </c:pt>
                <c:pt idx="1">
                  <c:v>69</c:v>
                </c:pt>
                <c:pt idx="2">
                  <c:v>58</c:v>
                </c:pt>
                <c:pt idx="3">
                  <c:v>49</c:v>
                </c:pt>
                <c:pt idx="4">
                  <c:v>48</c:v>
                </c:pt>
                <c:pt idx="5">
                  <c:v>45</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89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2.8239202657807561E-3"/>
                  <c:y val="6.0536402890987599E-2"/>
                </c:manualLayout>
              </c:layout>
              <c:dLblPos val="bestFit"/>
              <c:showLegendKey val="1"/>
              <c:showVal val="1"/>
              <c:showCatName val="1"/>
              <c:showSerName val="0"/>
              <c:showPercent val="0"/>
              <c:showBubbleSize val="0"/>
              <c:separator>
</c:separator>
            </c:dLbl>
            <c:dLbl>
              <c:idx val="2"/>
              <c:layout>
                <c:manualLayout>
                  <c:x val="-4.9833887043189369E-2"/>
                  <c:y val="-5.3763440860215055E-2"/>
                </c:manualLayout>
              </c:layout>
              <c:spPr>
                <a:noFill/>
                <a:ln w="2538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6.0981984810038282E-2"/>
                  <c:y val="-7.2724963631745451E-2"/>
                </c:manualLayout>
              </c:layout>
              <c:dLblPos val="bestFit"/>
              <c:showLegendKey val="1"/>
              <c:showVal val="1"/>
              <c:showCatName val="1"/>
              <c:showSerName val="0"/>
              <c:showPercent val="0"/>
              <c:showBubbleSize val="0"/>
              <c:separator>
</c:separator>
            </c:dLbl>
            <c:dLbl>
              <c:idx val="4"/>
              <c:layout>
                <c:manualLayout>
                  <c:x val="2.7749801623634256E-2"/>
                  <c:y val="0"/>
                </c:manualLayout>
              </c:layout>
              <c:dLblPos val="bestFit"/>
              <c:showLegendKey val="1"/>
              <c:showVal val="1"/>
              <c:showCatName val="1"/>
              <c:showSerName val="0"/>
              <c:showPercent val="0"/>
              <c:showBubbleSize val="0"/>
              <c:separator>
</c:separator>
            </c:dLbl>
            <c:dLbl>
              <c:idx val="5"/>
              <c:layout>
                <c:manualLayout>
                  <c:x val="-8.2781803437361034E-3"/>
                  <c:y val="-4.004241038785107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6"/>
                <c:pt idx="0">
                  <c:v>Sectors</c:v>
                </c:pt>
                <c:pt idx="1">
                  <c:v>Waste  management</c:v>
                </c:pt>
                <c:pt idx="2">
                  <c:v>Water protection &amp; management</c:v>
                </c:pt>
                <c:pt idx="3">
                  <c:v>Air quality</c:v>
                </c:pt>
                <c:pt idx="4">
                  <c:v>Nature protection</c:v>
                </c:pt>
                <c:pt idx="5">
                  <c:v>Other</c:v>
                </c:pt>
              </c:strCache>
            </c:strRef>
          </c:cat>
          <c:val>
            <c:numRef>
              <c:f>Blad1!$B$2:$B$8</c:f>
              <c:numCache>
                <c:formatCode>General</c:formatCode>
                <c:ptCount val="7"/>
                <c:pt idx="0">
                  <c:v>0</c:v>
                </c:pt>
                <c:pt idx="1">
                  <c:v>30</c:v>
                </c:pt>
                <c:pt idx="2">
                  <c:v>21</c:v>
                </c:pt>
                <c:pt idx="3">
                  <c:v>21</c:v>
                </c:pt>
                <c:pt idx="4">
                  <c:v>8</c:v>
                </c:pt>
                <c:pt idx="5">
                  <c:v>9</c:v>
                </c:pt>
              </c:numCache>
            </c:numRef>
          </c:val>
        </c:ser>
        <c:dLbls>
          <c:showLegendKey val="0"/>
          <c:showVal val="0"/>
          <c:showCatName val="0"/>
          <c:showSerName val="0"/>
          <c:showPercent val="0"/>
          <c:showBubbleSize val="0"/>
          <c:showLeaderLines val="0"/>
        </c:dLbls>
        <c:firstSliceAng val="269"/>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63</c:v>
                </c:pt>
                <c:pt idx="1">
                  <c:v>168</c:v>
                </c:pt>
                <c:pt idx="2">
                  <c:v>127</c:v>
                </c:pt>
                <c:pt idx="3">
                  <c:v>88</c:v>
                </c:pt>
                <c:pt idx="4">
                  <c:v>50</c:v>
                </c:pt>
              </c:numCache>
            </c:numRef>
          </c:val>
          <c:smooth val="0"/>
        </c:ser>
        <c:dLbls>
          <c:showLegendKey val="0"/>
          <c:showVal val="0"/>
          <c:showCatName val="0"/>
          <c:showSerName val="0"/>
          <c:showPercent val="0"/>
          <c:showBubbleSize val="0"/>
        </c:dLbls>
        <c:marker val="1"/>
        <c:smooth val="0"/>
        <c:axId val="99780480"/>
        <c:axId val="99782016"/>
      </c:lineChart>
      <c:catAx>
        <c:axId val="9978048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782016"/>
        <c:crosses val="autoZero"/>
        <c:auto val="1"/>
        <c:lblAlgn val="ctr"/>
        <c:lblOffset val="100"/>
        <c:noMultiLvlLbl val="0"/>
      </c:catAx>
      <c:valAx>
        <c:axId val="99782016"/>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99780480"/>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50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7.7567774958362756E-2"/>
                  <c:y val="-0.14285714285714285"/>
                </c:manualLayout>
              </c:layout>
              <c:dLblPos val="bestFit"/>
              <c:showLegendKey val="1"/>
              <c:showVal val="1"/>
              <c:showCatName val="1"/>
              <c:showSerName val="0"/>
              <c:showPercent val="0"/>
              <c:showBubbleSize val="0"/>
              <c:separator>
</c:separator>
            </c:dLbl>
            <c:dLbl>
              <c:idx val="1"/>
              <c:layout>
                <c:manualLayout>
                  <c:x val="-8.3056478405315621E-3"/>
                  <c:y val="-6.6666666666666666E-2"/>
                </c:manualLayout>
              </c:layout>
              <c:dLblPos val="bestFit"/>
              <c:showLegendKey val="1"/>
              <c:showVal val="1"/>
              <c:showCatName val="1"/>
              <c:showSerName val="0"/>
              <c:showPercent val="0"/>
              <c:showBubbleSize val="0"/>
              <c:separator>
</c:separator>
            </c:dLbl>
            <c:dLbl>
              <c:idx val="2"/>
              <c:layout>
                <c:manualLayout>
                  <c:x val="-1.937984496124031E-2"/>
                  <c:y val="7.1428571428571466E-2"/>
                </c:manualLayout>
              </c:layout>
              <c:dLblPos val="bestFit"/>
              <c:showLegendKey val="1"/>
              <c:showVal val="1"/>
              <c:showCatName val="1"/>
              <c:showSerName val="0"/>
              <c:showPercent val="0"/>
              <c:showBubbleSize val="0"/>
              <c:separator>
</c:separator>
            </c:dLbl>
            <c:dLbl>
              <c:idx val="3"/>
              <c:layout>
                <c:manualLayout>
                  <c:x val="-2.7685492801771874E-3"/>
                  <c:y val="2.8571428571428571E-2"/>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Blad1!$A$4:$A$6</c:f>
              <c:strCache>
                <c:ptCount val="3"/>
                <c:pt idx="0">
                  <c:v>Waste  management</c:v>
                </c:pt>
                <c:pt idx="1">
                  <c:v>Water protection &amp; management</c:v>
                </c:pt>
                <c:pt idx="2">
                  <c:v>Air quality</c:v>
                </c:pt>
              </c:strCache>
            </c:strRef>
          </c:cat>
          <c:val>
            <c:numRef>
              <c:f>Blad1!$B$4:$B$7</c:f>
              <c:numCache>
                <c:formatCode>General</c:formatCode>
                <c:ptCount val="4"/>
                <c:pt idx="0">
                  <c:v>25</c:v>
                </c:pt>
                <c:pt idx="1">
                  <c:v>15</c:v>
                </c:pt>
                <c:pt idx="2">
                  <c:v>10</c:v>
                </c:pt>
              </c:numCache>
            </c:numRef>
          </c:val>
        </c:ser>
        <c:dLbls>
          <c:showLegendKey val="0"/>
          <c:showVal val="0"/>
          <c:showCatName val="0"/>
          <c:showSerName val="0"/>
          <c:showPercent val="0"/>
          <c:showBubbleSize val="0"/>
          <c:showLeaderLines val="0"/>
        </c:dLbls>
        <c:firstSliceAng val="345"/>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88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2.8548756986772257E-3"/>
                  <c:y val="0.12020752840677525"/>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6.9535276113741593E-2"/>
                  <c:y val="-1.498875140607424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3.077231625116628E-2"/>
                  <c:y val="-0.15118680817071778"/>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3.3222591362126269E-2"/>
                  <c:y val="-3.1055900621118012E-2"/>
                </c:manualLayout>
              </c:layout>
              <c:dLblPos val="bestFit"/>
              <c:showLegendKey val="1"/>
              <c:showVal val="1"/>
              <c:showCatName val="1"/>
              <c:showSerName val="0"/>
              <c:showPercent val="0"/>
              <c:showBubbleSize val="0"/>
              <c:separator>
</c:separator>
            </c:dLbl>
            <c:dLbl>
              <c:idx val="5"/>
              <c:layout>
                <c:manualLayout>
                  <c:x val="-1.109883066942211E-2"/>
                  <c:y val="-5.2036973639164666E-3"/>
                </c:manualLayout>
              </c:layout>
              <c:dLblPos val="bestFit"/>
              <c:showLegendKey val="1"/>
              <c:showVal val="1"/>
              <c:showCatName val="1"/>
              <c:showSerName val="0"/>
              <c:showPercent val="0"/>
              <c:showBubbleSize val="0"/>
              <c:separator>
</c:separator>
            </c:dLbl>
            <c:dLbl>
              <c:idx val="6"/>
              <c:layout>
                <c:manualLayout>
                  <c:x val="-2.2148394241417499E-2"/>
                  <c:y val="0"/>
                </c:manualLayout>
              </c:layout>
              <c:dLblPos val="bestFit"/>
              <c:showLegendKey val="1"/>
              <c:showVal val="1"/>
              <c:showCatName val="1"/>
              <c:showSerName val="0"/>
              <c:showPercent val="0"/>
              <c:showBubbleSize val="0"/>
              <c:separator>
</c:separator>
            </c:dLbl>
            <c:dLbl>
              <c:idx val="7"/>
              <c:layout>
                <c:manualLayout>
                  <c:x val="-3.0454042081949059E-2"/>
                  <c:y val="4.6948356807511735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Blad1!$A$2:$A$9</c:f>
              <c:strCache>
                <c:ptCount val="6"/>
                <c:pt idx="0">
                  <c:v>Sector</c:v>
                </c:pt>
                <c:pt idx="1">
                  <c:v>Retail fnancial services and payments</c:v>
                </c:pt>
                <c:pt idx="2">
                  <c:v>Free movement of capital rules</c:v>
                </c:pt>
                <c:pt idx="3">
                  <c:v>Insurance and pensions</c:v>
                </c:pt>
                <c:pt idx="4">
                  <c:v>Financial markets</c:v>
                </c:pt>
                <c:pt idx="5">
                  <c:v>Other</c:v>
                </c:pt>
              </c:strCache>
            </c:strRef>
          </c:cat>
          <c:val>
            <c:numRef>
              <c:f>Blad1!$B$2:$B$9</c:f>
              <c:numCache>
                <c:formatCode>General</c:formatCode>
                <c:ptCount val="8"/>
                <c:pt idx="0">
                  <c:v>0</c:v>
                </c:pt>
                <c:pt idx="1">
                  <c:v>24</c:v>
                </c:pt>
                <c:pt idx="2">
                  <c:v>19</c:v>
                </c:pt>
                <c:pt idx="3">
                  <c:v>19</c:v>
                </c:pt>
                <c:pt idx="4">
                  <c:v>18</c:v>
                </c:pt>
                <c:pt idx="5">
                  <c:v>8</c:v>
                </c:pt>
              </c:numCache>
            </c:numRef>
          </c:val>
        </c:ser>
        <c:dLbls>
          <c:showLegendKey val="0"/>
          <c:showVal val="0"/>
          <c:showCatName val="0"/>
          <c:showSerName val="0"/>
          <c:showPercent val="0"/>
          <c:showBubbleSize val="0"/>
          <c:showLeaderLines val="0"/>
        </c:dLbls>
        <c:firstSliceAng val="278"/>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12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A200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dLbl>
            <c:dLbl>
              <c:idx val="1"/>
              <c:layout>
                <c:manualLayout>
                  <c:x val="6.4708809163755196E-2"/>
                  <c:y val="-1.5997685940145057E-2"/>
                </c:manualLayout>
              </c:layout>
              <c:dLblPos val="bestFit"/>
              <c:showLegendKey val="1"/>
              <c:showVal val="1"/>
              <c:showCatName val="1"/>
              <c:showSerName val="0"/>
              <c:showPercent val="0"/>
              <c:showBubbleSize val="0"/>
              <c:separator>
</c:separator>
            </c:dLbl>
            <c:dLbl>
              <c:idx val="2"/>
              <c:layout>
                <c:manualLayout>
                  <c:x val="-3.8631563852531678E-2"/>
                  <c:y val="3.7224137663265489E-2"/>
                </c:manualLayout>
              </c:layout>
              <c:dLblPos val="bestFit"/>
              <c:showLegendKey val="1"/>
              <c:showVal val="1"/>
              <c:showCatName val="1"/>
              <c:showSerName val="0"/>
              <c:showPercent val="0"/>
              <c:showBubbleSize val="0"/>
              <c:separator>
</c:separator>
            </c:dLbl>
            <c:dLbl>
              <c:idx val="3"/>
              <c:layout>
                <c:manualLayout>
                  <c:x val="4.4150110375275942E-2"/>
                  <c:y val="-0.17927984593641771"/>
                </c:manualLayout>
              </c:layout>
              <c:dLblPos val="bestFit"/>
              <c:showLegendKey val="1"/>
              <c:showVal val="1"/>
              <c:showCatName val="1"/>
              <c:showSerName val="0"/>
              <c:showPercent val="0"/>
              <c:showBubbleSize val="0"/>
              <c:separator>
</c:separator>
            </c:dLbl>
            <c:dLbl>
              <c:idx val="4"/>
              <c:layout>
                <c:manualLayout>
                  <c:x val="-5.5187637969094927E-3"/>
                  <c:y val="-5.6594682321514544E-2"/>
                </c:manualLayout>
              </c:layout>
              <c:dLblPos val="bestFit"/>
              <c:showLegendKey val="1"/>
              <c:showVal val="1"/>
              <c:showCatName val="1"/>
              <c:showSerName val="0"/>
              <c:showPercent val="0"/>
              <c:showBubbleSize val="0"/>
              <c:separator>
</c:separator>
            </c:dLbl>
            <c:dLbl>
              <c:idx val="5"/>
              <c:layout>
                <c:manualLayout>
                  <c:x val="8.2779284211990066E-3"/>
                  <c:y val="6.1553030303030304E-2"/>
                </c:manualLayout>
              </c:layout>
              <c:dLblPos val="bestFit"/>
              <c:showLegendKey val="1"/>
              <c:showVal val="1"/>
              <c:showCatName val="1"/>
              <c:showSerName val="0"/>
              <c:showPercent val="0"/>
              <c:showBubbleSize val="0"/>
              <c:separator>
</c:separator>
            </c:dLbl>
            <c:dLbl>
              <c:idx val="6"/>
              <c:layout>
                <c:manualLayout>
                  <c:x val="8.2781456953643397E-3"/>
                  <c:y val="0.11363636363636363"/>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5"/>
                <c:pt idx="0">
                  <c:v>Sector</c:v>
                </c:pt>
                <c:pt idx="1">
                  <c:v>Free movement of capital</c:v>
                </c:pt>
                <c:pt idx="2">
                  <c:v>Payment services</c:v>
                </c:pt>
                <c:pt idx="3">
                  <c:v>Banking</c:v>
                </c:pt>
                <c:pt idx="4">
                  <c:v>Insurance</c:v>
                </c:pt>
              </c:strCache>
            </c:strRef>
          </c:cat>
          <c:val>
            <c:numRef>
              <c:f>Blad1!$B$2:$B$7</c:f>
              <c:numCache>
                <c:formatCode>General</c:formatCode>
                <c:ptCount val="6"/>
                <c:pt idx="0">
                  <c:v>0</c:v>
                </c:pt>
                <c:pt idx="1">
                  <c:v>4</c:v>
                </c:pt>
                <c:pt idx="2">
                  <c:v>3</c:v>
                </c:pt>
                <c:pt idx="3">
                  <c:v>3</c:v>
                </c:pt>
                <c:pt idx="4">
                  <c:v>2</c:v>
                </c:pt>
              </c:numCache>
            </c:numRef>
          </c:val>
        </c:ser>
        <c:dLbls>
          <c:showLegendKey val="0"/>
          <c:showVal val="0"/>
          <c:showCatName val="0"/>
          <c:showSerName val="0"/>
          <c:showPercent val="0"/>
          <c:showBubbleSize val="0"/>
          <c:showLeaderLines val="0"/>
        </c:dLbls>
        <c:firstSliceAng val="242"/>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230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6.9158361018826137E-2"/>
                  <c:y val="0.13213845718264808"/>
                </c:manualLayout>
              </c:layout>
              <c:dLblPos val="bestFit"/>
              <c:showLegendKey val="1"/>
              <c:showVal val="1"/>
              <c:showCatName val="1"/>
              <c:showSerName val="0"/>
              <c:showPercent val="0"/>
              <c:showBubbleSize val="0"/>
              <c:separator>
</c:separator>
            </c:dLbl>
            <c:dLbl>
              <c:idx val="2"/>
              <c:layout>
                <c:manualLayout>
                  <c:x val="-1.107409148071415E-2"/>
                  <c:y val="-7.4645098984219296E-2"/>
                </c:manualLayout>
              </c:layout>
              <c:dLblPos val="bestFit"/>
              <c:showLegendKey val="1"/>
              <c:showVal val="1"/>
              <c:showCatName val="1"/>
              <c:showSerName val="0"/>
              <c:showPercent val="0"/>
              <c:showBubbleSize val="0"/>
              <c:separator>
</c:separator>
            </c:dLbl>
            <c:dLbl>
              <c:idx val="3"/>
              <c:layout>
                <c:manualLayout>
                  <c:x val="4.4370689128975155E-2"/>
                  <c:y val="-6.6688092559858585E-4"/>
                </c:manualLayout>
              </c:layout>
              <c:dLblPos val="bestFit"/>
              <c:showLegendKey val="1"/>
              <c:showVal val="1"/>
              <c:showCatName val="1"/>
              <c:showSerName val="0"/>
              <c:showPercent val="0"/>
              <c:showBubbleSize val="0"/>
              <c:separator>
</c:separator>
            </c:dLbl>
            <c:dLbl>
              <c:idx val="4"/>
              <c:layout>
                <c:manualLayout>
                  <c:x val="5.6016253782230708E-3"/>
                  <c:y val="4.6715851695008713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Blad1!$A$2:$A$11</c:f>
              <c:strCache>
                <c:ptCount val="6"/>
                <c:pt idx="0">
                  <c:v>Sectors</c:v>
                </c:pt>
                <c:pt idx="1">
                  <c:v>Audit/company reporting/credit rating agencies</c:v>
                </c:pt>
                <c:pt idx="2">
                  <c:v>Financial markets</c:v>
                </c:pt>
                <c:pt idx="3">
                  <c:v>Retail financial services and payments</c:v>
                </c:pt>
                <c:pt idx="4">
                  <c:v>Banking</c:v>
                </c:pt>
                <c:pt idx="5">
                  <c:v>Other</c:v>
                </c:pt>
              </c:strCache>
            </c:strRef>
          </c:cat>
          <c:val>
            <c:numRef>
              <c:f>Blad1!$B$2:$B$11</c:f>
              <c:numCache>
                <c:formatCode>General</c:formatCode>
                <c:ptCount val="10"/>
                <c:pt idx="0">
                  <c:v>0</c:v>
                </c:pt>
                <c:pt idx="1">
                  <c:v>58</c:v>
                </c:pt>
                <c:pt idx="2">
                  <c:v>39</c:v>
                </c:pt>
                <c:pt idx="3">
                  <c:v>38</c:v>
                </c:pt>
                <c:pt idx="4">
                  <c:v>29</c:v>
                </c:pt>
                <c:pt idx="5">
                  <c:v>66</c:v>
                </c:pt>
              </c:numCache>
            </c:numRef>
          </c:val>
        </c:ser>
        <c:dLbls>
          <c:showLegendKey val="0"/>
          <c:showVal val="0"/>
          <c:showCatName val="0"/>
          <c:showSerName val="0"/>
          <c:showPercent val="0"/>
          <c:showBubbleSize val="0"/>
          <c:showLeaderLines val="0"/>
        </c:dLbls>
        <c:firstSliceAng val="329"/>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120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explosion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explosion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explosion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1.3787375415282393E-2"/>
                  <c:y val="5.2273405944017477E-2"/>
                </c:manualLayout>
              </c:layout>
              <c:dLblPos val="bestFit"/>
              <c:showLegendKey val="1"/>
              <c:showVal val="1"/>
              <c:showCatName val="1"/>
              <c:showSerName val="0"/>
              <c:showPercent val="0"/>
              <c:showBubbleSize val="0"/>
              <c:separator>
</c:separator>
            </c:dLbl>
            <c:dLbl>
              <c:idx val="2"/>
              <c:layout>
                <c:manualLayout>
                  <c:x val="-6.0908084163898119E-2"/>
                  <c:y val="-6.1809059047259814E-2"/>
                </c:manualLayout>
              </c:layout>
              <c:dLblPos val="bestFit"/>
              <c:showLegendKey val="1"/>
              <c:showVal val="1"/>
              <c:showCatName val="1"/>
              <c:showSerName val="0"/>
              <c:showPercent val="0"/>
              <c:showBubbleSize val="0"/>
              <c:separator>
</c:separator>
            </c:dLbl>
            <c:dLbl>
              <c:idx val="3"/>
              <c:layout>
                <c:manualLayout>
                  <c:x val="0.21878929378013795"/>
                  <c:y val="-8.1097647225234566E-4"/>
                </c:manualLayout>
              </c:layout>
              <c:dLblPos val="bestFit"/>
              <c:showLegendKey val="1"/>
              <c:showVal val="1"/>
              <c:showCatName val="1"/>
              <c:showSerName val="0"/>
              <c:showPercent val="0"/>
              <c:showBubbleSize val="0"/>
              <c:separator>
</c:separator>
            </c:dLbl>
            <c:dLbl>
              <c:idx val="4"/>
              <c:layout>
                <c:manualLayout>
                  <c:x val="-3.86951631046119E-2"/>
                  <c:y val="1.5123689628616691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dLbl>
              <c:idx val="6"/>
              <c:layout>
                <c:manualLayout>
                  <c:x val="-1.937984496124031E-2"/>
                  <c:y val="3.7348272642390289E-2"/>
                </c:manualLayout>
              </c:layout>
              <c:dLblPos val="bestFit"/>
              <c:showLegendKey val="1"/>
              <c:showVal val="1"/>
              <c:showCatName val="1"/>
              <c:showSerName val="0"/>
              <c:showPercent val="0"/>
              <c:showBubbleSize val="0"/>
              <c:separator>
</c:separator>
            </c:dLbl>
            <c:dLbl>
              <c:idx val="7"/>
              <c:layout>
                <c:manualLayout>
                  <c:x val="-2.768549280177187E-2"/>
                  <c:y val="-0.12138188608776844"/>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Blad1!$A$2:$A$9</c:f>
              <c:strCache>
                <c:ptCount val="5"/>
                <c:pt idx="0">
                  <c:v>Sectors</c:v>
                </c:pt>
                <c:pt idx="1">
                  <c:v>Audit/company reporting</c:v>
                </c:pt>
                <c:pt idx="2">
                  <c:v>Financial markets</c:v>
                </c:pt>
                <c:pt idx="3">
                  <c:v>Retail financial services and payments</c:v>
                </c:pt>
                <c:pt idx="4">
                  <c:v>Other</c:v>
                </c:pt>
              </c:strCache>
            </c:strRef>
          </c:cat>
          <c:val>
            <c:numRef>
              <c:f>Blad1!$B$2:$B$9</c:f>
              <c:numCache>
                <c:formatCode>General</c:formatCode>
                <c:ptCount val="8"/>
                <c:pt idx="0">
                  <c:v>0</c:v>
                </c:pt>
                <c:pt idx="1">
                  <c:v>39</c:v>
                </c:pt>
                <c:pt idx="2">
                  <c:v>38</c:v>
                </c:pt>
                <c:pt idx="3">
                  <c:v>38</c:v>
                </c:pt>
                <c:pt idx="4">
                  <c:v>5</c:v>
                </c:pt>
              </c:numCache>
            </c:numRef>
          </c:val>
        </c:ser>
        <c:dLbls>
          <c:showLegendKey val="0"/>
          <c:showVal val="0"/>
          <c:showCatName val="0"/>
          <c:showSerName val="0"/>
          <c:showPercent val="0"/>
          <c:showBubbleSize val="0"/>
          <c:showLeaderLines val="0"/>
        </c:dLbls>
        <c:firstSliceAng val="25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116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0.25742668794307688"/>
                  <c:y val="8.6287964004499437E-2"/>
                </c:manualLayout>
              </c:layout>
              <c:spPr>
                <a:noFill/>
                <a:ln w="25402">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0"/>
                  <c:y val="-0.2"/>
                </c:manualLayout>
              </c:layout>
              <c:dLblPos val="bestFit"/>
              <c:showLegendKey val="1"/>
              <c:showVal val="1"/>
              <c:showCatName val="1"/>
              <c:showSerName val="0"/>
              <c:showPercent val="0"/>
              <c:showBubbleSize val="0"/>
              <c:separator>
</c:separator>
            </c:dLbl>
            <c:dLbl>
              <c:idx val="2"/>
              <c:layout>
                <c:manualLayout>
                  <c:x val="-3.5991140642303431E-2"/>
                  <c:y val="-0.16190476190476191"/>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Audit/company reporting</c:v>
                </c:pt>
                <c:pt idx="1">
                  <c:v>Financial markets</c:v>
                </c:pt>
                <c:pt idx="2">
                  <c:v>Retail financial services and payments</c:v>
                </c:pt>
                <c:pt idx="3">
                  <c:v>Other</c:v>
                </c:pt>
              </c:strCache>
            </c:strRef>
          </c:cat>
          <c:val>
            <c:numRef>
              <c:f>Blad1!$B$3:$B$6</c:f>
              <c:numCache>
                <c:formatCode>General</c:formatCode>
                <c:ptCount val="4"/>
                <c:pt idx="0">
                  <c:v>39</c:v>
                </c:pt>
                <c:pt idx="1">
                  <c:v>38</c:v>
                </c:pt>
                <c:pt idx="2">
                  <c:v>38</c:v>
                </c:pt>
                <c:pt idx="3">
                  <c:v>1</c:v>
                </c:pt>
              </c:numCache>
            </c:numRef>
          </c:val>
        </c:ser>
        <c:dLbls>
          <c:showLegendKey val="0"/>
          <c:showVal val="0"/>
          <c:showCatName val="0"/>
          <c:showSerName val="0"/>
          <c:showPercent val="0"/>
          <c:showBubbleSize val="0"/>
          <c:showLeaderLines val="0"/>
        </c:dLbls>
        <c:firstSliceAng val="288"/>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125</c:v>
                </c:pt>
                <c:pt idx="1">
                  <c:v>102</c:v>
                </c:pt>
                <c:pt idx="2">
                  <c:v>89</c:v>
                </c:pt>
                <c:pt idx="3">
                  <c:v>74</c:v>
                </c:pt>
                <c:pt idx="4">
                  <c:v>94</c:v>
                </c:pt>
              </c:numCache>
            </c:numRef>
          </c:val>
          <c:smooth val="0"/>
        </c:ser>
        <c:dLbls>
          <c:showLegendKey val="0"/>
          <c:showVal val="0"/>
          <c:showCatName val="0"/>
          <c:showSerName val="0"/>
          <c:showPercent val="0"/>
          <c:showBubbleSize val="0"/>
        </c:dLbls>
        <c:marker val="1"/>
        <c:smooth val="0"/>
        <c:axId val="102660352"/>
        <c:axId val="102662144"/>
      </c:lineChart>
      <c:catAx>
        <c:axId val="102660352"/>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662144"/>
        <c:crosses val="autoZero"/>
        <c:auto val="1"/>
        <c:lblAlgn val="ctr"/>
        <c:lblOffset val="100"/>
        <c:noMultiLvlLbl val="0"/>
      </c:catAx>
      <c:valAx>
        <c:axId val="102662144"/>
        <c:scaling>
          <c:orientation val="minMax"/>
          <c:min val="60"/>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102660352"/>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66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spPr>
              <a:solidFill>
                <a:srgbClr val="A20000"/>
              </a:solidFill>
              <a:scene3d>
                <a:camera prst="orthographicFront"/>
                <a:lightRig rig="threePt" dir="t"/>
              </a:scene3d>
              <a:sp3d>
                <a:bevelT w="63500" h="25400"/>
              </a:sp3d>
            </c:spPr>
          </c:dPt>
          <c:dLbls>
            <c:dLbl>
              <c:idx val="0"/>
              <c:delete val="1"/>
            </c:dLbl>
            <c:dLbl>
              <c:idx val="1"/>
              <c:layout>
                <c:manualLayout>
                  <c:x val="6.1073979124702436E-2"/>
                  <c:y val="-0.285706628220768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5.0155431152501283E-2"/>
                  <c:y val="7.7697312483826844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6292803515839591E-2"/>
                  <c:y val="-4.6948356807511738E-3"/>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4.706533776301218E-2"/>
                  <c:y val="-6.5728438874718131E-2"/>
                </c:manualLayout>
              </c:layout>
              <c:dLblPos val="bestFit"/>
              <c:showLegendKey val="1"/>
              <c:showVal val="1"/>
              <c:showCatName val="1"/>
              <c:showSerName val="0"/>
              <c:showPercent val="0"/>
              <c:showBubbleSize val="0"/>
              <c:separator>
</c:separator>
            </c:dLbl>
            <c:dLbl>
              <c:idx val="5"/>
              <c:layout>
                <c:manualLayout>
                  <c:x val="5.5122470156346737E-3"/>
                  <c:y val="4.5358766773871575E-4"/>
                </c:manualLayout>
              </c:layout>
              <c:spPr>
                <a:noFill/>
                <a:ln w="25383">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6"/>
              <c:layout>
                <c:manualLayout>
                  <c:x val="-2.7685492801770854E-3"/>
                  <c:y val="4.2253521126760653E-2"/>
                </c:manualLayout>
              </c:layout>
              <c:spPr>
                <a:noFill/>
                <a:ln w="25383">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7"/>
              <c:layout>
                <c:manualLayout>
                  <c:x val="-2.5616710701859943E-2"/>
                  <c:y val="0.10328638497652583"/>
                </c:manualLayout>
              </c:layout>
              <c:spPr>
                <a:noFill/>
                <a:ln w="25383">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Electronic communication</c:v>
                </c:pt>
                <c:pt idx="2">
                  <c:v>Audio-visual and media services</c:v>
                </c:pt>
                <c:pt idx="3">
                  <c:v>Cybersecurity and digital privacy</c:v>
                </c:pt>
                <c:pt idx="4">
                  <c:v>Other</c:v>
                </c:pt>
              </c:strCache>
            </c:strRef>
          </c:cat>
          <c:val>
            <c:numRef>
              <c:f>Blad1!$B$2:$B$6</c:f>
              <c:numCache>
                <c:formatCode>General</c:formatCode>
                <c:ptCount val="5"/>
                <c:pt idx="0">
                  <c:v>0</c:v>
                </c:pt>
                <c:pt idx="1">
                  <c:v>34</c:v>
                </c:pt>
                <c:pt idx="2">
                  <c:v>10</c:v>
                </c:pt>
                <c:pt idx="3">
                  <c:v>9</c:v>
                </c:pt>
                <c:pt idx="4">
                  <c:v>13</c:v>
                </c:pt>
              </c:numCache>
            </c:numRef>
          </c:val>
        </c:ser>
        <c:dLbls>
          <c:showLegendKey val="0"/>
          <c:showVal val="0"/>
          <c:showCatName val="0"/>
          <c:showSerName val="0"/>
          <c:showPercent val="0"/>
          <c:showBubbleSize val="0"/>
          <c:showLeaderLines val="0"/>
        </c:dLbls>
        <c:firstSliceAng val="179"/>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94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explosion val="1"/>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3.0540368500449073E-2"/>
                  <c:y val="-3.2185131788103949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4.7095203215877082E-2"/>
                  <c:y val="6.9429623535863988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6929787846286657E-2"/>
                  <c:y val="-0.10146433188388765"/>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2.768549280177177E-2"/>
                  <c:y val="5.6338028169013996E-2"/>
                </c:manualLayout>
              </c:layout>
              <c:dLblPos val="bestFit"/>
              <c:showLegendKey val="1"/>
              <c:showVal val="1"/>
              <c:showCatName val="1"/>
              <c:showSerName val="0"/>
              <c:showPercent val="0"/>
              <c:showBubbleSize val="0"/>
              <c:separator>
</c:separator>
            </c:dLbl>
            <c:dLbl>
              <c:idx val="5"/>
              <c:layout>
                <c:manualLayout>
                  <c:x val="5.512465011640987E-3"/>
                  <c:y val="5.1484233484898898E-3"/>
                </c:manualLayout>
              </c:layout>
              <c:dLblPos val="bestFit"/>
              <c:showLegendKey val="1"/>
              <c:showVal val="1"/>
              <c:showCatName val="1"/>
              <c:showSerName val="0"/>
              <c:showPercent val="0"/>
              <c:showBubbleSize val="0"/>
              <c:separator>
</c:separator>
            </c:dLbl>
            <c:dLbl>
              <c:idx val="6"/>
              <c:layout>
                <c:manualLayout>
                  <c:x val="-4.706533776301218E-2"/>
                  <c:y val="4.225352112676056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4"/>
                <c:pt idx="0">
                  <c:v>Sector</c:v>
                </c:pt>
                <c:pt idx="1">
                  <c:v>Animal welfare/animal health</c:v>
                </c:pt>
                <c:pt idx="2">
                  <c:v>Public health</c:v>
                </c:pt>
                <c:pt idx="3">
                  <c:v>Food safety</c:v>
                </c:pt>
              </c:strCache>
            </c:strRef>
          </c:cat>
          <c:val>
            <c:numRef>
              <c:f>Blad1!$B$2:$B$8</c:f>
              <c:numCache>
                <c:formatCode>General</c:formatCode>
                <c:ptCount val="7"/>
                <c:pt idx="0">
                  <c:v>0</c:v>
                </c:pt>
                <c:pt idx="1">
                  <c:v>43</c:v>
                </c:pt>
                <c:pt idx="2">
                  <c:v>34</c:v>
                </c:pt>
                <c:pt idx="3">
                  <c:v>17</c:v>
                </c:pt>
              </c:numCache>
            </c:numRef>
          </c:val>
        </c:ser>
        <c:ser>
          <c:idx val="1"/>
          <c:order val="1"/>
          <c:tx>
            <c:strRef>
              <c:f>Blad1!$C$1</c:f>
              <c:strCache>
                <c:ptCount val="1"/>
                <c:pt idx="0">
                  <c:v>[Number of new complaints] complaints in 2015</c:v>
                </c:pt>
              </c:strCache>
            </c:strRef>
          </c:tx>
          <c:cat>
            <c:strRef>
              <c:f>Blad1!$A$2:$A$8</c:f>
              <c:strCache>
                <c:ptCount val="4"/>
                <c:pt idx="0">
                  <c:v>Sector</c:v>
                </c:pt>
                <c:pt idx="1">
                  <c:v>Animal welfare/animal health</c:v>
                </c:pt>
                <c:pt idx="2">
                  <c:v>Public health</c:v>
                </c:pt>
                <c:pt idx="3">
                  <c:v>Food safety</c:v>
                </c:pt>
              </c:strCache>
            </c:strRef>
          </c:cat>
          <c:val>
            <c:numRef>
              <c:f>Blad1!$C$2:$C$8</c:f>
              <c:numCache>
                <c:formatCode>General</c:formatCode>
                <c:ptCount val="7"/>
              </c:numCache>
            </c:numRef>
          </c:val>
        </c:ser>
        <c:dLbls>
          <c:showLegendKey val="0"/>
          <c:showVal val="0"/>
          <c:showCatName val="0"/>
          <c:showSerName val="0"/>
          <c:showPercent val="0"/>
          <c:showBubbleSize val="0"/>
          <c:showLeaderLines val="0"/>
        </c:dLbls>
        <c:firstSliceAng val="14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72</c:v>
                </c:pt>
                <c:pt idx="1">
                  <c:v>42</c:v>
                </c:pt>
                <c:pt idx="2">
                  <c:v>31</c:v>
                </c:pt>
                <c:pt idx="3">
                  <c:v>17</c:v>
                </c:pt>
                <c:pt idx="4">
                  <c:v>9</c:v>
                </c:pt>
              </c:numCache>
            </c:numRef>
          </c:val>
          <c:smooth val="0"/>
        </c:ser>
        <c:dLbls>
          <c:showLegendKey val="0"/>
          <c:showVal val="0"/>
          <c:showCatName val="0"/>
          <c:showSerName val="0"/>
          <c:showPercent val="0"/>
          <c:showBubbleSize val="0"/>
        </c:dLbls>
        <c:marker val="1"/>
        <c:smooth val="0"/>
        <c:axId val="102726656"/>
        <c:axId val="102736640"/>
      </c:lineChart>
      <c:catAx>
        <c:axId val="102726656"/>
        <c:scaling>
          <c:orientation val="minMax"/>
        </c:scaling>
        <c:delete val="0"/>
        <c:axPos val="b"/>
        <c:numFmt formatCode="General" sourceLinked="1"/>
        <c:majorTickMark val="none"/>
        <c:minorTickMark val="none"/>
        <c:tickLblPos val="nextTo"/>
        <c:spPr>
          <a:noFill/>
          <a:ln w="1267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736640"/>
        <c:crosses val="autoZero"/>
        <c:auto val="1"/>
        <c:lblAlgn val="ctr"/>
        <c:lblOffset val="100"/>
        <c:noMultiLvlLbl val="0"/>
      </c:catAx>
      <c:valAx>
        <c:axId val="102736640"/>
        <c:scaling>
          <c:orientation val="minMax"/>
        </c:scaling>
        <c:delete val="1"/>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crossAx val="102726656"/>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9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5C15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3"/>
              <c:layout>
                <c:manualLayout>
                  <c:x val="-5.5187637969094927E-3"/>
                  <c:y val="0.10385756676557864"/>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4"/>
                <c:pt idx="0">
                  <c:v>Sector</c:v>
                </c:pt>
                <c:pt idx="1">
                  <c:v>Public health</c:v>
                </c:pt>
                <c:pt idx="2">
                  <c:v>Food safety</c:v>
                </c:pt>
                <c:pt idx="3">
                  <c:v>Animal welfare/animal health</c:v>
                </c:pt>
              </c:strCache>
            </c:strRef>
          </c:cat>
          <c:val>
            <c:numRef>
              <c:f>Blad1!$B$2:$B$7</c:f>
              <c:numCache>
                <c:formatCode>General</c:formatCode>
                <c:ptCount val="6"/>
                <c:pt idx="0">
                  <c:v>0</c:v>
                </c:pt>
                <c:pt idx="1">
                  <c:v>4</c:v>
                </c:pt>
                <c:pt idx="2">
                  <c:v>4</c:v>
                </c:pt>
                <c:pt idx="3">
                  <c:v>1</c:v>
                </c:pt>
              </c:numCache>
            </c:numRef>
          </c:val>
        </c:ser>
        <c:dLbls>
          <c:showLegendKey val="0"/>
          <c:showVal val="0"/>
          <c:showCatName val="0"/>
          <c:showSerName val="0"/>
          <c:showPercent val="0"/>
          <c:showBubbleSize val="0"/>
          <c:showLeaderLines val="0"/>
        </c:dLbls>
        <c:firstSliceAng val="0"/>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Health and food safety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0.73</c:v>
                </c:pt>
                <c:pt idx="1">
                  <c:v>0.71</c:v>
                </c:pt>
                <c:pt idx="2">
                  <c:v>0.76</c:v>
                </c:pt>
                <c:pt idx="3">
                  <c:v>0.91</c:v>
                </c:pt>
                <c:pt idx="4">
                  <c:v>0.83</c:v>
                </c:pt>
              </c:numCache>
            </c:numRef>
          </c:val>
          <c:smooth val="0"/>
        </c:ser>
        <c:ser>
          <c:idx val="1"/>
          <c:order val="1"/>
          <c:tx>
            <c:strRef>
              <c:f>Blad1!$C$2</c:f>
              <c:strCache>
                <c:ptCount val="1"/>
                <c:pt idx="0">
                  <c:v>General rate for all policy areas</c:v>
                </c:pt>
              </c:strCache>
            </c:strRef>
          </c:tx>
          <c:spPr>
            <a:ln w="25406">
              <a:solidFill>
                <a:srgbClr val="92D050"/>
              </a:solidFill>
            </a:ln>
          </c:spPr>
          <c:marker>
            <c:symbol val="square"/>
            <c:size val="5"/>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2852864"/>
        <c:axId val="102879232"/>
      </c:lineChart>
      <c:catAx>
        <c:axId val="10285286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02879232"/>
        <c:crosses val="autoZero"/>
        <c:auto val="1"/>
        <c:lblAlgn val="ctr"/>
        <c:lblOffset val="100"/>
        <c:noMultiLvlLbl val="0"/>
      </c:catAx>
      <c:valAx>
        <c:axId val="102879232"/>
        <c:scaling>
          <c:orientation val="minMax"/>
          <c:min val="0.5"/>
        </c:scaling>
        <c:delete val="1"/>
        <c:axPos val="l"/>
        <c:majorGridlines>
          <c:spPr>
            <a:ln w="9527" cap="flat" cmpd="sng" algn="ctr">
              <a:solidFill>
                <a:schemeClr val="tx1">
                  <a:lumMod val="15000"/>
                  <a:lumOff val="85000"/>
                </a:schemeClr>
              </a:solidFill>
              <a:round/>
            </a:ln>
            <a:effectLst/>
          </c:spPr>
        </c:majorGridlines>
        <c:numFmt formatCode="0%" sourceLinked="1"/>
        <c:majorTickMark val="none"/>
        <c:minorTickMark val="none"/>
        <c:tickLblPos val="nextTo"/>
        <c:crossAx val="102852864"/>
        <c:crosses val="autoZero"/>
        <c:crossBetween val="between"/>
      </c:valAx>
      <c:spPr>
        <a:noFill/>
        <a:ln w="2540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1997792494481233E-2"/>
                  <c:y val="7.9964539007092203E-2"/>
                </c:manualLayout>
              </c:layout>
              <c:dLblPos val="r"/>
              <c:showLegendKey val="0"/>
              <c:showVal val="1"/>
              <c:showCatName val="0"/>
              <c:showSerName val="0"/>
              <c:showPercent val="0"/>
              <c:showBubbleSize val="0"/>
            </c:dLbl>
            <c:dLbl>
              <c:idx val="3"/>
              <c:layout>
                <c:manualLayout>
                  <c:x val="-4.1997792494481233E-2"/>
                  <c:y val="7.9964539007092203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98</c:v>
                </c:pt>
                <c:pt idx="1">
                  <c:v>60</c:v>
                </c:pt>
                <c:pt idx="2">
                  <c:v>94</c:v>
                </c:pt>
                <c:pt idx="3">
                  <c:v>25</c:v>
                </c:pt>
                <c:pt idx="4">
                  <c:v>107</c:v>
                </c:pt>
              </c:numCache>
            </c:numRef>
          </c:val>
          <c:smooth val="0"/>
        </c:ser>
        <c:dLbls>
          <c:showLegendKey val="0"/>
          <c:showVal val="0"/>
          <c:showCatName val="0"/>
          <c:showSerName val="0"/>
          <c:showPercent val="0"/>
          <c:showBubbleSize val="0"/>
        </c:dLbls>
        <c:marker val="1"/>
        <c:smooth val="0"/>
        <c:axId val="102936960"/>
        <c:axId val="102938496"/>
      </c:lineChart>
      <c:catAx>
        <c:axId val="102936960"/>
        <c:scaling>
          <c:orientation val="minMax"/>
        </c:scaling>
        <c:delete val="0"/>
        <c:axPos val="b"/>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938496"/>
        <c:crosses val="autoZero"/>
        <c:auto val="1"/>
        <c:lblAlgn val="ctr"/>
        <c:lblOffset val="100"/>
        <c:noMultiLvlLbl val="0"/>
      </c:catAx>
      <c:valAx>
        <c:axId val="102938496"/>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crossAx val="102936960"/>
        <c:crosses val="autoZero"/>
        <c:crossBetween val="between"/>
      </c:valAx>
      <c:spPr>
        <a:noFill/>
        <a:ln w="25366">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107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1.9324473975636768E-2"/>
                  <c:y val="-0.61760421491431217"/>
                </c:manualLayout>
              </c:layout>
              <c:dLblPos val="bestFit"/>
              <c:showLegendKey val="1"/>
              <c:showVal val="1"/>
              <c:showCatName val="1"/>
              <c:showSerName val="0"/>
              <c:showPercent val="0"/>
              <c:showBubbleSize val="0"/>
              <c:separator>
</c:separator>
            </c:dLbl>
            <c:dLbl>
              <c:idx val="2"/>
              <c:layout>
                <c:manualLayout>
                  <c:x val="1.1074197120708749E-2"/>
                  <c:y val="7.7397089604305788E-2"/>
                </c:manualLayout>
              </c:layout>
              <c:dLblPos val="bestFit"/>
              <c:showLegendKey val="1"/>
              <c:showVal val="1"/>
              <c:showCatName val="1"/>
              <c:showSerName val="0"/>
              <c:showPercent val="0"/>
              <c:showBubbleSize val="0"/>
              <c:separator>
</c:separator>
            </c:dLbl>
            <c:dLbl>
              <c:idx val="3"/>
              <c:layout>
                <c:manualLayout>
                  <c:x val="4.1602139848797973E-2"/>
                  <c:y val="2.6610699397869385E-2"/>
                </c:manualLayout>
              </c:layout>
              <c:dLblPos val="bestFit"/>
              <c:showLegendKey val="1"/>
              <c:showVal val="1"/>
              <c:showCatName val="1"/>
              <c:showSerName val="0"/>
              <c:showPercent val="0"/>
              <c:showBubbleSize val="0"/>
              <c:separator>
</c:separator>
            </c:dLbl>
            <c:dLbl>
              <c:idx val="4"/>
              <c:layout>
                <c:manualLayout>
                  <c:x val="1.1138723938577445E-2"/>
                  <c:y val="4.6716219296117398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Blad1!$A$2:$A$5</c:f>
              <c:strCache>
                <c:ptCount val="4"/>
                <c:pt idx="0">
                  <c:v>Sectors</c:v>
                </c:pt>
                <c:pt idx="1">
                  <c:v>Public health</c:v>
                </c:pt>
                <c:pt idx="2">
                  <c:v>Animal welfare/animal health</c:v>
                </c:pt>
                <c:pt idx="3">
                  <c:v>Food safety</c:v>
                </c:pt>
              </c:strCache>
            </c:strRef>
          </c:cat>
          <c:val>
            <c:numRef>
              <c:f>Blad1!$B$2:$B$5</c:f>
              <c:numCache>
                <c:formatCode>General</c:formatCode>
                <c:ptCount val="4"/>
                <c:pt idx="0">
                  <c:v>0</c:v>
                </c:pt>
                <c:pt idx="1">
                  <c:v>88</c:v>
                </c:pt>
                <c:pt idx="2">
                  <c:v>5</c:v>
                </c:pt>
                <c:pt idx="3">
                  <c:v>14</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148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7.7574750830564781E-2"/>
                  <c:y val="-0.2831784540445958"/>
                </c:manualLayout>
              </c:layout>
              <c:dLblPos val="bestFit"/>
              <c:showLegendKey val="1"/>
              <c:showVal val="1"/>
              <c:showCatName val="1"/>
              <c:showSerName val="0"/>
              <c:showPercent val="0"/>
              <c:showBubbleSize val="0"/>
              <c:separator>
</c:separator>
            </c:dLbl>
            <c:dLbl>
              <c:idx val="2"/>
              <c:layout>
                <c:manualLayout>
                  <c:x val="5.5370985603543747E-3"/>
                  <c:y val="-4.3405216239861912E-2"/>
                </c:manualLayout>
              </c:layout>
              <c:dLblPos val="bestFit"/>
              <c:showLegendKey val="1"/>
              <c:showVal val="1"/>
              <c:showCatName val="1"/>
              <c:showSerName val="0"/>
              <c:showPercent val="0"/>
              <c:showBubbleSize val="0"/>
              <c:separator>
</c:separator>
            </c:dLbl>
            <c:dLbl>
              <c:idx val="3"/>
              <c:layout>
                <c:manualLayout>
                  <c:x val="5.1536435852495184E-3"/>
                  <c:y val="0.12344273407265534"/>
                </c:manualLayout>
              </c:layout>
              <c:dLblPos val="bestFit"/>
              <c:showLegendKey val="1"/>
              <c:showVal val="1"/>
              <c:showCatName val="1"/>
              <c:showSerName val="0"/>
              <c:showPercent val="0"/>
              <c:showBubbleSize val="0"/>
              <c:separator>
</c:separator>
            </c:dLbl>
            <c:dLbl>
              <c:idx val="4"/>
              <c:layout>
                <c:manualLayout>
                  <c:x val="1.9444444444444445E-2"/>
                  <c:y val="4.6992481203007516E-3"/>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4"/>
                <c:pt idx="0">
                  <c:v>Sectors</c:v>
                </c:pt>
                <c:pt idx="1">
                  <c:v>Public health</c:v>
                </c:pt>
                <c:pt idx="2">
                  <c:v>Food safety</c:v>
                </c:pt>
                <c:pt idx="3">
                  <c:v> Animal welfare/animal health</c:v>
                </c:pt>
              </c:strCache>
            </c:strRef>
          </c:cat>
          <c:val>
            <c:numRef>
              <c:f>Blad1!$B$2:$B$6</c:f>
              <c:numCache>
                <c:formatCode>General</c:formatCode>
                <c:ptCount val="5"/>
                <c:pt idx="0">
                  <c:v>0</c:v>
                </c:pt>
                <c:pt idx="1">
                  <c:v>89</c:v>
                </c:pt>
                <c:pt idx="2">
                  <c:v>52</c:v>
                </c:pt>
                <c:pt idx="3">
                  <c:v>7</c:v>
                </c:pt>
              </c:numCache>
            </c:numRef>
          </c:val>
        </c:ser>
        <c:dLbls>
          <c:showLegendKey val="0"/>
          <c:showVal val="0"/>
          <c:showCatName val="0"/>
          <c:showSerName val="0"/>
          <c:showPercent val="0"/>
          <c:showBubbleSize val="0"/>
          <c:showLeaderLines val="0"/>
        </c:dLbls>
        <c:firstSliceAng val="343"/>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53200883002206E-2"/>
          <c:y val="5.2083333333333336E-2"/>
          <c:w val="0.93929359823399561"/>
          <c:h val="0.80901775298920964"/>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209269784985487E-2"/>
                  <c:y val="-4.9334262904636918E-2"/>
                </c:manualLayout>
              </c:layout>
              <c:dLblPos val="r"/>
              <c:showLegendKey val="0"/>
              <c:showVal val="1"/>
              <c:showCatName val="0"/>
              <c:showSerName val="0"/>
              <c:showPercent val="0"/>
              <c:showBubbleSize val="0"/>
            </c:dLbl>
            <c:dLbl>
              <c:idx val="1"/>
              <c:layout>
                <c:manualLayout>
                  <c:x val="-4.2025386313465786E-2"/>
                  <c:y val="5.4832403762029747E-2"/>
                </c:manualLayout>
              </c:layout>
              <c:dLblPos val="r"/>
              <c:showLegendKey val="0"/>
              <c:showVal val="1"/>
              <c:showCatName val="0"/>
              <c:showSerName val="0"/>
              <c:showPercent val="0"/>
              <c:showBubbleSize val="0"/>
            </c:dLbl>
            <c:dLbl>
              <c:idx val="2"/>
              <c:layout>
                <c:manualLayout>
                  <c:x val="-4.7171742191166502E-2"/>
                  <c:y val="-5.512129994167396E-2"/>
                </c:manualLayout>
              </c:layout>
              <c:dLblPos val="r"/>
              <c:showLegendKey val="0"/>
              <c:showVal val="1"/>
              <c:showCatName val="0"/>
              <c:showSerName val="0"/>
              <c:showPercent val="0"/>
              <c:showBubbleSize val="0"/>
            </c:dLbl>
            <c:dLbl>
              <c:idx val="3"/>
              <c:layout>
                <c:manualLayout>
                  <c:x val="-4.4412360292711756E-2"/>
                  <c:y val="6.0619440799066782E-2"/>
                </c:manualLayout>
              </c:layout>
              <c:dLblPos val="r"/>
              <c:showLegendKey val="0"/>
              <c:showVal val="1"/>
              <c:showCatName val="0"/>
              <c:showSerName val="0"/>
              <c:showPercent val="0"/>
              <c:showBubbleSize val="0"/>
            </c:dLbl>
            <c:dLbl>
              <c:idx val="4"/>
              <c:layout>
                <c:manualLayout>
                  <c:x val="-2.2337522379239021E-2"/>
                  <c:y val="-3.7760188830562848E-2"/>
                </c:manualLayout>
              </c:layout>
              <c:dLblPos val="r"/>
              <c:showLegendKey val="0"/>
              <c:showVal val="1"/>
              <c:showCatName val="0"/>
              <c:showSerName val="0"/>
              <c:showPercent val="0"/>
              <c:showBubbleSize val="0"/>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108</c:v>
                </c:pt>
                <c:pt idx="1">
                  <c:v>58</c:v>
                </c:pt>
                <c:pt idx="2">
                  <c:v>128</c:v>
                </c:pt>
                <c:pt idx="3">
                  <c:v>18</c:v>
                </c:pt>
                <c:pt idx="4">
                  <c:v>147</c:v>
                </c:pt>
              </c:numCache>
            </c:numRef>
          </c:val>
          <c:smooth val="0"/>
        </c:ser>
        <c:dLbls>
          <c:showLegendKey val="0"/>
          <c:showVal val="0"/>
          <c:showCatName val="0"/>
          <c:showSerName val="0"/>
          <c:showPercent val="0"/>
          <c:showBubbleSize val="0"/>
        </c:dLbls>
        <c:marker val="1"/>
        <c:smooth val="0"/>
        <c:axId val="103046144"/>
        <c:axId val="103056128"/>
      </c:lineChart>
      <c:catAx>
        <c:axId val="103046144"/>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056128"/>
        <c:crosses val="autoZero"/>
        <c:auto val="1"/>
        <c:lblAlgn val="ctr"/>
        <c:lblOffset val="100"/>
        <c:noMultiLvlLbl val="0"/>
      </c:catAx>
      <c:valAx>
        <c:axId val="103056128"/>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out"/>
        <c:minorTickMark val="none"/>
        <c:tickLblPos val="nextTo"/>
        <c:crossAx val="103046144"/>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147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spPr>
            <a:solidFill>
              <a:srgbClr val="C00000"/>
            </a:solidFill>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7.2030676398008392E-2"/>
                  <c:y val="-0.19523809523809521"/>
                </c:manualLayout>
              </c:layout>
              <c:dLblPos val="bestFit"/>
              <c:showLegendKey val="1"/>
              <c:showVal val="1"/>
              <c:showCatName val="1"/>
              <c:showSerName val="0"/>
              <c:showPercent val="0"/>
              <c:showBubbleSize val="0"/>
              <c:separator>
</c:separator>
            </c:dLbl>
            <c:dLbl>
              <c:idx val="1"/>
              <c:layout>
                <c:manualLayout>
                  <c:x val="-1.6611295681063124E-2"/>
                  <c:y val="-0.1164021164021164"/>
                </c:manualLayout>
              </c:layout>
              <c:dLblPos val="bestFit"/>
              <c:showLegendKey val="1"/>
              <c:showVal val="1"/>
              <c:showCatName val="1"/>
              <c:showSerName val="0"/>
              <c:showPercent val="0"/>
              <c:showBubbleSize val="0"/>
              <c:separator>
</c:separator>
            </c:dLbl>
            <c:dLbl>
              <c:idx val="2"/>
              <c:layout>
                <c:manualLayout>
                  <c:x val="2.4916943521594685E-2"/>
                  <c:y val="0.10052910052910052"/>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Blad1!$A$4:$A$6</c:f>
              <c:strCache>
                <c:ptCount val="3"/>
                <c:pt idx="0">
                  <c:v>Public health</c:v>
                </c:pt>
                <c:pt idx="1">
                  <c:v>Food safety</c:v>
                </c:pt>
                <c:pt idx="2">
                  <c:v>Animal welfare/Animal health</c:v>
                </c:pt>
              </c:strCache>
            </c:strRef>
          </c:cat>
          <c:val>
            <c:numRef>
              <c:f>Blad1!$B$4:$B$6</c:f>
              <c:numCache>
                <c:formatCode>General</c:formatCode>
                <c:ptCount val="3"/>
                <c:pt idx="0">
                  <c:v>89</c:v>
                </c:pt>
                <c:pt idx="1">
                  <c:v>51</c:v>
                </c:pt>
                <c:pt idx="2">
                  <c:v>7</c:v>
                </c:pt>
              </c:numCache>
            </c:numRef>
          </c:val>
        </c:ser>
        <c:dLbls>
          <c:showLegendKey val="0"/>
          <c:showVal val="0"/>
          <c:showCatName val="0"/>
          <c:showSerName val="0"/>
          <c:showPercent val="0"/>
          <c:showBubbleSize val="0"/>
          <c:showLeaderLines val="0"/>
        </c:dLbls>
        <c:firstSliceAng val="329"/>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483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E3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37ACDE"/>
              </a:solidFill>
              <a:scene3d>
                <a:camera prst="orthographicFront"/>
                <a:lightRig rig="threePt" dir="t"/>
              </a:scene3d>
              <a:sp3d>
                <a:bevelT w="63500" h="25400"/>
              </a:sp3d>
            </c:spPr>
          </c:dPt>
          <c:dPt>
            <c:idx val="7"/>
            <c:bubble3D val="0"/>
          </c:dPt>
          <c:dLbls>
            <c:dLbl>
              <c:idx val="0"/>
              <c:delete val="1"/>
            </c:dLbl>
            <c:dLbl>
              <c:idx val="1"/>
              <c:layout>
                <c:manualLayout>
                  <c:x val="-0.10805974834541031"/>
                  <c:y val="-0.11302967776618285"/>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1.6289751571751207E-2"/>
                  <c:y val="-2.6397716851658603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5.2277622273959939E-3"/>
                  <c:y val="7.0625415046010817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1.661129568106302E-2"/>
                  <c:y val="-0.17602812826107583"/>
                </c:manualLayout>
              </c:layout>
              <c:dLblPos val="bestFit"/>
              <c:showLegendKey val="1"/>
              <c:showVal val="1"/>
              <c:showCatName val="1"/>
              <c:showSerName val="0"/>
              <c:showPercent val="0"/>
              <c:showBubbleSize val="0"/>
              <c:separator>
</c:separator>
            </c:dLbl>
            <c:dLbl>
              <c:idx val="5"/>
              <c:layout>
                <c:manualLayout>
                  <c:x val="5.512465011640987E-3"/>
                  <c:y val="5.1484233484898898E-3"/>
                </c:manualLayout>
              </c:layout>
              <c:dLblPos val="bestFit"/>
              <c:showLegendKey val="1"/>
              <c:showVal val="1"/>
              <c:showCatName val="1"/>
              <c:showSerName val="0"/>
              <c:showPercent val="0"/>
              <c:showBubbleSize val="0"/>
              <c:separator>
</c:separator>
            </c:dLbl>
            <c:dLbl>
              <c:idx val="6"/>
              <c:layout>
                <c:manualLayout>
                  <c:x val="-4.706533776301218E-2"/>
                  <c:y val="4.225352112676056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5"/>
                <c:pt idx="0">
                  <c:v>Sector</c:v>
                </c:pt>
                <c:pt idx="1">
                  <c:v>Services</c:v>
                </c:pt>
                <c:pt idx="2">
                  <c:v>Regulated professions</c:v>
                </c:pt>
                <c:pt idx="3">
                  <c:v>Public procurement</c:v>
                </c:pt>
                <c:pt idx="4">
                  <c:v>Other</c:v>
                </c:pt>
              </c:strCache>
            </c:strRef>
          </c:cat>
          <c:val>
            <c:numRef>
              <c:f>Blad1!$B$2:$B$7</c:f>
              <c:numCache>
                <c:formatCode>General</c:formatCode>
                <c:ptCount val="6"/>
                <c:pt idx="0">
                  <c:v>0</c:v>
                </c:pt>
                <c:pt idx="1">
                  <c:v>135</c:v>
                </c:pt>
                <c:pt idx="2">
                  <c:v>133</c:v>
                </c:pt>
                <c:pt idx="3">
                  <c:v>88</c:v>
                </c:pt>
                <c:pt idx="4">
                  <c:v>127</c:v>
                </c:pt>
              </c:numCache>
            </c:numRef>
          </c:val>
        </c:ser>
        <c:dLbls>
          <c:showLegendKey val="0"/>
          <c:showVal val="0"/>
          <c:showCatName val="0"/>
          <c:showSerName val="0"/>
          <c:showPercent val="0"/>
          <c:showBubbleSize val="0"/>
          <c:showLeaderLines val="0"/>
        </c:dLbls>
        <c:firstSliceAng val="14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63426688632619E-2"/>
                  <c:y val="5.9591442579111573E-2"/>
                </c:manualLayout>
              </c:layout>
              <c:dLblPos val="r"/>
              <c:showLegendKey val="0"/>
              <c:showVal val="1"/>
              <c:showCatName val="0"/>
              <c:showSerName val="0"/>
              <c:showPercent val="0"/>
              <c:showBubbleSize val="0"/>
            </c:dLbl>
            <c:dLbl>
              <c:idx val="2"/>
              <c:layout>
                <c:manualLayout>
                  <c:x val="-4.181768259198243E-2"/>
                  <c:y val="7.8459367107413455E-2"/>
                </c:manualLayout>
              </c:layout>
              <c:dLblPos val="r"/>
              <c:showLegendKey val="0"/>
              <c:showVal val="1"/>
              <c:showCatName val="0"/>
              <c:showSerName val="0"/>
              <c:showPercent val="0"/>
              <c:showBubbleSize val="0"/>
            </c:dLbl>
            <c:dLbl>
              <c:idx val="4"/>
              <c:layout>
                <c:manualLayout>
                  <c:x val="-4.181768259198243E-2"/>
                  <c:y val="6.58807507552122E-2"/>
                </c:manualLayout>
              </c:layout>
              <c:dLblPos val="r"/>
              <c:showLegendKey val="0"/>
              <c:showVal val="1"/>
              <c:showCatName val="0"/>
              <c:showSerName val="0"/>
              <c:showPercent val="0"/>
              <c:showBubbleSize val="0"/>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52</c:v>
                </c:pt>
                <c:pt idx="2">
                  <c:v>12</c:v>
                </c:pt>
                <c:pt idx="3">
                  <c:v>30</c:v>
                </c:pt>
                <c:pt idx="4">
                  <c:v>12</c:v>
                </c:pt>
              </c:numCache>
            </c:numRef>
          </c:val>
          <c:smooth val="0"/>
        </c:ser>
        <c:dLbls>
          <c:showLegendKey val="0"/>
          <c:showVal val="0"/>
          <c:showCatName val="0"/>
          <c:showSerName val="0"/>
          <c:showPercent val="0"/>
          <c:showBubbleSize val="0"/>
        </c:dLbls>
        <c:marker val="1"/>
        <c:smooth val="0"/>
        <c:axId val="66357888"/>
        <c:axId val="66752896"/>
      </c:lineChart>
      <c:catAx>
        <c:axId val="66357888"/>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6752896"/>
        <c:crosses val="autoZero"/>
        <c:auto val="1"/>
        <c:lblAlgn val="ctr"/>
        <c:lblOffset val="100"/>
        <c:noMultiLvlLbl val="0"/>
      </c:catAx>
      <c:valAx>
        <c:axId val="66752896"/>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66357888"/>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111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2.4834437086092714E-2"/>
                  <c:y val="3.8872691933916424E-2"/>
                </c:manualLayout>
              </c:layout>
              <c:dLblPos val="bestFit"/>
              <c:showLegendKey val="1"/>
              <c:showVal val="1"/>
              <c:showCatName val="1"/>
              <c:showSerName val="0"/>
              <c:showPercent val="0"/>
              <c:showBubbleSize val="0"/>
              <c:separator>
</c:separator>
            </c:dLbl>
            <c:dLbl>
              <c:idx val="2"/>
              <c:layout>
                <c:manualLayout>
                  <c:x val="5.095122629538857E-2"/>
                  <c:y val="-5.3449951409135082E-2"/>
                </c:manualLayout>
              </c:layout>
              <c:dLblPos val="bestFit"/>
              <c:showLegendKey val="1"/>
              <c:showVal val="1"/>
              <c:showCatName val="1"/>
              <c:showSerName val="0"/>
              <c:showPercent val="0"/>
              <c:showBubbleSize val="0"/>
              <c:separator>
</c:separator>
            </c:dLbl>
            <c:dLbl>
              <c:idx val="3"/>
              <c:layout>
                <c:manualLayout>
                  <c:x val="8.2781456953642391E-3"/>
                  <c:y val="-6.77467612466809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5"/>
                <c:pt idx="0">
                  <c:v>Sector</c:v>
                </c:pt>
                <c:pt idx="1">
                  <c:v>Industry sectors</c:v>
                </c:pt>
                <c:pt idx="2">
                  <c:v>Horizontal legislation for goods &amp; non-harmonized sectors</c:v>
                </c:pt>
                <c:pt idx="3">
                  <c:v>Public procurement</c:v>
                </c:pt>
                <c:pt idx="4">
                  <c:v>Other</c:v>
                </c:pt>
              </c:strCache>
            </c:strRef>
          </c:cat>
          <c:val>
            <c:numRef>
              <c:f>Blad1!$B$2:$B$7</c:f>
              <c:numCache>
                <c:formatCode>General</c:formatCode>
                <c:ptCount val="6"/>
                <c:pt idx="0">
                  <c:v>0</c:v>
                </c:pt>
                <c:pt idx="1">
                  <c:v>35</c:v>
                </c:pt>
                <c:pt idx="2">
                  <c:v>31</c:v>
                </c:pt>
                <c:pt idx="3">
                  <c:v>19</c:v>
                </c:pt>
                <c:pt idx="4">
                  <c:v>26</c:v>
                </c:pt>
              </c:numCache>
            </c:numRef>
          </c:val>
        </c:ser>
        <c:dLbls>
          <c:showLegendKey val="0"/>
          <c:showVal val="0"/>
          <c:showCatName val="0"/>
          <c:showSerName val="0"/>
          <c:showPercent val="0"/>
          <c:showBubbleSize val="0"/>
          <c:showLeaderLines val="0"/>
        </c:dLbls>
        <c:firstSliceAng val="335"/>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270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5.4815095787445174E-3"/>
                  <c:y val="5.2645049803557185E-2"/>
                </c:manualLayout>
              </c:layout>
              <c:dLblPos val="bestFit"/>
              <c:showLegendKey val="1"/>
              <c:showVal val="1"/>
              <c:showCatName val="1"/>
              <c:showSerName val="0"/>
              <c:showPercent val="0"/>
              <c:showBubbleSize val="0"/>
              <c:separator>
</c:separator>
            </c:dLbl>
            <c:dLbl>
              <c:idx val="2"/>
              <c:layout>
                <c:manualLayout>
                  <c:x val="-3.875968992248062E-2"/>
                  <c:y val="-3.064997310118844E-2"/>
                </c:manualLayout>
              </c:layout>
              <c:dLblPos val="bestFit"/>
              <c:showLegendKey val="1"/>
              <c:showVal val="1"/>
              <c:showCatName val="1"/>
              <c:showSerName val="0"/>
              <c:showPercent val="0"/>
              <c:showBubbleSize val="0"/>
              <c:separator>
</c:separator>
            </c:dLbl>
            <c:dLbl>
              <c:idx val="3"/>
              <c:layout>
                <c:manualLayout>
                  <c:x val="2.4990844167734848E-2"/>
                  <c:y val="0"/>
                </c:manualLayout>
              </c:layout>
              <c:dLblPos val="bestFit"/>
              <c:showLegendKey val="1"/>
              <c:showVal val="1"/>
              <c:showCatName val="1"/>
              <c:showSerName val="0"/>
              <c:showPercent val="0"/>
              <c:showBubbleSize val="0"/>
              <c:separator>
</c:separator>
            </c:dLbl>
            <c:dLbl>
              <c:idx val="4"/>
              <c:layout>
                <c:manualLayout>
                  <c:x val="-4.976936022532067E-2"/>
                  <c:y val="-0.18681224629529994"/>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5"/>
                <c:pt idx="0">
                  <c:v>Sectors</c:v>
                </c:pt>
                <c:pt idx="1">
                  <c:v>Industry sectors</c:v>
                </c:pt>
                <c:pt idx="2">
                  <c:v>Public procurement</c:v>
                </c:pt>
                <c:pt idx="3">
                  <c:v>Horizontal legislation for goods &amp; non-harmonized sectors</c:v>
                </c:pt>
                <c:pt idx="4">
                  <c:v>Other</c:v>
                </c:pt>
              </c:strCache>
            </c:strRef>
          </c:cat>
          <c:val>
            <c:numRef>
              <c:f>Blad1!$B$2:$B$8</c:f>
              <c:numCache>
                <c:formatCode>General</c:formatCode>
                <c:ptCount val="7"/>
                <c:pt idx="0">
                  <c:v>0</c:v>
                </c:pt>
                <c:pt idx="1">
                  <c:v>73</c:v>
                </c:pt>
                <c:pt idx="2">
                  <c:v>61</c:v>
                </c:pt>
                <c:pt idx="3">
                  <c:v>43</c:v>
                </c:pt>
                <c:pt idx="4">
                  <c:v>93</c:v>
                </c:pt>
              </c:numCache>
            </c:numRef>
          </c:val>
        </c:ser>
        <c:dLbls>
          <c:showLegendKey val="0"/>
          <c:showVal val="0"/>
          <c:showCatName val="0"/>
          <c:showSerName val="0"/>
          <c:showPercent val="0"/>
          <c:showBubbleSize val="0"/>
          <c:showLeaderLines val="0"/>
        </c:dLbls>
        <c:firstSliceAng val="28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292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9.0558292282430217E-2"/>
                  <c:y val="-0.15516268799733365"/>
                </c:manualLayout>
              </c:layout>
              <c:dLblPos val="bestFit"/>
              <c:showLegendKey val="1"/>
              <c:showVal val="1"/>
              <c:showCatName val="1"/>
              <c:showSerName val="0"/>
              <c:showPercent val="0"/>
              <c:showBubbleSize val="0"/>
              <c:separator>
</c:separator>
            </c:dLbl>
            <c:dLbl>
              <c:idx val="2"/>
              <c:layout>
                <c:manualLayout>
                  <c:x val="0.17241379310344829"/>
                  <c:y val="0"/>
                </c:manualLayout>
              </c:layout>
              <c:dLblPos val="bestFit"/>
              <c:showLegendKey val="1"/>
              <c:showVal val="1"/>
              <c:showCatName val="1"/>
              <c:showSerName val="0"/>
              <c:showPercent val="0"/>
              <c:showBubbleSize val="0"/>
              <c:separator>
</c:separator>
            </c:dLbl>
            <c:dLbl>
              <c:idx val="3"/>
              <c:layout>
                <c:manualLayout>
                  <c:x val="-1.0618500273672688E-2"/>
                  <c:y val="-2.0263424518743668E-2"/>
                </c:manualLayout>
              </c:layout>
              <c:dLblPos val="bestFit"/>
              <c:showLegendKey val="1"/>
              <c:showVal val="1"/>
              <c:showCatName val="1"/>
              <c:showSerName val="0"/>
              <c:showPercent val="0"/>
              <c:showBubbleSize val="0"/>
              <c:separator>
</c:separator>
            </c:dLbl>
            <c:dLbl>
              <c:idx val="4"/>
              <c:layout>
                <c:manualLayout>
                  <c:x val="1.9444444444444445E-2"/>
                  <c:y val="4.6992481203007516E-3"/>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6"/>
                <c:pt idx="0">
                  <c:v>Sectors</c:v>
                </c:pt>
                <c:pt idx="1">
                  <c:v>Industry sectors</c:v>
                </c:pt>
                <c:pt idx="2">
                  <c:v>Public procurement</c:v>
                </c:pt>
                <c:pt idx="3">
                  <c:v>Horizontal legislation for goods &amp; non-harmonized sectors</c:v>
                </c:pt>
                <c:pt idx="4">
                  <c:v>Regulated professions</c:v>
                </c:pt>
                <c:pt idx="5">
                  <c:v>Other</c:v>
                </c:pt>
              </c:strCache>
            </c:strRef>
          </c:cat>
          <c:val>
            <c:numRef>
              <c:f>Blad1!$B$2:$B$7</c:f>
              <c:numCache>
                <c:formatCode>General</c:formatCode>
                <c:ptCount val="6"/>
                <c:pt idx="0">
                  <c:v>0</c:v>
                </c:pt>
                <c:pt idx="1">
                  <c:v>112</c:v>
                </c:pt>
                <c:pt idx="2">
                  <c:v>61</c:v>
                </c:pt>
                <c:pt idx="3">
                  <c:v>61</c:v>
                </c:pt>
                <c:pt idx="4">
                  <c:v>24</c:v>
                </c:pt>
                <c:pt idx="5">
                  <c:v>34</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267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layout>
        <c:manualLayout>
          <c:xMode val="edge"/>
          <c:yMode val="edge"/>
          <c:x val="0.14784053156146179"/>
          <c:y val="2.8571428571428571E-2"/>
        </c:manualLayout>
      </c:layout>
      <c:overlay val="0"/>
      <c:spPr>
        <a:noFill/>
        <a:ln w="25402">
          <a:noFill/>
        </a:ln>
      </c:spPr>
    </c:title>
    <c:autoTitleDeleted val="0"/>
    <c:plotArea>
      <c:layout/>
      <c:pieChart>
        <c:varyColors val="1"/>
        <c:ser>
          <c:idx val="0"/>
          <c:order val="0"/>
          <c:spPr>
            <a:solidFill>
              <a:srgbClr val="C00000"/>
            </a:solidFill>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6.6493577837654014E-2"/>
                  <c:y val="-2.6844769403824523E-2"/>
                </c:manualLayout>
              </c:layout>
              <c:dLblPos val="bestFit"/>
              <c:showLegendKey val="1"/>
              <c:showVal val="1"/>
              <c:showCatName val="1"/>
              <c:showSerName val="0"/>
              <c:showPercent val="0"/>
              <c:showBubbleSize val="0"/>
              <c:separator>
</c:separator>
            </c:dLbl>
            <c:dLbl>
              <c:idx val="1"/>
              <c:layout>
                <c:manualLayout>
                  <c:x val="7.4750830564784057E-2"/>
                  <c:y val="-5.7142857142857141E-2"/>
                </c:manualLayout>
              </c:layout>
              <c:dLblPos val="bestFit"/>
              <c:showLegendKey val="1"/>
              <c:showVal val="1"/>
              <c:showCatName val="1"/>
              <c:showSerName val="0"/>
              <c:showPercent val="0"/>
              <c:showBubbleSize val="0"/>
              <c:separator>
</c:separator>
            </c:dLbl>
            <c:dLbl>
              <c:idx val="2"/>
              <c:layout>
                <c:manualLayout>
                  <c:x val="1.1074197120708749E-2"/>
                  <c:y val="0.1380952380952381"/>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Blad1!$A$4:$A$7</c:f>
              <c:strCache>
                <c:ptCount val="4"/>
                <c:pt idx="0">
                  <c:v>Industry sectors</c:v>
                </c:pt>
                <c:pt idx="1">
                  <c:v>Public procurement</c:v>
                </c:pt>
                <c:pt idx="2">
                  <c:v>Horizontal legislation for goods &amp; non-harmonized sectors</c:v>
                </c:pt>
                <c:pt idx="3">
                  <c:v>Other</c:v>
                </c:pt>
              </c:strCache>
            </c:strRef>
          </c:cat>
          <c:val>
            <c:numRef>
              <c:f>Blad1!$B$4:$B$7</c:f>
              <c:numCache>
                <c:formatCode>General</c:formatCode>
                <c:ptCount val="4"/>
                <c:pt idx="0">
                  <c:v>104</c:v>
                </c:pt>
                <c:pt idx="1">
                  <c:v>58</c:v>
                </c:pt>
                <c:pt idx="2">
                  <c:v>56</c:v>
                </c:pt>
                <c:pt idx="3">
                  <c:v>49</c:v>
                </c:pt>
              </c:numCache>
            </c:numRef>
          </c:val>
        </c:ser>
        <c:dLbls>
          <c:showLegendKey val="0"/>
          <c:showVal val="0"/>
          <c:showCatName val="0"/>
          <c:showSerName val="0"/>
          <c:showPercent val="0"/>
          <c:showBubbleSize val="0"/>
          <c:showLeaderLines val="0"/>
        </c:dLbls>
        <c:firstSliceAng val="336"/>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649006622516557E-2"/>
                  <c:y val="4.7547380156075805E-2"/>
                </c:manualLayout>
              </c:layout>
              <c:dLblPos val="r"/>
              <c:showLegendKey val="0"/>
              <c:showVal val="1"/>
              <c:showCatName val="0"/>
              <c:showSerName val="0"/>
              <c:showPercent val="0"/>
              <c:showBubbleSize val="0"/>
            </c:dLbl>
            <c:dLbl>
              <c:idx val="1"/>
              <c:layout>
                <c:manualLayout>
                  <c:x val="-4.7130242825607065E-2"/>
                  <c:y val="6.4269788182831661E-2"/>
                </c:manualLayout>
              </c:layout>
              <c:dLblPos val="r"/>
              <c:showLegendKey val="0"/>
              <c:showVal val="1"/>
              <c:showCatName val="0"/>
              <c:showSerName val="0"/>
              <c:showPercent val="0"/>
              <c:showBubbleSize val="0"/>
            </c:dLbl>
            <c:dLbl>
              <c:idx val="2"/>
              <c:layout>
                <c:manualLayout>
                  <c:x val="-5.2649006622516557E-2"/>
                  <c:y val="5.8695652173913045E-2"/>
                </c:manualLayout>
              </c:layout>
              <c:dLblPos val="r"/>
              <c:showLegendKey val="0"/>
              <c:showVal val="1"/>
              <c:showCatName val="0"/>
              <c:showSerName val="0"/>
              <c:showPercent val="0"/>
              <c:showBubbleSize val="0"/>
            </c:dLbl>
            <c:dLbl>
              <c:idx val="3"/>
              <c:layout>
                <c:manualLayout>
                  <c:x val="-4.4370860927152318E-2"/>
                  <c:y val="6.4269788182831661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491</c:v>
                </c:pt>
                <c:pt idx="1">
                  <c:v>590</c:v>
                </c:pt>
                <c:pt idx="2">
                  <c:v>596</c:v>
                </c:pt>
                <c:pt idx="3">
                  <c:v>524</c:v>
                </c:pt>
                <c:pt idx="4">
                  <c:v>919</c:v>
                </c:pt>
              </c:numCache>
            </c:numRef>
          </c:val>
          <c:smooth val="0"/>
        </c:ser>
        <c:dLbls>
          <c:showLegendKey val="0"/>
          <c:showVal val="0"/>
          <c:showCatName val="0"/>
          <c:showSerName val="0"/>
          <c:showPercent val="0"/>
          <c:showBubbleSize val="0"/>
        </c:dLbls>
        <c:marker val="1"/>
        <c:smooth val="0"/>
        <c:axId val="104059264"/>
        <c:axId val="104060800"/>
      </c:lineChart>
      <c:catAx>
        <c:axId val="104059264"/>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060800"/>
        <c:crosses val="autoZero"/>
        <c:auto val="1"/>
        <c:lblAlgn val="ctr"/>
        <c:lblOffset val="100"/>
        <c:noMultiLvlLbl val="0"/>
      </c:catAx>
      <c:valAx>
        <c:axId val="104060800"/>
        <c:scaling>
          <c:orientation val="minMax"/>
          <c:min val="400"/>
        </c:scaling>
        <c:delete val="1"/>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crossAx val="104059264"/>
        <c:crosses val="autoZero"/>
        <c:crossBetween val="between"/>
      </c:valAx>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919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8.2995439523547935E-3"/>
                  <c:y val="6.7880769289803682E-4"/>
                </c:manualLayout>
              </c:layout>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3.6312684751615351E-2"/>
                  <c:y val="0.10063659805682185"/>
                </c:manualLayout>
              </c:layout>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4.1209747037434276E-2"/>
                  <c:y val="3.7915764915350494E-2"/>
                </c:manualLayout>
              </c:layout>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1.4467304958973151E-2"/>
                  <c:y val="-2.1968196957836412E-3"/>
                </c:manualLayout>
              </c:layout>
              <c:dLblPos val="bestFit"/>
              <c:showLegendKey val="1"/>
              <c:showVal val="1"/>
              <c:showCatName val="1"/>
              <c:showSerName val="0"/>
              <c:showPercent val="0"/>
              <c:showBubbleSize val="0"/>
              <c:separator>
</c:separator>
            </c:dLbl>
            <c:dLbl>
              <c:idx val="5"/>
              <c:layout>
                <c:manualLayout>
                  <c:x val="0.11902298549890566"/>
                  <c:y val="-0.13890884253503408"/>
                </c:manualLayout>
              </c:layout>
              <c:dLblPos val="bestFit"/>
              <c:showLegendKey val="1"/>
              <c:showVal val="1"/>
              <c:showCatName val="1"/>
              <c:showSerName val="0"/>
              <c:showPercent val="0"/>
              <c:showBubbleSize val="0"/>
              <c:separator>
</c:separator>
            </c:dLbl>
            <c:dLbl>
              <c:idx val="6"/>
              <c:layout>
                <c:manualLayout>
                  <c:x val="-1.1074197120708749E-2"/>
                  <c:y val="-6.5728069202617284E-2"/>
                </c:manualLayout>
              </c:layout>
              <c:dLblPos val="bestFit"/>
              <c:showLegendKey val="1"/>
              <c:showVal val="1"/>
              <c:showCatName val="1"/>
              <c:showSerName val="0"/>
              <c:showPercent val="0"/>
              <c:showBubbleSize val="0"/>
              <c:separator>
</c:separator>
            </c:dLbl>
            <c:dLbl>
              <c:idx val="7"/>
              <c:layout>
                <c:manualLayout>
                  <c:x val="1.0266085925305849E-2"/>
                  <c:y val="-7.9812206572769953E-2"/>
                </c:manualLayout>
              </c:layout>
              <c:dLblPos val="bestFit"/>
              <c:showLegendKey val="1"/>
              <c:showVal val="1"/>
              <c:showCatName val="1"/>
              <c:showSerName val="0"/>
              <c:showPercent val="0"/>
              <c:showBubbleSize val="0"/>
              <c:separator>
</c:separator>
            </c:dLbl>
            <c:dLbl>
              <c:idx val="8"/>
              <c:layout>
                <c:manualLayout>
                  <c:x val="4.4296788482835095E-2"/>
                  <c:y val="-9.3896713615023469E-2"/>
                </c:manualLayout>
              </c:layout>
              <c:dLblPos val="bestFit"/>
              <c:showLegendKey val="1"/>
              <c:showVal val="1"/>
              <c:showCatName val="1"/>
              <c:showSerName val="0"/>
              <c:showPercent val="0"/>
              <c:showBubbleSize val="0"/>
              <c:separator>
</c:separator>
            </c:dLbl>
            <c:dLbl>
              <c:idx val="9"/>
              <c:layout>
                <c:manualLayout>
                  <c:x val="4.9833887043189369E-2"/>
                  <c:y val="-5.5918450334553255E-2"/>
                </c:manualLayout>
              </c:layout>
              <c:dLblPos val="bestFit"/>
              <c:showLegendKey val="1"/>
              <c:showVal val="1"/>
              <c:showCatName val="1"/>
              <c:showSerName val="0"/>
              <c:showPercent val="0"/>
              <c:showBubbleSize val="0"/>
              <c:separator>
</c:separator>
            </c:dLbl>
            <c:dLbl>
              <c:idx val="10"/>
              <c:layout>
                <c:manualLayout>
                  <c:x val="6.9213732004429582E-2"/>
                  <c:y val="0.107981220657277"/>
                </c:manualLayout>
              </c:layout>
              <c:dLblPos val="bestFit"/>
              <c:showLegendKey val="1"/>
              <c:showVal val="1"/>
              <c:showCatName val="1"/>
              <c:showSerName val="0"/>
              <c:showPercent val="0"/>
              <c:showBubbleSize val="0"/>
              <c:separator>
</c:separator>
            </c:dLbl>
            <c:dLbl>
              <c:idx val="11"/>
              <c:layout>
                <c:manualLayout>
                  <c:x val="-0.13565891472868216"/>
                  <c:y val="8.9201877934272297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6"/>
                <c:pt idx="0">
                  <c:v>Sector</c:v>
                </c:pt>
                <c:pt idx="1">
                  <c:v>Free movement of persons and citizenship rights</c:v>
                </c:pt>
                <c:pt idx="2">
                  <c:v>Fundamental rights and rights of the child</c:v>
                </c:pt>
                <c:pt idx="3">
                  <c:v>Criminal law and procedure</c:v>
                </c:pt>
                <c:pt idx="4">
                  <c:v>Civil and commercial justice</c:v>
                </c:pt>
                <c:pt idx="5">
                  <c:v>Other</c:v>
                </c:pt>
              </c:strCache>
            </c:strRef>
          </c:cat>
          <c:val>
            <c:numRef>
              <c:f>Blad1!$B$2:$B$7</c:f>
              <c:numCache>
                <c:formatCode>General</c:formatCode>
                <c:ptCount val="6"/>
                <c:pt idx="0">
                  <c:v>0</c:v>
                </c:pt>
                <c:pt idx="1">
                  <c:v>235</c:v>
                </c:pt>
                <c:pt idx="2">
                  <c:v>128</c:v>
                </c:pt>
                <c:pt idx="3">
                  <c:v>123</c:v>
                </c:pt>
                <c:pt idx="4">
                  <c:v>109</c:v>
                </c:pt>
                <c:pt idx="5">
                  <c:v>324</c:v>
                </c:pt>
              </c:numCache>
            </c:numRef>
          </c:val>
        </c:ser>
        <c:dLbls>
          <c:showLegendKey val="0"/>
          <c:showVal val="0"/>
          <c:showCatName val="0"/>
          <c:showSerName val="0"/>
          <c:showPercent val="0"/>
          <c:showBubbleSize val="0"/>
          <c:showLeaderLines val="0"/>
        </c:dLbls>
        <c:firstSliceAng val="226"/>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1851745276026545E-2"/>
                  <c:y val="5.7681479261459098E-2"/>
                </c:manualLayout>
              </c:layout>
              <c:dLblPos val="r"/>
              <c:showLegendKey val="0"/>
              <c:showVal val="1"/>
              <c:showCatName val="0"/>
              <c:showSerName val="0"/>
              <c:showPercent val="0"/>
              <c:showBubbleSize val="0"/>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103</c:v>
                </c:pt>
                <c:pt idx="1">
                  <c:v>176</c:v>
                </c:pt>
                <c:pt idx="2">
                  <c:v>74</c:v>
                </c:pt>
                <c:pt idx="3">
                  <c:v>103</c:v>
                </c:pt>
                <c:pt idx="4">
                  <c:v>50</c:v>
                </c:pt>
              </c:numCache>
            </c:numRef>
          </c:val>
          <c:smooth val="0"/>
        </c:ser>
        <c:dLbls>
          <c:showLegendKey val="0"/>
          <c:showVal val="0"/>
          <c:showCatName val="0"/>
          <c:showSerName val="0"/>
          <c:showPercent val="0"/>
          <c:showBubbleSize val="0"/>
        </c:dLbls>
        <c:marker val="1"/>
        <c:smooth val="0"/>
        <c:axId val="104198144"/>
        <c:axId val="104199680"/>
      </c:lineChart>
      <c:catAx>
        <c:axId val="104198144"/>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199680"/>
        <c:crosses val="autoZero"/>
        <c:auto val="1"/>
        <c:lblAlgn val="ctr"/>
        <c:lblOffset val="100"/>
        <c:noMultiLvlLbl val="0"/>
      </c:catAx>
      <c:valAx>
        <c:axId val="104199680"/>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04198144"/>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51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chemeClr val="accent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3.5871747405746467E-2"/>
                  <c:y val="-1.251859467121506E-2"/>
                </c:manualLayout>
              </c:layout>
              <c:dLblPos val="bestFit"/>
              <c:showLegendKey val="1"/>
              <c:showVal val="1"/>
              <c:showCatName val="1"/>
              <c:showSerName val="0"/>
              <c:showPercent val="0"/>
              <c:showBubbleSize val="0"/>
              <c:separator>
</c:separator>
            </c:dLbl>
            <c:dLbl>
              <c:idx val="2"/>
              <c:layout>
                <c:manualLayout>
                  <c:x val="-3.5871964679911703E-2"/>
                  <c:y val="1.7464193088623566E-2"/>
                </c:manualLayout>
              </c:layout>
              <c:dLblPos val="bestFit"/>
              <c:showLegendKey val="1"/>
              <c:showVal val="1"/>
              <c:showCatName val="1"/>
              <c:showSerName val="0"/>
              <c:showPercent val="0"/>
              <c:showBubbleSize val="0"/>
              <c:separator>
</c:separator>
            </c:dLbl>
            <c:dLbl>
              <c:idx val="3"/>
              <c:layout>
                <c:manualLayout>
                  <c:x val="8.2781456953642391E-3"/>
                  <c:y val="-7.0812012741730726E-2"/>
                </c:manualLayout>
              </c:layout>
              <c:dLblPos val="bestFit"/>
              <c:showLegendKey val="1"/>
              <c:showVal val="1"/>
              <c:showCatName val="1"/>
              <c:showSerName val="0"/>
              <c:showPercent val="0"/>
              <c:showBubbleSize val="0"/>
              <c:separator>
</c:separator>
            </c:dLbl>
            <c:dLbl>
              <c:idx val="4"/>
              <c:layout>
                <c:manualLayout>
                  <c:x val="0.13245033112582782"/>
                  <c:y val="-3.787878787878788E-2"/>
                </c:manualLayout>
              </c:layout>
              <c:dLblPos val="bestFit"/>
              <c:showLegendKey val="1"/>
              <c:showVal val="1"/>
              <c:showCatName val="1"/>
              <c:showSerName val="0"/>
              <c:showPercent val="0"/>
              <c:showBubbleSize val="0"/>
              <c:separator>
</c:separator>
            </c:dLbl>
            <c:dLbl>
              <c:idx val="5"/>
              <c:layout>
                <c:manualLayout>
                  <c:x val="-2.7593818984547464E-3"/>
                  <c:y val="-6.1553030303030304E-2"/>
                </c:manualLayout>
              </c:layout>
              <c:dLblPos val="bestFit"/>
              <c:showLegendKey val="1"/>
              <c:showVal val="1"/>
              <c:showCatName val="1"/>
              <c:showSerName val="0"/>
              <c:showPercent val="0"/>
              <c:showBubbleSize val="0"/>
              <c:separator>
</c:separator>
            </c:dLbl>
            <c:dLbl>
              <c:idx val="6"/>
              <c:layout>
                <c:manualLayout>
                  <c:x val="5.5187637969094927E-3"/>
                  <c:y val="-6.1553030303030304E-2"/>
                </c:manualLayout>
              </c:layout>
              <c:dLblPos val="bestFit"/>
              <c:showLegendKey val="1"/>
              <c:showVal val="1"/>
              <c:showCatName val="1"/>
              <c:showSerName val="0"/>
              <c:showPercent val="0"/>
              <c:showBubbleSize val="0"/>
              <c:separator>
</c:separator>
            </c:dLbl>
            <c:dLbl>
              <c:idx val="7"/>
              <c:layout>
                <c:manualLayout>
                  <c:x val="2.7593818984547464E-3"/>
                  <c:y val="4.734848484848485E-3"/>
                </c:manualLayout>
              </c:layout>
              <c:dLblPos val="bestFit"/>
              <c:showLegendKey val="1"/>
              <c:showVal val="1"/>
              <c:showCatName val="1"/>
              <c:showSerName val="0"/>
              <c:showPercent val="0"/>
              <c:showBubbleSize val="0"/>
              <c:separator>
</c:separator>
            </c:dLbl>
            <c:dLbl>
              <c:idx val="8"/>
              <c:layout>
                <c:manualLayout>
                  <c:x val="9.3818984547461362E-2"/>
                  <c:y val="5.6818181818181816E-2"/>
                </c:manualLayout>
              </c:layout>
              <c:dLblPos val="bestFit"/>
              <c:showLegendKey val="1"/>
              <c:showVal val="1"/>
              <c:showCatName val="1"/>
              <c:showSerName val="0"/>
              <c:showPercent val="0"/>
              <c:showBubbleSize val="0"/>
              <c:separator>
</c:separator>
            </c:dLbl>
            <c:dLbl>
              <c:idx val="9"/>
              <c:layout>
                <c:manualLayout>
                  <c:x val="-6.3465783664459166E-2"/>
                  <c:y val="0.11363636363636363"/>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Free movement and citizenship rights</c:v>
                </c:pt>
                <c:pt idx="2">
                  <c:v>Consumers' and marketing law</c:v>
                </c:pt>
                <c:pt idx="3">
                  <c:v>Criminal law</c:v>
                </c:pt>
                <c:pt idx="4">
                  <c:v>Other</c:v>
                </c:pt>
              </c:strCache>
            </c:strRef>
          </c:cat>
          <c:val>
            <c:numRef>
              <c:f>Blad1!$B$2:$B$6</c:f>
              <c:numCache>
                <c:formatCode>General</c:formatCode>
                <c:ptCount val="5"/>
                <c:pt idx="0">
                  <c:v>0</c:v>
                </c:pt>
                <c:pt idx="1">
                  <c:v>22</c:v>
                </c:pt>
                <c:pt idx="2">
                  <c:v>9</c:v>
                </c:pt>
                <c:pt idx="3">
                  <c:v>6</c:v>
                </c:pt>
                <c:pt idx="4">
                  <c:v>14</c:v>
                </c:pt>
              </c:numCache>
            </c:numRef>
          </c:val>
        </c:ser>
        <c:dLbls>
          <c:showLegendKey val="0"/>
          <c:showVal val="0"/>
          <c:showCatName val="0"/>
          <c:showSerName val="0"/>
          <c:showPercent val="0"/>
          <c:showBubbleSize val="0"/>
          <c:showLeaderLines val="0"/>
        </c:dLbls>
        <c:firstSliceAng val="223"/>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Justice and Consumers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5.5820988478135151E-2"/>
                </c:manualLayout>
              </c:layout>
              <c:dLblPos val="r"/>
              <c:showLegendKey val="0"/>
              <c:showVal val="1"/>
              <c:showCatName val="0"/>
              <c:showSerName val="0"/>
              <c:showPercent val="0"/>
              <c:showBubbleSize val="0"/>
            </c:dLbl>
            <c:dLbl>
              <c:idx val="2"/>
              <c:layout>
                <c:manualLayout>
                  <c:x val="-6.1284776902887139E-2"/>
                  <c:y val="-7.07909604519774E-2"/>
                </c:manualLayout>
              </c:layout>
              <c:dLblPos val="r"/>
              <c:showLegendKey val="0"/>
              <c:showVal val="1"/>
              <c:showCatName val="0"/>
              <c:showSerName val="0"/>
              <c:showPercent val="0"/>
              <c:showBubbleSize val="0"/>
            </c:dLbl>
            <c:dLbl>
              <c:idx val="3"/>
              <c:layout>
                <c:manualLayout>
                  <c:x val="-5.5729221347331583E-2"/>
                  <c:y val="-7.7617521367521369E-2"/>
                </c:manualLayout>
              </c:layout>
              <c:dLblPos val="r"/>
              <c:showLegendKey val="0"/>
              <c:showVal val="1"/>
              <c:showCatName val="0"/>
              <c:showSerName val="0"/>
              <c:showPercent val="0"/>
              <c:showBubbleSize val="0"/>
            </c:dLbl>
            <c:dLbl>
              <c:idx val="4"/>
              <c:layout>
                <c:manualLayout>
                  <c:x val="-5.2951443569553808E-2"/>
                  <c:y val="-7.7617941988020731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0.49</c:v>
                </c:pt>
                <c:pt idx="1">
                  <c:v>0.64</c:v>
                </c:pt>
                <c:pt idx="2">
                  <c:v>0.76</c:v>
                </c:pt>
                <c:pt idx="3">
                  <c:v>0.79</c:v>
                </c:pt>
                <c:pt idx="4">
                  <c:v>0.8</c:v>
                </c:pt>
              </c:numCache>
            </c:numRef>
          </c:val>
          <c:smooth val="0"/>
        </c:ser>
        <c:ser>
          <c:idx val="1"/>
          <c:order val="1"/>
          <c:tx>
            <c:strRef>
              <c:f>Blad1!$C$2</c:f>
              <c:strCache>
                <c:ptCount val="1"/>
                <c:pt idx="0">
                  <c:v>General rate for all policy areas</c:v>
                </c:pt>
              </c:strCache>
            </c:strRef>
          </c:tx>
          <c:spPr>
            <a:ln w="25373">
              <a:solidFill>
                <a:srgbClr val="92D050"/>
              </a:solidFill>
            </a:ln>
          </c:spPr>
          <c:marker>
            <c:symbol val="square"/>
            <c:size val="5"/>
            <c:spPr>
              <a:solidFill>
                <a:srgbClr val="92D050"/>
              </a:solidFill>
              <a:ln>
                <a:solidFill>
                  <a:srgbClr val="92D050"/>
                </a:solidFill>
              </a:ln>
            </c:spPr>
          </c:marker>
          <c:dLbls>
            <c:dLbl>
              <c:idx val="0"/>
              <c:layout>
                <c:manualLayout>
                  <c:x val="-6.6840332458442689E-2"/>
                  <c:y val="5.6250000000000001E-2"/>
                </c:manualLayout>
              </c:layout>
              <c:dLblPos val="r"/>
              <c:showLegendKey val="0"/>
              <c:showVal val="1"/>
              <c:showCatName val="0"/>
              <c:showSerName val="0"/>
              <c:showPercent val="0"/>
              <c:showBubbleSize val="0"/>
            </c:dLbl>
            <c:dLbl>
              <c:idx val="2"/>
              <c:layout>
                <c:manualLayout>
                  <c:x val="-5.0173665791776026E-2"/>
                  <c:y val="7.6440677966101697E-2"/>
                </c:manualLayout>
              </c:layout>
              <c:dLblPos val="r"/>
              <c:showLegendKey val="0"/>
              <c:showVal val="1"/>
              <c:showCatName val="0"/>
              <c:showSerName val="0"/>
              <c:showPercent val="0"/>
              <c:showBubbleSize val="0"/>
            </c:dLbl>
            <c:dLbl>
              <c:idx val="3"/>
              <c:layout>
                <c:manualLayout>
                  <c:x val="-5.0173665791776026E-2"/>
                  <c:y val="7.2275220405141671E-2"/>
                </c:manualLayout>
              </c:layout>
              <c:dLblPos val="r"/>
              <c:showLegendKey val="0"/>
              <c:showVal val="1"/>
              <c:showCatName val="0"/>
              <c:showSerName val="0"/>
              <c:showPercent val="0"/>
              <c:showBubbleSize val="0"/>
            </c:dLbl>
            <c:dLbl>
              <c:idx val="4"/>
              <c:layout>
                <c:manualLayout>
                  <c:x val="-5.5729221347331583E-2"/>
                  <c:y val="6.6933760683760682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4315904"/>
        <c:axId val="104358656"/>
      </c:lineChart>
      <c:catAx>
        <c:axId val="10431590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358656"/>
        <c:crosses val="autoZero"/>
        <c:auto val="1"/>
        <c:lblAlgn val="ctr"/>
        <c:lblOffset val="100"/>
        <c:noMultiLvlLbl val="0"/>
      </c:catAx>
      <c:valAx>
        <c:axId val="104358656"/>
        <c:scaling>
          <c:orientation val="minMax"/>
          <c:min val="0.4"/>
        </c:scaling>
        <c:delete val="1"/>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crossAx val="104315904"/>
        <c:crosses val="autoZero"/>
        <c:crossBetween val="between"/>
      </c:valAx>
      <c:spPr>
        <a:noFill/>
        <a:ln w="2537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27303182579567E-2"/>
                  <c:y val="7.945838900101386E-2"/>
                </c:manualLayout>
              </c:layout>
              <c:dLblPos val="r"/>
              <c:showLegendKey val="0"/>
              <c:showVal val="1"/>
              <c:showCatName val="0"/>
              <c:showSerName val="0"/>
              <c:showPercent val="0"/>
              <c:showBubbleSize val="0"/>
            </c:dLbl>
            <c:dLbl>
              <c:idx val="2"/>
              <c:layout>
                <c:manualLayout>
                  <c:x val="-3.411501954215522E-2"/>
                  <c:y val="6.9013237063778585E-2"/>
                </c:manualLayout>
              </c:layout>
              <c:dLblPos val="r"/>
              <c:showLegendKey val="0"/>
              <c:showVal val="1"/>
              <c:showCatName val="0"/>
              <c:showSerName val="0"/>
              <c:showPercent val="0"/>
              <c:showBubbleSize val="0"/>
            </c:dLbl>
            <c:dLbl>
              <c:idx val="4"/>
              <c:layout>
                <c:manualLayout>
                  <c:x val="-3.9698492462311559E-2"/>
                  <c:y val="6.299638989169674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61</c:v>
                </c:pt>
                <c:pt idx="1">
                  <c:v>67</c:v>
                </c:pt>
                <c:pt idx="2">
                  <c:v>82</c:v>
                </c:pt>
                <c:pt idx="3">
                  <c:v>80</c:v>
                </c:pt>
                <c:pt idx="4">
                  <c:v>88</c:v>
                </c:pt>
              </c:numCache>
            </c:numRef>
          </c:val>
          <c:smooth val="0"/>
        </c:ser>
        <c:dLbls>
          <c:showLegendKey val="0"/>
          <c:showVal val="0"/>
          <c:showCatName val="0"/>
          <c:showSerName val="0"/>
          <c:showPercent val="0"/>
          <c:showBubbleSize val="0"/>
        </c:dLbls>
        <c:marker val="1"/>
        <c:smooth val="0"/>
        <c:axId val="103437056"/>
        <c:axId val="103438592"/>
      </c:lineChart>
      <c:catAx>
        <c:axId val="103437056"/>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3438592"/>
        <c:crosses val="autoZero"/>
        <c:auto val="1"/>
        <c:lblAlgn val="ctr"/>
        <c:lblOffset val="100"/>
        <c:noMultiLvlLbl val="0"/>
      </c:catAx>
      <c:valAx>
        <c:axId val="103438592"/>
        <c:scaling>
          <c:orientation val="minMax"/>
          <c:min val="5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03437056"/>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12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7.6486589838521843E-2"/>
                  <c:y val="-0.28717989097516655"/>
                </c:manualLayout>
              </c:layout>
              <c:dLblPos val="bestFit"/>
              <c:showLegendKey val="1"/>
              <c:showVal val="1"/>
              <c:showCatName val="1"/>
              <c:showSerName val="0"/>
              <c:showPercent val="0"/>
              <c:showBubbleSize val="0"/>
              <c:separator>
</c:separator>
            </c:dLbl>
            <c:dLbl>
              <c:idx val="2"/>
              <c:layout>
                <c:manualLayout>
                  <c:x val="4.7598251377518209E-3"/>
                  <c:y val="2.4409448818897637E-2"/>
                </c:manualLayout>
              </c:layout>
              <c:dLblPos val="bestFit"/>
              <c:showLegendKey val="1"/>
              <c:showVal val="1"/>
              <c:showCatName val="1"/>
              <c:showSerName val="0"/>
              <c:showPercent val="0"/>
              <c:showBubbleSize val="0"/>
              <c:separator>
</c:separator>
            </c:dLbl>
            <c:dLbl>
              <c:idx val="3"/>
              <c:layout>
                <c:manualLayout>
                  <c:x val="1.9315456015017992E-2"/>
                  <c:y val="3.5897032101756508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Blad1!$A$2:$A$5</c:f>
              <c:strCache>
                <c:ptCount val="4"/>
                <c:pt idx="0">
                  <c:v>Sector</c:v>
                </c:pt>
                <c:pt idx="1">
                  <c:v>Electronic communications</c:v>
                </c:pt>
                <c:pt idx="2">
                  <c:v>E-commerce and platforms</c:v>
                </c:pt>
                <c:pt idx="3">
                  <c:v>Cybersecurity and digital privacy</c:v>
                </c:pt>
              </c:strCache>
            </c:strRef>
          </c:cat>
          <c:val>
            <c:numRef>
              <c:f>Blad1!$B$2:$B$5</c:f>
              <c:numCache>
                <c:formatCode>General</c:formatCode>
                <c:ptCount val="4"/>
                <c:pt idx="0">
                  <c:v>0</c:v>
                </c:pt>
                <c:pt idx="1">
                  <c:v>10</c:v>
                </c:pt>
                <c:pt idx="2">
                  <c:v>1</c:v>
                </c:pt>
                <c:pt idx="3">
                  <c:v>1</c:v>
                </c:pt>
              </c:numCache>
            </c:numRef>
          </c:val>
        </c:ser>
        <c:dLbls>
          <c:showLegendKey val="0"/>
          <c:showVal val="0"/>
          <c:showCatName val="0"/>
          <c:showSerName val="0"/>
          <c:showPercent val="0"/>
          <c:showBubbleSize val="0"/>
          <c:showLeaderLines val="0"/>
        </c:dLbls>
        <c:firstSliceAng val="302"/>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88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layout>
        <c:manualLayout>
          <c:xMode val="edge"/>
          <c:yMode val="edge"/>
          <c:x val="0.29329279819922005"/>
          <c:y val="2.9339853300733496E-2"/>
        </c:manualLayout>
      </c:layout>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7.9900816418048241E-3"/>
                  <c:y val="8.4528675117956295E-2"/>
                </c:manualLayout>
              </c:layout>
              <c:dLblPos val="bestFit"/>
              <c:showLegendKey val="1"/>
              <c:showVal val="1"/>
              <c:showCatName val="1"/>
              <c:showSerName val="0"/>
              <c:showPercent val="0"/>
              <c:showBubbleSize val="0"/>
              <c:separator>
</c:separator>
            </c:dLbl>
            <c:dLbl>
              <c:idx val="2"/>
              <c:layout>
                <c:manualLayout>
                  <c:x val="7.3002589500433049E-2"/>
                  <c:y val="-0.14779135012815481"/>
                </c:manualLayout>
              </c:layout>
              <c:dLblPos val="bestFit"/>
              <c:showLegendKey val="1"/>
              <c:showVal val="1"/>
              <c:showCatName val="1"/>
              <c:showSerName val="0"/>
              <c:showPercent val="0"/>
              <c:showBubbleSize val="0"/>
              <c:separator>
</c:separator>
            </c:dLbl>
            <c:dLbl>
              <c:idx val="3"/>
              <c:layout>
                <c:manualLayout>
                  <c:x val="-1.1440843763876236E-2"/>
                  <c:y val="-4.223682083727804E-2"/>
                </c:manualLayout>
              </c:layout>
              <c:dLblPos val="bestFit"/>
              <c:showLegendKey val="1"/>
              <c:showVal val="1"/>
              <c:showCatName val="1"/>
              <c:showSerName val="0"/>
              <c:showPercent val="0"/>
              <c:showBubbleSize val="0"/>
              <c:separator>
</c:separator>
            </c:dLbl>
            <c:dLbl>
              <c:idx val="4"/>
              <c:layout>
                <c:manualLayout>
                  <c:x val="-2.7042473962111519E-3"/>
                  <c:y val="-4.7023960714588052E-2"/>
                </c:manualLayout>
              </c:layout>
              <c:dLblPos val="bestFit"/>
              <c:showLegendKey val="1"/>
              <c:showVal val="1"/>
              <c:showCatName val="1"/>
              <c:showSerName val="0"/>
              <c:showPercent val="0"/>
              <c:showBubbleSize val="0"/>
              <c:separator>
</c:separator>
            </c:dLbl>
            <c:dLbl>
              <c:idx val="5"/>
              <c:layout>
                <c:manualLayout>
                  <c:x val="-1.1046511627906977E-2"/>
                  <c:y val="6.0843865105097157E-2"/>
                </c:manualLayout>
              </c:layout>
              <c:dLblPos val="bestFit"/>
              <c:showLegendKey val="1"/>
              <c:showVal val="1"/>
              <c:showCatName val="1"/>
              <c:showSerName val="0"/>
              <c:showPercent val="0"/>
              <c:showBubbleSize val="0"/>
              <c:separator>
</c:separator>
            </c:dLbl>
            <c:dLbl>
              <c:idx val="6"/>
              <c:layout>
                <c:manualLayout>
                  <c:x val="-3.875968992248062E-2"/>
                  <c:y val="8.4033613445378158E-2"/>
                </c:manualLayout>
              </c:layout>
              <c:dLblPos val="bestFit"/>
              <c:showLegendKey val="1"/>
              <c:showVal val="1"/>
              <c:showCatName val="1"/>
              <c:showSerName val="0"/>
              <c:showPercent val="0"/>
              <c:showBubbleSize val="0"/>
              <c:separator>
</c:separator>
            </c:dLbl>
            <c:dLbl>
              <c:idx val="7"/>
              <c:layout>
                <c:manualLayout>
                  <c:x val="-2.4916943521594685E-2"/>
                  <c:y val="6.535947712418301E-2"/>
                </c:manualLayout>
              </c:layout>
              <c:dLblPos val="bestFit"/>
              <c:showLegendKey val="1"/>
              <c:showVal val="1"/>
              <c:showCatName val="1"/>
              <c:showSerName val="0"/>
              <c:showPercent val="0"/>
              <c:showBubbleSize val="0"/>
              <c:separator>
</c:separator>
            </c:dLbl>
            <c:dLbl>
              <c:idx val="8"/>
              <c:layout>
                <c:manualLayout>
                  <c:x val="5.8139534883720929E-2"/>
                  <c:y val="-6.069094304388422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Criminal law and procedure</c:v>
                </c:pt>
                <c:pt idx="2">
                  <c:v>Consumers' law</c:v>
                </c:pt>
                <c:pt idx="3">
                  <c:v>Free movement of persons and citizenship's rights</c:v>
                </c:pt>
                <c:pt idx="4">
                  <c:v>Other</c:v>
                </c:pt>
              </c:strCache>
            </c:strRef>
          </c:cat>
          <c:val>
            <c:numRef>
              <c:f>Blad1!$B$2:$B$6</c:f>
              <c:numCache>
                <c:formatCode>General</c:formatCode>
                <c:ptCount val="5"/>
                <c:pt idx="0">
                  <c:v>0</c:v>
                </c:pt>
                <c:pt idx="1">
                  <c:v>40</c:v>
                </c:pt>
                <c:pt idx="2">
                  <c:v>24</c:v>
                </c:pt>
                <c:pt idx="3">
                  <c:v>13</c:v>
                </c:pt>
                <c:pt idx="4">
                  <c:v>11</c:v>
                </c:pt>
              </c:numCache>
            </c:numRef>
          </c:val>
        </c:ser>
        <c:dLbls>
          <c:showLegendKey val="0"/>
          <c:showVal val="0"/>
          <c:showCatName val="0"/>
          <c:showSerName val="0"/>
          <c:showPercent val="0"/>
          <c:showBubbleSize val="0"/>
          <c:showLeaderLines val="0"/>
        </c:dLbls>
        <c:firstSliceAng val="30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38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layout>
        <c:manualLayout>
          <c:xMode val="edge"/>
          <c:yMode val="edge"/>
          <c:x val="0.26198614953536215"/>
          <c:y val="2.9339853300733496E-2"/>
        </c:manualLayout>
      </c:layout>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9.0239057955593394E-2"/>
                  <c:y val="-0.31888416807136644"/>
                </c:manualLayout>
              </c:layout>
              <c:dLblPos val="bestFit"/>
              <c:showLegendKey val="1"/>
              <c:showVal val="1"/>
              <c:showCatName val="1"/>
              <c:showSerName val="0"/>
              <c:showPercent val="0"/>
              <c:showBubbleSize val="0"/>
              <c:separator>
</c:separator>
            </c:dLbl>
            <c:dLbl>
              <c:idx val="2"/>
              <c:layout>
                <c:manualLayout>
                  <c:x val="2.8153153153153152E-3"/>
                  <c:y val="5.865102639296188E-2"/>
                </c:manualLayout>
              </c:layout>
              <c:dLblPos val="bestFit"/>
              <c:showLegendKey val="1"/>
              <c:showVal val="1"/>
              <c:showCatName val="1"/>
              <c:showSerName val="0"/>
              <c:showPercent val="0"/>
              <c:showBubbleSize val="0"/>
              <c:separator>
</c:separator>
            </c:dLbl>
            <c:dLbl>
              <c:idx val="3"/>
              <c:layout>
                <c:manualLayout>
                  <c:x val="1.6965710789529687E-2"/>
                  <c:y val="9.8432893835485088E-3"/>
                </c:manualLayout>
              </c:layout>
              <c:dLblPos val="bestFit"/>
              <c:showLegendKey val="1"/>
              <c:showVal val="1"/>
              <c:showCatName val="1"/>
              <c:showSerName val="0"/>
              <c:showPercent val="0"/>
              <c:showBubbleSize val="0"/>
              <c:separator>
</c:separator>
            </c:dLbl>
            <c:dLbl>
              <c:idx val="4"/>
              <c:layout>
                <c:manualLayout>
                  <c:x val="5.6016253782230708E-3"/>
                  <c:y val="7.0058889697611329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Blad1!$A$2:$A$5</c:f>
              <c:strCache>
                <c:ptCount val="4"/>
                <c:pt idx="0">
                  <c:v>Sectors</c:v>
                </c:pt>
                <c:pt idx="1">
                  <c:v>Criminal law and procedures</c:v>
                </c:pt>
                <c:pt idx="2">
                  <c:v>Consumers' law</c:v>
                </c:pt>
                <c:pt idx="3">
                  <c:v>Equality and non-discrimination</c:v>
                </c:pt>
              </c:strCache>
            </c:strRef>
          </c:cat>
          <c:val>
            <c:numRef>
              <c:f>Blad1!$B$2:$B$5</c:f>
              <c:numCache>
                <c:formatCode>General</c:formatCode>
                <c:ptCount val="4"/>
                <c:pt idx="0">
                  <c:v>0</c:v>
                </c:pt>
                <c:pt idx="1">
                  <c:v>34</c:v>
                </c:pt>
                <c:pt idx="2">
                  <c:v>2</c:v>
                </c:pt>
                <c:pt idx="3">
                  <c:v>2</c:v>
                </c:pt>
              </c:numCache>
            </c:numRef>
          </c:val>
        </c:ser>
        <c:dLbls>
          <c:showLegendKey val="0"/>
          <c:showVal val="0"/>
          <c:showCatName val="0"/>
          <c:showSerName val="0"/>
          <c:showPercent val="0"/>
          <c:showBubbleSize val="0"/>
          <c:showLeaderLines val="0"/>
        </c:dLbls>
        <c:firstSliceAng val="29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7985293160668968E-2"/>
                  <c:y val="7.2988472594771814E-2"/>
                </c:manualLayout>
              </c:layout>
              <c:dLblPos val="r"/>
              <c:showLegendKey val="0"/>
              <c:showVal val="1"/>
              <c:showCatName val="0"/>
              <c:showSerName val="0"/>
              <c:showPercent val="0"/>
              <c:showBubbleSize val="0"/>
            </c:dLbl>
            <c:dLbl>
              <c:idx val="1"/>
              <c:layout>
                <c:manualLayout>
                  <c:x val="-3.6111581093685605E-2"/>
                  <c:y val="9.6797996404295622E-2"/>
                </c:manualLayout>
              </c:layout>
              <c:dLblPos val="r"/>
              <c:showLegendKey val="0"/>
              <c:showVal val="1"/>
              <c:showCatName val="0"/>
              <c:showSerName val="0"/>
              <c:showPercent val="0"/>
              <c:showBubbleSize val="0"/>
            </c:dLbl>
            <c:dLbl>
              <c:idx val="2"/>
              <c:layout>
                <c:manualLayout>
                  <c:x val="-3.9173553719008262E-2"/>
                  <c:y val="-5.8180708180708182E-2"/>
                </c:manualLayout>
              </c:layout>
              <c:dLblPos val="r"/>
              <c:showLegendKey val="0"/>
              <c:showVal val="1"/>
              <c:showCatName val="0"/>
              <c:showSerName val="0"/>
              <c:showPercent val="0"/>
              <c:showBubbleSize val="0"/>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c:v>
                </c:pt>
                <c:pt idx="1">
                  <c:v>19</c:v>
                </c:pt>
                <c:pt idx="2">
                  <c:v>38</c:v>
                </c:pt>
                <c:pt idx="3">
                  <c:v>30</c:v>
                </c:pt>
                <c:pt idx="4">
                  <c:v>34</c:v>
                </c:pt>
              </c:numCache>
            </c:numRef>
          </c:val>
          <c:smooth val="0"/>
        </c:ser>
        <c:dLbls>
          <c:showLegendKey val="0"/>
          <c:showVal val="0"/>
          <c:showCatName val="0"/>
          <c:showSerName val="0"/>
          <c:showPercent val="0"/>
          <c:showBubbleSize val="0"/>
        </c:dLbls>
        <c:marker val="1"/>
        <c:smooth val="0"/>
        <c:axId val="104734720"/>
        <c:axId val="104736256"/>
      </c:lineChart>
      <c:catAx>
        <c:axId val="104734720"/>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4736256"/>
        <c:crosses val="autoZero"/>
        <c:auto val="1"/>
        <c:lblAlgn val="ctr"/>
        <c:lblOffset val="100"/>
        <c:noMultiLvlLbl val="0"/>
      </c:catAx>
      <c:valAx>
        <c:axId val="104736256"/>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4734720"/>
        <c:crosses val="autoZero"/>
        <c:crossBetween val="between"/>
      </c:valAx>
      <c:spPr>
        <a:noFill/>
        <a:ln w="2540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3.9532944120100083E-2"/>
                  <c:y val="-4.8647269014803457E-2"/>
                </c:manualLayout>
              </c:layout>
              <c:dLblPos val="r"/>
              <c:showLegendKey val="0"/>
              <c:showVal val="1"/>
              <c:showCatName val="0"/>
              <c:showSerName val="0"/>
              <c:showPercent val="0"/>
              <c:showBubbleSize val="0"/>
            </c:dLbl>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c:v>
                </c:pt>
                <c:pt idx="1">
                  <c:v>16</c:v>
                </c:pt>
                <c:pt idx="2">
                  <c:v>12</c:v>
                </c:pt>
                <c:pt idx="3">
                  <c:v>8</c:v>
                </c:pt>
                <c:pt idx="4">
                  <c:v>6</c:v>
                </c:pt>
              </c:numCache>
            </c:numRef>
          </c:val>
          <c:smooth val="0"/>
        </c:ser>
        <c:dLbls>
          <c:showLegendKey val="0"/>
          <c:showVal val="0"/>
          <c:showCatName val="0"/>
          <c:showSerName val="0"/>
          <c:showPercent val="0"/>
          <c:showBubbleSize val="0"/>
        </c:dLbls>
        <c:marker val="1"/>
        <c:smooth val="0"/>
        <c:axId val="104804736"/>
        <c:axId val="104806272"/>
      </c:lineChart>
      <c:catAx>
        <c:axId val="104804736"/>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806272"/>
        <c:crosses val="autoZero"/>
        <c:auto val="1"/>
        <c:lblAlgn val="ctr"/>
        <c:lblOffset val="100"/>
        <c:noMultiLvlLbl val="0"/>
      </c:catAx>
      <c:valAx>
        <c:axId val="104806272"/>
        <c:scaling>
          <c:orientation val="minMax"/>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104804736"/>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Maritime affairs and fisheries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0.84</c:v>
                </c:pt>
                <c:pt idx="1">
                  <c:v>0.91</c:v>
                </c:pt>
                <c:pt idx="2">
                  <c:v>0.92</c:v>
                </c:pt>
                <c:pt idx="3">
                  <c:v>0.88</c:v>
                </c:pt>
                <c:pt idx="4">
                  <c:v>0.9</c:v>
                </c:pt>
              </c:numCache>
            </c:numRef>
          </c:val>
          <c:smooth val="0"/>
        </c:ser>
        <c:ser>
          <c:idx val="1"/>
          <c:order val="1"/>
          <c:tx>
            <c:strRef>
              <c:f>Blad1!$C$2</c:f>
              <c:strCache>
                <c:ptCount val="1"/>
                <c:pt idx="0">
                  <c:v>General rate for all policy areas</c:v>
                </c:pt>
              </c:strCache>
            </c:strRef>
          </c:tx>
          <c:spPr>
            <a:ln w="25382">
              <a:solidFill>
                <a:srgbClr val="92D050"/>
              </a:solidFill>
            </a:ln>
          </c:spPr>
          <c:marker>
            <c:symbol val="square"/>
            <c:size val="4"/>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4856192"/>
        <c:axId val="104857984"/>
      </c:lineChart>
      <c:catAx>
        <c:axId val="104856192"/>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857984"/>
        <c:crosses val="autoZero"/>
        <c:auto val="1"/>
        <c:lblAlgn val="ctr"/>
        <c:lblOffset val="100"/>
        <c:noMultiLvlLbl val="0"/>
      </c:catAx>
      <c:valAx>
        <c:axId val="104857984"/>
        <c:scaling>
          <c:orientation val="minMax"/>
          <c:min val="0.55000000000000004"/>
        </c:scaling>
        <c:delete val="1"/>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crossAx val="104856192"/>
        <c:crosses val="autoZero"/>
        <c:crossBetween val="between"/>
      </c:valAx>
      <c:spPr>
        <a:noFill/>
        <a:ln w="2538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4"/>
              <c:layout>
                <c:manualLayout>
                  <c:x val="-3.6191914964117958E-2"/>
                  <c:y val="-6.6292877183455515E-2"/>
                </c:manualLayout>
              </c:layout>
              <c:dLblPos val="r"/>
              <c:showLegendKey val="0"/>
              <c:showVal val="1"/>
              <c:showCatName val="0"/>
              <c:showSerName val="0"/>
              <c:showPercent val="0"/>
              <c:showBubbleSize val="0"/>
            </c:dLbl>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132</c:v>
                </c:pt>
                <c:pt idx="1">
                  <c:v>120</c:v>
                </c:pt>
                <c:pt idx="2">
                  <c:v>89</c:v>
                </c:pt>
                <c:pt idx="3">
                  <c:v>90</c:v>
                </c:pt>
                <c:pt idx="4">
                  <c:v>137</c:v>
                </c:pt>
              </c:numCache>
            </c:numRef>
          </c:val>
          <c:smooth val="0"/>
        </c:ser>
        <c:dLbls>
          <c:showLegendKey val="0"/>
          <c:showVal val="0"/>
          <c:showCatName val="0"/>
          <c:showSerName val="0"/>
          <c:showPercent val="0"/>
          <c:showBubbleSize val="0"/>
        </c:dLbls>
        <c:marker val="1"/>
        <c:smooth val="0"/>
        <c:axId val="105054208"/>
        <c:axId val="105055744"/>
      </c:lineChart>
      <c:catAx>
        <c:axId val="105054208"/>
        <c:scaling>
          <c:orientation val="minMax"/>
        </c:scaling>
        <c:delete val="0"/>
        <c:axPos val="b"/>
        <c:numFmt formatCode="General" sourceLinked="1"/>
        <c:majorTickMark val="none"/>
        <c:minorTickMark val="none"/>
        <c:tickLblPos val="nextTo"/>
        <c:spPr>
          <a:noFill/>
          <a:ln w="1268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055744"/>
        <c:crosses val="autoZero"/>
        <c:auto val="1"/>
        <c:lblAlgn val="ctr"/>
        <c:lblOffset val="100"/>
        <c:noMultiLvlLbl val="0"/>
      </c:catAx>
      <c:valAx>
        <c:axId val="105055744"/>
        <c:scaling>
          <c:orientation val="minMax"/>
          <c:min val="70"/>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105054208"/>
        <c:crosses val="autoZero"/>
        <c:crossBetween val="between"/>
      </c:valAx>
      <c:spPr>
        <a:noFill/>
        <a:ln w="25363">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137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3.0540277942644103E-2"/>
                  <c:y val="4.8622842599220555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3.3520841301872439E-2"/>
                  <c:y val="-8.0645828362363794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4.2101803857432396E-2"/>
                  <c:y val="-0.1060610037381691"/>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2.7772282233565024E-2"/>
                  <c:y val="-0.24232442535592141"/>
                </c:manualLayout>
              </c:layout>
              <c:dLblPos val="bestFit"/>
              <c:showLegendKey val="1"/>
              <c:showVal val="1"/>
              <c:showCatName val="1"/>
              <c:showSerName val="0"/>
              <c:showPercent val="0"/>
              <c:showBubbleSize val="0"/>
              <c:separator>
</c:separator>
            </c:dLbl>
            <c:dLbl>
              <c:idx val="5"/>
              <c:layout>
                <c:manualLayout>
                  <c:x val="5.512465011640987E-3"/>
                  <c:y val="5.1484233484898898E-3"/>
                </c:manualLayout>
              </c:layout>
              <c:dLblPos val="bestFit"/>
              <c:showLegendKey val="1"/>
              <c:showVal val="1"/>
              <c:showCatName val="1"/>
              <c:showSerName val="0"/>
              <c:showPercent val="0"/>
              <c:showBubbleSize val="0"/>
              <c:separator>
</c:separator>
            </c:dLbl>
            <c:dLbl>
              <c:idx val="6"/>
              <c:layout>
                <c:manualLayout>
                  <c:x val="-4.706533776301218E-2"/>
                  <c:y val="4.225352112676056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Asylum</c:v>
                </c:pt>
                <c:pt idx="2">
                  <c:v>Visas</c:v>
                </c:pt>
                <c:pt idx="3">
                  <c:v>Migration and integration</c:v>
                </c:pt>
                <c:pt idx="4">
                  <c:v>Other</c:v>
                </c:pt>
              </c:strCache>
            </c:strRef>
          </c:cat>
          <c:val>
            <c:numRef>
              <c:f>Blad1!$B$2:$B$6</c:f>
              <c:numCache>
                <c:formatCode>General</c:formatCode>
                <c:ptCount val="5"/>
                <c:pt idx="0">
                  <c:v>0</c:v>
                </c:pt>
                <c:pt idx="1">
                  <c:v>38</c:v>
                </c:pt>
                <c:pt idx="2">
                  <c:v>28</c:v>
                </c:pt>
                <c:pt idx="3">
                  <c:v>27</c:v>
                </c:pt>
                <c:pt idx="4">
                  <c:v>44</c:v>
                </c:pt>
              </c:numCache>
            </c:numRef>
          </c:val>
        </c:ser>
        <c:dLbls>
          <c:showLegendKey val="0"/>
          <c:showVal val="0"/>
          <c:showCatName val="0"/>
          <c:showSerName val="0"/>
          <c:showPercent val="0"/>
          <c:showBubbleSize val="0"/>
          <c:showLeaderLines val="0"/>
        </c:dLbls>
        <c:firstSliceAng val="29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0000000000001E-2"/>
          <c:y val="6.1728395061728392E-2"/>
          <c:w val="0.93888888888888888"/>
          <c:h val="0.796471274424030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45</c:v>
                </c:pt>
                <c:pt idx="1">
                  <c:v>61</c:v>
                </c:pt>
                <c:pt idx="2">
                  <c:v>37</c:v>
                </c:pt>
                <c:pt idx="3">
                  <c:v>60</c:v>
                </c:pt>
                <c:pt idx="4">
                  <c:v>35</c:v>
                </c:pt>
              </c:numCache>
            </c:numRef>
          </c:val>
          <c:smooth val="0"/>
        </c:ser>
        <c:dLbls>
          <c:showLegendKey val="0"/>
          <c:showVal val="0"/>
          <c:showCatName val="0"/>
          <c:showSerName val="0"/>
          <c:showPercent val="0"/>
          <c:showBubbleSize val="0"/>
        </c:dLbls>
        <c:marker val="1"/>
        <c:smooth val="0"/>
        <c:axId val="104542208"/>
        <c:axId val="104543744"/>
      </c:lineChart>
      <c:catAx>
        <c:axId val="104542208"/>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543744"/>
        <c:crosses val="autoZero"/>
        <c:auto val="1"/>
        <c:lblAlgn val="ctr"/>
        <c:lblOffset val="100"/>
        <c:noMultiLvlLbl val="0"/>
      </c:catAx>
      <c:valAx>
        <c:axId val="104543744"/>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104542208"/>
        <c:crosses val="autoZero"/>
        <c:crossBetween val="between"/>
      </c:valAx>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35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4.4150110375275942E-2"/>
                  <c:y val="4.261363636363636E-2"/>
                </c:manualLayout>
              </c:layout>
              <c:dLblPos val="bestFit"/>
              <c:showLegendKey val="1"/>
              <c:showVal val="1"/>
              <c:showCatName val="1"/>
              <c:showSerName val="0"/>
              <c:showPercent val="0"/>
              <c:showBubbleSize val="0"/>
              <c:separator>
</c:separator>
            </c:dLbl>
            <c:dLbl>
              <c:idx val="2"/>
              <c:layout>
                <c:manualLayout>
                  <c:x val="-1.9315673289183224E-2"/>
                  <c:y val="-5.2083333333333287E-2"/>
                </c:manualLayout>
              </c:layout>
              <c:dLblPos val="bestFit"/>
              <c:showLegendKey val="1"/>
              <c:showVal val="1"/>
              <c:showCatName val="1"/>
              <c:showSerName val="0"/>
              <c:showPercent val="0"/>
              <c:showBubbleSize val="0"/>
              <c:separator>
</c:separator>
            </c:dLbl>
            <c:dLbl>
              <c:idx val="3"/>
              <c:layout>
                <c:manualLayout>
                  <c:x val="4.6909492273730681E-2"/>
                  <c:y val="-2.8409090909090908E-2"/>
                </c:manualLayout>
              </c:layout>
              <c:dLblPos val="bestFit"/>
              <c:showLegendKey val="1"/>
              <c:showVal val="1"/>
              <c:showCatName val="1"/>
              <c:showSerName val="0"/>
              <c:showPercent val="0"/>
              <c:showBubbleSize val="0"/>
              <c:separator>
</c:separator>
            </c:dLbl>
            <c:dLbl>
              <c:idx val="4"/>
              <c:layout>
                <c:manualLayout>
                  <c:x val="5.5187637969094927E-3"/>
                  <c:y val="-0.2746212121212121"/>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Blad1!$A$2:$A$8</c:f>
              <c:strCache>
                <c:ptCount val="5"/>
                <c:pt idx="0">
                  <c:v>Sector</c:v>
                </c:pt>
                <c:pt idx="1">
                  <c:v>Visas</c:v>
                </c:pt>
                <c:pt idx="2">
                  <c:v>Police cooperation &amp; information exchange</c:v>
                </c:pt>
                <c:pt idx="3">
                  <c:v>Legal migration &amp; integration</c:v>
                </c:pt>
                <c:pt idx="4">
                  <c:v>Other</c:v>
                </c:pt>
              </c:strCache>
            </c:strRef>
          </c:cat>
          <c:val>
            <c:numRef>
              <c:f>Blad1!$B$2:$B$8</c:f>
              <c:numCache>
                <c:formatCode>General</c:formatCode>
                <c:ptCount val="7"/>
                <c:pt idx="0">
                  <c:v>0</c:v>
                </c:pt>
                <c:pt idx="1">
                  <c:v>9</c:v>
                </c:pt>
                <c:pt idx="2">
                  <c:v>7</c:v>
                </c:pt>
                <c:pt idx="3">
                  <c:v>6</c:v>
                </c:pt>
                <c:pt idx="4">
                  <c:v>13</c:v>
                </c:pt>
              </c:numCache>
            </c:numRef>
          </c:val>
        </c:ser>
        <c:dLbls>
          <c:showLegendKey val="0"/>
          <c:showVal val="0"/>
          <c:showCatName val="0"/>
          <c:showSerName val="0"/>
          <c:showPercent val="0"/>
          <c:showBubbleSize val="0"/>
          <c:showLeaderLines val="0"/>
        </c:dLbls>
        <c:firstSliceAng val="320"/>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Migration and Home Affairs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2747839659577439E-2"/>
                  <c:y val="-5.1727034120734892E-2"/>
                </c:manualLayout>
              </c:layout>
              <c:dLblPos val="r"/>
              <c:showLegendKey val="0"/>
              <c:showVal val="1"/>
              <c:showCatName val="0"/>
              <c:showSerName val="0"/>
              <c:showPercent val="0"/>
              <c:showBubbleSize val="0"/>
            </c:dLbl>
            <c:dLbl>
              <c:idx val="3"/>
              <c:layout>
                <c:manualLayout>
                  <c:x val="-4.4618110236220469E-2"/>
                  <c:y val="-7.3221076752120626E-2"/>
                </c:manualLayout>
              </c:layout>
              <c:dLblPos val="r"/>
              <c:showLegendKey val="0"/>
              <c:showVal val="1"/>
              <c:showCatName val="0"/>
              <c:showSerName val="0"/>
              <c:showPercent val="0"/>
              <c:showBubbleSize val="0"/>
            </c:dLbl>
            <c:dLbl>
              <c:idx val="4"/>
              <c:layout>
                <c:manualLayout>
                  <c:x val="-5.0045125173306726E-2"/>
                  <c:y val="6.2016702457647337E-2"/>
                </c:manualLayout>
              </c:layout>
              <c:dLblPos val="r"/>
              <c:showLegendKey val="0"/>
              <c:showVal val="1"/>
              <c:showCatName val="0"/>
              <c:showSerName val="0"/>
              <c:showPercent val="0"/>
              <c:showBubbleSize val="0"/>
            </c:dLbl>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0.47</c:v>
                </c:pt>
                <c:pt idx="1">
                  <c:v>0.6</c:v>
                </c:pt>
                <c:pt idx="2">
                  <c:v>0.8</c:v>
                </c:pt>
                <c:pt idx="3">
                  <c:v>0.8</c:v>
                </c:pt>
                <c:pt idx="4">
                  <c:v>0.65</c:v>
                </c:pt>
              </c:numCache>
            </c:numRef>
          </c:val>
          <c:smooth val="0"/>
        </c:ser>
        <c:ser>
          <c:idx val="1"/>
          <c:order val="1"/>
          <c:tx>
            <c:strRef>
              <c:f>Blad1!$C$2</c:f>
              <c:strCache>
                <c:ptCount val="1"/>
                <c:pt idx="0">
                  <c:v>General rate for all policy areas</c:v>
                </c:pt>
              </c:strCache>
            </c:strRef>
          </c:tx>
          <c:spPr>
            <a:ln w="25383">
              <a:solidFill>
                <a:srgbClr val="92D050"/>
              </a:solidFill>
            </a:ln>
          </c:spPr>
          <c:marker>
            <c:symbol val="square"/>
            <c:size val="4"/>
            <c:spPr>
              <a:solidFill>
                <a:srgbClr val="92D050"/>
              </a:solidFill>
              <a:ln>
                <a:solidFill>
                  <a:srgbClr val="92D050"/>
                </a:solidFill>
              </a:ln>
            </c:spPr>
          </c:marker>
          <c:dLbls>
            <c:dLbl>
              <c:idx val="2"/>
              <c:layout>
                <c:manualLayout>
                  <c:x val="-5.1363565019488841E-2"/>
                  <c:y val="6.0818420424719639E-2"/>
                </c:manualLayout>
              </c:layout>
              <c:dLblPos val="r"/>
              <c:showLegendKey val="0"/>
              <c:showVal val="1"/>
              <c:showCatName val="0"/>
              <c:showSerName val="0"/>
              <c:showPercent val="0"/>
              <c:showBubbleSize val="0"/>
            </c:dLbl>
            <c:dLbl>
              <c:idx val="3"/>
              <c:layout>
                <c:manualLayout>
                  <c:x val="-4.4627270428405752E-2"/>
                  <c:y val="6.0882844189930806E-2"/>
                </c:manualLayout>
              </c:layout>
              <c:dLblPos val="r"/>
              <c:showLegendKey val="0"/>
              <c:showVal val="1"/>
              <c:showCatName val="0"/>
              <c:showSerName val="0"/>
              <c:showPercent val="0"/>
              <c:showBubbleSize val="0"/>
            </c:dLbl>
            <c:dLbl>
              <c:idx val="4"/>
              <c:layout>
                <c:manualLayout>
                  <c:x val="-4.3162119269974972E-2"/>
                  <c:y val="-6.2519207826294443E-2"/>
                </c:manualLayout>
              </c:layout>
              <c:dLblPos val="r"/>
              <c:showLegendKey val="0"/>
              <c:showVal val="1"/>
              <c:showCatName val="0"/>
              <c:showSerName val="0"/>
              <c:showPercent val="0"/>
              <c:showBubbleSize val="0"/>
            </c:dLbl>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4647680"/>
        <c:axId val="105390848"/>
      </c:lineChart>
      <c:catAx>
        <c:axId val="10464768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390848"/>
        <c:crosses val="autoZero"/>
        <c:auto val="1"/>
        <c:lblAlgn val="ctr"/>
        <c:lblOffset val="100"/>
        <c:noMultiLvlLbl val="0"/>
      </c:catAx>
      <c:valAx>
        <c:axId val="105390848"/>
        <c:scaling>
          <c:orientation val="minMax"/>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104647680"/>
        <c:crosses val="autoZero"/>
        <c:crossBetween val="between"/>
      </c:valAx>
      <c:spPr>
        <a:noFill/>
        <a:ln w="2538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Communication networks, content and technology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3834582008958377E-2"/>
                  <c:y val="3.839207270411002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0.59</c:v>
                </c:pt>
                <c:pt idx="1">
                  <c:v>0.52</c:v>
                </c:pt>
                <c:pt idx="2">
                  <c:v>0.74</c:v>
                </c:pt>
                <c:pt idx="3">
                  <c:v>0.56000000000000005</c:v>
                </c:pt>
                <c:pt idx="4">
                  <c:v>0.42</c:v>
                </c:pt>
              </c:numCache>
            </c:numRef>
          </c:val>
          <c:smooth val="0"/>
        </c:ser>
        <c:ser>
          <c:idx val="1"/>
          <c:order val="1"/>
          <c:tx>
            <c:strRef>
              <c:f>Blad1!$C$2</c:f>
              <c:strCache>
                <c:ptCount val="1"/>
                <c:pt idx="0">
                  <c:v>General rate for all policy areas</c:v>
                </c:pt>
              </c:strCache>
            </c:strRef>
          </c:tx>
          <c:spPr>
            <a:ln w="25387">
              <a:solidFill>
                <a:srgbClr val="92D050"/>
              </a:solidFill>
            </a:ln>
          </c:spPr>
          <c:marker>
            <c:symbol val="square"/>
            <c:size val="4"/>
            <c:spPr>
              <a:solidFill>
                <a:srgbClr val="92D050"/>
              </a:solidFill>
              <a:ln>
                <a:solidFill>
                  <a:srgbClr val="92D050"/>
                </a:solidFill>
              </a:ln>
            </c:spPr>
          </c:marker>
          <c:dLbls>
            <c:dLbl>
              <c:idx val="0"/>
              <c:layout>
                <c:manualLayout>
                  <c:x val="-5.1598920581947122E-2"/>
                  <c:y val="-4.8371419168934157E-2"/>
                </c:manualLayout>
              </c:layout>
              <c:dLblPos val="r"/>
              <c:showLegendKey val="0"/>
              <c:showVal val="1"/>
              <c:showCatName val="0"/>
              <c:showSerName val="0"/>
              <c:showPercent val="0"/>
              <c:showBubbleSize val="0"/>
            </c:dLbl>
            <c:txPr>
              <a:bodyPr/>
              <a:lstStyle/>
              <a:p>
                <a:pPr>
                  <a:defRPr>
                    <a:solidFill>
                      <a:srgbClr val="00B050"/>
                    </a:solidFill>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71714304"/>
        <c:axId val="71715840"/>
      </c:lineChart>
      <c:catAx>
        <c:axId val="71714304"/>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1715840"/>
        <c:crosses val="autoZero"/>
        <c:auto val="1"/>
        <c:lblAlgn val="ctr"/>
        <c:lblOffset val="100"/>
        <c:noMultiLvlLbl val="0"/>
      </c:catAx>
      <c:valAx>
        <c:axId val="71715840"/>
        <c:scaling>
          <c:orientation val="minMax"/>
        </c:scaling>
        <c:delete val="1"/>
        <c:axPos val="l"/>
        <c:majorGridlines>
          <c:spPr>
            <a:ln w="9520" cap="flat" cmpd="sng" algn="ctr">
              <a:solidFill>
                <a:schemeClr val="tx1">
                  <a:lumMod val="15000"/>
                  <a:lumOff val="85000"/>
                </a:schemeClr>
              </a:solidFill>
              <a:round/>
            </a:ln>
            <a:effectLst/>
          </c:spPr>
        </c:majorGridlines>
        <c:numFmt formatCode="0%" sourceLinked="1"/>
        <c:majorTickMark val="out"/>
        <c:minorTickMark val="none"/>
        <c:tickLblPos val="nextTo"/>
        <c:crossAx val="71714304"/>
        <c:crosses val="autoZero"/>
        <c:crossBetween val="between"/>
      </c:valAx>
      <c:spPr>
        <a:noFill/>
        <a:ln w="25387">
          <a:noFill/>
        </a:ln>
      </c:spPr>
    </c:plotArea>
    <c:legend>
      <c:legendPos val="b"/>
      <c:overlay val="0"/>
      <c:txPr>
        <a:bodyPr/>
        <a:lstStyle/>
        <a:p>
          <a:pPr>
            <a:defRPr sz="90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Pt>
            <c:idx val="0"/>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dPt>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22</c:v>
                </c:pt>
                <c:pt idx="1">
                  <c:v>44</c:v>
                </c:pt>
                <c:pt idx="2">
                  <c:v>79</c:v>
                </c:pt>
                <c:pt idx="3">
                  <c:v>109</c:v>
                </c:pt>
                <c:pt idx="4">
                  <c:v>138</c:v>
                </c:pt>
              </c:numCache>
            </c:numRef>
          </c:val>
          <c:smooth val="0"/>
        </c:ser>
        <c:dLbls>
          <c:showLegendKey val="0"/>
          <c:showVal val="0"/>
          <c:showCatName val="0"/>
          <c:showSerName val="0"/>
          <c:showPercent val="0"/>
          <c:showBubbleSize val="0"/>
        </c:dLbls>
        <c:marker val="1"/>
        <c:smooth val="0"/>
        <c:axId val="105428480"/>
        <c:axId val="105430016"/>
      </c:lineChart>
      <c:catAx>
        <c:axId val="105428480"/>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430016"/>
        <c:crosses val="autoZero"/>
        <c:auto val="1"/>
        <c:lblAlgn val="ctr"/>
        <c:lblOffset val="100"/>
        <c:noMultiLvlLbl val="0"/>
      </c:catAx>
      <c:valAx>
        <c:axId val="105430016"/>
        <c:scaling>
          <c:orientation val="minMax"/>
        </c:scaling>
        <c:delete val="1"/>
        <c:axPos val="l"/>
        <c:majorGridlines>
          <c:spPr>
            <a:ln w="9521" cap="flat" cmpd="sng" algn="ctr">
              <a:solidFill>
                <a:schemeClr val="tx1">
                  <a:lumMod val="15000"/>
                  <a:lumOff val="85000"/>
                </a:schemeClr>
              </a:solidFill>
              <a:round/>
            </a:ln>
            <a:effectLst/>
          </c:spPr>
        </c:majorGridlines>
        <c:numFmt formatCode="General" sourceLinked="1"/>
        <c:majorTickMark val="out"/>
        <c:minorTickMark val="none"/>
        <c:tickLblPos val="nextTo"/>
        <c:crossAx val="105428480"/>
        <c:crosses val="autoZero"/>
        <c:crossBetween val="between"/>
      </c:valAx>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138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5.546167194217002E-2"/>
                  <c:y val="-0.21101994260063286"/>
                </c:manualLayout>
              </c:layout>
              <c:dLblPos val="bestFit"/>
              <c:showLegendKey val="1"/>
              <c:showVal val="1"/>
              <c:showCatName val="1"/>
              <c:showSerName val="0"/>
              <c:showPercent val="0"/>
              <c:showBubbleSize val="0"/>
              <c:separator>
</c:separator>
            </c:dLbl>
            <c:dLbl>
              <c:idx val="2"/>
              <c:layout>
                <c:manualLayout>
                  <c:x val="-8.3056478405315621E-3"/>
                  <c:y val="-4.1536863966770414E-2"/>
                </c:manualLayout>
              </c:layout>
              <c:dLblPos val="bestFit"/>
              <c:showLegendKey val="1"/>
              <c:showVal val="1"/>
              <c:showCatName val="1"/>
              <c:showSerName val="0"/>
              <c:showPercent val="0"/>
              <c:showBubbleSize val="0"/>
              <c:separator>
</c:separator>
            </c:dLbl>
            <c:dLbl>
              <c:idx val="3"/>
              <c:layout>
                <c:manualLayout>
                  <c:x val="-5.4634159102205249E-3"/>
                  <c:y val="-6.2305295950155763E-2"/>
                </c:manualLayout>
              </c:layout>
              <c:dLblPos val="bestFit"/>
              <c:showLegendKey val="1"/>
              <c:showVal val="1"/>
              <c:showCatName val="1"/>
              <c:showSerName val="0"/>
              <c:showPercent val="0"/>
              <c:showBubbleSize val="0"/>
              <c:separator>
</c:separator>
            </c:dLbl>
            <c:dLbl>
              <c:idx val="4"/>
              <c:layout>
                <c:manualLayout>
                  <c:x val="2.4984622767029469E-2"/>
                  <c:y val="2.547826976173433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Asylum</c:v>
                </c:pt>
                <c:pt idx="2">
                  <c:v>Legal migration</c:v>
                </c:pt>
                <c:pt idx="3">
                  <c:v>Organised crime </c:v>
                </c:pt>
                <c:pt idx="4">
                  <c:v>Other</c:v>
                </c:pt>
              </c:strCache>
            </c:strRef>
          </c:cat>
          <c:val>
            <c:numRef>
              <c:f>Blad1!$B$2:$B$6</c:f>
              <c:numCache>
                <c:formatCode>General</c:formatCode>
                <c:ptCount val="5"/>
                <c:pt idx="0">
                  <c:v>0</c:v>
                </c:pt>
                <c:pt idx="1">
                  <c:v>66</c:v>
                </c:pt>
                <c:pt idx="2">
                  <c:v>23</c:v>
                </c:pt>
                <c:pt idx="3">
                  <c:v>18</c:v>
                </c:pt>
                <c:pt idx="4">
                  <c:v>31</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baseline="0">
                <a:solidFill>
                  <a:srgbClr val="002060"/>
                </a:solidFill>
                <a:latin typeface="+mn-lt"/>
                <a:ea typeface="+mn-ea"/>
                <a:cs typeface="+mn-cs"/>
              </a:defRPr>
            </a:pPr>
            <a:r>
              <a:rPr lang="en-US" sz="1050" b="0" i="0" baseline="0">
                <a:effectLst/>
              </a:rPr>
              <a:t>51 new infringement cases in 2016</a:t>
            </a:r>
            <a:endParaRPr lang="en-GB" sz="1050">
              <a:effectLst/>
            </a:endParaRP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8.0378615463764708E-2"/>
                  <c:y val="-0.17986729462555495"/>
                </c:manualLayout>
              </c:layout>
              <c:dLblPos val="bestFit"/>
              <c:showLegendKey val="1"/>
              <c:showVal val="1"/>
              <c:showCatName val="1"/>
              <c:showSerName val="0"/>
              <c:showPercent val="0"/>
              <c:showBubbleSize val="0"/>
              <c:separator>
</c:separator>
            </c:dLbl>
            <c:dLbl>
              <c:idx val="2"/>
              <c:layout>
                <c:manualLayout>
                  <c:x val="-8.3056478405315621E-3"/>
                  <c:y val="-4.1536863966770414E-2"/>
                </c:manualLayout>
              </c:layout>
              <c:dLblPos val="bestFit"/>
              <c:showLegendKey val="1"/>
              <c:showVal val="1"/>
              <c:showCatName val="1"/>
              <c:showSerName val="0"/>
              <c:showPercent val="0"/>
              <c:showBubbleSize val="0"/>
              <c:separator>
</c:separator>
            </c:dLbl>
            <c:dLbl>
              <c:idx val="3"/>
              <c:layout>
                <c:manualLayout>
                  <c:x val="1.9453527611374161E-2"/>
                  <c:y val="8.8265835929387332E-2"/>
                </c:manualLayout>
              </c:layout>
              <c:dLblPos val="bestFit"/>
              <c:showLegendKey val="1"/>
              <c:showVal val="1"/>
              <c:showCatName val="1"/>
              <c:showSerName val="0"/>
              <c:showPercent val="0"/>
              <c:showBubbleSize val="0"/>
              <c:separator>
</c:separator>
            </c:dLbl>
            <c:dLbl>
              <c:idx val="4"/>
              <c:layout>
                <c:manualLayout>
                  <c:x val="1.6678874443020204E-2"/>
                  <c:y val="2.5478123645759233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Legal migration</c:v>
                </c:pt>
                <c:pt idx="2">
                  <c:v>Organised crime</c:v>
                </c:pt>
                <c:pt idx="3">
                  <c:v>Police cooperation &amp; information exchnage</c:v>
                </c:pt>
                <c:pt idx="4">
                  <c:v>Other</c:v>
                </c:pt>
              </c:strCache>
            </c:strRef>
          </c:cat>
          <c:val>
            <c:numRef>
              <c:f>Blad1!$B$2:$B$6</c:f>
              <c:numCache>
                <c:formatCode>General</c:formatCode>
                <c:ptCount val="5"/>
                <c:pt idx="0">
                  <c:v>0</c:v>
                </c:pt>
                <c:pt idx="1">
                  <c:v>21</c:v>
                </c:pt>
                <c:pt idx="2">
                  <c:v>18</c:v>
                </c:pt>
                <c:pt idx="3">
                  <c:v>6</c:v>
                </c:pt>
                <c:pt idx="4">
                  <c:v>6</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0845631051085499E-2"/>
                  <c:y val="-4.8413266523502745E-2"/>
                </c:manualLayout>
              </c:layout>
              <c:dLblPos val="r"/>
              <c:showLegendKey val="0"/>
              <c:showVal val="1"/>
              <c:showCatName val="0"/>
              <c:showSerName val="0"/>
              <c:showPercent val="0"/>
              <c:showBubbleSize val="0"/>
            </c:dLbl>
            <c:dLbl>
              <c:idx val="1"/>
              <c:layout>
                <c:manualLayout>
                  <c:x val="-2.8316038309780814E-2"/>
                  <c:y val="-7.2161244995890564E-2"/>
                </c:manualLayout>
              </c:layout>
              <c:dLblPos val="r"/>
              <c:showLegendKey val="0"/>
              <c:showVal val="1"/>
              <c:showCatName val="0"/>
              <c:showSerName val="0"/>
              <c:showPercent val="0"/>
              <c:showBubbleSize val="0"/>
            </c:dLbl>
            <c:dLbl>
              <c:idx val="2"/>
              <c:layout>
                <c:manualLayout>
                  <c:x val="-2.8671095216138028E-2"/>
                  <c:y val="-6.5801445685689727E-2"/>
                </c:manualLayout>
              </c:layout>
              <c:dLblPos val="r"/>
              <c:showLegendKey val="0"/>
              <c:showVal val="1"/>
              <c:showCatName val="0"/>
              <c:showSerName val="0"/>
              <c:showPercent val="0"/>
              <c:showBubbleSize val="0"/>
            </c:dLbl>
            <c:dLbl>
              <c:idx val="3"/>
              <c:layout>
                <c:manualLayout>
                  <c:x val="-4.4729580573951433E-2"/>
                  <c:y val="-8.7219084988113857E-2"/>
                </c:manualLayout>
              </c:layout>
              <c:dLblPos val="r"/>
              <c:showLegendKey val="0"/>
              <c:showVal val="1"/>
              <c:showCatName val="0"/>
              <c:showSerName val="0"/>
              <c:showPercent val="0"/>
              <c:showBubbleSize val="0"/>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c:v>
                </c:pt>
                <c:pt idx="1">
                  <c:v>23</c:v>
                </c:pt>
                <c:pt idx="2">
                  <c:v>37</c:v>
                </c:pt>
                <c:pt idx="3">
                  <c:v>48</c:v>
                </c:pt>
                <c:pt idx="4">
                  <c:v>39</c:v>
                </c:pt>
              </c:numCache>
            </c:numRef>
          </c:val>
          <c:smooth val="0"/>
        </c:ser>
        <c:dLbls>
          <c:showLegendKey val="0"/>
          <c:showVal val="0"/>
          <c:showCatName val="0"/>
          <c:showSerName val="0"/>
          <c:showPercent val="0"/>
          <c:showBubbleSize val="0"/>
        </c:dLbls>
        <c:marker val="1"/>
        <c:smooth val="0"/>
        <c:axId val="105849216"/>
        <c:axId val="105850752"/>
      </c:lineChart>
      <c:catAx>
        <c:axId val="105849216"/>
        <c:scaling>
          <c:orientation val="minMax"/>
        </c:scaling>
        <c:delete val="0"/>
        <c:axPos val="b"/>
        <c:numFmt formatCode="General" sourceLinked="1"/>
        <c:majorTickMark val="none"/>
        <c:minorTickMark val="none"/>
        <c:tickLblPos val="nextTo"/>
        <c:spPr>
          <a:noFill/>
          <a:ln w="1267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50752"/>
        <c:crosses val="autoZero"/>
        <c:auto val="1"/>
        <c:lblAlgn val="ctr"/>
        <c:lblOffset val="100"/>
        <c:noMultiLvlLbl val="0"/>
      </c:catAx>
      <c:valAx>
        <c:axId val="105850752"/>
        <c:scaling>
          <c:orientation val="minMax"/>
        </c:scaling>
        <c:delete val="1"/>
        <c:axPos val="l"/>
        <c:majorGridlines>
          <c:spPr>
            <a:ln w="9507" cap="flat" cmpd="sng" algn="ctr">
              <a:solidFill>
                <a:schemeClr val="tx1">
                  <a:lumMod val="15000"/>
                  <a:lumOff val="85000"/>
                </a:schemeClr>
              </a:solidFill>
              <a:round/>
            </a:ln>
            <a:effectLst/>
          </c:spPr>
        </c:majorGridlines>
        <c:numFmt formatCode="General" sourceLinked="1"/>
        <c:majorTickMark val="out"/>
        <c:minorTickMark val="none"/>
        <c:tickLblPos val="nextTo"/>
        <c:crossAx val="105849216"/>
        <c:crosses val="autoZero"/>
        <c:crossBetween val="between"/>
      </c:valAx>
      <c:spPr>
        <a:noFill/>
        <a:ln w="25351">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39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7030A0"/>
            </a:solidFill>
            <a:scene3d>
              <a:camera prst="orthographicFront"/>
              <a:lightRig rig="threePt" dir="t"/>
            </a:scene3d>
            <a:sp3d>
              <a:bevelT w="63500" h="25400"/>
            </a:sp3d>
          </c:spPr>
          <c:dPt>
            <c:idx val="0"/>
            <c:bubble3D val="0"/>
            <c:spPr>
              <a:solidFill>
                <a:srgbClr val="00009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1.1122592234110272E-2"/>
                  <c:y val="9.5262467191601044E-2"/>
                </c:manualLayout>
              </c:layout>
              <c:dLblPos val="bestFit"/>
              <c:showLegendKey val="1"/>
              <c:showVal val="1"/>
              <c:showCatName val="1"/>
              <c:showSerName val="0"/>
              <c:showPercent val="0"/>
              <c:showBubbleSize val="0"/>
              <c:separator>
</c:separator>
            </c:dLbl>
            <c:dLbl>
              <c:idx val="1"/>
              <c:layout>
                <c:manualLayout>
                  <c:x val="-8.3056478405315617E-2"/>
                  <c:y val="-0.3057718921498449"/>
                </c:manualLayout>
              </c:layout>
              <c:dLblPos val="bestFit"/>
              <c:showLegendKey val="1"/>
              <c:showVal val="1"/>
              <c:showCatName val="1"/>
              <c:showSerName val="0"/>
              <c:showPercent val="0"/>
              <c:showBubbleSize val="0"/>
              <c:separator>
</c:separator>
            </c:dLbl>
            <c:dLbl>
              <c:idx val="2"/>
              <c:layout>
                <c:manualLayout>
                  <c:x val="2.7685492801771846E-2"/>
                  <c:y val="0"/>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Blad1!$A$4:$A$6</c:f>
              <c:strCache>
                <c:ptCount val="3"/>
                <c:pt idx="0">
                  <c:v>Legal migration and integration</c:v>
                </c:pt>
                <c:pt idx="1">
                  <c:v>Organised crime</c:v>
                </c:pt>
                <c:pt idx="2">
                  <c:v>Police cooperation and infrormation exchange</c:v>
                </c:pt>
              </c:strCache>
            </c:strRef>
          </c:cat>
          <c:val>
            <c:numRef>
              <c:f>Blad1!$B$4:$B$6</c:f>
              <c:numCache>
                <c:formatCode>General</c:formatCode>
                <c:ptCount val="3"/>
                <c:pt idx="0">
                  <c:v>20</c:v>
                </c:pt>
                <c:pt idx="1">
                  <c:v>18</c:v>
                </c:pt>
                <c:pt idx="2">
                  <c:v>1</c:v>
                </c:pt>
              </c:numCache>
            </c:numRef>
          </c:val>
        </c:ser>
        <c:dLbls>
          <c:showLegendKey val="0"/>
          <c:showVal val="0"/>
          <c:showCatName val="0"/>
          <c:showSerName val="0"/>
          <c:showPercent val="0"/>
          <c:showBubbleSize val="0"/>
          <c:showLeaderLines val="0"/>
        </c:dLbls>
        <c:firstSliceAng val="304"/>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68</c:v>
                </c:pt>
                <c:pt idx="1">
                  <c:v>102</c:v>
                </c:pt>
                <c:pt idx="2">
                  <c:v>124</c:v>
                </c:pt>
                <c:pt idx="3">
                  <c:v>155</c:v>
                </c:pt>
                <c:pt idx="4">
                  <c:v>193</c:v>
                </c:pt>
              </c:numCache>
            </c:numRef>
          </c:val>
          <c:smooth val="0"/>
        </c:ser>
        <c:dLbls>
          <c:showLegendKey val="0"/>
          <c:showVal val="0"/>
          <c:showCatName val="0"/>
          <c:showSerName val="0"/>
          <c:showPercent val="0"/>
          <c:showBubbleSize val="0"/>
        </c:dLbls>
        <c:marker val="1"/>
        <c:smooth val="0"/>
        <c:axId val="105767296"/>
        <c:axId val="105768832"/>
      </c:lineChart>
      <c:catAx>
        <c:axId val="105767296"/>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768832"/>
        <c:crosses val="autoZero"/>
        <c:auto val="1"/>
        <c:lblAlgn val="ctr"/>
        <c:lblOffset val="100"/>
        <c:noMultiLvlLbl val="0"/>
      </c:catAx>
      <c:valAx>
        <c:axId val="105768832"/>
        <c:scaling>
          <c:orientation val="minMax"/>
          <c:min val="40"/>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05767296"/>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193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4.9747560624689359E-2"/>
                  <c:y val="-0.30338838932115736"/>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1.9721444703133039E-2"/>
                  <c:y val="1.5932457407321125E-2"/>
                </c:manualLayout>
              </c:layout>
              <c:spPr>
                <a:noFill/>
                <a:ln w="2538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074502315117587E-2"/>
                  <c:y val="3.1683206758918447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8.3163296448409071E-3"/>
                  <c:y val="4.9584556368323783E-2"/>
                </c:manualLayout>
              </c:layout>
              <c:dLblPos val="bestFit"/>
              <c:showLegendKey val="1"/>
              <c:showVal val="1"/>
              <c:showCatName val="1"/>
              <c:showSerName val="0"/>
              <c:showPercent val="0"/>
              <c:showBubbleSize val="0"/>
              <c:separator>
</c:separator>
            </c:dLbl>
            <c:dLbl>
              <c:idx val="5"/>
              <c:layout>
                <c:manualLayout>
                  <c:x val="1.1049563571995361E-2"/>
                  <c:y val="-8.8539968006957709E-2"/>
                </c:manualLayout>
              </c:layout>
              <c:dLblPos val="bestFit"/>
              <c:showLegendKey val="1"/>
              <c:showVal val="1"/>
              <c:showCatName val="1"/>
              <c:showSerName val="0"/>
              <c:showPercent val="0"/>
              <c:showBubbleSize val="0"/>
              <c:separator>
</c:separator>
            </c:dLbl>
            <c:dLbl>
              <c:idx val="6"/>
              <c:layout>
                <c:manualLayout>
                  <c:x val="-4.706533776301218E-2"/>
                  <c:y val="4.2253521126760563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Blad1!$A$2:$A$7</c:f>
              <c:strCache>
                <c:ptCount val="6"/>
                <c:pt idx="0">
                  <c:v>Sector</c:v>
                </c:pt>
                <c:pt idx="1">
                  <c:v>Road</c:v>
                </c:pt>
                <c:pt idx="2">
                  <c:v>Maritime</c:v>
                </c:pt>
                <c:pt idx="3">
                  <c:v>Aviation</c:v>
                </c:pt>
                <c:pt idx="4">
                  <c:v>Rail</c:v>
                </c:pt>
                <c:pt idx="5">
                  <c:v>Other</c:v>
                </c:pt>
              </c:strCache>
            </c:strRef>
          </c:cat>
          <c:val>
            <c:numRef>
              <c:f>Blad1!$B$2:$B$7</c:f>
              <c:numCache>
                <c:formatCode>General</c:formatCode>
                <c:ptCount val="6"/>
                <c:pt idx="0">
                  <c:v>0</c:v>
                </c:pt>
                <c:pt idx="1">
                  <c:v>131</c:v>
                </c:pt>
                <c:pt idx="2">
                  <c:v>13</c:v>
                </c:pt>
                <c:pt idx="3">
                  <c:v>9</c:v>
                </c:pt>
                <c:pt idx="4">
                  <c:v>5</c:v>
                </c:pt>
                <c:pt idx="5">
                  <c:v>35</c:v>
                </c:pt>
              </c:numCache>
            </c:numRef>
          </c:val>
        </c:ser>
        <c:dLbls>
          <c:showLegendKey val="0"/>
          <c:showVal val="0"/>
          <c:showCatName val="0"/>
          <c:showSerName val="0"/>
          <c:showPercent val="0"/>
          <c:showBubbleSize val="0"/>
          <c:showLeaderLines val="0"/>
        </c:dLbls>
        <c:firstSliceAng val="14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9889624724061811E-2"/>
                  <c:y val="5.5362776025236593E-2"/>
                </c:manualLayout>
              </c:layout>
              <c:dLblPos val="r"/>
              <c:showLegendKey val="0"/>
              <c:showVal val="1"/>
              <c:showCatName val="0"/>
              <c:showSerName val="0"/>
              <c:showPercent val="0"/>
              <c:showBubbleSize val="0"/>
            </c:dLbl>
            <c:dLbl>
              <c:idx val="1"/>
              <c:layout>
                <c:manualLayout>
                  <c:x val="-4.9889624724061811E-2"/>
                  <c:y val="-5.1705208773193574E-2"/>
                </c:manualLayout>
              </c:layout>
              <c:dLblPos val="r"/>
              <c:showLegendKey val="0"/>
              <c:showVal val="1"/>
              <c:showCatName val="0"/>
              <c:showSerName val="0"/>
              <c:showPercent val="0"/>
              <c:showBubbleSize val="0"/>
            </c:dLbl>
            <c:dLbl>
              <c:idx val="2"/>
              <c:layout>
                <c:manualLayout>
                  <c:x val="-6.6445916114790282E-2"/>
                  <c:y val="8.6908517350157727E-2"/>
                </c:manualLayout>
              </c:layout>
              <c:dLblPos val="r"/>
              <c:showLegendKey val="0"/>
              <c:showVal val="1"/>
              <c:showCatName val="0"/>
              <c:showSerName val="0"/>
              <c:showPercent val="0"/>
              <c:showBubbleSize val="0"/>
            </c:dLbl>
            <c:dLbl>
              <c:idx val="3"/>
              <c:layout>
                <c:manualLayout>
                  <c:x val="-5.816777041942605E-2"/>
                  <c:y val="5.5362776025236593E-2"/>
                </c:manualLayout>
              </c:layout>
              <c:dLblPos val="r"/>
              <c:showLegendKey val="0"/>
              <c:showVal val="1"/>
              <c:showCatName val="0"/>
              <c:showSerName val="0"/>
              <c:showPercent val="0"/>
              <c:showBubbleSize val="0"/>
            </c:dLbl>
            <c:dLbl>
              <c:idx val="4"/>
              <c:layout>
                <c:manualLayout>
                  <c:x val="-4.7130242825607162E-2"/>
                  <c:y val="7.6393270241850678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170</c:v>
                </c:pt>
                <c:pt idx="1">
                  <c:v>286</c:v>
                </c:pt>
                <c:pt idx="2">
                  <c:v>156</c:v>
                </c:pt>
                <c:pt idx="3">
                  <c:v>123</c:v>
                </c:pt>
                <c:pt idx="4">
                  <c:v>106</c:v>
                </c:pt>
              </c:numCache>
            </c:numRef>
          </c:val>
          <c:smooth val="0"/>
        </c:ser>
        <c:dLbls>
          <c:showLegendKey val="0"/>
          <c:showVal val="0"/>
          <c:showCatName val="0"/>
          <c:showSerName val="0"/>
          <c:showPercent val="0"/>
          <c:showBubbleSize val="0"/>
        </c:dLbls>
        <c:marker val="1"/>
        <c:smooth val="0"/>
        <c:axId val="106266624"/>
        <c:axId val="106268160"/>
      </c:lineChart>
      <c:catAx>
        <c:axId val="106266624"/>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68160"/>
        <c:crosses val="autoZero"/>
        <c:auto val="1"/>
        <c:lblAlgn val="ctr"/>
        <c:lblOffset val="100"/>
        <c:noMultiLvlLbl val="0"/>
      </c:catAx>
      <c:valAx>
        <c:axId val="106268160"/>
        <c:scaling>
          <c:orientation val="minMax"/>
          <c:min val="50"/>
        </c:scaling>
        <c:delete val="1"/>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crossAx val="106266624"/>
        <c:crosses val="autoZero"/>
        <c:crossBetween val="between"/>
      </c:valAx>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106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2016</a:t>
            </a:r>
          </a:p>
        </c:rich>
      </c:tx>
      <c:layout>
        <c:manualLayout>
          <c:xMode val="edge"/>
          <c:yMode val="edge"/>
          <c:x val="0.26448675496688739"/>
          <c:y val="1.8872321810837474E-2"/>
        </c:manualLayout>
      </c:layout>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8.8397790055248615E-2"/>
                  <c:y val="-0.25531914893617025"/>
                </c:manualLayout>
              </c:layout>
              <c:dLblPos val="bestFit"/>
              <c:showLegendKey val="1"/>
              <c:showVal val="1"/>
              <c:showCatName val="1"/>
              <c:showSerName val="0"/>
              <c:showPercent val="0"/>
              <c:showBubbleSize val="0"/>
              <c:separator>
</c:separator>
            </c:dLbl>
            <c:dLbl>
              <c:idx val="2"/>
              <c:layout>
                <c:manualLayout>
                  <c:x val="-5.518763796909492E-2"/>
                  <c:y val="-2.3674242424242424E-2"/>
                </c:manualLayout>
              </c:layout>
              <c:dLblPos val="bestFit"/>
              <c:showLegendKey val="1"/>
              <c:showVal val="1"/>
              <c:showCatName val="1"/>
              <c:showSerName val="0"/>
              <c:showPercent val="0"/>
              <c:showBubbleSize val="0"/>
              <c:separator>
</c:separator>
            </c:dLbl>
            <c:dLbl>
              <c:idx val="3"/>
              <c:layout>
                <c:manualLayout>
                  <c:x val="1.1028407360682125E-2"/>
                  <c:y val="4.7294726457065187E-2"/>
                </c:manualLayout>
              </c:layout>
              <c:spPr>
                <a:noFill/>
                <a:ln w="25376">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3.3149171270718231E-2"/>
                  <c:y val="1.4184397163120567E-2"/>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Road</c:v>
                </c:pt>
                <c:pt idx="2">
                  <c:v>Maritime</c:v>
                </c:pt>
                <c:pt idx="3">
                  <c:v>Aviation</c:v>
                </c:pt>
                <c:pt idx="4">
                  <c:v>Other</c:v>
                </c:pt>
              </c:strCache>
            </c:strRef>
          </c:cat>
          <c:val>
            <c:numRef>
              <c:f>Blad1!$B$2:$B$6</c:f>
              <c:numCache>
                <c:formatCode>General</c:formatCode>
                <c:ptCount val="5"/>
                <c:pt idx="0">
                  <c:v>0</c:v>
                </c:pt>
                <c:pt idx="1">
                  <c:v>48</c:v>
                </c:pt>
                <c:pt idx="2">
                  <c:v>17</c:v>
                </c:pt>
                <c:pt idx="3">
                  <c:v>16</c:v>
                </c:pt>
                <c:pt idx="4">
                  <c:v>25</c:v>
                </c:pt>
              </c:numCache>
            </c:numRef>
          </c:val>
        </c:ser>
        <c:dLbls>
          <c:showLegendKey val="0"/>
          <c:showVal val="0"/>
          <c:showCatName val="0"/>
          <c:showSerName val="0"/>
          <c:showPercent val="0"/>
          <c:showBubbleSize val="0"/>
          <c:showLeaderLines val="0"/>
        </c:dLbls>
        <c:firstSliceAng val="0"/>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Mobility and transport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4430638030711275E-2"/>
                  <c:y val="-6.3296467053460426E-2"/>
                </c:manualLayout>
              </c:layout>
              <c:dLblPos val="r"/>
              <c:showLegendKey val="0"/>
              <c:showVal val="1"/>
              <c:showCatName val="0"/>
              <c:showSerName val="0"/>
              <c:showPercent val="0"/>
              <c:showBubbleSize val="0"/>
            </c:dLbl>
            <c:dLbl>
              <c:idx val="4"/>
              <c:layout>
                <c:manualLayout>
                  <c:x val="-4.1701328031670357E-2"/>
                  <c:y val="-5.773026315789473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0.68</c:v>
                </c:pt>
                <c:pt idx="1">
                  <c:v>0.62</c:v>
                </c:pt>
                <c:pt idx="2">
                  <c:v>0.63</c:v>
                </c:pt>
                <c:pt idx="3">
                  <c:v>0.76</c:v>
                </c:pt>
                <c:pt idx="4">
                  <c:v>0.75</c:v>
                </c:pt>
              </c:numCache>
            </c:numRef>
          </c:val>
          <c:smooth val="0"/>
        </c:ser>
        <c:ser>
          <c:idx val="1"/>
          <c:order val="1"/>
          <c:tx>
            <c:strRef>
              <c:f>Blad1!$C$2</c:f>
              <c:strCache>
                <c:ptCount val="1"/>
                <c:pt idx="0">
                  <c:v>General rate for all policy areas</c:v>
                </c:pt>
              </c:strCache>
            </c:strRef>
          </c:tx>
          <c:spPr>
            <a:ln w="25402">
              <a:solidFill>
                <a:srgbClr val="92D050"/>
              </a:solidFill>
            </a:ln>
          </c:spPr>
          <c:marker>
            <c:symbol val="square"/>
            <c:size val="5"/>
            <c:spPr>
              <a:solidFill>
                <a:srgbClr val="92D050"/>
              </a:solidFill>
              <a:ln>
                <a:solidFill>
                  <a:srgbClr val="92D050"/>
                </a:solidFill>
              </a:ln>
            </c:spPr>
          </c:marker>
          <c:dLbls>
            <c:dLbl>
              <c:idx val="3"/>
              <c:layout>
                <c:manualLayout>
                  <c:x val="-4.7114168868426329E-2"/>
                  <c:y val="5.772983146843487E-2"/>
                </c:manualLayout>
              </c:layout>
              <c:dLblPos val="r"/>
              <c:showLegendKey val="0"/>
              <c:showVal val="1"/>
              <c:showCatName val="0"/>
              <c:showSerName val="0"/>
              <c:showPercent val="0"/>
              <c:showBubbleSize val="0"/>
            </c:dLbl>
            <c:dLbl>
              <c:idx val="4"/>
              <c:layout>
                <c:manualLayout>
                  <c:x val="-4.7238426592024735E-2"/>
                  <c:y val="5.7730263157894736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6405888"/>
        <c:axId val="106407424"/>
      </c:lineChart>
      <c:catAx>
        <c:axId val="106405888"/>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407424"/>
        <c:crosses val="autoZero"/>
        <c:auto val="1"/>
        <c:lblAlgn val="ctr"/>
        <c:lblOffset val="100"/>
        <c:noMultiLvlLbl val="0"/>
      </c:catAx>
      <c:valAx>
        <c:axId val="106407424"/>
        <c:scaling>
          <c:orientation val="minMax"/>
          <c:min val="0.5"/>
        </c:scaling>
        <c:delete val="1"/>
        <c:axPos val="l"/>
        <c:majorGridlines>
          <c:spPr>
            <a:ln w="9526" cap="flat" cmpd="sng" algn="ctr">
              <a:solidFill>
                <a:schemeClr val="tx1">
                  <a:lumMod val="15000"/>
                  <a:lumOff val="85000"/>
                </a:schemeClr>
              </a:solidFill>
              <a:round/>
            </a:ln>
            <a:effectLst/>
          </c:spPr>
        </c:majorGridlines>
        <c:numFmt formatCode="0%" sourceLinked="1"/>
        <c:majorTickMark val="out"/>
        <c:minorTickMark val="none"/>
        <c:tickLblPos val="nextTo"/>
        <c:crossAx val="106405888"/>
        <c:crosses val="autoZero"/>
        <c:crossBetween val="between"/>
      </c:valAx>
      <c:spPr>
        <a:noFill/>
        <a:ln w="25402">
          <a:noFill/>
        </a:ln>
      </c:spPr>
    </c:plotArea>
    <c:legend>
      <c:legendPos val="b"/>
      <c:overlay val="0"/>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6947562881909903E-2"/>
                  <c:y val="7.6149034539026383E-2"/>
                </c:manualLayout>
              </c:layout>
              <c:dLblPos val="r"/>
              <c:showLegendKey val="0"/>
              <c:showVal val="1"/>
              <c:showCatName val="0"/>
              <c:showSerName val="0"/>
              <c:showPercent val="0"/>
              <c:showBubbleSize val="0"/>
            </c:dLbl>
            <c:dLbl>
              <c:idx val="1"/>
              <c:layout>
                <c:manualLayout>
                  <c:x val="-4.5390311310423946E-2"/>
                  <c:y val="6.9643597181931208E-2"/>
                </c:manualLayout>
              </c:layout>
              <c:dLblPos val="r"/>
              <c:showLegendKey val="0"/>
              <c:showVal val="1"/>
              <c:showCatName val="0"/>
              <c:showSerName val="0"/>
              <c:showPercent val="0"/>
              <c:showBubbleSize val="0"/>
            </c:dLbl>
            <c:dLbl>
              <c:idx val="2"/>
              <c:layout>
                <c:manualLayout>
                  <c:x val="-4.2630944695020906E-2"/>
                  <c:y val="7.0707092336781602E-2"/>
                </c:manualLayout>
              </c:layout>
              <c:dLblPos val="r"/>
              <c:showLegendKey val="0"/>
              <c:showVal val="1"/>
              <c:showCatName val="0"/>
              <c:showSerName val="0"/>
              <c:showPercent val="0"/>
              <c:showBubbleSize val="0"/>
            </c:dLbl>
            <c:dLbl>
              <c:idx val="3"/>
              <c:layout>
                <c:manualLayout>
                  <c:x val="-4.2630944695020906E-2"/>
                  <c:y val="7.6146099439610967E-2"/>
                </c:manualLayout>
              </c:layout>
              <c:dLblPos val="r"/>
              <c:showLegendKey val="0"/>
              <c:showVal val="1"/>
              <c:showCatName val="0"/>
              <c:showSerName val="0"/>
              <c:showPercent val="0"/>
              <c:showBubbleSize val="0"/>
            </c:dLbl>
            <c:dLbl>
              <c:idx val="4"/>
              <c:layout>
                <c:manualLayout>
                  <c:x val="-4.2630944695020906E-2"/>
                  <c:y val="7.0707092336781602E-2"/>
                </c:manualLayout>
              </c:layout>
              <c:dLblPos val="r"/>
              <c:showLegendKey val="0"/>
              <c:showVal val="1"/>
              <c:showCatName val="0"/>
              <c:showSerName val="0"/>
              <c:showPercent val="0"/>
              <c:showBubbleSize val="0"/>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24</c:v>
                </c:pt>
                <c:pt idx="1">
                  <c:v>20</c:v>
                </c:pt>
                <c:pt idx="2">
                  <c:v>14</c:v>
                </c:pt>
                <c:pt idx="3">
                  <c:v>31</c:v>
                </c:pt>
                <c:pt idx="4">
                  <c:v>58</c:v>
                </c:pt>
              </c:numCache>
            </c:numRef>
          </c:val>
          <c:smooth val="0"/>
        </c:ser>
        <c:dLbls>
          <c:showLegendKey val="0"/>
          <c:showVal val="0"/>
          <c:showCatName val="0"/>
          <c:showSerName val="0"/>
          <c:showPercent val="0"/>
          <c:showBubbleSize val="0"/>
        </c:dLbls>
        <c:marker val="1"/>
        <c:smooth val="0"/>
        <c:axId val="71758208"/>
        <c:axId val="71759744"/>
      </c:lineChart>
      <c:catAx>
        <c:axId val="71758208"/>
        <c:scaling>
          <c:orientation val="minMax"/>
        </c:scaling>
        <c:delete val="0"/>
        <c:axPos val="b"/>
        <c:numFmt formatCode="General" sourceLinked="1"/>
        <c:majorTickMark val="none"/>
        <c:minorTickMark val="none"/>
        <c:tickLblPos val="nextTo"/>
        <c:spPr>
          <a:noFill/>
          <a:ln w="1267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1759744"/>
        <c:crosses val="autoZero"/>
        <c:auto val="1"/>
        <c:lblAlgn val="ctr"/>
        <c:lblOffset val="100"/>
        <c:noMultiLvlLbl val="0"/>
      </c:catAx>
      <c:valAx>
        <c:axId val="71759744"/>
        <c:scaling>
          <c:orientation val="minMax"/>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71758208"/>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611166153899637E-2"/>
                  <c:y val="5.4520829127128342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205</c:v>
                </c:pt>
                <c:pt idx="1">
                  <c:v>165</c:v>
                </c:pt>
                <c:pt idx="2">
                  <c:v>223</c:v>
                </c:pt>
                <c:pt idx="3">
                  <c:v>241</c:v>
                </c:pt>
                <c:pt idx="4">
                  <c:v>191</c:v>
                </c:pt>
              </c:numCache>
            </c:numRef>
          </c:val>
          <c:smooth val="0"/>
        </c:ser>
        <c:dLbls>
          <c:showLegendKey val="0"/>
          <c:showVal val="0"/>
          <c:showCatName val="0"/>
          <c:showSerName val="0"/>
          <c:showPercent val="0"/>
          <c:showBubbleSize val="0"/>
        </c:dLbls>
        <c:marker val="1"/>
        <c:smooth val="0"/>
        <c:axId val="106481152"/>
        <c:axId val="106482688"/>
      </c:lineChart>
      <c:catAx>
        <c:axId val="106481152"/>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482688"/>
        <c:crosses val="autoZero"/>
        <c:auto val="1"/>
        <c:lblAlgn val="ctr"/>
        <c:lblOffset val="100"/>
        <c:noMultiLvlLbl val="0"/>
      </c:catAx>
      <c:valAx>
        <c:axId val="106482688"/>
        <c:scaling>
          <c:orientation val="minMax"/>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06481152"/>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191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2.8208683216923466E-3"/>
                  <c:y val="7.9479077854121741E-2"/>
                </c:manualLayout>
              </c:layout>
              <c:dLblPos val="bestFit"/>
              <c:showLegendKey val="1"/>
              <c:showVal val="1"/>
              <c:showCatName val="1"/>
              <c:showSerName val="0"/>
              <c:showPercent val="0"/>
              <c:showBubbleSize val="0"/>
              <c:separator>
</c:separator>
            </c:dLbl>
            <c:dLbl>
              <c:idx val="2"/>
              <c:layout>
                <c:manualLayout>
                  <c:x val="4.4296788482835095E-2"/>
                  <c:y val="-8.0450373639600781E-2"/>
                </c:manualLayout>
              </c:layout>
              <c:dLblPos val="bestFit"/>
              <c:showLegendKey val="1"/>
              <c:showVal val="1"/>
              <c:showCatName val="1"/>
              <c:showSerName val="0"/>
              <c:showPercent val="0"/>
              <c:showBubbleSize val="0"/>
              <c:separator>
</c:separator>
            </c:dLbl>
            <c:dLbl>
              <c:idx val="3"/>
              <c:layout>
                <c:manualLayout>
                  <c:x val="-1.6545242891150235E-2"/>
                  <c:y val="-6.8931908989083274E-2"/>
                </c:manualLayout>
              </c:layout>
              <c:dLblPos val="bestFit"/>
              <c:showLegendKey val="1"/>
              <c:showVal val="1"/>
              <c:showCatName val="1"/>
              <c:showSerName val="0"/>
              <c:showPercent val="0"/>
              <c:showBubbleSize val="0"/>
              <c:separator>
</c:separator>
            </c:dLbl>
            <c:dLbl>
              <c:idx val="4"/>
              <c:layout>
                <c:manualLayout>
                  <c:x val="1.6674296526887629E-2"/>
                  <c:y val="-3.7777722052259342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Aviation</c:v>
                </c:pt>
                <c:pt idx="2">
                  <c:v>Rail</c:v>
                </c:pt>
                <c:pt idx="3">
                  <c:v>Road</c:v>
                </c:pt>
                <c:pt idx="4">
                  <c:v>Other</c:v>
                </c:pt>
              </c:strCache>
            </c:strRef>
          </c:cat>
          <c:val>
            <c:numRef>
              <c:f>Blad1!$B$2:$B$6</c:f>
              <c:numCache>
                <c:formatCode>General</c:formatCode>
                <c:ptCount val="5"/>
                <c:pt idx="0">
                  <c:v>0</c:v>
                </c:pt>
                <c:pt idx="1">
                  <c:v>85</c:v>
                </c:pt>
                <c:pt idx="2">
                  <c:v>36</c:v>
                </c:pt>
                <c:pt idx="3">
                  <c:v>34</c:v>
                </c:pt>
                <c:pt idx="4">
                  <c:v>36</c:v>
                </c:pt>
              </c:numCache>
            </c:numRef>
          </c:val>
        </c:ser>
        <c:dLbls>
          <c:showLegendKey val="0"/>
          <c:showVal val="0"/>
          <c:showCatName val="0"/>
          <c:showSerName val="0"/>
          <c:showPercent val="0"/>
          <c:showBubbleSize val="0"/>
          <c:showLeaderLines val="0"/>
        </c:dLbls>
        <c:firstSliceAng val="324"/>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72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2016</a:t>
            </a:r>
          </a:p>
        </c:rich>
      </c:tx>
      <c:overlay val="0"/>
      <c:spPr>
        <a:noFill/>
        <a:ln w="25383">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Pt>
            <c:idx val="6"/>
            <c:bubble3D val="0"/>
            <c:spPr>
              <a:solidFill>
                <a:srgbClr val="808AA4"/>
              </a:solidFill>
              <a:scene3d>
                <a:camera prst="orthographicFront"/>
                <a:lightRig rig="threePt" dir="t"/>
              </a:scene3d>
              <a:sp3d>
                <a:bevelT w="63500" h="25400"/>
              </a:sp3d>
            </c:spPr>
          </c:dPt>
          <c:dLbls>
            <c:dLbl>
              <c:idx val="0"/>
              <c:delete val="1"/>
            </c:dLbl>
            <c:dLbl>
              <c:idx val="1"/>
              <c:layout>
                <c:manualLayout>
                  <c:x val="-8.311184939091916E-2"/>
                  <c:y val="-0.26448400238313768"/>
                </c:manualLayout>
              </c:layout>
              <c:dLblPos val="bestFit"/>
              <c:showLegendKey val="1"/>
              <c:showVal val="1"/>
              <c:showCatName val="1"/>
              <c:showSerName val="0"/>
              <c:showPercent val="0"/>
              <c:showBubbleSize val="0"/>
              <c:separator>
</c:separator>
            </c:dLbl>
            <c:dLbl>
              <c:idx val="2"/>
              <c:layout>
                <c:manualLayout>
                  <c:x val="-4.4208064108265534E-2"/>
                  <c:y val="-0.1789523050416244"/>
                </c:manualLayout>
              </c:layout>
              <c:dLblPos val="bestFit"/>
              <c:showLegendKey val="1"/>
              <c:showVal val="1"/>
              <c:showCatName val="1"/>
              <c:showSerName val="0"/>
              <c:showPercent val="0"/>
              <c:showBubbleSize val="0"/>
              <c:separator>
</c:separator>
            </c:dLbl>
            <c:dLbl>
              <c:idx val="3"/>
              <c:layout>
                <c:manualLayout>
                  <c:x val="1.3916211055013472E-2"/>
                  <c:y val="-2.5617119945896334E-2"/>
                </c:manualLayout>
              </c:layout>
              <c:dLblPos val="bestFit"/>
              <c:showLegendKey val="1"/>
              <c:showVal val="1"/>
              <c:showCatName val="1"/>
              <c:showSerName val="0"/>
              <c:showPercent val="0"/>
              <c:showBubbleSize val="0"/>
              <c:separator>
</c:separator>
            </c:dLbl>
            <c:dLbl>
              <c:idx val="4"/>
              <c:layout>
                <c:manualLayout>
                  <c:x val="6.4526817868696648E-5"/>
                  <c:y val="3.0261420543290986E-2"/>
                </c:manualLayout>
              </c:layout>
              <c:dLblPos val="bestFit"/>
              <c:showLegendKey val="1"/>
              <c:showVal val="1"/>
              <c:showCatName val="1"/>
              <c:showSerName val="0"/>
              <c:showPercent val="0"/>
              <c:showBubbleSize val="0"/>
              <c:separator>
</c:separator>
            </c:dLbl>
            <c:dLbl>
              <c:idx val="5"/>
              <c:layout>
                <c:manualLayout>
                  <c:x val="8.3333333333333332E-3"/>
                  <c:y val="2.3496240601503758E-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Sectors</c:v>
                </c:pt>
                <c:pt idx="1">
                  <c:v>Maritime</c:v>
                </c:pt>
                <c:pt idx="2">
                  <c:v>Rail</c:v>
                </c:pt>
                <c:pt idx="3">
                  <c:v>Road</c:v>
                </c:pt>
                <c:pt idx="4">
                  <c:v>Other</c:v>
                </c:pt>
              </c:strCache>
            </c:strRef>
          </c:cat>
          <c:val>
            <c:numRef>
              <c:f>Blad1!$B$2:$B$6</c:f>
              <c:numCache>
                <c:formatCode>General</c:formatCode>
                <c:ptCount val="5"/>
                <c:pt idx="0">
                  <c:v>0</c:v>
                </c:pt>
                <c:pt idx="1">
                  <c:v>35</c:v>
                </c:pt>
                <c:pt idx="2">
                  <c:v>20</c:v>
                </c:pt>
                <c:pt idx="3">
                  <c:v>10</c:v>
                </c:pt>
                <c:pt idx="4">
                  <c:v>7</c:v>
                </c:pt>
              </c:numCache>
            </c:numRef>
          </c:val>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31977252843395E-2"/>
          <c:y val="4.3580892388451441E-2"/>
          <c:w val="0.91336431904345294"/>
          <c:h val="0.863201474815648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Pt>
            <c:idx val="1"/>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dPt>
          <c:dLbls>
            <c:dLbl>
              <c:idx val="0"/>
              <c:layout>
                <c:manualLayout>
                  <c:x val="-5.5756999125109348E-2"/>
                  <c:y val="-8.298590080086142E-2"/>
                </c:manualLayout>
              </c:layout>
              <c:dLblPos val="r"/>
              <c:showLegendKey val="0"/>
              <c:showVal val="1"/>
              <c:showCatName val="0"/>
              <c:showSerName val="0"/>
              <c:showPercent val="0"/>
              <c:showBubbleSize val="0"/>
            </c:dLbl>
            <c:dLbl>
              <c:idx val="1"/>
              <c:layout>
                <c:manualLayout>
                  <c:x val="-5.0185258092738411E-2"/>
                  <c:y val="6.3943569553805771E-2"/>
                </c:manualLayout>
              </c:layout>
              <c:dLblPos val="r"/>
              <c:showLegendKey val="0"/>
              <c:showVal val="1"/>
              <c:showCatName val="0"/>
              <c:showSerName val="0"/>
              <c:showPercent val="0"/>
              <c:showBubbleSize val="0"/>
            </c:dLbl>
            <c:dLbl>
              <c:idx val="3"/>
              <c:layout>
                <c:manualLayout>
                  <c:x val="-4.2263998250218725E-2"/>
                  <c:y val="-7.7644020458981083E-2"/>
                </c:manualLayout>
              </c:layout>
              <c:dLblPos val="r"/>
              <c:showLegendKey val="0"/>
              <c:showVal val="1"/>
              <c:showCatName val="0"/>
              <c:showSerName val="0"/>
              <c:showPercent val="0"/>
              <c:showBubbleSize val="0"/>
            </c:dLbl>
            <c:dLbl>
              <c:idx val="4"/>
              <c:layout>
                <c:manualLayout>
                  <c:x val="-4.2263998250218725E-2"/>
                  <c:y val="7.7197263869413585E-2"/>
                </c:manualLayout>
              </c:layout>
              <c:dLblPos val="r"/>
              <c:showLegendKey val="0"/>
              <c:showVal val="1"/>
              <c:showCatName val="0"/>
              <c:showSerName val="0"/>
              <c:showPercent val="0"/>
              <c:showBubbleSize val="0"/>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115</c:v>
                </c:pt>
                <c:pt idx="1">
                  <c:v>36</c:v>
                </c:pt>
                <c:pt idx="2">
                  <c:v>76</c:v>
                </c:pt>
                <c:pt idx="3">
                  <c:v>94</c:v>
                </c:pt>
                <c:pt idx="4">
                  <c:v>54</c:v>
                </c:pt>
              </c:numCache>
            </c:numRef>
          </c:val>
          <c:smooth val="0"/>
        </c:ser>
        <c:dLbls>
          <c:showLegendKey val="0"/>
          <c:showVal val="0"/>
          <c:showCatName val="0"/>
          <c:showSerName val="0"/>
          <c:showPercent val="0"/>
          <c:showBubbleSize val="0"/>
        </c:dLbls>
        <c:marker val="1"/>
        <c:smooth val="0"/>
        <c:axId val="106665088"/>
        <c:axId val="106666624"/>
      </c:lineChart>
      <c:catAx>
        <c:axId val="106665088"/>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666624"/>
        <c:crosses val="autoZero"/>
        <c:auto val="1"/>
        <c:lblAlgn val="ctr"/>
        <c:lblOffset val="100"/>
        <c:noMultiLvlLbl val="0"/>
      </c:catAx>
      <c:valAx>
        <c:axId val="106666624"/>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6665088"/>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50" b="0" baseline="0">
                <a:solidFill>
                  <a:srgbClr val="002060"/>
                </a:solidFill>
                <a:latin typeface="Arial" panose="020B0604020202020204" pitchFamily="34" charset="0"/>
                <a:cs typeface="Arial" panose="020B0604020202020204" pitchFamily="34" charset="0"/>
              </a:rPr>
              <a:t>54 new </a:t>
            </a:r>
            <a:r>
              <a:rPr lang="en-GB" sz="1050" b="0">
                <a:solidFill>
                  <a:srgbClr val="002060"/>
                </a:solidFill>
                <a:latin typeface="Arial" panose="020B0604020202020204" pitchFamily="34" charset="0"/>
                <a:cs typeface="Arial" panose="020B0604020202020204" pitchFamily="34" charset="0"/>
              </a:rPr>
              <a:t>late transposition infringement cases in 2016</a:t>
            </a:r>
          </a:p>
        </c:rich>
      </c:tx>
      <c:overlay val="0"/>
      <c:spPr>
        <a:noFill/>
        <a:ln w="25402">
          <a:noFill/>
        </a:ln>
      </c:spPr>
    </c:title>
    <c:autoTitleDeleted val="0"/>
    <c:plotArea>
      <c:layout/>
      <c:pieChart>
        <c:varyColors val="1"/>
        <c:ser>
          <c:idx val="0"/>
          <c:order val="0"/>
          <c:tx>
            <c:strRef>
              <c:f>Blad1!$B$1</c:f>
              <c:strCache>
                <c:ptCount val="1"/>
                <c:pt idx="0">
                  <c:v>[Number of late transposition cases] late transposition cases in 2014</c:v>
                </c:pt>
              </c:strCache>
            </c:strRef>
          </c:tx>
          <c:spPr>
            <a:solidFill>
              <a:srgbClr val="C00000"/>
            </a:solidFill>
            <a:scene3d>
              <a:camera prst="orthographicFront"/>
              <a:lightRig rig="threePt" dir="t"/>
            </a:scene3d>
            <a:sp3d>
              <a:bevelT w="63500" h="25400"/>
            </a:sp3d>
          </c:spPr>
          <c:dPt>
            <c:idx val="0"/>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6.6493577837654014E-2"/>
                  <c:y val="-0.32321428571428573"/>
                </c:manualLayout>
              </c:layout>
              <c:dLblPos val="bestFit"/>
              <c:showLegendKey val="1"/>
              <c:showVal val="1"/>
              <c:showCatName val="1"/>
              <c:showSerName val="0"/>
              <c:showPercent val="0"/>
              <c:showBubbleSize val="0"/>
              <c:separator>
</c:separator>
            </c:dLbl>
            <c:dLbl>
              <c:idx val="1"/>
              <c:layout>
                <c:manualLayout>
                  <c:x val="-8.3056478405315864E-3"/>
                  <c:y val="-0.19345238095238096"/>
                </c:manualLayout>
              </c:layout>
              <c:dLblPos val="bestFit"/>
              <c:showLegendKey val="1"/>
              <c:showVal val="1"/>
              <c:showCatName val="1"/>
              <c:showSerName val="0"/>
              <c:showPercent val="0"/>
              <c:showBubbleSize val="0"/>
              <c:separator>
</c:separator>
            </c:dLbl>
            <c:dLbl>
              <c:idx val="2"/>
              <c:layout>
                <c:manualLayout>
                  <c:x val="-1.3842964396892249E-2"/>
                  <c:y val="5.2579365079365101E-2"/>
                </c:manualLayout>
              </c:layout>
              <c:dLblPos val="bestFit"/>
              <c:showLegendKey val="1"/>
              <c:showVal val="1"/>
              <c:showCatName val="1"/>
              <c:showSerName val="0"/>
              <c:showPercent val="0"/>
              <c:showBubbleSize val="0"/>
              <c:separator>
</c:separator>
            </c:dLbl>
            <c:dLbl>
              <c:idx val="3"/>
              <c:layout>
                <c:manualLayout>
                  <c:x val="-2.7685492801771874E-3"/>
                  <c:y val="1.984126984126984E-2"/>
                </c:manualLayout>
              </c:layout>
              <c:dLblPos val="bestFit"/>
              <c:showLegendKey val="1"/>
              <c:showVal val="1"/>
              <c:showCatName val="1"/>
              <c:showSerName val="0"/>
              <c:showPercent val="0"/>
              <c:showBubbleSize val="0"/>
              <c:separator>
</c:separator>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Maritime</c:v>
                </c:pt>
                <c:pt idx="1">
                  <c:v>Rail</c:v>
                </c:pt>
                <c:pt idx="2">
                  <c:v>Road</c:v>
                </c:pt>
                <c:pt idx="3">
                  <c:v>Other</c:v>
                </c:pt>
              </c:strCache>
            </c:strRef>
          </c:cat>
          <c:val>
            <c:numRef>
              <c:f>Blad1!$B$3:$B$6</c:f>
              <c:numCache>
                <c:formatCode>General</c:formatCode>
                <c:ptCount val="4"/>
                <c:pt idx="0">
                  <c:v>30</c:v>
                </c:pt>
                <c:pt idx="1">
                  <c:v>16</c:v>
                </c:pt>
                <c:pt idx="2">
                  <c:v>6</c:v>
                </c:pt>
                <c:pt idx="3">
                  <c:v>2</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2889311849263876E-2"/>
                  <c:y val="6.8557277114554227E-2"/>
                </c:manualLayout>
              </c:layout>
              <c:dLblPos val="r"/>
              <c:showLegendKey val="0"/>
              <c:showVal val="1"/>
              <c:showCatName val="0"/>
              <c:showSerName val="0"/>
              <c:showPercent val="0"/>
              <c:showBubbleSize val="0"/>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384</c:v>
                </c:pt>
                <c:pt idx="1">
                  <c:v>452</c:v>
                </c:pt>
                <c:pt idx="2">
                  <c:v>429</c:v>
                </c:pt>
                <c:pt idx="3">
                  <c:v>423</c:v>
                </c:pt>
                <c:pt idx="4">
                  <c:v>406</c:v>
                </c:pt>
              </c:numCache>
            </c:numRef>
          </c:val>
          <c:smooth val="0"/>
        </c:ser>
        <c:dLbls>
          <c:showLegendKey val="0"/>
          <c:showVal val="0"/>
          <c:showCatName val="0"/>
          <c:showSerName val="0"/>
          <c:showPercent val="0"/>
          <c:showBubbleSize val="0"/>
        </c:dLbls>
        <c:marker val="1"/>
        <c:smooth val="0"/>
        <c:axId val="105985536"/>
        <c:axId val="105987072"/>
      </c:lineChart>
      <c:catAx>
        <c:axId val="105985536"/>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987072"/>
        <c:crosses val="autoZero"/>
        <c:auto val="1"/>
        <c:lblAlgn val="ctr"/>
        <c:lblOffset val="100"/>
        <c:noMultiLvlLbl val="0"/>
      </c:catAx>
      <c:valAx>
        <c:axId val="105987072"/>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05985536"/>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100" b="0">
                <a:solidFill>
                  <a:srgbClr val="002060"/>
                </a:solidFill>
                <a:latin typeface="Arial" panose="020B0604020202020204" pitchFamily="34" charset="0"/>
                <a:cs typeface="Arial" panose="020B0604020202020204" pitchFamily="34" charset="0"/>
              </a:rPr>
              <a:t>406 complaints in 2016</a:t>
            </a:r>
          </a:p>
        </c:rich>
      </c:tx>
      <c:overlay val="0"/>
      <c:spPr>
        <a:noFill/>
        <a:ln w="25383">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0070C0"/>
              </a:solidFill>
              <a:scene3d>
                <a:camera prst="orthographicFront"/>
                <a:lightRig rig="threePt" dir="t"/>
              </a:scene3d>
              <a:sp3d>
                <a:bevelT w="63500" h="25400"/>
              </a:sp3d>
            </c:spPr>
          </c:dPt>
          <c:dPt>
            <c:idx val="6"/>
            <c:bubble3D val="0"/>
            <c:spPr>
              <a:solidFill>
                <a:srgbClr val="FFC000"/>
              </a:solidFill>
              <a:scene3d>
                <a:camera prst="orthographicFront"/>
                <a:lightRig rig="threePt" dir="t"/>
              </a:scene3d>
              <a:sp3d>
                <a:bevelT w="63500" h="25400"/>
              </a:sp3d>
            </c:spPr>
          </c:dPt>
          <c:dPt>
            <c:idx val="7"/>
            <c:bubble3D val="0"/>
          </c:dPt>
          <c:dLbls>
            <c:dLbl>
              <c:idx val="0"/>
              <c:delete val="1"/>
            </c:dLbl>
            <c:dLbl>
              <c:idx val="1"/>
              <c:layout>
                <c:manualLayout>
                  <c:x val="0.22416616527585215"/>
                  <c:y val="-0.15770302609232661"/>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3.8438145813168706E-2"/>
                  <c:y val="1.1970352297512107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3.2904099196902716E-2"/>
                  <c:y val="2.6305002315886984E-2"/>
                </c:manualLayout>
              </c:layout>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4.1528239202657809E-2"/>
                  <c:y val="-8.782113632854717E-2"/>
                </c:manualLayout>
              </c:layout>
              <c:dLblPos val="bestFit"/>
              <c:showLegendKey val="1"/>
              <c:showVal val="1"/>
              <c:showCatName val="1"/>
              <c:showSerName val="0"/>
              <c:showPercent val="0"/>
              <c:showBubbleSize val="0"/>
              <c:separator>
</c:separator>
            </c:dLbl>
            <c:dLbl>
              <c:idx val="5"/>
              <c:layout>
                <c:manualLayout>
                  <c:x val="-1.9404478509953697E-2"/>
                  <c:y val="-0.11691730435104059"/>
                </c:manualLayout>
              </c:layout>
              <c:dLblPos val="bestFit"/>
              <c:showLegendKey val="1"/>
              <c:showVal val="1"/>
              <c:showCatName val="1"/>
              <c:showSerName val="0"/>
              <c:showPercent val="0"/>
              <c:showBubbleSize val="0"/>
              <c:separator>
</c:separator>
            </c:dLbl>
            <c:dLbl>
              <c:idx val="6"/>
              <c:layout>
                <c:manualLayout>
                  <c:x val="-8.3056478405315621E-3"/>
                  <c:y val="-3.7558685446009391E-2"/>
                </c:manualLayout>
              </c:layout>
              <c:dLblPos val="bestFit"/>
              <c:showLegendKey val="1"/>
              <c:showVal val="1"/>
              <c:showCatName val="1"/>
              <c:showSerName val="0"/>
              <c:showPercent val="0"/>
              <c:showBubbleSize val="0"/>
              <c:separator>
</c:separator>
            </c:dLbl>
            <c:dLbl>
              <c:idx val="7"/>
              <c:layout>
                <c:manualLayout>
                  <c:x val="-3.875968992248062E-2"/>
                  <c:y val="8.4507042253521042E-2"/>
                </c:manualLayout>
              </c:layout>
              <c:dLblPos val="bestFit"/>
              <c:showLegendKey val="1"/>
              <c:showVal val="1"/>
              <c:showCatName val="1"/>
              <c:showSerName val="0"/>
              <c:showPercent val="0"/>
              <c:showBubbleSize val="0"/>
              <c:separator>
</c:separator>
            </c:dLbl>
            <c:dLbl>
              <c:idx val="8"/>
              <c:layout>
                <c:manualLayout>
                  <c:x val="6.0908084163898119E-2"/>
                  <c:y val="2.8169014084507043E-2"/>
                </c:manualLayout>
              </c:layout>
              <c:dLblPos val="bestFit"/>
              <c:showLegendKey val="1"/>
              <c:showVal val="1"/>
              <c:showCatName val="1"/>
              <c:showSerName val="0"/>
              <c:showPercent val="0"/>
              <c:showBubbleSize val="0"/>
              <c:separator>
</c:separator>
            </c:dLbl>
            <c:dLbl>
              <c:idx val="9"/>
              <c:layout>
                <c:manualLayout>
                  <c:x val="4.9833887043189473E-2"/>
                  <c:y val="0.21596244131455408"/>
                </c:manualLayout>
              </c:layout>
              <c:dLblPos val="bestFit"/>
              <c:showLegendKey val="1"/>
              <c:showVal val="1"/>
              <c:showCatName val="1"/>
              <c:showSerName val="0"/>
              <c:showPercent val="0"/>
              <c:showBubbleSize val="0"/>
              <c:separator>
</c:separator>
            </c:dLbl>
            <c:dLbl>
              <c:idx val="10"/>
              <c:layout>
                <c:manualLayout>
                  <c:x val="-0.13289036544850499"/>
                  <c:y val="0.28638497652582162"/>
                </c:manualLayout>
              </c:layout>
              <c:dLblPos val="bestFit"/>
              <c:showLegendKey val="1"/>
              <c:showVal val="1"/>
              <c:showCatName val="1"/>
              <c:showSerName val="0"/>
              <c:showPercent val="0"/>
              <c:showBubbleSize val="0"/>
              <c:separator>
</c:separator>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Direct taxation</c:v>
                </c:pt>
                <c:pt idx="2">
                  <c:v>Indirect taxation - VAT</c:v>
                </c:pt>
                <c:pt idx="3">
                  <c:v>Customs</c:v>
                </c:pt>
                <c:pt idx="4">
                  <c:v>Other</c:v>
                </c:pt>
              </c:strCache>
            </c:strRef>
          </c:cat>
          <c:val>
            <c:numRef>
              <c:f>Blad1!$B$2:$B$6</c:f>
              <c:numCache>
                <c:formatCode>General</c:formatCode>
                <c:ptCount val="5"/>
                <c:pt idx="0">
                  <c:v>0</c:v>
                </c:pt>
                <c:pt idx="1">
                  <c:v>165</c:v>
                </c:pt>
                <c:pt idx="2">
                  <c:v>122</c:v>
                </c:pt>
                <c:pt idx="3">
                  <c:v>39</c:v>
                </c:pt>
                <c:pt idx="4">
                  <c:v>80</c:v>
                </c:pt>
              </c:numCache>
            </c:numRef>
          </c:val>
        </c:ser>
        <c:dLbls>
          <c:showLegendKey val="0"/>
          <c:showVal val="0"/>
          <c:showCatName val="0"/>
          <c:showSerName val="0"/>
          <c:showPercent val="0"/>
          <c:showBubbleSize val="0"/>
          <c:showLeaderLines val="0"/>
        </c:dLbls>
        <c:firstSliceAng val="101"/>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132</c:v>
                </c:pt>
                <c:pt idx="1">
                  <c:v>130</c:v>
                </c:pt>
                <c:pt idx="2">
                  <c:v>144</c:v>
                </c:pt>
                <c:pt idx="3">
                  <c:v>90</c:v>
                </c:pt>
                <c:pt idx="4">
                  <c:v>106</c:v>
                </c:pt>
              </c:numCache>
            </c:numRef>
          </c:val>
          <c:smooth val="0"/>
        </c:ser>
        <c:dLbls>
          <c:showLegendKey val="0"/>
          <c:showVal val="0"/>
          <c:showCatName val="0"/>
          <c:showSerName val="0"/>
          <c:showPercent val="0"/>
          <c:showBubbleSize val="0"/>
        </c:dLbls>
        <c:marker val="1"/>
        <c:smooth val="0"/>
        <c:axId val="106075264"/>
        <c:axId val="106076800"/>
      </c:lineChart>
      <c:catAx>
        <c:axId val="106075264"/>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76800"/>
        <c:crosses val="autoZero"/>
        <c:auto val="1"/>
        <c:lblAlgn val="ctr"/>
        <c:lblOffset val="100"/>
        <c:noMultiLvlLbl val="0"/>
      </c:catAx>
      <c:valAx>
        <c:axId val="106076800"/>
        <c:scaling>
          <c:orientation val="minMax"/>
          <c:min val="60"/>
        </c:scaling>
        <c:delete val="1"/>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crossAx val="106075264"/>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127 EU Pilot files opened in 2016</a:t>
            </a:r>
          </a:p>
        </c:rich>
      </c:tx>
      <c:overlay val="0"/>
      <c:spPr>
        <a:noFill/>
        <a:ln w="25376">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chemeClr val="accent5"/>
              </a:solidFill>
              <a:scene3d>
                <a:camera prst="orthographicFront"/>
                <a:lightRig rig="threePt" dir="t"/>
              </a:scene3d>
              <a:sp3d>
                <a:bevelT w="63500" h="25400"/>
              </a:sp3d>
            </c:spPr>
          </c:dPt>
          <c:dLbls>
            <c:dLbl>
              <c:idx val="0"/>
              <c:delete val="1"/>
            </c:dLbl>
            <c:dLbl>
              <c:idx val="1"/>
              <c:layout>
                <c:manualLayout>
                  <c:x val="0.41942583129095617"/>
                  <c:y val="-0.20359848484848486"/>
                </c:manualLayout>
              </c:layout>
              <c:dLblPos val="bestFit"/>
              <c:showLegendKey val="1"/>
              <c:showVal val="1"/>
              <c:showCatName val="1"/>
              <c:showSerName val="0"/>
              <c:showPercent val="0"/>
              <c:showBubbleSize val="0"/>
              <c:separator>
</c:separator>
            </c:dLbl>
            <c:dLbl>
              <c:idx val="2"/>
              <c:layout>
                <c:manualLayout>
                  <c:x val="1.6556291390728502E-2"/>
                  <c:y val="4.261363636363636E-2"/>
                </c:manualLayout>
              </c:layout>
              <c:dLblPos val="bestFit"/>
              <c:showLegendKey val="1"/>
              <c:showVal val="1"/>
              <c:showCatName val="1"/>
              <c:showSerName val="0"/>
              <c:showPercent val="0"/>
              <c:showBubbleSize val="0"/>
              <c:separator>
</c:separator>
            </c:dLbl>
            <c:dLbl>
              <c:idx val="3"/>
              <c:layout>
                <c:manualLayout>
                  <c:x val="-2.2093523491682743E-2"/>
                  <c:y val="5.6811471009305677E-2"/>
                </c:manualLayout>
              </c:layout>
              <c:dLblPos val="bestFit"/>
              <c:showLegendKey val="1"/>
              <c:showVal val="1"/>
              <c:showCatName val="1"/>
              <c:showSerName val="0"/>
              <c:showPercent val="0"/>
              <c:showBubbleSize val="0"/>
              <c:separator>
</c:separator>
            </c:dLbl>
            <c:dLbl>
              <c:idx val="4"/>
              <c:layout>
                <c:manualLayout>
                  <c:x val="-1.3815160522153274E-2"/>
                  <c:y val="-1.893939393939394E-2"/>
                </c:manualLayout>
              </c:layout>
              <c:dLblPos val="bestFit"/>
              <c:showLegendKey val="1"/>
              <c:showVal val="1"/>
              <c:showCatName val="1"/>
              <c:showSerName val="0"/>
              <c:showPercent val="0"/>
              <c:showBubbleSize val="0"/>
              <c:separator>
</c:separator>
            </c:dLbl>
            <c:dLbl>
              <c:idx val="5"/>
              <c:layout>
                <c:manualLayout>
                  <c:x val="0"/>
                  <c:y val="-2.8409090909090867E-2"/>
                </c:manualLayout>
              </c:layout>
              <c:dLblPos val="bestFit"/>
              <c:showLegendKey val="1"/>
              <c:showVal val="1"/>
              <c:showCatName val="1"/>
              <c:showSerName val="0"/>
              <c:showPercent val="0"/>
              <c:showBubbleSize val="0"/>
              <c:separator>
</c:separator>
            </c:dLbl>
            <c:dLbl>
              <c:idx val="6"/>
              <c:layout>
                <c:manualLayout>
                  <c:x val="0"/>
                  <c:y val="4.261363636363636E-2"/>
                </c:manualLayout>
              </c:layout>
              <c:dLblPos val="bestFit"/>
              <c:showLegendKey val="1"/>
              <c:showVal val="1"/>
              <c:showCatName val="1"/>
              <c:showSerName val="0"/>
              <c:showPercent val="0"/>
              <c:showBubbleSize val="0"/>
              <c:separator>
</c:separator>
            </c:dLbl>
            <c:dLbl>
              <c:idx val="7"/>
              <c:layout>
                <c:manualLayout>
                  <c:x val="-2.7593818984547464E-3"/>
                  <c:y val="0.17518939393939384"/>
                </c:manualLayout>
              </c:layout>
              <c:dLblPos val="bestFit"/>
              <c:showLegendKey val="1"/>
              <c:showVal val="1"/>
              <c:showCatName val="1"/>
              <c:showSerName val="0"/>
              <c:showPercent val="0"/>
              <c:showBubbleSize val="0"/>
              <c:separator>
</c:separator>
            </c:dLbl>
            <c:spPr>
              <a:noFill/>
              <a:ln w="25376">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Blad1!$A$2:$A$6</c:f>
              <c:strCache>
                <c:ptCount val="5"/>
                <c:pt idx="0">
                  <c:v>Sector</c:v>
                </c:pt>
                <c:pt idx="1">
                  <c:v>Indirect taxation - VAT</c:v>
                </c:pt>
                <c:pt idx="2">
                  <c:v>Direct taxation</c:v>
                </c:pt>
                <c:pt idx="3">
                  <c:v>Indirect taxation - excise duties</c:v>
                </c:pt>
                <c:pt idx="4">
                  <c:v>Other</c:v>
                </c:pt>
              </c:strCache>
            </c:strRef>
          </c:cat>
          <c:val>
            <c:numRef>
              <c:f>Blad1!$B$2:$B$6</c:f>
              <c:numCache>
                <c:formatCode>General</c:formatCode>
                <c:ptCount val="5"/>
                <c:pt idx="0">
                  <c:v>0</c:v>
                </c:pt>
                <c:pt idx="1">
                  <c:v>68</c:v>
                </c:pt>
                <c:pt idx="2">
                  <c:v>31</c:v>
                </c:pt>
                <c:pt idx="3">
                  <c:v>13</c:v>
                </c:pt>
                <c:pt idx="4">
                  <c:v>15</c:v>
                </c:pt>
              </c:numCache>
            </c:numRef>
          </c:val>
        </c:ser>
        <c:dLbls>
          <c:showLegendKey val="0"/>
          <c:showVal val="0"/>
          <c:showCatName val="0"/>
          <c:showSerName val="0"/>
          <c:showPercent val="0"/>
          <c:showBubbleSize val="0"/>
          <c:showLeaderLines val="0"/>
        </c:dLbls>
        <c:firstSliceAng val="95"/>
      </c:pieChart>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36576949620428E-2"/>
          <c:y val="8.2304526748971193E-2"/>
          <c:w val="0.93929359823399561"/>
          <c:h val="0.69892466155546351"/>
        </c:manualLayout>
      </c:layout>
      <c:lineChart>
        <c:grouping val="standard"/>
        <c:varyColors val="0"/>
        <c:ser>
          <c:idx val="0"/>
          <c:order val="0"/>
          <c:tx>
            <c:strRef>
              <c:f>Blad1!$B$2</c:f>
              <c:strCache>
                <c:ptCount val="1"/>
                <c:pt idx="0">
                  <c:v>Taxation and customs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0223523688803416E-2"/>
                  <c:y val="-7.1742167515997879E-2"/>
                </c:manualLayout>
              </c:layout>
              <c:dLblPos val="r"/>
              <c:showLegendKey val="0"/>
              <c:showVal val="1"/>
              <c:showCatName val="0"/>
              <c:showSerName val="0"/>
              <c:showPercent val="0"/>
              <c:showBubbleSize val="0"/>
            </c:dLbl>
            <c:dLbl>
              <c:idx val="4"/>
              <c:layout>
                <c:manualLayout>
                  <c:x val="-4.7054414141940767E-2"/>
                  <c:y val="-5.7757459593866543E-2"/>
                </c:manualLayout>
              </c:layout>
              <c:dLblPos val="r"/>
              <c:showLegendKey val="0"/>
              <c:showVal val="1"/>
              <c:showCatName val="0"/>
              <c:showSerName val="0"/>
              <c:showPercent val="0"/>
              <c:showBubbleSize val="0"/>
            </c:dLbl>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0.56000000000000005</c:v>
                </c:pt>
                <c:pt idx="1">
                  <c:v>0.6</c:v>
                </c:pt>
                <c:pt idx="2">
                  <c:v>0.68</c:v>
                </c:pt>
                <c:pt idx="3">
                  <c:v>0.69</c:v>
                </c:pt>
                <c:pt idx="4">
                  <c:v>0.79</c:v>
                </c:pt>
              </c:numCache>
            </c:numRef>
          </c:val>
          <c:smooth val="0"/>
        </c:ser>
        <c:ser>
          <c:idx val="1"/>
          <c:order val="1"/>
          <c:tx>
            <c:strRef>
              <c:f>Blad1!$C$2</c:f>
              <c:strCache>
                <c:ptCount val="1"/>
                <c:pt idx="0">
                  <c:v>General rate for all policy areas</c:v>
                </c:pt>
              </c:strCache>
            </c:strRef>
          </c:tx>
          <c:spPr>
            <a:ln w="25377">
              <a:solidFill>
                <a:srgbClr val="92D050"/>
              </a:solidFill>
            </a:ln>
          </c:spPr>
          <c:marker>
            <c:symbol val="square"/>
            <c:size val="4"/>
            <c:spPr>
              <a:solidFill>
                <a:srgbClr val="92D050"/>
              </a:solidFill>
              <a:ln>
                <a:solidFill>
                  <a:srgbClr val="92D050"/>
                </a:solidFill>
              </a:ln>
            </c:spPr>
          </c:marker>
          <c:dLbls>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7049344"/>
        <c:axId val="107050880"/>
      </c:lineChart>
      <c:catAx>
        <c:axId val="107049344"/>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050880"/>
        <c:crosses val="autoZero"/>
        <c:auto val="1"/>
        <c:lblAlgn val="ctr"/>
        <c:lblOffset val="100"/>
        <c:noMultiLvlLbl val="0"/>
      </c:catAx>
      <c:valAx>
        <c:axId val="107050880"/>
        <c:scaling>
          <c:orientation val="minMax"/>
          <c:min val="0.5"/>
        </c:scaling>
        <c:delete val="1"/>
        <c:axPos val="l"/>
        <c:majorGridlines>
          <c:spPr>
            <a:ln w="9516" cap="flat" cmpd="sng" algn="ctr">
              <a:solidFill>
                <a:schemeClr val="tx1">
                  <a:lumMod val="15000"/>
                  <a:lumOff val="85000"/>
                </a:schemeClr>
              </a:solidFill>
              <a:round/>
            </a:ln>
            <a:effectLst/>
          </c:spPr>
        </c:majorGridlines>
        <c:numFmt formatCode="0%" sourceLinked="1"/>
        <c:majorTickMark val="out"/>
        <c:minorTickMark val="none"/>
        <c:tickLblPos val="nextTo"/>
        <c:crossAx val="107049344"/>
        <c:crosses val="autoZero"/>
        <c:crossBetween val="between"/>
      </c:valAx>
      <c:spPr>
        <a:noFill/>
        <a:ln w="25377">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0.04325</cdr:x>
      <cdr:y>0.54595</cdr:y>
    </cdr:from>
    <cdr:to>
      <cdr:x>0.28762</cdr:x>
      <cdr:y>0.69063</cdr:y>
    </cdr:to>
    <cdr:sp macro="" textlink="">
      <cdr:nvSpPr>
        <cdr:cNvPr id="2" name="Text Box 1"/>
        <cdr:cNvSpPr txBox="1"/>
      </cdr:nvSpPr>
      <cdr:spPr>
        <a:xfrm xmlns:a="http://schemas.openxmlformats.org/drawingml/2006/main">
          <a:off x="197588" y="1306285"/>
          <a:ext cx="1116329" cy="346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800"/>
            </a:lnSpc>
          </a:pPr>
          <a:r>
            <a:rPr lang="en-GB" sz="800">
              <a:solidFill>
                <a:srgbClr val="002060"/>
              </a:solidFill>
              <a:latin typeface="Verdana" panose="020B0604030504040204" pitchFamily="34" charset="0"/>
              <a:ea typeface="Verdana" panose="020B0604030504040204" pitchFamily="34" charset="0"/>
              <a:cs typeface="Verdana" panose="020B0604030504040204" pitchFamily="34" charset="0"/>
            </a:rPr>
            <a:t>no files processed in 2011</a:t>
          </a:r>
        </a:p>
        <a:p xmlns:a="http://schemas.openxmlformats.org/drawingml/2006/main">
          <a:pPr algn="ctr">
            <a:lnSpc>
              <a:spcPts val="800"/>
            </a:lnSpc>
          </a:pPr>
          <a:endParaRPr lang="en-GB" sz="800">
            <a:solidFill>
              <a:srgbClr val="00206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52fd43feccd3b2c7b93776ef59e17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E742-4881-4369-8684-E7ED6ACEB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907B4A-51FA-4C5C-B475-F968A9D782DE}">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D535CDC4-13F9-4318-8328-1A8BB0A81085}">
  <ds:schemaRefs>
    <ds:schemaRef ds:uri="http://schemas.microsoft.com/sharepoint/v3/contenttype/forms"/>
  </ds:schemaRefs>
</ds:datastoreItem>
</file>

<file path=customXml/itemProps4.xml><?xml version="1.0" encoding="utf-8"?>
<ds:datastoreItem xmlns:ds="http://schemas.openxmlformats.org/officeDocument/2006/customXml" ds:itemID="{7CB0C5AC-4AE5-4454-AAF6-ED38B761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24</TotalTime>
  <Pages>86</Pages>
  <Words>17812</Words>
  <Characters>99396</Characters>
  <Application>Microsoft Office Word</Application>
  <DocSecurity>0</DocSecurity>
  <PresentationFormat>Microsoft Word 11.0</PresentationFormat>
  <Lines>2208</Lines>
  <Paragraphs>1347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115861</CharactersWithSpaces>
  <SharedDoc>false</SharedDoc>
  <HyperlinkBase/>
  <HLinks>
    <vt:vector size="366" baseType="variant">
      <vt:variant>
        <vt:i4>3014747</vt:i4>
      </vt:variant>
      <vt:variant>
        <vt:i4>189</vt:i4>
      </vt:variant>
      <vt:variant>
        <vt:i4>0</vt:i4>
      </vt:variant>
      <vt:variant>
        <vt:i4>5</vt:i4>
      </vt:variant>
      <vt:variant>
        <vt:lpwstr>http://ec.europa.eu/atwork/applying-eu-law/index_en.htm</vt:lpwstr>
      </vt:variant>
      <vt:variant>
        <vt:lpwstr/>
      </vt:variant>
      <vt:variant>
        <vt:i4>3866697</vt:i4>
      </vt:variant>
      <vt:variant>
        <vt:i4>186</vt:i4>
      </vt:variant>
      <vt:variant>
        <vt:i4>0</vt:i4>
      </vt:variant>
      <vt:variant>
        <vt:i4>5</vt:i4>
      </vt:variant>
      <vt:variant>
        <vt:lpwstr>http://ec.europa.eu/atwork/applying-eu-law/infringements-proceedings/annual-reports/index_en.htm</vt:lpwstr>
      </vt:variant>
      <vt:variant>
        <vt:lpwstr/>
      </vt:variant>
      <vt:variant>
        <vt:i4>3211352</vt:i4>
      </vt:variant>
      <vt:variant>
        <vt:i4>183</vt:i4>
      </vt:variant>
      <vt:variant>
        <vt:i4>0</vt:i4>
      </vt:variant>
      <vt:variant>
        <vt:i4>5</vt:i4>
      </vt:variant>
      <vt:variant>
        <vt:lpwstr>mailto:infractions@ec.europa.eu</vt:lpwstr>
      </vt:variant>
      <vt:variant>
        <vt:lpwstr/>
      </vt:variant>
      <vt:variant>
        <vt:i4>262179</vt:i4>
      </vt:variant>
      <vt:variant>
        <vt:i4>180</vt:i4>
      </vt:variant>
      <vt:variant>
        <vt:i4>0</vt:i4>
      </vt:variant>
      <vt:variant>
        <vt:i4>5</vt:i4>
      </vt:variant>
      <vt:variant>
        <vt:lpwstr>mailto:Raluca.Trasca@ec.europa.eu</vt:lpwstr>
      </vt:variant>
      <vt:variant>
        <vt:lpwstr/>
      </vt:variant>
      <vt:variant>
        <vt:i4>1900599</vt:i4>
      </vt:variant>
      <vt:variant>
        <vt:i4>116</vt:i4>
      </vt:variant>
      <vt:variant>
        <vt:i4>0</vt:i4>
      </vt:variant>
      <vt:variant>
        <vt:i4>5</vt:i4>
      </vt:variant>
      <vt:variant>
        <vt:lpwstr/>
      </vt:variant>
      <vt:variant>
        <vt:lpwstr>_Toc413173792</vt:lpwstr>
      </vt:variant>
      <vt:variant>
        <vt:i4>1900599</vt:i4>
      </vt:variant>
      <vt:variant>
        <vt:i4>110</vt:i4>
      </vt:variant>
      <vt:variant>
        <vt:i4>0</vt:i4>
      </vt:variant>
      <vt:variant>
        <vt:i4>5</vt:i4>
      </vt:variant>
      <vt:variant>
        <vt:lpwstr/>
      </vt:variant>
      <vt:variant>
        <vt:lpwstr>_Toc413173791</vt:lpwstr>
      </vt:variant>
      <vt:variant>
        <vt:i4>1900599</vt:i4>
      </vt:variant>
      <vt:variant>
        <vt:i4>104</vt:i4>
      </vt:variant>
      <vt:variant>
        <vt:i4>0</vt:i4>
      </vt:variant>
      <vt:variant>
        <vt:i4>5</vt:i4>
      </vt:variant>
      <vt:variant>
        <vt:lpwstr/>
      </vt:variant>
      <vt:variant>
        <vt:lpwstr>_Toc413173790</vt:lpwstr>
      </vt:variant>
      <vt:variant>
        <vt:i4>1835063</vt:i4>
      </vt:variant>
      <vt:variant>
        <vt:i4>98</vt:i4>
      </vt:variant>
      <vt:variant>
        <vt:i4>0</vt:i4>
      </vt:variant>
      <vt:variant>
        <vt:i4>5</vt:i4>
      </vt:variant>
      <vt:variant>
        <vt:lpwstr/>
      </vt:variant>
      <vt:variant>
        <vt:lpwstr>_Toc413173789</vt:lpwstr>
      </vt:variant>
      <vt:variant>
        <vt:i4>1835063</vt:i4>
      </vt:variant>
      <vt:variant>
        <vt:i4>92</vt:i4>
      </vt:variant>
      <vt:variant>
        <vt:i4>0</vt:i4>
      </vt:variant>
      <vt:variant>
        <vt:i4>5</vt:i4>
      </vt:variant>
      <vt:variant>
        <vt:lpwstr/>
      </vt:variant>
      <vt:variant>
        <vt:lpwstr>_Toc413173788</vt:lpwstr>
      </vt:variant>
      <vt:variant>
        <vt:i4>1835063</vt:i4>
      </vt:variant>
      <vt:variant>
        <vt:i4>86</vt:i4>
      </vt:variant>
      <vt:variant>
        <vt:i4>0</vt:i4>
      </vt:variant>
      <vt:variant>
        <vt:i4>5</vt:i4>
      </vt:variant>
      <vt:variant>
        <vt:lpwstr/>
      </vt:variant>
      <vt:variant>
        <vt:lpwstr>_Toc413173787</vt:lpwstr>
      </vt:variant>
      <vt:variant>
        <vt:i4>1835063</vt:i4>
      </vt:variant>
      <vt:variant>
        <vt:i4>80</vt:i4>
      </vt:variant>
      <vt:variant>
        <vt:i4>0</vt:i4>
      </vt:variant>
      <vt:variant>
        <vt:i4>5</vt:i4>
      </vt:variant>
      <vt:variant>
        <vt:lpwstr/>
      </vt:variant>
      <vt:variant>
        <vt:lpwstr>_Toc413173786</vt:lpwstr>
      </vt:variant>
      <vt:variant>
        <vt:i4>1835063</vt:i4>
      </vt:variant>
      <vt:variant>
        <vt:i4>74</vt:i4>
      </vt:variant>
      <vt:variant>
        <vt:i4>0</vt:i4>
      </vt:variant>
      <vt:variant>
        <vt:i4>5</vt:i4>
      </vt:variant>
      <vt:variant>
        <vt:lpwstr/>
      </vt:variant>
      <vt:variant>
        <vt:lpwstr>_Toc413173785</vt:lpwstr>
      </vt:variant>
      <vt:variant>
        <vt:i4>1835063</vt:i4>
      </vt:variant>
      <vt:variant>
        <vt:i4>68</vt:i4>
      </vt:variant>
      <vt:variant>
        <vt:i4>0</vt:i4>
      </vt:variant>
      <vt:variant>
        <vt:i4>5</vt:i4>
      </vt:variant>
      <vt:variant>
        <vt:lpwstr/>
      </vt:variant>
      <vt:variant>
        <vt:lpwstr>_Toc413173784</vt:lpwstr>
      </vt:variant>
      <vt:variant>
        <vt:i4>1835063</vt:i4>
      </vt:variant>
      <vt:variant>
        <vt:i4>62</vt:i4>
      </vt:variant>
      <vt:variant>
        <vt:i4>0</vt:i4>
      </vt:variant>
      <vt:variant>
        <vt:i4>5</vt:i4>
      </vt:variant>
      <vt:variant>
        <vt:lpwstr/>
      </vt:variant>
      <vt:variant>
        <vt:lpwstr>_Toc413173783</vt:lpwstr>
      </vt:variant>
      <vt:variant>
        <vt:i4>1835063</vt:i4>
      </vt:variant>
      <vt:variant>
        <vt:i4>56</vt:i4>
      </vt:variant>
      <vt:variant>
        <vt:i4>0</vt:i4>
      </vt:variant>
      <vt:variant>
        <vt:i4>5</vt:i4>
      </vt:variant>
      <vt:variant>
        <vt:lpwstr/>
      </vt:variant>
      <vt:variant>
        <vt:lpwstr>_Toc413173782</vt:lpwstr>
      </vt:variant>
      <vt:variant>
        <vt:i4>1835063</vt:i4>
      </vt:variant>
      <vt:variant>
        <vt:i4>50</vt:i4>
      </vt:variant>
      <vt:variant>
        <vt:i4>0</vt:i4>
      </vt:variant>
      <vt:variant>
        <vt:i4>5</vt:i4>
      </vt:variant>
      <vt:variant>
        <vt:lpwstr/>
      </vt:variant>
      <vt:variant>
        <vt:lpwstr>_Toc413173781</vt:lpwstr>
      </vt:variant>
      <vt:variant>
        <vt:i4>1835063</vt:i4>
      </vt:variant>
      <vt:variant>
        <vt:i4>44</vt:i4>
      </vt:variant>
      <vt:variant>
        <vt:i4>0</vt:i4>
      </vt:variant>
      <vt:variant>
        <vt:i4>5</vt:i4>
      </vt:variant>
      <vt:variant>
        <vt:lpwstr/>
      </vt:variant>
      <vt:variant>
        <vt:lpwstr>_Toc413173780</vt:lpwstr>
      </vt:variant>
      <vt:variant>
        <vt:i4>1245239</vt:i4>
      </vt:variant>
      <vt:variant>
        <vt:i4>38</vt:i4>
      </vt:variant>
      <vt:variant>
        <vt:i4>0</vt:i4>
      </vt:variant>
      <vt:variant>
        <vt:i4>5</vt:i4>
      </vt:variant>
      <vt:variant>
        <vt:lpwstr/>
      </vt:variant>
      <vt:variant>
        <vt:lpwstr>_Toc413173779</vt:lpwstr>
      </vt:variant>
      <vt:variant>
        <vt:i4>1245239</vt:i4>
      </vt:variant>
      <vt:variant>
        <vt:i4>32</vt:i4>
      </vt:variant>
      <vt:variant>
        <vt:i4>0</vt:i4>
      </vt:variant>
      <vt:variant>
        <vt:i4>5</vt:i4>
      </vt:variant>
      <vt:variant>
        <vt:lpwstr/>
      </vt:variant>
      <vt:variant>
        <vt:lpwstr>_Toc413173778</vt:lpwstr>
      </vt:variant>
      <vt:variant>
        <vt:i4>1245239</vt:i4>
      </vt:variant>
      <vt:variant>
        <vt:i4>26</vt:i4>
      </vt:variant>
      <vt:variant>
        <vt:i4>0</vt:i4>
      </vt:variant>
      <vt:variant>
        <vt:i4>5</vt:i4>
      </vt:variant>
      <vt:variant>
        <vt:lpwstr/>
      </vt:variant>
      <vt:variant>
        <vt:lpwstr>_Toc413173777</vt:lpwstr>
      </vt:variant>
      <vt:variant>
        <vt:i4>1245239</vt:i4>
      </vt:variant>
      <vt:variant>
        <vt:i4>20</vt:i4>
      </vt:variant>
      <vt:variant>
        <vt:i4>0</vt:i4>
      </vt:variant>
      <vt:variant>
        <vt:i4>5</vt:i4>
      </vt:variant>
      <vt:variant>
        <vt:lpwstr/>
      </vt:variant>
      <vt:variant>
        <vt:lpwstr>_Toc413173776</vt:lpwstr>
      </vt:variant>
      <vt:variant>
        <vt:i4>1245239</vt:i4>
      </vt:variant>
      <vt:variant>
        <vt:i4>14</vt:i4>
      </vt:variant>
      <vt:variant>
        <vt:i4>0</vt:i4>
      </vt:variant>
      <vt:variant>
        <vt:i4>5</vt:i4>
      </vt:variant>
      <vt:variant>
        <vt:lpwstr/>
      </vt:variant>
      <vt:variant>
        <vt:lpwstr>_Toc413173775</vt:lpwstr>
      </vt:variant>
      <vt:variant>
        <vt:i4>1245239</vt:i4>
      </vt:variant>
      <vt:variant>
        <vt:i4>8</vt:i4>
      </vt:variant>
      <vt:variant>
        <vt:i4>0</vt:i4>
      </vt:variant>
      <vt:variant>
        <vt:i4>5</vt:i4>
      </vt:variant>
      <vt:variant>
        <vt:lpwstr/>
      </vt:variant>
      <vt:variant>
        <vt:lpwstr>_Toc413173774</vt:lpwstr>
      </vt:variant>
      <vt:variant>
        <vt:i4>1245239</vt:i4>
      </vt:variant>
      <vt:variant>
        <vt:i4>2</vt:i4>
      </vt:variant>
      <vt:variant>
        <vt:i4>0</vt:i4>
      </vt:variant>
      <vt:variant>
        <vt:i4>5</vt:i4>
      </vt:variant>
      <vt:variant>
        <vt:lpwstr/>
      </vt:variant>
      <vt:variant>
        <vt:lpwstr>_Toc413173773</vt:lpwstr>
      </vt:variant>
      <vt:variant>
        <vt:i4>7209065</vt:i4>
      </vt:variant>
      <vt:variant>
        <vt:i4>108</vt:i4>
      </vt:variant>
      <vt:variant>
        <vt:i4>0</vt:i4>
      </vt:variant>
      <vt:variant>
        <vt:i4>5</vt:i4>
      </vt:variant>
      <vt:variant>
        <vt:lpwstr>http://eur-lex.europa.eu/legal-content/EN/TXT/?qid=1424262080577&amp;uri=CELEX:52014DC0910</vt:lpwstr>
      </vt:variant>
      <vt:variant>
        <vt:lpwstr/>
      </vt:variant>
      <vt:variant>
        <vt:i4>4456574</vt:i4>
      </vt:variant>
      <vt:variant>
        <vt:i4>105</vt:i4>
      </vt:variant>
      <vt:variant>
        <vt:i4>0</vt:i4>
      </vt:variant>
      <vt:variant>
        <vt:i4>5</vt:i4>
      </vt:variant>
      <vt:variant>
        <vt:lpwstr>\\net1.cec.eu.int\SG\SG-C-3\Restricted\(I) - INFRACTIONS\RAPPORTS ANNUELS\32eme RAPPORT ANNUEL 2014\06. Main report\SWD(2014)192final\2</vt:lpwstr>
      </vt:variant>
      <vt:variant>
        <vt:lpwstr/>
      </vt:variant>
      <vt:variant>
        <vt:i4>6619238</vt:i4>
      </vt:variant>
      <vt:variant>
        <vt:i4>102</vt:i4>
      </vt:variant>
      <vt:variant>
        <vt:i4>0</vt:i4>
      </vt:variant>
      <vt:variant>
        <vt:i4>5</vt:i4>
      </vt:variant>
      <vt:variant>
        <vt:lpwstr>http://eur-lex.europa.eu/legal-content/EN/TXT/?qid=1424261940165&amp;uri=CELEX:52014DC0368</vt:lpwstr>
      </vt:variant>
      <vt:variant>
        <vt:lpwstr/>
      </vt:variant>
      <vt:variant>
        <vt:i4>7077998</vt:i4>
      </vt:variant>
      <vt:variant>
        <vt:i4>99</vt:i4>
      </vt:variant>
      <vt:variant>
        <vt:i4>0</vt:i4>
      </vt:variant>
      <vt:variant>
        <vt:i4>5</vt:i4>
      </vt:variant>
      <vt:variant>
        <vt:lpwstr>http://eur-lex.europa.eu/legal-content/EN/TXT/?qid=1424261839481&amp;uri=CELEX:52013DC0685</vt:lpwstr>
      </vt:variant>
      <vt:variant>
        <vt:lpwstr/>
      </vt:variant>
      <vt:variant>
        <vt:i4>2031664</vt:i4>
      </vt:variant>
      <vt:variant>
        <vt:i4>96</vt:i4>
      </vt:variant>
      <vt:variant>
        <vt:i4>0</vt:i4>
      </vt:variant>
      <vt:variant>
        <vt:i4>5</vt:i4>
      </vt:variant>
      <vt:variant>
        <vt:lpwstr>http://ec.europa.eu/smart-regulation/impact/planned_ia/consultation_2014/index_en.htm</vt:lpwstr>
      </vt:variant>
      <vt:variant>
        <vt:lpwstr/>
      </vt:variant>
      <vt:variant>
        <vt:i4>4521987</vt:i4>
      </vt:variant>
      <vt:variant>
        <vt:i4>93</vt:i4>
      </vt:variant>
      <vt:variant>
        <vt:i4>0</vt:i4>
      </vt:variant>
      <vt:variant>
        <vt:i4>5</vt:i4>
      </vt:variant>
      <vt:variant>
        <vt:lpwstr>http://ec.europa.eu/smart-regulation/impact/consultation_2014/index_en.htm</vt:lpwstr>
      </vt:variant>
      <vt:variant>
        <vt:lpwstr/>
      </vt:variant>
      <vt:variant>
        <vt:i4>786539</vt:i4>
      </vt:variant>
      <vt:variant>
        <vt:i4>90</vt:i4>
      </vt:variant>
      <vt:variant>
        <vt:i4>0</vt:i4>
      </vt:variant>
      <vt:variant>
        <vt:i4>5</vt:i4>
      </vt:variant>
      <vt:variant>
        <vt:lpwstr>http://ec.europa.eu/smart-regulation/evaluation/consultation/index_en.htm</vt:lpwstr>
      </vt:variant>
      <vt:variant>
        <vt:lpwstr/>
      </vt:variant>
      <vt:variant>
        <vt:i4>84</vt:i4>
      </vt:variant>
      <vt:variant>
        <vt:i4>87</vt:i4>
      </vt:variant>
      <vt:variant>
        <vt:i4>0</vt:i4>
      </vt:variant>
      <vt:variant>
        <vt:i4>5</vt:i4>
      </vt:variant>
      <vt:variant>
        <vt:lpwstr>http://ec.europa.eu/atwork/pdf/cwp_2015_en.pdf</vt:lpwstr>
      </vt:variant>
      <vt:variant>
        <vt:lpwstr/>
      </vt:variant>
      <vt:variant>
        <vt:i4>4980739</vt:i4>
      </vt:variant>
      <vt:variant>
        <vt:i4>84</vt:i4>
      </vt:variant>
      <vt:variant>
        <vt:i4>0</vt:i4>
      </vt:variant>
      <vt:variant>
        <vt:i4>5</vt:i4>
      </vt:variant>
      <vt:variant>
        <vt:lpwstr>http://curia.europa.eu/juris/liste.jsf?language=en&amp;jur=C,T,F&amp;num=C-427/07&amp;td=ALL</vt:lpwstr>
      </vt:variant>
      <vt:variant>
        <vt:lpwstr/>
      </vt:variant>
      <vt:variant>
        <vt:i4>983134</vt:i4>
      </vt:variant>
      <vt:variant>
        <vt:i4>81</vt:i4>
      </vt:variant>
      <vt:variant>
        <vt:i4>0</vt:i4>
      </vt:variant>
      <vt:variant>
        <vt:i4>5</vt:i4>
      </vt:variant>
      <vt:variant>
        <vt:lpwstr>http://eur-lex.europa.eu/legal-content/EN/TXT/?qid=1426182127330&amp;uri=CELEX:32014L0059</vt:lpwstr>
      </vt:variant>
      <vt:variant>
        <vt:lpwstr/>
      </vt:variant>
      <vt:variant>
        <vt:i4>917593</vt:i4>
      </vt:variant>
      <vt:variant>
        <vt:i4>78</vt:i4>
      </vt:variant>
      <vt:variant>
        <vt:i4>0</vt:i4>
      </vt:variant>
      <vt:variant>
        <vt:i4>5</vt:i4>
      </vt:variant>
      <vt:variant>
        <vt:lpwstr>http://eur-lex.europa.eu/legal-content/EN/TXT/?qid=1426182091832&amp;uri=CELEX:32013L0014</vt:lpwstr>
      </vt:variant>
      <vt:variant>
        <vt:lpwstr/>
      </vt:variant>
      <vt:variant>
        <vt:i4>196701</vt:i4>
      </vt:variant>
      <vt:variant>
        <vt:i4>75</vt:i4>
      </vt:variant>
      <vt:variant>
        <vt:i4>0</vt:i4>
      </vt:variant>
      <vt:variant>
        <vt:i4>5</vt:i4>
      </vt:variant>
      <vt:variant>
        <vt:lpwstr>http://eur-lex.europa.eu/legal-content/EN/TXT/?qid=1426182042048&amp;uri=CELEX:32012L0027</vt:lpwstr>
      </vt:variant>
      <vt:variant>
        <vt:lpwstr/>
      </vt:variant>
      <vt:variant>
        <vt:i4>327767</vt:i4>
      </vt:variant>
      <vt:variant>
        <vt:i4>72</vt:i4>
      </vt:variant>
      <vt:variant>
        <vt:i4>0</vt:i4>
      </vt:variant>
      <vt:variant>
        <vt:i4>5</vt:i4>
      </vt:variant>
      <vt:variant>
        <vt:lpwstr>http://eur-lex.europa.eu/legal-content/EN/TXT/?qid=1426181981444&amp;uri=CELEX:32012L0033</vt:lpwstr>
      </vt:variant>
      <vt:variant>
        <vt:lpwstr/>
      </vt:variant>
      <vt:variant>
        <vt:i4>262226</vt:i4>
      </vt:variant>
      <vt:variant>
        <vt:i4>69</vt:i4>
      </vt:variant>
      <vt:variant>
        <vt:i4>0</vt:i4>
      </vt:variant>
      <vt:variant>
        <vt:i4>5</vt:i4>
      </vt:variant>
      <vt:variant>
        <vt:lpwstr>http://eur-lex.europa.eu/legal-content/EN/TXT/?qid=1426181926861&amp;uri=CELEX:32012L0019</vt:lpwstr>
      </vt:variant>
      <vt:variant>
        <vt:lpwstr/>
      </vt:variant>
      <vt:variant>
        <vt:i4>917590</vt:i4>
      </vt:variant>
      <vt:variant>
        <vt:i4>66</vt:i4>
      </vt:variant>
      <vt:variant>
        <vt:i4>0</vt:i4>
      </vt:variant>
      <vt:variant>
        <vt:i4>5</vt:i4>
      </vt:variant>
      <vt:variant>
        <vt:lpwstr>http://eur-lex.europa.eu/legal-content/EN/TXT/?qid=1426181871046&amp;uri=CELEX:32012L0018</vt:lpwstr>
      </vt:variant>
      <vt:variant>
        <vt:lpwstr/>
      </vt:variant>
      <vt:variant>
        <vt:i4>589917</vt:i4>
      </vt:variant>
      <vt:variant>
        <vt:i4>63</vt:i4>
      </vt:variant>
      <vt:variant>
        <vt:i4>0</vt:i4>
      </vt:variant>
      <vt:variant>
        <vt:i4>5</vt:i4>
      </vt:variant>
      <vt:variant>
        <vt:lpwstr>http://eur-lex.europa.eu/legal-content/EN/TXT/?qid=1426181799788&amp;uri=CELEX:32013L0001</vt:lpwstr>
      </vt:variant>
      <vt:variant>
        <vt:lpwstr/>
      </vt:variant>
      <vt:variant>
        <vt:i4>852063</vt:i4>
      </vt:variant>
      <vt:variant>
        <vt:i4>60</vt:i4>
      </vt:variant>
      <vt:variant>
        <vt:i4>0</vt:i4>
      </vt:variant>
      <vt:variant>
        <vt:i4>5</vt:i4>
      </vt:variant>
      <vt:variant>
        <vt:lpwstr>http://eur-lex.europa.eu/legal-content/EN/TXT/?qid=1426181701725&amp;uri=CELEX:32012L0017</vt:lpwstr>
      </vt:variant>
      <vt:variant>
        <vt:lpwstr/>
      </vt:variant>
      <vt:variant>
        <vt:i4>4718622</vt:i4>
      </vt:variant>
      <vt:variant>
        <vt:i4>57</vt:i4>
      </vt:variant>
      <vt:variant>
        <vt:i4>0</vt:i4>
      </vt:variant>
      <vt:variant>
        <vt:i4>5</vt:i4>
      </vt:variant>
      <vt:variant>
        <vt:lpwstr>http://eur-lex.europa.eu/legal-content/EN/TXT/?uri=CELEX:52012DC0154</vt:lpwstr>
      </vt:variant>
      <vt:variant>
        <vt:lpwstr/>
      </vt:variant>
      <vt:variant>
        <vt:i4>7733341</vt:i4>
      </vt:variant>
      <vt:variant>
        <vt:i4>54</vt:i4>
      </vt:variant>
      <vt:variant>
        <vt:i4>0</vt:i4>
      </vt:variant>
      <vt:variant>
        <vt:i4>5</vt:i4>
      </vt:variant>
      <vt:variant>
        <vt:lpwstr>http://ec.europa.eu/solvit/index_en.htm</vt:lpwstr>
      </vt:variant>
      <vt:variant>
        <vt:lpwstr/>
      </vt:variant>
      <vt:variant>
        <vt:i4>5242916</vt:i4>
      </vt:variant>
      <vt:variant>
        <vt:i4>51</vt:i4>
      </vt:variant>
      <vt:variant>
        <vt:i4>0</vt:i4>
      </vt:variant>
      <vt:variant>
        <vt:i4>5</vt:i4>
      </vt:variant>
      <vt:variant>
        <vt:lpwstr>http://ec.europa.eu/your-rights/help/individuals/index_en.htm</vt:lpwstr>
      </vt:variant>
      <vt:variant>
        <vt:lpwstr/>
      </vt:variant>
      <vt:variant>
        <vt:i4>6094874</vt:i4>
      </vt:variant>
      <vt:variant>
        <vt:i4>48</vt:i4>
      </vt:variant>
      <vt:variant>
        <vt:i4>0</vt:i4>
      </vt:variant>
      <vt:variant>
        <vt:i4>5</vt:i4>
      </vt:variant>
      <vt:variant>
        <vt:lpwstr>http://ec.europa.eu/atwork/applying-eu-law/infringements-proceedings/infringement_decisions/?lang_code=en</vt:lpwstr>
      </vt:variant>
      <vt:variant>
        <vt:lpwstr/>
      </vt:variant>
      <vt:variant>
        <vt:i4>3014747</vt:i4>
      </vt:variant>
      <vt:variant>
        <vt:i4>45</vt:i4>
      </vt:variant>
      <vt:variant>
        <vt:i4>0</vt:i4>
      </vt:variant>
      <vt:variant>
        <vt:i4>5</vt:i4>
      </vt:variant>
      <vt:variant>
        <vt:lpwstr>http://ec.europa.eu/atwork/applying-eu-law/index_en.htm</vt:lpwstr>
      </vt:variant>
      <vt:variant>
        <vt:lpwstr/>
      </vt:variant>
      <vt:variant>
        <vt:i4>393305</vt:i4>
      </vt:variant>
      <vt:variant>
        <vt:i4>42</vt:i4>
      </vt:variant>
      <vt:variant>
        <vt:i4>0</vt:i4>
      </vt:variant>
      <vt:variant>
        <vt:i4>5</vt:i4>
      </vt:variant>
      <vt:variant>
        <vt:lpwstr>http://eur-lex.europa.eu/legal-content/EN/TXT/?qid=1424182522262&amp;uri=CELEX:32009L0028</vt:lpwstr>
      </vt:variant>
      <vt:variant>
        <vt:lpwstr/>
      </vt:variant>
      <vt:variant>
        <vt:i4>6357060</vt:i4>
      </vt:variant>
      <vt:variant>
        <vt:i4>39</vt:i4>
      </vt:variant>
      <vt:variant>
        <vt:i4>0</vt:i4>
      </vt:variant>
      <vt:variant>
        <vt:i4>5</vt:i4>
      </vt:variant>
      <vt:variant>
        <vt:lpwstr>http://eur-lex.europa.eu/legal-content/EN/TXT/?uri=uriserv:OJ.C_.2011.012.01.0001.01.ENG</vt:lpwstr>
      </vt:variant>
      <vt:variant>
        <vt:lpwstr/>
      </vt:variant>
      <vt:variant>
        <vt:i4>4915216</vt:i4>
      </vt:variant>
      <vt:variant>
        <vt:i4>36</vt:i4>
      </vt:variant>
      <vt:variant>
        <vt:i4>0</vt:i4>
      </vt:variant>
      <vt:variant>
        <vt:i4>5</vt:i4>
      </vt:variant>
      <vt:variant>
        <vt:lpwstr>http://eur-lex.europa.eu/legal-content/EN/TXT/PDF/?uri=CELEX:32011L0082&amp;qid=1421940925608&amp;from=EN</vt:lpwstr>
      </vt:variant>
      <vt:variant>
        <vt:lpwstr/>
      </vt:variant>
      <vt:variant>
        <vt:i4>4522011</vt:i4>
      </vt:variant>
      <vt:variant>
        <vt:i4>33</vt:i4>
      </vt:variant>
      <vt:variant>
        <vt:i4>0</vt:i4>
      </vt:variant>
      <vt:variant>
        <vt:i4>5</vt:i4>
      </vt:variant>
      <vt:variant>
        <vt:lpwstr>http://eur-lex.europa.eu/legal-content/EN/TXT/PDF/?uri=CELEX:32011L0024&amp;qid=1421940739664&amp;from=EN</vt:lpwstr>
      </vt:variant>
      <vt:variant>
        <vt:lpwstr/>
      </vt:variant>
      <vt:variant>
        <vt:i4>4259868</vt:i4>
      </vt:variant>
      <vt:variant>
        <vt:i4>30</vt:i4>
      </vt:variant>
      <vt:variant>
        <vt:i4>0</vt:i4>
      </vt:variant>
      <vt:variant>
        <vt:i4>5</vt:i4>
      </vt:variant>
      <vt:variant>
        <vt:lpwstr>http://eur-lex.europa.eu/legal-content/EN/TXT/PDF/?uri=CELEX:32011L0083&amp;qid=1421940632022&amp;from=EN</vt:lpwstr>
      </vt:variant>
      <vt:variant>
        <vt:lpwstr/>
      </vt:variant>
      <vt:variant>
        <vt:i4>4784149</vt:i4>
      </vt:variant>
      <vt:variant>
        <vt:i4>27</vt:i4>
      </vt:variant>
      <vt:variant>
        <vt:i4>0</vt:i4>
      </vt:variant>
      <vt:variant>
        <vt:i4>5</vt:i4>
      </vt:variant>
      <vt:variant>
        <vt:lpwstr>http://eur-lex.europa.eu/legal-content/EN/TXT/PDF/?uri=CELEX:32011L0085&amp;qid=1421940489335&amp;from=EN</vt:lpwstr>
      </vt:variant>
      <vt:variant>
        <vt:lpwstr/>
      </vt:variant>
      <vt:variant>
        <vt:i4>4653080</vt:i4>
      </vt:variant>
      <vt:variant>
        <vt:i4>24</vt:i4>
      </vt:variant>
      <vt:variant>
        <vt:i4>0</vt:i4>
      </vt:variant>
      <vt:variant>
        <vt:i4>5</vt:i4>
      </vt:variant>
      <vt:variant>
        <vt:lpwstr>http://eur-lex.europa.eu/legal-content/EN/TXT/PDF/?uri=CELEX:32012L0027&amp;qid=1421940160681&amp;from=EN</vt:lpwstr>
      </vt:variant>
      <vt:variant>
        <vt:lpwstr/>
      </vt:variant>
      <vt:variant>
        <vt:i4>3997751</vt:i4>
      </vt:variant>
      <vt:variant>
        <vt:i4>21</vt:i4>
      </vt:variant>
      <vt:variant>
        <vt:i4>0</vt:i4>
      </vt:variant>
      <vt:variant>
        <vt:i4>5</vt:i4>
      </vt:variant>
      <vt:variant>
        <vt:lpwstr>http://eur-lex.europa.eu/legal-content/EN/TXT/PDF/?uri=CELEX:32013L0036&amp;from=EN</vt:lpwstr>
      </vt:variant>
      <vt:variant>
        <vt:lpwstr/>
      </vt:variant>
      <vt:variant>
        <vt:i4>92</vt:i4>
      </vt:variant>
      <vt:variant>
        <vt:i4>18</vt:i4>
      </vt:variant>
      <vt:variant>
        <vt:i4>0</vt:i4>
      </vt:variant>
      <vt:variant>
        <vt:i4>5</vt:i4>
      </vt:variant>
      <vt:variant>
        <vt:lpwstr>http://eur-lex.europa.eu/legal-content/EN/TXT/?qid=1422287512667&amp;uri=CELEX:32009F0905</vt:lpwstr>
      </vt:variant>
      <vt:variant>
        <vt:lpwstr/>
      </vt:variant>
      <vt:variant>
        <vt:i4>6815855</vt:i4>
      </vt:variant>
      <vt:variant>
        <vt:i4>15</vt:i4>
      </vt:variant>
      <vt:variant>
        <vt:i4>0</vt:i4>
      </vt:variant>
      <vt:variant>
        <vt:i4>5</vt:i4>
      </vt:variant>
      <vt:variant>
        <vt:lpwstr>http://eur-lex.europa.eu/legal-content/EN/TXT/?qid=1424261672257&amp;uri=CELEX:52007DC0502</vt:lpwstr>
      </vt:variant>
      <vt:variant>
        <vt:lpwstr/>
      </vt:variant>
      <vt:variant>
        <vt:i4>5177345</vt:i4>
      </vt:variant>
      <vt:variant>
        <vt:i4>12</vt:i4>
      </vt:variant>
      <vt:variant>
        <vt:i4>0</vt:i4>
      </vt:variant>
      <vt:variant>
        <vt:i4>5</vt:i4>
      </vt:variant>
      <vt:variant>
        <vt:lpwstr>http://curia.europa.eu/juris/liste.jsf?language=en&amp;jur=C,T,F&amp;num=C-243/13&amp;td=ALL</vt:lpwstr>
      </vt:variant>
      <vt:variant>
        <vt:lpwstr/>
      </vt:variant>
      <vt:variant>
        <vt:i4>4915215</vt:i4>
      </vt:variant>
      <vt:variant>
        <vt:i4>9</vt:i4>
      </vt:variant>
      <vt:variant>
        <vt:i4>0</vt:i4>
      </vt:variant>
      <vt:variant>
        <vt:i4>5</vt:i4>
      </vt:variant>
      <vt:variant>
        <vt:lpwstr>http://curia.europa.eu/juris/liste.jsf?language=en&amp;jur=C,T,F&amp;num=C-184/11&amp;td=ALL</vt:lpwstr>
      </vt:variant>
      <vt:variant>
        <vt:lpwstr/>
      </vt:variant>
      <vt:variant>
        <vt:i4>4063272</vt:i4>
      </vt:variant>
      <vt:variant>
        <vt:i4>6</vt:i4>
      </vt:variant>
      <vt:variant>
        <vt:i4>0</vt:i4>
      </vt:variant>
      <vt:variant>
        <vt:i4>5</vt:i4>
      </vt:variant>
      <vt:variant>
        <vt:lpwstr>http://curia.europa.eu/juris/liste.jsf?language=en&amp;jur=C,T,F&amp;num=C-76/13&amp;td=ALL</vt:lpwstr>
      </vt:variant>
      <vt:variant>
        <vt:lpwstr/>
      </vt:variant>
      <vt:variant>
        <vt:i4>4521986</vt:i4>
      </vt:variant>
      <vt:variant>
        <vt:i4>3</vt:i4>
      </vt:variant>
      <vt:variant>
        <vt:i4>0</vt:i4>
      </vt:variant>
      <vt:variant>
        <vt:i4>5</vt:i4>
      </vt:variant>
      <vt:variant>
        <vt:lpwstr>http://curia.europa.eu/juris/liste.jsf?language=en&amp;jur=C,T,F&amp;num=C-378/13&amp;td=ALL</vt:lpwstr>
      </vt:variant>
      <vt:variant>
        <vt:lpwstr/>
      </vt:variant>
      <vt:variant>
        <vt:i4>4784140</vt:i4>
      </vt:variant>
      <vt:variant>
        <vt:i4>0</vt:i4>
      </vt:variant>
      <vt:variant>
        <vt:i4>0</vt:i4>
      </vt:variant>
      <vt:variant>
        <vt:i4>5</vt:i4>
      </vt:variant>
      <vt:variant>
        <vt:lpwstr>http://curia.europa.eu/juris/liste.jsf?language=en&amp;jur=C,T,F&amp;num=C-196/13&amp;td=ALL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19</cp:revision>
  <cp:lastPrinted>2017-04-06T17:51:00Z</cp:lastPrinted>
  <dcterms:created xsi:type="dcterms:W3CDTF">2017-05-17T09:27:00Z</dcterms:created>
  <dcterms:modified xsi:type="dcterms:W3CDTF">2017-07-06T06:52:00Z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0x010100429F0726229EA944A351C92A661F0C83</vt:lpwstr>
  </property>
  <property fmtid="{D5CDD505-2E9C-101B-9397-08002B2CF9AE}" pid="14" name="Part">
    <vt:lpwstr>1</vt:lpwstr>
  </property>
  <property fmtid="{D5CDD505-2E9C-101B-9397-08002B2CF9AE}" pid="15" name="Total parts">
    <vt:lpwstr>1</vt:lpwstr>
  </property>
  <property fmtid="{D5CDD505-2E9C-101B-9397-08002B2CF9AE}" pid="16" name="Classification">
    <vt:lpwstr> </vt:lpwstr>
  </property>
  <property fmtid="{D5CDD505-2E9C-101B-9397-08002B2CF9AE}" pid="17" name="DocStatus">
    <vt:lpwstr>Green</vt:lpwstr>
  </property>
</Properties>
</file>