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drawings/drawing2.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drawings/drawing3.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drawings/drawing4.xml" ContentType="application/vnd.openxmlformats-officedocument.drawingml.chartshapes+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drawings/drawing5.xml" ContentType="application/vnd.openxmlformats-officedocument.drawingml.chartshapes+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drawings/drawing6.xml" ContentType="application/vnd.openxmlformats-officedocument.drawingml.chartshapes+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charts/chart72.xml" ContentType="application/vnd.openxmlformats-officedocument.drawingml.chart+xml"/>
  <Override PartName="/word/theme/themeOverride72.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charts/chart73.xml" ContentType="application/vnd.openxmlformats-officedocument.drawingml.chart+xml"/>
  <Override PartName="/word/theme/themeOverride73.xml" ContentType="application/vnd.openxmlformats-officedocument.themeOverride+xml"/>
  <Override PartName="/word/charts/chart74.xml" ContentType="application/vnd.openxmlformats-officedocument.drawingml.chart+xml"/>
  <Override PartName="/word/theme/themeOverride74.xml" ContentType="application/vnd.openxmlformats-officedocument.themeOverride+xml"/>
  <Override PartName="/word/charts/chart75.xml" ContentType="application/vnd.openxmlformats-officedocument.drawingml.chart+xml"/>
  <Override PartName="/word/theme/themeOverride75.xml" ContentType="application/vnd.openxmlformats-officedocument.themeOverride+xml"/>
  <Override PartName="/word/charts/chart76.xml" ContentType="application/vnd.openxmlformats-officedocument.drawingml.chart+xml"/>
  <Override PartName="/word/theme/themeOverride76.xml" ContentType="application/vnd.openxmlformats-officedocument.themeOverride+xml"/>
  <Override PartName="/word/charts/chart77.xml" ContentType="application/vnd.openxmlformats-officedocument.drawingml.chart+xml"/>
  <Override PartName="/word/theme/themeOverride77.xml" ContentType="application/vnd.openxmlformats-officedocument.themeOverride+xml"/>
  <Override PartName="/word/charts/chart78.xml" ContentType="application/vnd.openxmlformats-officedocument.drawingml.chart+xml"/>
  <Override PartName="/word/theme/themeOverride78.xml" ContentType="application/vnd.openxmlformats-officedocument.themeOverride+xml"/>
  <Override PartName="/word/drawings/drawing7.xml" ContentType="application/vnd.openxmlformats-officedocument.drawingml.chartshapes+xml"/>
  <Override PartName="/word/charts/chart79.xml" ContentType="application/vnd.openxmlformats-officedocument.drawingml.chart+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theme/themeOverride81.xml" ContentType="application/vnd.openxmlformats-officedocument.themeOverride+xml"/>
  <Override PartName="/word/charts/chart82.xml" ContentType="application/vnd.openxmlformats-officedocument.drawingml.chart+xml"/>
  <Override PartName="/word/theme/themeOverride82.xml" ContentType="application/vnd.openxmlformats-officedocument.themeOverride+xml"/>
  <Override PartName="/word/charts/chart83.xml" ContentType="application/vnd.openxmlformats-officedocument.drawingml.chart+xml"/>
  <Override PartName="/word/theme/themeOverride83.xml" ContentType="application/vnd.openxmlformats-officedocument.themeOverride+xml"/>
  <Override PartName="/word/charts/chart84.xml" ContentType="application/vnd.openxmlformats-officedocument.drawingml.chart+xml"/>
  <Override PartName="/word/theme/themeOverride84.xml" ContentType="application/vnd.openxmlformats-officedocument.themeOverride+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charts/chart85.xml" ContentType="application/vnd.openxmlformats-officedocument.drawingml.chart+xml"/>
  <Override PartName="/word/theme/themeOverride85.xml" ContentType="application/vnd.openxmlformats-officedocument.themeOverride+xml"/>
  <Override PartName="/word/charts/chart86.xml" ContentType="application/vnd.openxmlformats-officedocument.drawingml.chart+xml"/>
  <Override PartName="/word/theme/themeOverride86.xml" ContentType="application/vnd.openxmlformats-officedocument.themeOverride+xml"/>
  <Override PartName="/word/charts/chart87.xml" ContentType="application/vnd.openxmlformats-officedocument.drawingml.chart+xml"/>
  <Override PartName="/word/theme/themeOverride87.xml" ContentType="application/vnd.openxmlformats-officedocument.themeOverride+xml"/>
  <Override PartName="/word/charts/chart88.xml" ContentType="application/vnd.openxmlformats-officedocument.drawingml.chart+xml"/>
  <Override PartName="/word/theme/themeOverride88.xml" ContentType="application/vnd.openxmlformats-officedocument.themeOverride+xml"/>
  <Override PartName="/word/charts/chart89.xml" ContentType="application/vnd.openxmlformats-officedocument.drawingml.chart+xml"/>
  <Override PartName="/word/theme/themeOverride89.xml" ContentType="application/vnd.openxmlformats-officedocument.themeOverride+xml"/>
  <Override PartName="/word/charts/chart90.xml" ContentType="application/vnd.openxmlformats-officedocument.drawingml.chart+xml"/>
  <Override PartName="/word/theme/themeOverride90.xml" ContentType="application/vnd.openxmlformats-officedocument.themeOverride+xml"/>
  <Override PartName="/word/drawings/drawing8.xml" ContentType="application/vnd.openxmlformats-officedocument.drawingml.chartshapes+xml"/>
  <Override PartName="/word/charts/chart91.xml" ContentType="application/vnd.openxmlformats-officedocument.drawingml.chart+xml"/>
  <Override PartName="/word/theme/themeOverride91.xml" ContentType="application/vnd.openxmlformats-officedocument.themeOverride+xml"/>
  <Override PartName="/word/charts/chart92.xml" ContentType="application/vnd.openxmlformats-officedocument.drawingml.chart+xml"/>
  <Override PartName="/word/theme/themeOverride92.xml" ContentType="application/vnd.openxmlformats-officedocument.themeOverride+xml"/>
  <Override PartName="/word/charts/chart93.xml" ContentType="application/vnd.openxmlformats-officedocument.drawingml.chart+xml"/>
  <Override PartName="/word/theme/themeOverride93.xml" ContentType="application/vnd.openxmlformats-officedocument.themeOverride+xml"/>
  <Override PartName="/word/charts/chart94.xml" ContentType="application/vnd.openxmlformats-officedocument.drawingml.chart+xml"/>
  <Override PartName="/word/theme/themeOverride94.xml" ContentType="application/vnd.openxmlformats-officedocument.themeOverride+xml"/>
  <Override PartName="/word/charts/chart95.xml" ContentType="application/vnd.openxmlformats-officedocument.drawingml.chart+xml"/>
  <Override PartName="/word/theme/themeOverride95.xml" ContentType="application/vnd.openxmlformats-officedocument.themeOverride+xml"/>
  <Override PartName="/word/charts/chart96.xml" ContentType="application/vnd.openxmlformats-officedocument.drawingml.chart+xml"/>
  <Override PartName="/word/theme/themeOverride96.xml" ContentType="application/vnd.openxmlformats-officedocument.themeOverride+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charts/chart97.xml" ContentType="application/vnd.openxmlformats-officedocument.drawingml.chart+xml"/>
  <Override PartName="/word/theme/themeOverride97.xml" ContentType="application/vnd.openxmlformats-officedocument.themeOverride+xml"/>
  <Override PartName="/word/charts/chart98.xml" ContentType="application/vnd.openxmlformats-officedocument.drawingml.chart+xml"/>
  <Override PartName="/word/theme/themeOverride98.xml" ContentType="application/vnd.openxmlformats-officedocument.themeOverride+xml"/>
  <Override PartName="/word/charts/chart99.xml" ContentType="application/vnd.openxmlformats-officedocument.drawingml.chart+xml"/>
  <Override PartName="/word/theme/themeOverride99.xml" ContentType="application/vnd.openxmlformats-officedocument.themeOverride+xml"/>
  <Override PartName="/word/charts/chart100.xml" ContentType="application/vnd.openxmlformats-officedocument.drawingml.chart+xml"/>
  <Override PartName="/word/theme/themeOverride100.xml" ContentType="application/vnd.openxmlformats-officedocument.themeOverride+xml"/>
  <Override PartName="/word/charts/chart101.xml" ContentType="application/vnd.openxmlformats-officedocument.drawingml.chart+xml"/>
  <Override PartName="/word/theme/themeOverride101.xml" ContentType="application/vnd.openxmlformats-officedocument.themeOverride+xml"/>
  <Override PartName="/word/charts/chart102.xml" ContentType="application/vnd.openxmlformats-officedocument.drawingml.chart+xml"/>
  <Override PartName="/word/theme/themeOverride102.xml" ContentType="application/vnd.openxmlformats-officedocument.themeOverride+xml"/>
  <Override PartName="/word/drawings/drawing9.xml" ContentType="application/vnd.openxmlformats-officedocument.drawingml.chartshapes+xml"/>
  <Override PartName="/word/charts/chart103.xml" ContentType="application/vnd.openxmlformats-officedocument.drawingml.chart+xml"/>
  <Override PartName="/word/theme/themeOverride103.xml" ContentType="application/vnd.openxmlformats-officedocument.themeOverride+xml"/>
  <Override PartName="/word/charts/chart104.xml" ContentType="application/vnd.openxmlformats-officedocument.drawingml.chart+xml"/>
  <Override PartName="/word/theme/themeOverride104.xml" ContentType="application/vnd.openxmlformats-officedocument.themeOverride+xml"/>
  <Override PartName="/word/charts/chart105.xml" ContentType="application/vnd.openxmlformats-officedocument.drawingml.chart+xml"/>
  <Override PartName="/word/theme/themeOverride105.xml" ContentType="application/vnd.openxmlformats-officedocument.themeOverride+xml"/>
  <Override PartName="/word/charts/chart106.xml" ContentType="application/vnd.openxmlformats-officedocument.drawingml.chart+xml"/>
  <Override PartName="/word/theme/themeOverride106.xml" ContentType="application/vnd.openxmlformats-officedocument.themeOverride+xml"/>
  <Override PartName="/word/charts/chart107.xml" ContentType="application/vnd.openxmlformats-officedocument.drawingml.chart+xml"/>
  <Override PartName="/word/theme/themeOverride107.xml" ContentType="application/vnd.openxmlformats-officedocument.themeOverride+xml"/>
  <Override PartName="/word/charts/chart108.xml" ContentType="application/vnd.openxmlformats-officedocument.drawingml.chart+xml"/>
  <Override PartName="/word/theme/themeOverride108.xml" ContentType="application/vnd.openxmlformats-officedocument.themeOverride+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charts/chart109.xml" ContentType="application/vnd.openxmlformats-officedocument.drawingml.chart+xml"/>
  <Override PartName="/word/theme/themeOverride109.xml" ContentType="application/vnd.openxmlformats-officedocument.themeOverride+xml"/>
  <Override PartName="/word/charts/chart110.xml" ContentType="application/vnd.openxmlformats-officedocument.drawingml.chart+xml"/>
  <Override PartName="/word/theme/themeOverride110.xml" ContentType="application/vnd.openxmlformats-officedocument.themeOverride+xml"/>
  <Override PartName="/word/charts/chart111.xml" ContentType="application/vnd.openxmlformats-officedocument.drawingml.chart+xml"/>
  <Override PartName="/word/theme/themeOverride111.xml" ContentType="application/vnd.openxmlformats-officedocument.themeOverride+xml"/>
  <Override PartName="/word/charts/chart112.xml" ContentType="application/vnd.openxmlformats-officedocument.drawingml.chart+xml"/>
  <Override PartName="/word/theme/themeOverride112.xml" ContentType="application/vnd.openxmlformats-officedocument.themeOverride+xml"/>
  <Override PartName="/word/charts/chart113.xml" ContentType="application/vnd.openxmlformats-officedocument.drawingml.chart+xml"/>
  <Override PartName="/word/theme/themeOverride113.xml" ContentType="application/vnd.openxmlformats-officedocument.themeOverride+xml"/>
  <Override PartName="/word/charts/chart114.xml" ContentType="application/vnd.openxmlformats-officedocument.drawingml.chart+xml"/>
  <Override PartName="/word/theme/themeOverride114.xml" ContentType="application/vnd.openxmlformats-officedocument.themeOverride+xml"/>
  <Override PartName="/word/drawings/drawing10.xml" ContentType="application/vnd.openxmlformats-officedocument.drawingml.chartshapes+xml"/>
  <Override PartName="/word/charts/chart115.xml" ContentType="application/vnd.openxmlformats-officedocument.drawingml.chart+xml"/>
  <Override PartName="/word/theme/themeOverride115.xml" ContentType="application/vnd.openxmlformats-officedocument.themeOverride+xml"/>
  <Override PartName="/word/charts/chart116.xml" ContentType="application/vnd.openxmlformats-officedocument.drawingml.chart+xml"/>
  <Override PartName="/word/theme/themeOverride116.xml" ContentType="application/vnd.openxmlformats-officedocument.themeOverride+xml"/>
  <Override PartName="/word/charts/chart117.xml" ContentType="application/vnd.openxmlformats-officedocument.drawingml.chart+xml"/>
  <Override PartName="/word/theme/themeOverride117.xml" ContentType="application/vnd.openxmlformats-officedocument.themeOverride+xml"/>
  <Override PartName="/word/charts/chart118.xml" ContentType="application/vnd.openxmlformats-officedocument.drawingml.chart+xml"/>
  <Override PartName="/word/theme/themeOverride118.xml" ContentType="application/vnd.openxmlformats-officedocument.themeOverride+xml"/>
  <Override PartName="/word/charts/chart119.xml" ContentType="application/vnd.openxmlformats-officedocument.drawingml.chart+xml"/>
  <Override PartName="/word/theme/themeOverride119.xml" ContentType="application/vnd.openxmlformats-officedocument.themeOverride+xml"/>
  <Override PartName="/word/charts/chart120.xml" ContentType="application/vnd.openxmlformats-officedocument.drawingml.chart+xml"/>
  <Override PartName="/word/theme/themeOverride120.xml" ContentType="application/vnd.openxmlformats-officedocument.themeOverride+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charts/chart121.xml" ContentType="application/vnd.openxmlformats-officedocument.drawingml.chart+xml"/>
  <Override PartName="/word/theme/themeOverride121.xml" ContentType="application/vnd.openxmlformats-officedocument.themeOverride+xml"/>
  <Override PartName="/word/charts/chart122.xml" ContentType="application/vnd.openxmlformats-officedocument.drawingml.chart+xml"/>
  <Override PartName="/word/theme/themeOverride122.xml" ContentType="application/vnd.openxmlformats-officedocument.themeOverride+xml"/>
  <Override PartName="/word/charts/chart123.xml" ContentType="application/vnd.openxmlformats-officedocument.drawingml.chart+xml"/>
  <Override PartName="/word/theme/themeOverride123.xml" ContentType="application/vnd.openxmlformats-officedocument.themeOverride+xml"/>
  <Override PartName="/word/charts/chart124.xml" ContentType="application/vnd.openxmlformats-officedocument.drawingml.chart+xml"/>
  <Override PartName="/word/theme/themeOverride124.xml" ContentType="application/vnd.openxmlformats-officedocument.themeOverride+xml"/>
  <Override PartName="/word/charts/chart125.xml" ContentType="application/vnd.openxmlformats-officedocument.drawingml.chart+xml"/>
  <Override PartName="/word/theme/themeOverride125.xml" ContentType="application/vnd.openxmlformats-officedocument.themeOverride+xml"/>
  <Override PartName="/word/charts/chart126.xml" ContentType="application/vnd.openxmlformats-officedocument.drawingml.chart+xml"/>
  <Override PartName="/word/theme/themeOverride126.xml" ContentType="application/vnd.openxmlformats-officedocument.themeOverride+xml"/>
  <Override PartName="/word/drawings/drawing11.xml" ContentType="application/vnd.openxmlformats-officedocument.drawingml.chartshapes+xml"/>
  <Override PartName="/word/charts/chart127.xml" ContentType="application/vnd.openxmlformats-officedocument.drawingml.chart+xml"/>
  <Override PartName="/word/theme/themeOverride127.xml" ContentType="application/vnd.openxmlformats-officedocument.themeOverride+xml"/>
  <Override PartName="/word/charts/chart128.xml" ContentType="application/vnd.openxmlformats-officedocument.drawingml.chart+xml"/>
  <Override PartName="/word/theme/themeOverride128.xml" ContentType="application/vnd.openxmlformats-officedocument.themeOverride+xml"/>
  <Override PartName="/word/charts/chart129.xml" ContentType="application/vnd.openxmlformats-officedocument.drawingml.chart+xml"/>
  <Override PartName="/word/theme/themeOverride129.xml" ContentType="application/vnd.openxmlformats-officedocument.themeOverride+xml"/>
  <Override PartName="/word/charts/chart130.xml" ContentType="application/vnd.openxmlformats-officedocument.drawingml.chart+xml"/>
  <Override PartName="/word/theme/themeOverride130.xml" ContentType="application/vnd.openxmlformats-officedocument.themeOverride+xml"/>
  <Override PartName="/word/charts/chart131.xml" ContentType="application/vnd.openxmlformats-officedocument.drawingml.chart+xml"/>
  <Override PartName="/word/theme/themeOverride131.xml" ContentType="application/vnd.openxmlformats-officedocument.themeOverride+xml"/>
  <Override PartName="/word/charts/chart132.xml" ContentType="application/vnd.openxmlformats-officedocument.drawingml.chart+xml"/>
  <Override PartName="/word/theme/themeOverride132.xml" ContentType="application/vnd.openxmlformats-officedocument.themeOverride+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charts/chart133.xml" ContentType="application/vnd.openxmlformats-officedocument.drawingml.chart+xml"/>
  <Override PartName="/word/theme/themeOverride133.xml" ContentType="application/vnd.openxmlformats-officedocument.themeOverride+xml"/>
  <Override PartName="/word/charts/chart134.xml" ContentType="application/vnd.openxmlformats-officedocument.drawingml.chart+xml"/>
  <Override PartName="/word/theme/themeOverride134.xml" ContentType="application/vnd.openxmlformats-officedocument.themeOverride+xml"/>
  <Override PartName="/word/charts/chart135.xml" ContentType="application/vnd.openxmlformats-officedocument.drawingml.chart+xml"/>
  <Override PartName="/word/theme/themeOverride135.xml" ContentType="application/vnd.openxmlformats-officedocument.themeOverride+xml"/>
  <Override PartName="/word/charts/chart136.xml" ContentType="application/vnd.openxmlformats-officedocument.drawingml.chart+xml"/>
  <Override PartName="/word/theme/themeOverride136.xml" ContentType="application/vnd.openxmlformats-officedocument.themeOverride+xml"/>
  <Override PartName="/word/charts/chart137.xml" ContentType="application/vnd.openxmlformats-officedocument.drawingml.chart+xml"/>
  <Override PartName="/word/theme/themeOverride137.xml" ContentType="application/vnd.openxmlformats-officedocument.themeOverride+xml"/>
  <Override PartName="/word/charts/chart138.xml" ContentType="application/vnd.openxmlformats-officedocument.drawingml.chart+xml"/>
  <Override PartName="/word/theme/themeOverride138.xml" ContentType="application/vnd.openxmlformats-officedocument.themeOverride+xml"/>
  <Override PartName="/word/drawings/drawing12.xml" ContentType="application/vnd.openxmlformats-officedocument.drawingml.chartshapes+xml"/>
  <Override PartName="/word/charts/chart139.xml" ContentType="application/vnd.openxmlformats-officedocument.drawingml.chart+xml"/>
  <Override PartName="/word/theme/themeOverride139.xml" ContentType="application/vnd.openxmlformats-officedocument.themeOverride+xml"/>
  <Override PartName="/word/charts/chart140.xml" ContentType="application/vnd.openxmlformats-officedocument.drawingml.chart+xml"/>
  <Override PartName="/word/theme/themeOverride140.xml" ContentType="application/vnd.openxmlformats-officedocument.themeOverride+xml"/>
  <Override PartName="/word/charts/chart141.xml" ContentType="application/vnd.openxmlformats-officedocument.drawingml.chart+xml"/>
  <Override PartName="/word/theme/themeOverride141.xml" ContentType="application/vnd.openxmlformats-officedocument.themeOverride+xml"/>
  <Override PartName="/word/charts/chart142.xml" ContentType="application/vnd.openxmlformats-officedocument.drawingml.chart+xml"/>
  <Override PartName="/word/theme/themeOverride142.xml" ContentType="application/vnd.openxmlformats-officedocument.themeOverride+xml"/>
  <Override PartName="/word/charts/chart143.xml" ContentType="application/vnd.openxmlformats-officedocument.drawingml.chart+xml"/>
  <Override PartName="/word/theme/themeOverride143.xml" ContentType="application/vnd.openxmlformats-officedocument.themeOverride+xml"/>
  <Override PartName="/word/charts/chart144.xml" ContentType="application/vnd.openxmlformats-officedocument.drawingml.chart+xml"/>
  <Override PartName="/word/theme/themeOverride144.xml" ContentType="application/vnd.openxmlformats-officedocument.themeOverride+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charts/chart145.xml" ContentType="application/vnd.openxmlformats-officedocument.drawingml.chart+xml"/>
  <Override PartName="/word/theme/themeOverride145.xml" ContentType="application/vnd.openxmlformats-officedocument.themeOverride+xml"/>
  <Override PartName="/word/charts/chart146.xml" ContentType="application/vnd.openxmlformats-officedocument.drawingml.chart+xml"/>
  <Override PartName="/word/theme/themeOverride146.xml" ContentType="application/vnd.openxmlformats-officedocument.themeOverride+xml"/>
  <Override PartName="/word/charts/chart147.xml" ContentType="application/vnd.openxmlformats-officedocument.drawingml.chart+xml"/>
  <Override PartName="/word/theme/themeOverride147.xml" ContentType="application/vnd.openxmlformats-officedocument.themeOverride+xml"/>
  <Override PartName="/word/charts/chart148.xml" ContentType="application/vnd.openxmlformats-officedocument.drawingml.chart+xml"/>
  <Override PartName="/word/theme/themeOverride148.xml" ContentType="application/vnd.openxmlformats-officedocument.themeOverride+xml"/>
  <Override PartName="/word/charts/chart149.xml" ContentType="application/vnd.openxmlformats-officedocument.drawingml.chart+xml"/>
  <Override PartName="/word/theme/themeOverride149.xml" ContentType="application/vnd.openxmlformats-officedocument.themeOverride+xml"/>
  <Override PartName="/word/charts/chart150.xml" ContentType="application/vnd.openxmlformats-officedocument.drawingml.chart+xml"/>
  <Override PartName="/word/theme/themeOverride150.xml" ContentType="application/vnd.openxmlformats-officedocument.themeOverride+xml"/>
  <Override PartName="/word/drawings/drawing13.xml" ContentType="application/vnd.openxmlformats-officedocument.drawingml.chartshapes+xml"/>
  <Override PartName="/word/charts/chart151.xml" ContentType="application/vnd.openxmlformats-officedocument.drawingml.chart+xml"/>
  <Override PartName="/word/theme/themeOverride151.xml" ContentType="application/vnd.openxmlformats-officedocument.themeOverride+xml"/>
  <Override PartName="/word/charts/chart152.xml" ContentType="application/vnd.openxmlformats-officedocument.drawingml.chart+xml"/>
  <Override PartName="/word/theme/themeOverride152.xml" ContentType="application/vnd.openxmlformats-officedocument.themeOverride+xml"/>
  <Override PartName="/word/charts/chart153.xml" ContentType="application/vnd.openxmlformats-officedocument.drawingml.chart+xml"/>
  <Override PartName="/word/theme/themeOverride153.xml" ContentType="application/vnd.openxmlformats-officedocument.themeOverride+xml"/>
  <Override PartName="/word/charts/chart154.xml" ContentType="application/vnd.openxmlformats-officedocument.drawingml.chart+xml"/>
  <Override PartName="/word/theme/themeOverride154.xml" ContentType="application/vnd.openxmlformats-officedocument.themeOverride+xml"/>
  <Override PartName="/word/charts/chart155.xml" ContentType="application/vnd.openxmlformats-officedocument.drawingml.chart+xml"/>
  <Override PartName="/word/theme/themeOverride155.xml" ContentType="application/vnd.openxmlformats-officedocument.themeOverride+xml"/>
  <Override PartName="/word/charts/chart156.xml" ContentType="application/vnd.openxmlformats-officedocument.drawingml.chart+xml"/>
  <Override PartName="/word/theme/themeOverride156.xml" ContentType="application/vnd.openxmlformats-officedocument.themeOverride+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charts/chart157.xml" ContentType="application/vnd.openxmlformats-officedocument.drawingml.chart+xml"/>
  <Override PartName="/word/theme/themeOverride157.xml" ContentType="application/vnd.openxmlformats-officedocument.themeOverride+xml"/>
  <Override PartName="/word/charts/chart158.xml" ContentType="application/vnd.openxmlformats-officedocument.drawingml.chart+xml"/>
  <Override PartName="/word/theme/themeOverride158.xml" ContentType="application/vnd.openxmlformats-officedocument.themeOverride+xml"/>
  <Override PartName="/word/charts/chart159.xml" ContentType="application/vnd.openxmlformats-officedocument.drawingml.chart+xml"/>
  <Override PartName="/word/theme/themeOverride159.xml" ContentType="application/vnd.openxmlformats-officedocument.themeOverride+xml"/>
  <Override PartName="/word/charts/chart160.xml" ContentType="application/vnd.openxmlformats-officedocument.drawingml.chart+xml"/>
  <Override PartName="/word/theme/themeOverride160.xml" ContentType="application/vnd.openxmlformats-officedocument.themeOverride+xml"/>
  <Override PartName="/word/charts/chart161.xml" ContentType="application/vnd.openxmlformats-officedocument.drawingml.chart+xml"/>
  <Override PartName="/word/theme/themeOverride161.xml" ContentType="application/vnd.openxmlformats-officedocument.themeOverride+xml"/>
  <Override PartName="/word/charts/chart162.xml" ContentType="application/vnd.openxmlformats-officedocument.drawingml.chart+xml"/>
  <Override PartName="/word/theme/themeOverride162.xml" ContentType="application/vnd.openxmlformats-officedocument.themeOverride+xml"/>
  <Override PartName="/word/drawings/drawing14.xml" ContentType="application/vnd.openxmlformats-officedocument.drawingml.chartshapes+xml"/>
  <Override PartName="/word/charts/chart163.xml" ContentType="application/vnd.openxmlformats-officedocument.drawingml.chart+xml"/>
  <Override PartName="/word/theme/themeOverride163.xml" ContentType="application/vnd.openxmlformats-officedocument.themeOverride+xml"/>
  <Override PartName="/word/charts/chart164.xml" ContentType="application/vnd.openxmlformats-officedocument.drawingml.chart+xml"/>
  <Override PartName="/word/theme/themeOverride164.xml" ContentType="application/vnd.openxmlformats-officedocument.themeOverride+xml"/>
  <Override PartName="/word/charts/chart165.xml" ContentType="application/vnd.openxmlformats-officedocument.drawingml.chart+xml"/>
  <Override PartName="/word/theme/themeOverride165.xml" ContentType="application/vnd.openxmlformats-officedocument.themeOverride+xml"/>
  <Override PartName="/word/charts/chart166.xml" ContentType="application/vnd.openxmlformats-officedocument.drawingml.chart+xml"/>
  <Override PartName="/word/theme/themeOverride166.xml" ContentType="application/vnd.openxmlformats-officedocument.themeOverride+xml"/>
  <Override PartName="/word/charts/chart167.xml" ContentType="application/vnd.openxmlformats-officedocument.drawingml.chart+xml"/>
  <Override PartName="/word/theme/themeOverride167.xml" ContentType="application/vnd.openxmlformats-officedocument.themeOverride+xml"/>
  <Override PartName="/word/charts/chart168.xml" ContentType="application/vnd.openxmlformats-officedocument.drawingml.chart+xml"/>
  <Override PartName="/word/theme/themeOverride168.xml" ContentType="application/vnd.openxmlformats-officedocument.themeOverride+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413140770"/>
      <w:bookmarkStart w:id="1" w:name="_Toc415656190"/>
      <w:bookmarkStart w:id="2" w:name="_Toc406073936"/>
      <w:bookmarkStart w:id="3"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alt="0B92E10545F94D5586D4A4CABB7FB3EF" style="width:450.75pt;height:417pt">
            <v:imagedata r:id="rId12" o:title=""/>
          </v:shape>
        </w:pict>
      </w:r>
    </w:p>
    <w:bookmarkEnd w:id="3"/>
    <w:p>
      <w:pPr>
        <w:rPr>
          <w:noProof/>
        </w:rPr>
        <w:sectPr>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6" w:h="16838"/>
          <w:pgMar w:top="1134" w:right="1417" w:bottom="1134" w:left="1417" w:header="709" w:footer="709" w:gutter="0"/>
          <w:pgNumType w:start="1"/>
          <w:cols w:space="720"/>
          <w:docGrid w:linePitch="360"/>
        </w:sectPr>
      </w:pPr>
    </w:p>
    <w:bookmarkStart w:id="4" w:name="_Toc444769585"/>
    <w:bookmarkStart w:id="5" w:name="_Toc444772041"/>
    <w:bookmarkStart w:id="6" w:name="_Toc444773360"/>
    <w:bookmarkStart w:id="7" w:name="_Toc444776732"/>
    <w:bookmarkStart w:id="8" w:name="_Toc475974639"/>
    <w:bookmarkStart w:id="9" w:name="_Toc475980135"/>
    <w:bookmarkStart w:id="10" w:name="_Toc475981384"/>
    <w:bookmarkStart w:id="11" w:name="_GoBack"/>
    <w:bookmarkEnd w:id="0"/>
    <w:bookmarkEnd w:id="1"/>
    <w:bookmarkEnd w:id="2"/>
    <w:bookmarkEnd w:id="11"/>
    <w:p>
      <w:pPr>
        <w:pStyle w:val="TOC1"/>
        <w:tabs>
          <w:tab w:val="right" w:leader="dot" w:pos="9062"/>
        </w:tabs>
        <w:rPr>
          <w:rFonts w:ascii="Arial" w:eastAsiaTheme="minorEastAsia" w:hAnsi="Arial" w:cs="Arial"/>
          <w:caps/>
          <w:noProof/>
          <w:sz w:val="20"/>
          <w:lang w:eastAsia="en-GB"/>
        </w:rPr>
      </w:pPr>
      <w:r>
        <w:rPr>
          <w:rFonts w:ascii="Arial" w:hAnsi="Arial" w:cs="Arial"/>
          <w:caps/>
          <w:smallCaps/>
          <w:noProof/>
          <w:sz w:val="20"/>
        </w:rPr>
        <w:lastRenderedPageBreak/>
        <w:fldChar w:fldCharType="begin"/>
      </w:r>
      <w:r>
        <w:rPr>
          <w:rFonts w:ascii="Arial" w:hAnsi="Arial" w:cs="Arial"/>
          <w:caps/>
          <w:smallCaps/>
          <w:noProof/>
          <w:sz w:val="20"/>
        </w:rPr>
        <w:instrText xml:space="preserve"> TOC \o "1-1" \h \z \u </w:instrText>
      </w:r>
      <w:r>
        <w:rPr>
          <w:rFonts w:ascii="Arial" w:hAnsi="Arial" w:cs="Arial"/>
          <w:caps/>
          <w:smallCaps/>
          <w:noProof/>
          <w:sz w:val="20"/>
        </w:rPr>
        <w:fldChar w:fldCharType="separate"/>
      </w:r>
      <w:hyperlink w:anchor="_Toc484622317" w:history="1">
        <w:r>
          <w:rPr>
            <w:rStyle w:val="Hyperlink"/>
            <w:rFonts w:ascii="Arial" w:hAnsi="Arial" w:cs="Arial"/>
            <w:caps/>
            <w:noProof/>
            <w:sz w:val="20"/>
          </w:rPr>
          <w:t>Belgium</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_Toc484622317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3</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18" w:history="1">
        <w:r>
          <w:rPr>
            <w:rStyle w:val="Hyperlink"/>
            <w:rFonts w:ascii="Arial" w:hAnsi="Arial" w:cs="Arial"/>
            <w:caps/>
            <w:noProof/>
            <w:sz w:val="20"/>
          </w:rPr>
          <w:t>Bulgaria</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_Toc484622318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10</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19" w:history="1">
        <w:r>
          <w:rPr>
            <w:rStyle w:val="Hyperlink"/>
            <w:rFonts w:ascii="Arial" w:hAnsi="Arial" w:cs="Arial"/>
            <w:caps/>
            <w:noProof/>
            <w:sz w:val="20"/>
          </w:rPr>
          <w:t>Czech Republic</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_Toc484622319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16</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20" w:history="1">
        <w:r>
          <w:rPr>
            <w:rStyle w:val="Hyperlink"/>
            <w:rFonts w:ascii="Arial" w:hAnsi="Arial" w:cs="Arial"/>
            <w:caps/>
            <w:noProof/>
            <w:sz w:val="20"/>
          </w:rPr>
          <w:t>Denmark</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_Toc484622320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22</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21" w:history="1">
        <w:r>
          <w:rPr>
            <w:rStyle w:val="Hyperlink"/>
            <w:rFonts w:ascii="Arial" w:hAnsi="Arial" w:cs="Arial"/>
            <w:caps/>
            <w:noProof/>
            <w:sz w:val="20"/>
          </w:rPr>
          <w:t>Germany</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_Toc484622321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28</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22" w:history="1">
        <w:r>
          <w:rPr>
            <w:rStyle w:val="Hyperlink"/>
            <w:rFonts w:ascii="Arial" w:hAnsi="Arial" w:cs="Arial"/>
            <w:caps/>
            <w:noProof/>
            <w:sz w:val="20"/>
          </w:rPr>
          <w:t>Estonia</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_Toc484622322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36</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23" w:history="1">
        <w:r>
          <w:rPr>
            <w:rStyle w:val="Hyperlink"/>
            <w:rFonts w:ascii="Arial" w:hAnsi="Arial" w:cs="Arial"/>
            <w:caps/>
            <w:noProof/>
            <w:sz w:val="20"/>
          </w:rPr>
          <w:t>Ireland</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_Toc484622323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42</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24" w:history="1">
        <w:r>
          <w:rPr>
            <w:rStyle w:val="Hyperlink"/>
            <w:rFonts w:ascii="Arial" w:hAnsi="Arial" w:cs="Arial"/>
            <w:caps/>
            <w:noProof/>
            <w:sz w:val="20"/>
          </w:rPr>
          <w:t>Greece</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_Toc484622324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48</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25" w:history="1">
        <w:r>
          <w:rPr>
            <w:rStyle w:val="Hyperlink"/>
            <w:rFonts w:ascii="Arial" w:hAnsi="Arial" w:cs="Arial"/>
            <w:caps/>
            <w:noProof/>
            <w:sz w:val="20"/>
          </w:rPr>
          <w:t>Spain</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_Toc484622325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56</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26" w:history="1">
        <w:r>
          <w:rPr>
            <w:rStyle w:val="Hyperlink"/>
            <w:rFonts w:ascii="Arial" w:hAnsi="Arial" w:cs="Arial"/>
            <w:caps/>
            <w:noProof/>
            <w:sz w:val="20"/>
          </w:rPr>
          <w:t>France</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_Toc484622326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64</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27" w:history="1">
        <w:r>
          <w:rPr>
            <w:rStyle w:val="Hyperlink"/>
            <w:rFonts w:ascii="Arial" w:hAnsi="Arial" w:cs="Arial"/>
            <w:caps/>
            <w:noProof/>
            <w:sz w:val="20"/>
          </w:rPr>
          <w:t>Croatia</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_Toc484622327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71</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28" w:history="1">
        <w:r>
          <w:rPr>
            <w:rStyle w:val="Hyperlink"/>
            <w:rFonts w:ascii="Arial" w:hAnsi="Arial" w:cs="Arial"/>
            <w:caps/>
            <w:noProof/>
            <w:sz w:val="20"/>
          </w:rPr>
          <w:t>Italy</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_Toc484622328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77</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29" w:history="1">
        <w:r>
          <w:rPr>
            <w:rStyle w:val="Hyperlink"/>
            <w:rFonts w:ascii="Arial" w:hAnsi="Arial" w:cs="Arial"/>
            <w:caps/>
            <w:noProof/>
            <w:sz w:val="20"/>
          </w:rPr>
          <w:t>Cyprus</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_Toc484622329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84</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30" w:history="1">
        <w:r>
          <w:rPr>
            <w:rStyle w:val="Hyperlink"/>
            <w:rFonts w:ascii="Arial" w:hAnsi="Arial" w:cs="Arial"/>
            <w:caps/>
            <w:noProof/>
            <w:sz w:val="20"/>
          </w:rPr>
          <w:t>Latvia</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_Toc484622330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90</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31" w:history="1">
        <w:r>
          <w:rPr>
            <w:rStyle w:val="Hyperlink"/>
            <w:rFonts w:ascii="Arial" w:hAnsi="Arial" w:cs="Arial"/>
            <w:caps/>
            <w:noProof/>
            <w:sz w:val="20"/>
          </w:rPr>
          <w:t>Lithuania</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_Toc484622331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96</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32" w:history="1">
        <w:r>
          <w:rPr>
            <w:rStyle w:val="Hyperlink"/>
            <w:rFonts w:ascii="Arial" w:hAnsi="Arial" w:cs="Arial"/>
            <w:caps/>
            <w:noProof/>
            <w:sz w:val="20"/>
          </w:rPr>
          <w:t>Luxembourg</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_Toc484622332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102</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33" w:history="1">
        <w:r>
          <w:rPr>
            <w:rStyle w:val="Hyperlink"/>
            <w:rFonts w:ascii="Arial" w:hAnsi="Arial" w:cs="Arial"/>
            <w:caps/>
            <w:noProof/>
            <w:sz w:val="20"/>
          </w:rPr>
          <w:t>Hungary</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_Toc484622333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109</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34" w:history="1">
        <w:r>
          <w:rPr>
            <w:rStyle w:val="Hyperlink"/>
            <w:rFonts w:ascii="Arial" w:hAnsi="Arial" w:cs="Arial"/>
            <w:caps/>
            <w:noProof/>
            <w:sz w:val="20"/>
          </w:rPr>
          <w:t>Malta</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_Toc484622334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116</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35" w:history="1">
        <w:r>
          <w:rPr>
            <w:rStyle w:val="Hyperlink"/>
            <w:rFonts w:ascii="Arial" w:hAnsi="Arial" w:cs="Arial"/>
            <w:caps/>
            <w:noProof/>
            <w:sz w:val="20"/>
          </w:rPr>
          <w:t>Netherlands</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_Toc484622335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122</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36" w:history="1">
        <w:r>
          <w:rPr>
            <w:rStyle w:val="Hyperlink"/>
            <w:rFonts w:ascii="Arial" w:hAnsi="Arial" w:cs="Arial"/>
            <w:caps/>
            <w:noProof/>
            <w:sz w:val="20"/>
          </w:rPr>
          <w:t>Austria</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_Toc484622336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129</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37" w:history="1">
        <w:r>
          <w:rPr>
            <w:rStyle w:val="Hyperlink"/>
            <w:rFonts w:ascii="Arial" w:hAnsi="Arial" w:cs="Arial"/>
            <w:caps/>
            <w:noProof/>
            <w:sz w:val="20"/>
          </w:rPr>
          <w:t>Poland</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_Toc484622337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136</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38" w:history="1">
        <w:r>
          <w:rPr>
            <w:rStyle w:val="Hyperlink"/>
            <w:rFonts w:ascii="Arial" w:hAnsi="Arial" w:cs="Arial"/>
            <w:caps/>
            <w:noProof/>
            <w:sz w:val="20"/>
          </w:rPr>
          <w:t>Portugal</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_Toc484622338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143</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39" w:history="1">
        <w:r>
          <w:rPr>
            <w:rStyle w:val="Hyperlink"/>
            <w:rFonts w:ascii="Arial" w:hAnsi="Arial" w:cs="Arial"/>
            <w:caps/>
            <w:noProof/>
            <w:sz w:val="20"/>
          </w:rPr>
          <w:t>Romania</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_Toc484622339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150</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40" w:history="1">
        <w:r>
          <w:rPr>
            <w:rStyle w:val="Hyperlink"/>
            <w:rFonts w:ascii="Arial" w:hAnsi="Arial" w:cs="Arial"/>
            <w:caps/>
            <w:noProof/>
            <w:sz w:val="20"/>
          </w:rPr>
          <w:t>Slovenia</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_Toc484622340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156</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41" w:history="1">
        <w:r>
          <w:rPr>
            <w:rStyle w:val="Hyperlink"/>
            <w:rFonts w:ascii="Arial" w:hAnsi="Arial" w:cs="Arial"/>
            <w:caps/>
            <w:noProof/>
            <w:sz w:val="20"/>
          </w:rPr>
          <w:t>Slovakia</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_Toc484622341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162</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42" w:history="1">
        <w:r>
          <w:rPr>
            <w:rStyle w:val="Hyperlink"/>
            <w:rFonts w:ascii="Arial" w:hAnsi="Arial" w:cs="Arial"/>
            <w:caps/>
            <w:noProof/>
            <w:sz w:val="20"/>
          </w:rPr>
          <w:t>Finland</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_Toc484622342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169</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43" w:history="1">
        <w:r>
          <w:rPr>
            <w:rStyle w:val="Hyperlink"/>
            <w:rFonts w:ascii="Arial" w:hAnsi="Arial" w:cs="Arial"/>
            <w:caps/>
            <w:noProof/>
            <w:sz w:val="20"/>
          </w:rPr>
          <w:t>Sweden</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_Toc484622343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175</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44" w:history="1">
        <w:r>
          <w:rPr>
            <w:rStyle w:val="Hyperlink"/>
            <w:rFonts w:ascii="Arial" w:hAnsi="Arial" w:cs="Arial"/>
            <w:caps/>
            <w:noProof/>
            <w:sz w:val="20"/>
          </w:rPr>
          <w:t>United Kingdom</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_Toc484622344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181</w:t>
        </w:r>
        <w:r>
          <w:rPr>
            <w:rFonts w:ascii="Arial" w:hAnsi="Arial" w:cs="Arial"/>
            <w:caps/>
            <w:noProof/>
            <w:webHidden/>
            <w:sz w:val="20"/>
          </w:rPr>
          <w:fldChar w:fldCharType="end"/>
        </w:r>
      </w:hyperlink>
    </w:p>
    <w:p>
      <w:pPr>
        <w:pStyle w:val="TOC1"/>
        <w:tabs>
          <w:tab w:val="right" w:leader="dot" w:pos="9062"/>
        </w:tabs>
        <w:rPr>
          <w:rFonts w:ascii="Arial" w:eastAsiaTheme="minorEastAsia" w:hAnsi="Arial" w:cs="Arial"/>
          <w:caps/>
          <w:noProof/>
          <w:sz w:val="20"/>
          <w:lang w:eastAsia="en-GB"/>
        </w:rPr>
      </w:pPr>
      <w:hyperlink w:anchor="_Toc484622345" w:history="1">
        <w:r>
          <w:rPr>
            <w:rStyle w:val="Hyperlink"/>
            <w:rFonts w:ascii="Arial" w:hAnsi="Arial" w:cs="Arial"/>
            <w:caps/>
            <w:noProof/>
            <w:sz w:val="20"/>
          </w:rPr>
          <w:t>METHODOLOGY AND EXPLANATIONS</w:t>
        </w:r>
        <w:r>
          <w:rPr>
            <w:rFonts w:ascii="Arial" w:hAnsi="Arial" w:cs="Arial"/>
            <w:caps/>
            <w:noProof/>
            <w:webHidden/>
            <w:sz w:val="20"/>
          </w:rPr>
          <w:tab/>
        </w:r>
        <w:r>
          <w:rPr>
            <w:rFonts w:ascii="Arial" w:hAnsi="Arial" w:cs="Arial"/>
            <w:caps/>
            <w:noProof/>
            <w:webHidden/>
            <w:sz w:val="20"/>
          </w:rPr>
          <w:fldChar w:fldCharType="begin"/>
        </w:r>
        <w:r>
          <w:rPr>
            <w:rFonts w:ascii="Arial" w:hAnsi="Arial" w:cs="Arial"/>
            <w:caps/>
            <w:noProof/>
            <w:webHidden/>
            <w:sz w:val="20"/>
          </w:rPr>
          <w:instrText xml:space="preserve"> PAGEREF _Toc484622345 \h </w:instrText>
        </w:r>
        <w:r>
          <w:rPr>
            <w:rFonts w:ascii="Arial" w:hAnsi="Arial" w:cs="Arial"/>
            <w:caps/>
            <w:noProof/>
            <w:webHidden/>
            <w:sz w:val="20"/>
          </w:rPr>
        </w:r>
        <w:r>
          <w:rPr>
            <w:rFonts w:ascii="Arial" w:hAnsi="Arial" w:cs="Arial"/>
            <w:caps/>
            <w:noProof/>
            <w:webHidden/>
            <w:sz w:val="20"/>
          </w:rPr>
          <w:fldChar w:fldCharType="separate"/>
        </w:r>
        <w:r>
          <w:rPr>
            <w:rFonts w:ascii="Arial" w:hAnsi="Arial" w:cs="Arial"/>
            <w:caps/>
            <w:noProof/>
            <w:webHidden/>
            <w:sz w:val="20"/>
          </w:rPr>
          <w:t>187</w:t>
        </w:r>
        <w:r>
          <w:rPr>
            <w:rFonts w:ascii="Arial" w:hAnsi="Arial" w:cs="Arial"/>
            <w:caps/>
            <w:noProof/>
            <w:webHidden/>
            <w:sz w:val="20"/>
          </w:rPr>
          <w:fldChar w:fldCharType="end"/>
        </w:r>
      </w:hyperlink>
    </w:p>
    <w:p>
      <w:pPr>
        <w:pStyle w:val="TOC1"/>
        <w:tabs>
          <w:tab w:val="right" w:leader="dot" w:pos="9062"/>
        </w:tabs>
        <w:rPr>
          <w:noProof/>
        </w:rPr>
        <w:sectPr>
          <w:headerReference w:type="even" r:id="rId19"/>
          <w:headerReference w:type="default" r:id="rId20"/>
          <w:footerReference w:type="even" r:id="rId21"/>
          <w:footerReference w:type="default" r:id="rId22"/>
          <w:headerReference w:type="first" r:id="rId23"/>
          <w:footerReference w:type="first" r:id="rId24"/>
          <w:footnotePr>
            <w:numRestart w:val="eachSect"/>
          </w:footnotePr>
          <w:pgSz w:w="11906" w:h="16838"/>
          <w:pgMar w:top="1701" w:right="1417" w:bottom="1134" w:left="1417" w:header="567" w:footer="351" w:gutter="0"/>
          <w:pgNumType w:start="2"/>
          <w:cols w:space="708"/>
          <w:titlePg/>
          <w:docGrid w:linePitch="360"/>
        </w:sectPr>
      </w:pPr>
      <w:r>
        <w:rPr>
          <w:rFonts w:cs="Arial"/>
          <w:bCs/>
          <w:smallCaps/>
          <w:noProof/>
          <w:sz w:val="20"/>
        </w:rPr>
        <w:fldChar w:fldCharType="end"/>
      </w:r>
    </w:p>
    <w:p>
      <w:pPr>
        <w:pStyle w:val="Heading1"/>
        <w:rPr>
          <w:noProof/>
        </w:rPr>
      </w:pPr>
      <w:bookmarkStart w:id="12" w:name="_Toc477938583"/>
      <w:r>
        <w:rPr>
          <w:noProof/>
        </w:rPr>
        <w:t>Belgium</w:t>
      </w:r>
      <w:bookmarkEnd w:id="4"/>
      <w:bookmarkEnd w:id="5"/>
      <w:bookmarkEnd w:id="6"/>
      <w:bookmarkEnd w:id="7"/>
      <w:bookmarkEnd w:id="8"/>
      <w:bookmarkEnd w:id="9"/>
      <w:bookmarkEnd w:id="10"/>
      <w:bookmarkEnd w:id="12"/>
    </w:p>
    <w:p>
      <w:pPr>
        <w:spacing w:after="120"/>
        <w:rPr>
          <w:rFonts w:ascii="Arial" w:hAnsi="Arial" w:cs="Arial"/>
          <w:i/>
          <w:noProof/>
          <w:sz w:val="22"/>
          <w:szCs w:val="22"/>
        </w:rPr>
      </w:pPr>
      <w:r>
        <w:rPr>
          <w:rFonts w:ascii="Arial" w:hAnsi="Arial" w:cs="Arial"/>
          <w:i/>
          <w:noProof/>
          <w:sz w:val="22"/>
          <w:szCs w:val="22"/>
        </w:rPr>
        <w:t>New complaints against Belgium rose to the highest in 5 years, while new EU Pilot files increased only slightly. Open infringement cases also increased, to their highest level since 2012. New infringement cases for late transposition rose again after the previous year’s dip, and are at a five-year peak.</w:t>
      </w:r>
    </w:p>
    <w:p>
      <w:pPr>
        <w:spacing w:after="120"/>
        <w:rPr>
          <w:rFonts w:ascii="Arial" w:hAnsi="Arial" w:cs="Arial"/>
          <w:i/>
          <w:noProof/>
          <w:sz w:val="22"/>
          <w:szCs w:val="22"/>
        </w:rPr>
      </w:pPr>
    </w:p>
    <w:p>
      <w:pPr>
        <w:pStyle w:val="kop2"/>
        <w:numPr>
          <w:ilvl w:val="0"/>
          <w:numId w:val="5"/>
        </w:numPr>
        <w:rPr>
          <w:noProof/>
        </w:rPr>
      </w:pPr>
      <w:r>
        <w:rPr>
          <w:noProof/>
        </w:rPr>
        <w:t>COMPLAINTS</w:t>
      </w:r>
    </w:p>
    <w:p>
      <w:pPr>
        <w:pStyle w:val="Subtitle"/>
        <w:numPr>
          <w:ilvl w:val="0"/>
          <w:numId w:val="118"/>
        </w:numPr>
        <w:rPr>
          <w:noProof/>
        </w:rPr>
      </w:pPr>
      <w:r>
        <w:rPr>
          <w:noProof/>
        </w:rPr>
        <w:t>New complaints made against Belgium by members of the public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604657" cy="2226129"/>
            <wp:effectExtent l="0" t="0" r="24765" b="22225"/>
            <wp:docPr id="228"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Subtitle"/>
        <w:rPr>
          <w:noProof/>
        </w:rPr>
      </w:pPr>
      <w:r>
        <w:rPr>
          <w:noProof/>
        </w:rPr>
        <w:t>Public complaints against Belgium open at year-end</w:t>
      </w:r>
    </w:p>
    <w:tbl>
      <w:tblPr>
        <w:tblStyle w:val="Style11"/>
        <w:tblW w:w="0" w:type="auto"/>
        <w:jc w:val="center"/>
        <w:tblInd w:w="421" w:type="dxa"/>
        <w:tblLook w:val="04A0" w:firstRow="1" w:lastRow="0" w:firstColumn="1" w:lastColumn="0" w:noHBand="0" w:noVBand="1"/>
      </w:tblPr>
      <w:tblGrid>
        <w:gridCol w:w="1697"/>
        <w:gridCol w:w="452"/>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92</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 xml:space="preserve"> 134</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 xml:space="preserve"> 110</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116</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7720" cy="2369820"/>
            <wp:effectExtent l="0" t="0" r="11430" b="11430"/>
            <wp:docPr id="229"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122"/>
        </w:numPr>
        <w:rPr>
          <w:noProof/>
        </w:rPr>
      </w:pPr>
      <w:r>
        <w:rPr>
          <w:noProof/>
        </w:rPr>
        <w:t>New EU Pilot files opened against Belgium (2012-2016)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591050" cy="2238375"/>
            <wp:effectExtent l="0" t="0" r="19050" b="9525"/>
            <wp:docPr id="23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Subtitle"/>
        <w:rPr>
          <w:noProof/>
        </w:rPr>
      </w:pPr>
      <w:r>
        <w:rPr>
          <w:noProof/>
        </w:rPr>
        <w:t>Files relating to Belgium open in EU Pilot at year-end</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156460"/>
            <wp:effectExtent l="0" t="0" r="22860" b="15240"/>
            <wp:docPr id="13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Subtitle"/>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377440"/>
            <wp:effectExtent l="0" t="0" r="15240" b="22860"/>
            <wp:docPr id="23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spacing w:after="200" w:line="276" w:lineRule="auto"/>
        <w:jc w:val="left"/>
        <w:rPr>
          <w:rFonts w:ascii="Arial" w:hAnsi="Arial" w:cs="Arial"/>
          <w:noProof/>
          <w:sz w:val="20"/>
        </w:rPr>
      </w:pPr>
      <w:r>
        <w:rPr>
          <w:noProof/>
        </w:rPr>
        <w:br w:type="page"/>
      </w:r>
    </w:p>
    <w:p>
      <w:pPr>
        <w:pStyle w:val="Subtitle"/>
        <w:rPr>
          <w:noProof/>
        </w:rPr>
      </w:pPr>
      <w:r>
        <w:rPr>
          <w:noProof/>
        </w:rPr>
        <w:t>EU Pilot files: Belgium’s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9620" cy="2209800"/>
            <wp:effectExtent l="0" t="0" r="11430" b="19050"/>
            <wp:docPr id="232"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Subtitle"/>
        <w:rPr>
          <w:noProof/>
        </w:rPr>
      </w:pPr>
      <w:r>
        <w:rPr>
          <w:noProof/>
        </w:rPr>
        <w:t>EU Pilot files: Belgium’s resolution rate in 2012-2016</w:t>
      </w:r>
    </w:p>
    <w:p>
      <w:pPr>
        <w:ind w:firstLine="709"/>
        <w:rPr>
          <w:rFonts w:ascii="Arial" w:hAnsi="Arial" w:cs="Arial"/>
          <w:noProof/>
          <w:sz w:val="20"/>
        </w:rPr>
      </w:pPr>
      <w:r>
        <w:rPr>
          <w:rFonts w:ascii="Arial" w:hAnsi="Arial" w:cs="Arial"/>
          <w:noProof/>
          <w:sz w:val="20"/>
          <w:lang w:val="en-US"/>
        </w:rPr>
        <w:drawing>
          <wp:inline distT="0" distB="0" distL="0" distR="0">
            <wp:extent cx="4582886" cy="2302328"/>
            <wp:effectExtent l="0" t="0" r="27305" b="22225"/>
            <wp:docPr id="234"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123"/>
        </w:numPr>
        <w:rPr>
          <w:noProof/>
        </w:rPr>
      </w:pPr>
      <w:r>
        <w:rPr>
          <w:noProof/>
        </w:rPr>
        <w:t>Infringement cases against Belgium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600575" cy="2314575"/>
            <wp:effectExtent l="0" t="0" r="9525" b="9525"/>
            <wp:docPr id="235"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spacing w:after="200" w:line="276" w:lineRule="auto"/>
        <w:jc w:val="left"/>
        <w:rPr>
          <w:rFonts w:ascii="Arial" w:hAnsi="Arial"/>
          <w:noProof/>
          <w:color w:val="002060"/>
          <w:sz w:val="22"/>
          <w:szCs w:val="22"/>
        </w:rPr>
      </w:pPr>
      <w:r>
        <w:rPr>
          <w:noProof/>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ind w:firstLine="709"/>
        <w:rPr>
          <w:rFonts w:ascii="Arial" w:hAnsi="Arial" w:cs="Arial"/>
          <w:noProof/>
          <w:sz w:val="20"/>
        </w:rPr>
      </w:pPr>
      <w:r>
        <w:rPr>
          <w:rFonts w:ascii="Arial" w:hAnsi="Arial" w:cs="Arial"/>
          <w:noProof/>
          <w:sz w:val="20"/>
          <w:lang w:val="en-US"/>
        </w:rPr>
        <w:drawing>
          <wp:inline distT="0" distB="0" distL="0" distR="0">
            <wp:extent cx="4577443" cy="2324100"/>
            <wp:effectExtent l="0" t="0" r="13970" b="19050"/>
            <wp:docPr id="236"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6"/>
        </w:numPr>
        <w:ind w:hanging="426"/>
        <w:rPr>
          <w:rFonts w:ascii="Arial" w:hAnsi="Arial" w:cs="Arial"/>
          <w:noProof/>
          <w:lang w:val="en-GB"/>
        </w:rPr>
      </w:pPr>
      <w:r>
        <w:rPr>
          <w:rFonts w:ascii="Arial" w:hAnsi="Arial" w:cs="Arial"/>
          <w:noProof/>
          <w:lang w:val="en-GB"/>
        </w:rPr>
        <w:t>The Commission opened 49 new infringement cases against Belgium in 2016. These, and other major ongoing infringement cases, include:</w:t>
      </w:r>
    </w:p>
    <w:p>
      <w:pPr>
        <w:pStyle w:val="Lijstje2"/>
        <w:spacing w:after="200"/>
        <w:ind w:left="1843" w:hanging="426"/>
        <w:rPr>
          <w:rFonts w:ascii="Arial" w:hAnsi="Arial" w:cs="Arial"/>
          <w:noProof/>
          <w:lang w:val="en-GB"/>
        </w:rPr>
      </w:pPr>
      <w:r>
        <w:rPr>
          <w:rFonts w:ascii="Arial" w:hAnsi="Arial" w:cs="Arial"/>
          <w:noProof/>
          <w:lang w:val="en-GB"/>
        </w:rPr>
        <w:t>non-communication of national measures transposing the Directive on attacks against information systems;</w:t>
      </w:r>
      <w:r>
        <w:rPr>
          <w:rStyle w:val="FootnoteReference"/>
          <w:rFonts w:ascii="Arial" w:hAnsi="Arial" w:cs="Arial"/>
          <w:noProof/>
          <w:lang w:val="en-GB"/>
        </w:rPr>
        <w:footnoteReference w:id="2"/>
      </w:r>
    </w:p>
    <w:p>
      <w:pPr>
        <w:pStyle w:val="Lijstje2"/>
        <w:spacing w:after="200"/>
        <w:ind w:left="1843" w:hanging="426"/>
        <w:rPr>
          <w:rFonts w:ascii="Arial" w:hAnsi="Arial" w:cs="Arial"/>
          <w:noProof/>
          <w:lang w:val="en-GB"/>
        </w:rPr>
      </w:pPr>
      <w:r>
        <w:rPr>
          <w:rFonts w:ascii="Arial" w:hAnsi="Arial" w:cs="Arial"/>
          <w:noProof/>
          <w:lang w:val="en-GB"/>
        </w:rPr>
        <w:t>non-communication of national measures transposing the European Protection Order Directive;</w:t>
      </w:r>
      <w:r>
        <w:rPr>
          <w:rStyle w:val="FootnoteReference"/>
          <w:rFonts w:ascii="Arial" w:hAnsi="Arial" w:cs="Arial"/>
          <w:noProof/>
          <w:lang w:val="en-GB"/>
        </w:rPr>
        <w:footnoteReference w:id="3"/>
      </w:r>
    </w:p>
    <w:p>
      <w:pPr>
        <w:pStyle w:val="Lijstje2"/>
        <w:ind w:left="1843" w:hanging="426"/>
        <w:rPr>
          <w:rFonts w:ascii="Arial" w:hAnsi="Arial"/>
          <w:noProof/>
          <w:lang w:val="en-GB"/>
        </w:rPr>
      </w:pPr>
      <w:r>
        <w:rPr>
          <w:rFonts w:ascii="Arial" w:eastAsia="Times New Roman" w:hAnsi="Arial" w:cs="Arial"/>
          <w:noProof/>
          <w:kern w:val="0"/>
          <w:lang w:val="en-GB"/>
        </w:rPr>
        <w:t>lack of waste management plans and waste prevention programmes required under the Waste Framework Directive;</w:t>
      </w:r>
      <w:r>
        <w:rPr>
          <w:rStyle w:val="FootnoteReference"/>
          <w:noProof/>
        </w:rPr>
        <w:footnoteReference w:id="4"/>
      </w:r>
    </w:p>
    <w:p>
      <w:pPr>
        <w:pStyle w:val="Lijstje2"/>
        <w:spacing w:after="200"/>
        <w:ind w:left="1843" w:hanging="426"/>
        <w:rPr>
          <w:rFonts w:ascii="Arial" w:hAnsi="Arial" w:cs="Arial"/>
          <w:noProof/>
          <w:lang w:val="en-GB"/>
        </w:rPr>
      </w:pPr>
      <w:r>
        <w:rPr>
          <w:rFonts w:ascii="Arial" w:hAnsi="Arial"/>
          <w:noProof/>
          <w:lang w:val="en-GB"/>
        </w:rPr>
        <w:t>inadequate</w:t>
      </w:r>
      <w:r>
        <w:rPr>
          <w:rFonts w:ascii="Arial" w:hAnsi="Arial" w:cs="Arial"/>
          <w:noProof/>
          <w:lang w:val="en-GB"/>
        </w:rPr>
        <w:t xml:space="preserve"> </w:t>
      </w:r>
      <w:r>
        <w:rPr>
          <w:rFonts w:ascii="Arial" w:hAnsi="Arial"/>
          <w:noProof/>
          <w:lang w:val="en-GB"/>
        </w:rPr>
        <w:t>urban waste water treatment</w:t>
      </w:r>
      <w:r>
        <w:rPr>
          <w:rFonts w:ascii="Arial" w:hAnsi="Arial" w:cs="Arial"/>
          <w:noProof/>
          <w:lang w:val="en-GB"/>
        </w:rPr>
        <w:t>;</w:t>
      </w:r>
    </w:p>
    <w:p>
      <w:pPr>
        <w:pStyle w:val="Lijstje2"/>
        <w:spacing w:after="200"/>
        <w:ind w:left="1843" w:hanging="425"/>
        <w:rPr>
          <w:rFonts w:ascii="Arial" w:hAnsi="Arial" w:cs="Arial"/>
          <w:noProof/>
          <w:lang w:val="en-GB"/>
        </w:rPr>
      </w:pPr>
      <w:r>
        <w:rPr>
          <w:rFonts w:ascii="Arial" w:hAnsi="Arial" w:cs="Arial"/>
          <w:noProof/>
          <w:lang w:val="en-GB"/>
        </w:rPr>
        <w:t>non-respect of NO</w:t>
      </w:r>
      <w:r>
        <w:rPr>
          <w:rFonts w:ascii="Arial" w:hAnsi="Arial" w:cs="Arial"/>
          <w:noProof/>
          <w:vertAlign w:val="subscript"/>
          <w:lang w:val="en-GB"/>
        </w:rPr>
        <w:t>2 </w:t>
      </w:r>
      <w:r>
        <w:rPr>
          <w:rFonts w:ascii="Arial" w:hAnsi="Arial" w:cs="Arial"/>
          <w:noProof/>
          <w:lang w:val="en-GB"/>
        </w:rPr>
        <w:t xml:space="preserve"> limit values set by the Air Quality Directive;</w:t>
      </w:r>
      <w:r>
        <w:rPr>
          <w:rStyle w:val="FootnoteReference"/>
          <w:noProof/>
        </w:rPr>
        <w:footnoteReference w:id="5"/>
      </w:r>
    </w:p>
    <w:p>
      <w:pPr>
        <w:pStyle w:val="Lijstje2"/>
        <w:spacing w:after="200"/>
        <w:ind w:left="1843" w:hanging="425"/>
        <w:rPr>
          <w:rFonts w:ascii="Arial" w:hAnsi="Arial" w:cs="Arial"/>
          <w:noProof/>
          <w:lang w:val="en-GB"/>
        </w:rPr>
      </w:pPr>
      <w:r>
        <w:rPr>
          <w:rFonts w:ascii="Arial" w:hAnsi="Arial" w:cs="Arial"/>
          <w:noProof/>
          <w:lang w:val="en-GB"/>
        </w:rPr>
        <w:t>non-compliant transposition of the Environmental Liability Directive;</w:t>
      </w:r>
      <w:r>
        <w:rPr>
          <w:rStyle w:val="FootnoteReference"/>
          <w:noProof/>
        </w:rPr>
        <w:footnoteReference w:id="6"/>
      </w:r>
    </w:p>
    <w:p>
      <w:pPr>
        <w:pStyle w:val="Lijstje2"/>
        <w:spacing w:after="200"/>
        <w:ind w:left="1843" w:hanging="425"/>
        <w:rPr>
          <w:rFonts w:ascii="Arial" w:hAnsi="Arial" w:cs="Arial"/>
          <w:noProof/>
          <w:lang w:val="en-GB"/>
        </w:rPr>
      </w:pPr>
      <w:r>
        <w:rPr>
          <w:rFonts w:ascii="Arial" w:hAnsi="Arial" w:cs="Arial"/>
          <w:noProof/>
          <w:lang w:val="en-GB"/>
        </w:rPr>
        <w:t>failure to comply with the Third Internal Energy Market Package;</w:t>
      </w:r>
      <w:r>
        <w:rPr>
          <w:rStyle w:val="FootnoteReference"/>
          <w:noProof/>
        </w:rPr>
        <w:footnoteReference w:id="7"/>
      </w:r>
      <w:r>
        <w:rPr>
          <w:rFonts w:ascii="Arial" w:hAnsi="Arial" w:cs="Arial"/>
          <w:noProof/>
          <w:lang w:val="en-GB"/>
        </w:rPr>
        <w:t xml:space="preserve"> </w:t>
      </w:r>
    </w:p>
    <w:p>
      <w:pPr>
        <w:pStyle w:val="Lijstje2"/>
        <w:ind w:left="1843" w:hanging="425"/>
        <w:rPr>
          <w:rFonts w:ascii="Arial" w:hAnsi="Arial" w:cs="Arial"/>
          <w:noProof/>
          <w:lang w:val="en-GB"/>
        </w:rPr>
      </w:pPr>
      <w:r>
        <w:rPr>
          <w:rFonts w:ascii="Arial" w:hAnsi="Arial" w:cs="Arial"/>
          <w:noProof/>
          <w:lang w:val="en-GB"/>
        </w:rPr>
        <w:t xml:space="preserve">failure </w:t>
      </w:r>
      <w:r>
        <w:rPr>
          <w:rFonts w:ascii="Arial" w:hAnsi="Arial"/>
          <w:noProof/>
          <w:lang w:val="en-GB"/>
        </w:rPr>
        <w:t>to transpose in full the Directive amending EU legislation on the recognition of professional qualifications and the Internal Market Information System;</w:t>
      </w:r>
      <w:r>
        <w:rPr>
          <w:rStyle w:val="FootnoteReference"/>
          <w:rFonts w:ascii="Arial" w:hAnsi="Arial"/>
          <w:noProof/>
          <w:lang w:val="en-GB"/>
        </w:rPr>
        <w:footnoteReference w:id="8"/>
      </w:r>
    </w:p>
    <w:p>
      <w:pPr>
        <w:pStyle w:val="Lijstje2"/>
        <w:spacing w:after="200"/>
        <w:ind w:left="1843" w:hanging="425"/>
        <w:rPr>
          <w:rFonts w:ascii="Arial" w:hAnsi="Arial" w:cs="Arial"/>
          <w:i/>
          <w:noProof/>
          <w:lang w:val="en-GB"/>
        </w:rPr>
      </w:pPr>
      <w:r>
        <w:rPr>
          <w:rFonts w:ascii="Arial" w:hAnsi="Arial" w:cs="Arial"/>
          <w:noProof/>
          <w:lang w:val="en-GB"/>
        </w:rPr>
        <w:t>failure to communicate all national measures transposing the Bank Recovery and Resolution Directive;</w:t>
      </w:r>
      <w:r>
        <w:rPr>
          <w:rStyle w:val="FootnoteReference"/>
          <w:rFonts w:cs="Arial"/>
          <w:noProof/>
          <w:lang w:val="en-GB"/>
        </w:rPr>
        <w:footnoteReference w:id="9"/>
      </w:r>
    </w:p>
    <w:p>
      <w:pPr>
        <w:pStyle w:val="Lijstje2"/>
        <w:spacing w:after="200"/>
        <w:ind w:left="1843" w:hanging="425"/>
        <w:rPr>
          <w:rFonts w:ascii="Arial" w:hAnsi="Arial" w:cs="Arial"/>
          <w:noProof/>
          <w:lang w:val="en-GB"/>
        </w:rPr>
      </w:pPr>
      <w:r>
        <w:rPr>
          <w:rFonts w:ascii="Arial" w:hAnsi="Arial" w:cs="Arial"/>
          <w:noProof/>
          <w:lang w:val="en-GB"/>
        </w:rPr>
        <w:t>failure to communicate all national measures transposing the Capital Requirements Directive;</w:t>
      </w:r>
      <w:r>
        <w:rPr>
          <w:rStyle w:val="FootnoteReference"/>
          <w:noProof/>
          <w:lang w:val="en-GB"/>
        </w:rPr>
        <w:footnoteReference w:id="10"/>
      </w:r>
    </w:p>
    <w:p>
      <w:pPr>
        <w:pStyle w:val="Lijstje2"/>
        <w:spacing w:after="200"/>
        <w:ind w:left="1843" w:hanging="425"/>
        <w:rPr>
          <w:rFonts w:ascii="Arial" w:hAnsi="Arial" w:cs="Arial"/>
          <w:noProof/>
          <w:lang w:val="en-GB"/>
        </w:rPr>
      </w:pPr>
      <w:r>
        <w:rPr>
          <w:rFonts w:ascii="Arial" w:hAnsi="Arial" w:cs="Arial"/>
          <w:noProof/>
          <w:lang w:val="en-GB"/>
        </w:rPr>
        <w:t>national restrictions on the acquisition of agricultural land which limit the free movement of capital and freedom of establishment by being discriminatory and/or disproportionate;</w:t>
      </w:r>
      <w:r>
        <w:rPr>
          <w:rStyle w:val="FootnoteReference"/>
          <w:noProof/>
          <w:lang w:val="en-GB"/>
        </w:rPr>
        <w:footnoteReference w:id="11"/>
      </w:r>
    </w:p>
    <w:p>
      <w:pPr>
        <w:pStyle w:val="Lijstje2"/>
        <w:spacing w:after="200"/>
        <w:ind w:left="1843" w:hanging="425"/>
        <w:rPr>
          <w:rFonts w:ascii="Arial" w:hAnsi="Arial" w:cs="Arial"/>
          <w:i/>
          <w:noProof/>
          <w:lang w:val="en-GB"/>
        </w:rPr>
      </w:pPr>
      <w:r>
        <w:rPr>
          <w:rFonts w:ascii="Arial" w:hAnsi="Arial" w:cs="Arial"/>
          <w:noProof/>
          <w:lang w:val="en-GB"/>
        </w:rPr>
        <w:t>restrictions on the freedom to provide port services and the freedom of establishment;</w:t>
      </w:r>
    </w:p>
    <w:p>
      <w:pPr>
        <w:pStyle w:val="Lijstje2"/>
        <w:spacing w:after="200"/>
        <w:ind w:left="1843" w:hanging="425"/>
        <w:rPr>
          <w:rFonts w:ascii="Arial" w:hAnsi="Arial" w:cs="Arial"/>
          <w:i/>
          <w:noProof/>
          <w:lang w:val="en-GB"/>
        </w:rPr>
      </w:pPr>
      <w:r>
        <w:rPr>
          <w:rFonts w:ascii="Arial" w:hAnsi="Arial" w:cs="Arial"/>
          <w:noProof/>
          <w:lang w:val="en-GB"/>
        </w:rPr>
        <w:t>failure to correctly implement the Airport Charges Directive;</w:t>
      </w:r>
      <w:r>
        <w:rPr>
          <w:rStyle w:val="FootnoteReference"/>
          <w:rFonts w:ascii="Arial" w:hAnsi="Arial" w:cs="Arial"/>
          <w:noProof/>
          <w:lang w:val="en-GB"/>
        </w:rPr>
        <w:footnoteReference w:id="12"/>
      </w:r>
    </w:p>
    <w:p>
      <w:pPr>
        <w:pStyle w:val="Lijstje2"/>
        <w:spacing w:after="200"/>
        <w:ind w:left="1843" w:hanging="425"/>
        <w:rPr>
          <w:rFonts w:ascii="Arial" w:hAnsi="Arial" w:cs="Arial"/>
          <w:i/>
          <w:noProof/>
          <w:lang w:val="en-GB"/>
        </w:rPr>
      </w:pPr>
      <w:r>
        <w:rPr>
          <w:rFonts w:ascii="Arial" w:hAnsi="Arial" w:cs="Arial"/>
          <w:noProof/>
          <w:lang w:val="en-GB"/>
        </w:rPr>
        <w:t>incorrect implementation of the Directive on accident investigations</w:t>
      </w:r>
      <w:r>
        <w:rPr>
          <w:rFonts w:ascii="Arial" w:hAnsi="Arial" w:cs="Arial"/>
          <w:i/>
          <w:noProof/>
          <w:lang w:val="en-GB"/>
        </w:rPr>
        <w:t>;</w:t>
      </w:r>
      <w:r>
        <w:rPr>
          <w:rStyle w:val="FootnoteReference"/>
          <w:rFonts w:ascii="Arial" w:hAnsi="Arial" w:cs="Arial"/>
          <w:i/>
          <w:noProof/>
          <w:lang w:val="en-GB"/>
        </w:rPr>
        <w:footnoteReference w:id="13"/>
      </w:r>
    </w:p>
    <w:p>
      <w:pPr>
        <w:pStyle w:val="Lijstje2"/>
        <w:spacing w:after="200"/>
        <w:ind w:left="1843" w:hanging="425"/>
        <w:rPr>
          <w:rFonts w:ascii="Arial" w:hAnsi="Arial"/>
          <w:noProof/>
          <w:lang w:val="en-GB" w:eastAsia="en-GB"/>
        </w:rPr>
      </w:pPr>
      <w:r>
        <w:rPr>
          <w:rFonts w:ascii="Arial" w:hAnsi="Arial" w:cs="Arial"/>
          <w:noProof/>
          <w:lang w:val="en-GB"/>
        </w:rPr>
        <w:t>incorrect implementation of the Regulation on the rights</w:t>
      </w:r>
      <w:r>
        <w:rPr>
          <w:rFonts w:ascii="Arial" w:eastAsia="Times New Roman" w:hAnsi="Arial" w:cs="Arial"/>
          <w:noProof/>
          <w:color w:val="545454"/>
          <w:kern w:val="0"/>
          <w:sz w:val="24"/>
          <w:lang w:val="en-GB"/>
        </w:rPr>
        <w:t xml:space="preserve"> </w:t>
      </w:r>
      <w:r>
        <w:rPr>
          <w:rFonts w:ascii="Arial" w:hAnsi="Arial" w:cs="Arial"/>
          <w:noProof/>
          <w:lang w:val="en-GB"/>
        </w:rPr>
        <w:t>of</w:t>
      </w:r>
      <w:r>
        <w:rPr>
          <w:rFonts w:ascii="Arial" w:eastAsia="Times New Roman" w:hAnsi="Arial" w:cs="Arial"/>
          <w:noProof/>
          <w:color w:val="545454"/>
          <w:kern w:val="0"/>
          <w:sz w:val="24"/>
          <w:lang w:val="en-GB"/>
        </w:rPr>
        <w:t xml:space="preserve"> </w:t>
      </w:r>
      <w:r>
        <w:rPr>
          <w:rFonts w:ascii="Arial" w:hAnsi="Arial" w:cs="Arial"/>
          <w:noProof/>
          <w:lang w:val="en-GB"/>
        </w:rPr>
        <w:t>passengers travelling by sea and inland waterway;</w:t>
      </w:r>
      <w:r>
        <w:rPr>
          <w:rStyle w:val="FootnoteReference"/>
          <w:rFonts w:ascii="Arial" w:hAnsi="Arial" w:cs="Arial"/>
          <w:noProof/>
          <w:lang w:val="en-GB"/>
        </w:rPr>
        <w:footnoteReference w:id="14"/>
      </w:r>
    </w:p>
    <w:p>
      <w:pPr>
        <w:pStyle w:val="Lijstje2"/>
        <w:spacing w:after="200"/>
        <w:ind w:left="1843" w:hanging="425"/>
        <w:rPr>
          <w:rFonts w:ascii="Arial" w:hAnsi="Arial" w:cs="Arial"/>
          <w:noProof/>
          <w:lang w:val="en-GB" w:eastAsia="en-GB"/>
        </w:rPr>
      </w:pPr>
      <w:r>
        <w:rPr>
          <w:rFonts w:ascii="Arial" w:hAnsi="Arial" w:cs="Arial"/>
          <w:i/>
          <w:noProof/>
          <w:lang w:val="en-GB"/>
        </w:rPr>
        <w:t>e</w:t>
      </w:r>
      <w:r>
        <w:rPr>
          <w:rFonts w:ascii="Arial" w:hAnsi="Arial" w:cs="Arial"/>
          <w:noProof/>
          <w:lang w:val="en-GB"/>
        </w:rPr>
        <w:t>xcessive and unjustified obstacles in the area of professional services that run counter to the Services Directive;</w:t>
      </w:r>
      <w:r>
        <w:rPr>
          <w:rStyle w:val="FootnoteReference"/>
          <w:noProof/>
        </w:rPr>
        <w:footnoteReference w:id="15"/>
      </w:r>
      <w:r>
        <w:rPr>
          <w:rFonts w:ascii="Arial" w:hAnsi="Arial" w:cs="Arial"/>
          <w:noProof/>
          <w:vertAlign w:val="superscript"/>
          <w:lang w:val="en-GB"/>
        </w:rPr>
        <w:t xml:space="preserve"> </w:t>
      </w:r>
    </w:p>
    <w:p>
      <w:pPr>
        <w:pStyle w:val="Lijstje2"/>
        <w:ind w:left="1843" w:hanging="425"/>
        <w:rPr>
          <w:rFonts w:ascii="Arial" w:hAnsi="Arial" w:cs="Arial"/>
          <w:noProof/>
          <w:lang w:val="en-GB"/>
        </w:rPr>
      </w:pPr>
      <w:r>
        <w:rPr>
          <w:rFonts w:ascii="Arial" w:hAnsi="Arial" w:cs="Arial"/>
          <w:noProof/>
          <w:lang w:val="en-GB"/>
        </w:rPr>
        <w:t>failure to transpose in full one or more of the three Directives on public procurement and concessions</w:t>
      </w:r>
      <w:r>
        <w:rPr>
          <w:rFonts w:ascii="Arial" w:hAnsi="Arial" w:cs="Arial"/>
          <w:i/>
          <w:noProof/>
          <w:lang w:val="en-GB"/>
        </w:rPr>
        <w:t>.</w:t>
      </w:r>
      <w:r>
        <w:rPr>
          <w:rStyle w:val="FootnoteReference"/>
          <w:rFonts w:ascii="Arial" w:hAnsi="Arial"/>
          <w:noProof/>
          <w:lang w:val="en-GB"/>
        </w:rPr>
        <w:footnoteReference w:id="16"/>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260(2)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124"/>
        </w:numPr>
        <w:rPr>
          <w:noProof/>
        </w:rPr>
      </w:pPr>
      <w:r>
        <w:rPr>
          <w:noProof/>
        </w:rPr>
        <w:t>Late transposition infringement cases against Belgium open on 31 December (2012-2016)</w:t>
      </w:r>
    </w:p>
    <w:p>
      <w:pPr>
        <w:ind w:left="426" w:firstLine="283"/>
        <w:rPr>
          <w:noProof/>
        </w:rPr>
      </w:pPr>
      <w:r>
        <w:rPr>
          <w:noProof/>
          <w:lang w:val="en-US"/>
        </w:rPr>
        <w:drawing>
          <wp:inline distT="0" distB="0" distL="0" distR="0">
            <wp:extent cx="4602480" cy="2186940"/>
            <wp:effectExtent l="0" t="0" r="26670" b="22860"/>
            <wp:docPr id="237"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Subtitle"/>
        <w:rPr>
          <w:noProof/>
        </w:rPr>
      </w:pPr>
      <w:r>
        <w:rPr>
          <w:noProof/>
        </w:rPr>
        <w:t>New late transposition infringement cases against Belgium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179320"/>
            <wp:effectExtent l="0" t="0" r="22860" b="11430"/>
            <wp:docPr id="238"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spacing w:after="200" w:line="276" w:lineRule="auto"/>
        <w:jc w:val="left"/>
        <w:rPr>
          <w:rFonts w:ascii="Arial" w:hAnsi="Arial"/>
          <w:noProof/>
          <w:color w:val="002060"/>
          <w:sz w:val="22"/>
          <w:szCs w:val="22"/>
        </w:rPr>
      </w:pPr>
      <w:r>
        <w:rPr>
          <w:rFonts w:ascii="Arial" w:hAnsi="Arial"/>
          <w:noProof/>
          <w:color w:val="002060"/>
          <w:sz w:val="22"/>
          <w:szCs w:val="22"/>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8328" cy="2590800"/>
            <wp:effectExtent l="0" t="0" r="22225" b="19050"/>
            <wp:docPr id="239"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These concerned:</w:t>
      </w:r>
    </w:p>
    <w:p>
      <w:pPr>
        <w:numPr>
          <w:ilvl w:val="0"/>
          <w:numId w:val="4"/>
        </w:numPr>
        <w:spacing w:after="0"/>
        <w:ind w:left="1276" w:hanging="357"/>
        <w:contextualSpacing/>
        <w:rPr>
          <w:rFonts w:ascii="Arial" w:eastAsia="Calibri" w:hAnsi="Arial" w:cs="Arial"/>
          <w:noProof/>
          <w:kern w:val="20"/>
          <w:sz w:val="20"/>
        </w:rPr>
      </w:pPr>
      <w:r>
        <w:rPr>
          <w:rFonts w:ascii="Arial" w:hAnsi="Arial" w:cs="Arial"/>
          <w:noProof/>
          <w:sz w:val="20"/>
        </w:rPr>
        <w:t>refusal to register the double surname for children born to a parent of Belgian nationality and a parent with another EU nationality;</w:t>
      </w:r>
    </w:p>
    <w:p>
      <w:pPr>
        <w:numPr>
          <w:ilvl w:val="0"/>
          <w:numId w:val="4"/>
        </w:numPr>
        <w:spacing w:after="200"/>
        <w:ind w:left="1276"/>
        <w:contextualSpacing/>
        <w:rPr>
          <w:rFonts w:ascii="Arial" w:eastAsia="Calibri" w:hAnsi="Arial"/>
          <w:noProof/>
          <w:sz w:val="20"/>
        </w:rPr>
      </w:pPr>
      <w:r>
        <w:rPr>
          <w:rFonts w:ascii="Arial" w:eastAsia="Calibri" w:hAnsi="Arial" w:cs="Arial"/>
          <w:noProof/>
          <w:kern w:val="20"/>
          <w:sz w:val="20"/>
        </w:rPr>
        <w:t>non-communication of national measures transposing the Seveso III Directive;</w:t>
      </w:r>
      <w:r>
        <w:rPr>
          <w:rStyle w:val="FootnoteReference"/>
          <w:rFonts w:eastAsia="Calibri"/>
          <w:noProof/>
        </w:rPr>
        <w:footnoteReference w:id="17"/>
      </w:r>
    </w:p>
    <w:p>
      <w:pPr>
        <w:numPr>
          <w:ilvl w:val="0"/>
          <w:numId w:val="4"/>
        </w:numPr>
        <w:spacing w:after="200"/>
        <w:ind w:left="1276"/>
        <w:contextualSpacing/>
        <w:rPr>
          <w:rFonts w:ascii="Arial" w:eastAsia="Calibri" w:hAnsi="Arial" w:cs="Arial"/>
          <w:noProof/>
          <w:sz w:val="20"/>
        </w:rPr>
      </w:pPr>
      <w:r>
        <w:rPr>
          <w:rFonts w:ascii="Arial" w:hAnsi="Arial"/>
          <w:noProof/>
          <w:sz w:val="20"/>
        </w:rPr>
        <w:t>incorrect implementation of the Regulation on the rights of passengers travelling by sea or inland waterway;</w:t>
      </w:r>
      <w:r>
        <w:rPr>
          <w:rStyle w:val="FootnoteReference"/>
          <w:noProof/>
        </w:rPr>
        <w:footnoteReference w:id="18"/>
      </w:r>
    </w:p>
    <w:p>
      <w:pPr>
        <w:numPr>
          <w:ilvl w:val="0"/>
          <w:numId w:val="4"/>
        </w:numPr>
        <w:spacing w:after="200"/>
        <w:ind w:left="1276"/>
        <w:contextualSpacing/>
        <w:rPr>
          <w:rFonts w:ascii="Arial" w:eastAsia="Calibri" w:hAnsi="Arial" w:cs="Arial"/>
          <w:noProof/>
          <w:sz w:val="20"/>
        </w:rPr>
      </w:pPr>
      <w:r>
        <w:rPr>
          <w:rFonts w:ascii="Arial" w:eastAsia="Calibri" w:hAnsi="Arial" w:cs="Arial"/>
          <w:noProof/>
          <w:sz w:val="20"/>
        </w:rPr>
        <w:t>reduced rate for online newspapers and publications;</w:t>
      </w:r>
    </w:p>
    <w:p>
      <w:pPr>
        <w:numPr>
          <w:ilvl w:val="0"/>
          <w:numId w:val="4"/>
        </w:numPr>
        <w:spacing w:after="200"/>
        <w:ind w:left="1276"/>
        <w:contextualSpacing/>
        <w:rPr>
          <w:rFonts w:ascii="Arial" w:eastAsia="Calibri" w:hAnsi="Arial"/>
          <w:noProof/>
          <w:sz w:val="20"/>
        </w:rPr>
      </w:pPr>
      <w:r>
        <w:rPr>
          <w:rFonts w:ascii="Arial" w:eastAsia="Calibri" w:hAnsi="Arial" w:cs="Arial"/>
          <w:noProof/>
          <w:sz w:val="20"/>
        </w:rPr>
        <w:t>tax treatment of oil pipelines.</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125"/>
        </w:numPr>
        <w:rPr>
          <w:noProof/>
        </w:rPr>
      </w:pPr>
      <w:r>
        <w:rPr>
          <w:noProof/>
        </w:rPr>
        <w:t>Court rulings</w:t>
      </w:r>
      <w:r>
        <w:rPr>
          <w:rStyle w:val="FootnoteReference"/>
          <w:noProof/>
        </w:rPr>
        <w:footnoteReference w:id="19"/>
      </w:r>
    </w:p>
    <w:p>
      <w:pPr>
        <w:pStyle w:val="Body"/>
        <w:rPr>
          <w:noProof/>
          <w:lang w:val="en-GB"/>
        </w:rPr>
      </w:pPr>
      <w:r>
        <w:rPr>
          <w:noProof/>
          <w:lang w:val="en-GB"/>
        </w:rPr>
        <w:t>The Court ruled that:</w:t>
      </w:r>
    </w:p>
    <w:p>
      <w:pPr>
        <w:numPr>
          <w:ilvl w:val="0"/>
          <w:numId w:val="4"/>
        </w:numPr>
        <w:spacing w:after="120"/>
        <w:ind w:left="1134" w:hanging="357"/>
        <w:rPr>
          <w:noProof/>
        </w:rPr>
      </w:pPr>
      <w:r>
        <w:rPr>
          <w:rFonts w:ascii="Arial" w:hAnsi="Arial" w:cs="Arial"/>
          <w:noProof/>
          <w:sz w:val="20"/>
        </w:rPr>
        <w:t>Belgium has failed to fulfil its obligations under the Protocol on the Privileges and Immunities of the European Union, by not exempting the EU institutions from the federal contributions in respect of the supply of electricity and gas.</w:t>
      </w:r>
      <w:r>
        <w:rPr>
          <w:rStyle w:val="FootnoteReference"/>
          <w:rFonts w:ascii="Arial" w:hAnsi="Arial" w:cs="Arial"/>
          <w:noProof/>
          <w:sz w:val="20"/>
        </w:rPr>
        <w:footnoteReference w:id="20"/>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spacing w:after="120"/>
        <w:ind w:firstLine="709"/>
        <w:rPr>
          <w:rFonts w:ascii="Arial" w:hAnsi="Arial" w:cs="Arial"/>
          <w:noProof/>
          <w:sz w:val="20"/>
        </w:rPr>
      </w:pPr>
      <w:r>
        <w:rPr>
          <w:rFonts w:ascii="Arial" w:hAnsi="Arial" w:cs="Arial"/>
          <w:noProof/>
          <w:sz w:val="20"/>
        </w:rPr>
        <w:t>In preliminary rulings addressed to the Belgian judiciary, the Court held that:</w:t>
      </w:r>
    </w:p>
    <w:p>
      <w:pPr>
        <w:numPr>
          <w:ilvl w:val="0"/>
          <w:numId w:val="4"/>
        </w:numPr>
        <w:spacing w:after="0"/>
        <w:ind w:left="1134"/>
        <w:contextualSpacing/>
        <w:rPr>
          <w:rFonts w:ascii="Arial" w:hAnsi="Arial"/>
          <w:noProof/>
          <w:sz w:val="20"/>
          <w:lang w:eastAsia="en-GB"/>
        </w:rPr>
      </w:pPr>
      <w:r>
        <w:rPr>
          <w:rFonts w:ascii="Arial" w:hAnsi="Arial" w:cs="Arial"/>
          <w:noProof/>
          <w:sz w:val="20"/>
        </w:rPr>
        <w:t>under the Consumer Sales Directive,</w:t>
      </w:r>
      <w:r>
        <w:rPr>
          <w:rStyle w:val="FootnoteReference"/>
          <w:rFonts w:ascii="Arial" w:hAnsi="Arial" w:cs="Arial"/>
          <w:noProof/>
          <w:sz w:val="20"/>
        </w:rPr>
        <w:footnoteReference w:id="21"/>
      </w:r>
      <w:r>
        <w:rPr>
          <w:rFonts w:ascii="Arial" w:hAnsi="Arial" w:cs="Arial"/>
          <w:noProof/>
          <w:sz w:val="20"/>
        </w:rPr>
        <w:t xml:space="preserve"> the concept of ‘seller’ also covers a trader acting as an intermediary on behalf of a private individual if the trader has not duly informed the consumer of the fact that the owner of the goods sold is a private individual. The Court's clarifications on intermediaries seem relevant for other areas of consumer law as well;</w:t>
      </w:r>
      <w:r>
        <w:rPr>
          <w:rStyle w:val="FootnoteReference"/>
          <w:rFonts w:ascii="Arial" w:hAnsi="Arial" w:cs="Arial"/>
          <w:noProof/>
          <w:sz w:val="20"/>
        </w:rPr>
        <w:footnoteReference w:id="22"/>
      </w:r>
      <w:r>
        <w:rPr>
          <w:rStyle w:val="FootnoteReference"/>
          <w:rFonts w:ascii="Verdana" w:eastAsia="Calibri" w:hAnsi="Verdana"/>
          <w:noProof/>
          <w:kern w:val="20"/>
          <w:sz w:val="20"/>
        </w:rPr>
        <w:t xml:space="preserve"> </w:t>
      </w:r>
      <w:r>
        <w:rPr>
          <w:rFonts w:ascii="Arial" w:hAnsi="Arial" w:cs="Arial"/>
          <w:noProof/>
          <w:sz w:val="20"/>
        </w:rPr>
        <w:t xml:space="preserve"> </w:t>
      </w:r>
    </w:p>
    <w:p>
      <w:pPr>
        <w:pStyle w:val="Lijstje2"/>
        <w:spacing w:after="200"/>
        <w:ind w:left="1166"/>
        <w:rPr>
          <w:rFonts w:ascii="Arial" w:hAnsi="Arial" w:cs="Arial"/>
          <w:noProof/>
          <w:lang w:val="en-GB"/>
        </w:rPr>
      </w:pPr>
      <w:r>
        <w:rPr>
          <w:rFonts w:ascii="Arial" w:hAnsi="Arial" w:cs="Arial"/>
          <w:noProof/>
          <w:lang w:val="en-GB"/>
        </w:rPr>
        <w:t>the exemption of distribution charges limited to green electricity produced in Flanders is incompatible with EU law. It fails to achieve the objective of increasing the production of the exemption of distribution charges limited to green electricity produced in Flanders is incompatible with EU law. It fails to achieve the objective of increasing the production of green electricity and is thus considered non-proportionate discrimination against imported electricity;</w:t>
      </w:r>
      <w:r>
        <w:rPr>
          <w:rStyle w:val="FootnoteReference"/>
          <w:noProof/>
        </w:rPr>
        <w:footnoteReference w:id="23"/>
      </w:r>
    </w:p>
    <w:p>
      <w:pPr>
        <w:pStyle w:val="Lijstje2"/>
        <w:ind w:left="1134" w:hanging="425"/>
        <w:rPr>
          <w:rFonts w:ascii="Arial" w:hAnsi="Arial" w:cs="Arial"/>
          <w:noProof/>
          <w:lang w:val="en-GB" w:eastAsia="en-GB"/>
        </w:rPr>
      </w:pPr>
      <w:r>
        <w:rPr>
          <w:rFonts w:ascii="Arial" w:hAnsi="Arial" w:cs="Arial"/>
          <w:noProof/>
          <w:lang w:val="en-GB"/>
        </w:rPr>
        <w:t>a person making a train journey while not in possession of a ticket for that purpose, and who fails to regularise his situation within the periods laid down in national provisions, may be deemed to not have a contractual relationship with the railway undertaking;</w:t>
      </w:r>
      <w:r>
        <w:rPr>
          <w:rStyle w:val="FootnoteReference"/>
          <w:rFonts w:ascii="Arial" w:hAnsi="Arial" w:cs="Arial"/>
          <w:noProof/>
          <w:lang w:val="en-GB"/>
        </w:rPr>
        <w:footnoteReference w:id="24"/>
      </w:r>
    </w:p>
    <w:p>
      <w:pPr>
        <w:pStyle w:val="Lijstje2"/>
        <w:ind w:left="1134" w:hanging="425"/>
        <w:rPr>
          <w:rFonts w:ascii="Arial" w:hAnsi="Arial" w:cs="Arial"/>
          <w:noProof/>
          <w:lang w:val="en-GB"/>
        </w:rPr>
      </w:pPr>
      <w:r>
        <w:rPr>
          <w:rFonts w:ascii="Arial" w:hAnsi="Arial" w:cs="Arial"/>
          <w:noProof/>
          <w:lang w:val="en-GB"/>
        </w:rPr>
        <w:t>the Directive on the systems of chartering and pricing in national and international inland waterway transport</w:t>
      </w:r>
      <w:r>
        <w:rPr>
          <w:rStyle w:val="FootnoteReference"/>
          <w:rFonts w:ascii="Arial" w:hAnsi="Arial" w:cs="Arial"/>
          <w:noProof/>
          <w:lang w:val="en-GB"/>
        </w:rPr>
        <w:footnoteReference w:id="25"/>
      </w:r>
      <w:r>
        <w:rPr>
          <w:rFonts w:ascii="Arial" w:hAnsi="Arial" w:cs="Arial"/>
          <w:noProof/>
          <w:lang w:val="en-GB"/>
        </w:rPr>
        <w:t xml:space="preserve"> must be interpreted so that contracts are to be freely concluded between the parties concerned. National legislation may therefore determine that a person who does not correspond to the Directive’s definition of ‘carrier’ may nevertheless conclude a contract of carriage as a carrier;</w:t>
      </w:r>
      <w:r>
        <w:rPr>
          <w:rStyle w:val="FootnoteReference"/>
          <w:rFonts w:ascii="Arial" w:hAnsi="Arial" w:cs="Arial"/>
          <w:noProof/>
          <w:lang w:val="en-GB"/>
        </w:rPr>
        <w:footnoteReference w:id="26"/>
      </w:r>
    </w:p>
    <w:p>
      <w:pPr>
        <w:pStyle w:val="Lijstje2"/>
        <w:ind w:left="1134" w:hanging="425"/>
        <w:rPr>
          <w:rFonts w:ascii="Arial" w:hAnsi="Arial" w:cs="Arial"/>
          <w:i/>
          <w:noProof/>
          <w:lang w:val="en-GB"/>
        </w:rPr>
      </w:pPr>
      <w:r>
        <w:rPr>
          <w:rFonts w:ascii="Arial" w:hAnsi="Arial" w:cs="Arial"/>
          <w:noProof/>
          <w:lang w:val="en-GB"/>
        </w:rPr>
        <w:t>measures contained in a plan or project not directly connected with the management of a site of Community importance which, before the occurrence of adverse effects on a natural habitat type present on it, are providing for the future creation of an area of that type may not be taken into account in the assessment of the effects of the plan or project on the site when that assessment precedes the completion of the respective area. Qualifying such measures as ‘compensatory measures’ under the Habitats Directive is strictly subject to the conditions it lays down;</w:t>
      </w:r>
      <w:r>
        <w:rPr>
          <w:rStyle w:val="FootnoteReference"/>
          <w:rFonts w:ascii="Arial" w:hAnsi="Arial" w:cs="Arial"/>
          <w:bCs/>
          <w:noProof/>
          <w:lang w:val="en-GB"/>
        </w:rPr>
        <w:footnoteReference w:id="27"/>
      </w:r>
    </w:p>
    <w:p>
      <w:pPr>
        <w:pStyle w:val="Lijstje2"/>
        <w:ind w:left="1134" w:hanging="425"/>
        <w:rPr>
          <w:rFonts w:ascii="Arial" w:hAnsi="Arial" w:cs="Arial"/>
          <w:noProof/>
          <w:lang w:val="en-GB"/>
        </w:rPr>
      </w:pPr>
      <w:r>
        <w:rPr>
          <w:rFonts w:ascii="Arial" w:hAnsi="Arial" w:cs="Arial"/>
          <w:noProof/>
          <w:lang w:val="en-GB"/>
        </w:rPr>
        <w:t>a regulatory order containing provisions on the installation of wind turbines which must be complied with when administrative consent is granted for the installation and operation of such installations comes within the notion of ‘plans and programmes’ under the Strategic Environmental Assessment Directive;</w:t>
      </w:r>
      <w:r>
        <w:rPr>
          <w:rStyle w:val="FootnoteReference"/>
          <w:rFonts w:ascii="Arial" w:hAnsi="Arial" w:cs="Arial"/>
          <w:noProof/>
          <w:lang w:val="en-GB"/>
        </w:rPr>
        <w:footnoteReference w:id="28"/>
      </w:r>
    </w:p>
    <w:p>
      <w:pPr>
        <w:pStyle w:val="Lijstje2"/>
        <w:ind w:left="1134" w:hanging="425"/>
        <w:rPr>
          <w:rFonts w:ascii="Arial" w:hAnsi="Arial" w:cs="Arial"/>
          <w:noProof/>
          <w:lang w:val="en-GB" w:eastAsia="en-GB"/>
        </w:rPr>
      </w:pPr>
      <w:r>
        <w:rPr>
          <w:rFonts w:ascii="Arial" w:hAnsi="Arial" w:cs="Arial"/>
          <w:noProof/>
          <w:lang w:val="en-GB"/>
        </w:rPr>
        <w:t>national legislation which prohibits retailers from selling tobacco products at a unit price lower than the price indicated by the manufacturer or importer on the revenue stamp affixed to those products, in so far as that price has been freely determined by the importer, is compatible with EU law;</w:t>
      </w:r>
      <w:r>
        <w:rPr>
          <w:rStyle w:val="FootnoteReference"/>
          <w:rFonts w:ascii="Arial" w:hAnsi="Arial" w:cs="Arial"/>
          <w:noProof/>
          <w:lang w:val="en-GB"/>
        </w:rPr>
        <w:footnoteReference w:id="29"/>
      </w:r>
    </w:p>
    <w:p>
      <w:pPr>
        <w:pStyle w:val="Lijstje2"/>
        <w:ind w:left="1134" w:hanging="425"/>
        <w:rPr>
          <w:rFonts w:ascii="Arial" w:hAnsi="Arial" w:cs="Arial"/>
          <w:noProof/>
          <w:lang w:val="en-GB"/>
        </w:rPr>
      </w:pPr>
      <w:r>
        <w:rPr>
          <w:rFonts w:ascii="Arial" w:hAnsi="Arial" w:cs="Arial"/>
          <w:noProof/>
          <w:lang w:val="en-GB"/>
        </w:rPr>
        <w:t>national legislation by a federated entity of a Member State, which requires every undertaking that has its place of establishment within the territory of that entity to draw up all the details on invoices relating to cross-border transactions exclusively in the official language of that entity, failing which those invoices are to be declared null and void by the national courts of their own motion, is incompatible with EU law.</w:t>
      </w:r>
      <w:r>
        <w:rPr>
          <w:rStyle w:val="FootnoteReference"/>
          <w:rFonts w:ascii="Arial" w:hAnsi="Arial" w:cs="Arial"/>
          <w:noProof/>
          <w:lang w:val="en-GB"/>
        </w:rPr>
        <w:footnoteReference w:id="30"/>
      </w:r>
    </w:p>
    <w:p>
      <w:pPr>
        <w:pStyle w:val="Lijstje2"/>
        <w:numPr>
          <w:ilvl w:val="0"/>
          <w:numId w:val="0"/>
        </w:numPr>
        <w:ind w:left="1134"/>
        <w:rPr>
          <w:rFonts w:ascii="Arial" w:hAnsi="Arial" w:cs="Arial"/>
          <w:noProof/>
          <w:lang w:val="en-GB"/>
        </w:rPr>
      </w:pPr>
    </w:p>
    <w:p>
      <w:pPr>
        <w:pStyle w:val="Lijstje2"/>
        <w:numPr>
          <w:ilvl w:val="0"/>
          <w:numId w:val="0"/>
        </w:numPr>
        <w:ind w:left="1134"/>
        <w:rPr>
          <w:rFonts w:ascii="Arial" w:hAnsi="Arial" w:cs="Arial"/>
          <w:noProof/>
          <w:lang w:val="en-GB"/>
        </w:rPr>
        <w:sectPr>
          <w:headerReference w:type="even" r:id="rId37"/>
          <w:headerReference w:type="default" r:id="rId38"/>
          <w:footerReference w:type="even" r:id="rId39"/>
          <w:footerReference w:type="default" r:id="rId40"/>
          <w:headerReference w:type="first" r:id="rId41"/>
          <w:footerReference w:type="first" r:id="rId42"/>
          <w:footnotePr>
            <w:numRestart w:val="eachSect"/>
          </w:footnotePr>
          <w:pgSz w:w="11906" w:h="16838"/>
          <w:pgMar w:top="1701" w:right="1417" w:bottom="1134" w:left="1417" w:header="567" w:footer="351" w:gutter="0"/>
          <w:pgNumType w:start="3"/>
          <w:cols w:space="708"/>
          <w:titlePg/>
          <w:docGrid w:linePitch="360"/>
        </w:sectPr>
      </w:pPr>
      <w:bookmarkStart w:id="13" w:name="_Toc444769586"/>
      <w:bookmarkStart w:id="14" w:name="_Toc444772042"/>
      <w:bookmarkStart w:id="15" w:name="_Toc444773361"/>
      <w:bookmarkStart w:id="16" w:name="_Toc444776733"/>
    </w:p>
    <w:p>
      <w:pPr>
        <w:pStyle w:val="Heading1"/>
        <w:rPr>
          <w:noProof/>
        </w:rPr>
      </w:pPr>
      <w:bookmarkStart w:id="17" w:name="_Toc475974640"/>
      <w:bookmarkStart w:id="18" w:name="_Toc475980136"/>
      <w:bookmarkStart w:id="19" w:name="_Toc475981385"/>
      <w:bookmarkStart w:id="20" w:name="_Toc477938584"/>
      <w:r>
        <w:rPr>
          <w:noProof/>
        </w:rPr>
        <w:t>Bulgaria</w:t>
      </w:r>
      <w:bookmarkEnd w:id="13"/>
      <w:bookmarkEnd w:id="14"/>
      <w:bookmarkEnd w:id="15"/>
      <w:bookmarkEnd w:id="16"/>
      <w:bookmarkEnd w:id="17"/>
      <w:bookmarkEnd w:id="18"/>
      <w:bookmarkEnd w:id="19"/>
      <w:bookmarkEnd w:id="20"/>
    </w:p>
    <w:p>
      <w:pPr>
        <w:spacing w:after="120"/>
        <w:rPr>
          <w:rFonts w:ascii="Arial" w:hAnsi="Arial" w:cs="Arial"/>
          <w:i/>
          <w:noProof/>
          <w:sz w:val="22"/>
          <w:szCs w:val="22"/>
        </w:rPr>
      </w:pPr>
      <w:r>
        <w:rPr>
          <w:rFonts w:ascii="Arial" w:hAnsi="Arial" w:cs="Arial"/>
          <w:i/>
          <w:noProof/>
          <w:sz w:val="22"/>
          <w:szCs w:val="22"/>
        </w:rPr>
        <w:t>New complaints against Bulgaria decreased somewhat in 2016 after jumping in 2015. Fewer new EU Pilot files were opened than in the previous 4 years. However, the number of open infringement cases increased sharply to the highest level since 2012. This correlates with the significantly higher level of infringement cases for late transposition that were open at the end of 2016.</w:t>
      </w:r>
    </w:p>
    <w:p>
      <w:pPr>
        <w:spacing w:after="120"/>
        <w:rPr>
          <w:rFonts w:ascii="Arial" w:hAnsi="Arial" w:cs="Arial"/>
          <w:i/>
          <w:noProof/>
          <w:sz w:val="22"/>
          <w:szCs w:val="22"/>
        </w:rPr>
      </w:pPr>
    </w:p>
    <w:p>
      <w:pPr>
        <w:pStyle w:val="kop2"/>
        <w:numPr>
          <w:ilvl w:val="0"/>
          <w:numId w:val="129"/>
        </w:numPr>
        <w:rPr>
          <w:noProof/>
        </w:rPr>
      </w:pPr>
      <w:r>
        <w:rPr>
          <w:noProof/>
        </w:rPr>
        <w:t>COMPLAINTS</w:t>
      </w:r>
    </w:p>
    <w:p>
      <w:pPr>
        <w:pStyle w:val="Subtitle"/>
        <w:numPr>
          <w:ilvl w:val="0"/>
          <w:numId w:val="126"/>
        </w:numPr>
        <w:rPr>
          <w:noProof/>
        </w:rPr>
      </w:pPr>
      <w:r>
        <w:rPr>
          <w:noProof/>
        </w:rPr>
        <w:t>New complaints made against Bulgaria by members of the public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604657" cy="2226129"/>
            <wp:effectExtent l="0" t="0" r="24765" b="22225"/>
            <wp:docPr id="30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Subtitle"/>
        <w:numPr>
          <w:ilvl w:val="0"/>
          <w:numId w:val="23"/>
        </w:numPr>
        <w:rPr>
          <w:noProof/>
        </w:rPr>
      </w:pPr>
      <w:r>
        <w:rPr>
          <w:noProof/>
        </w:rPr>
        <w:t>Public complaints against Bulgaria open at year-end</w:t>
      </w:r>
    </w:p>
    <w:tbl>
      <w:tblPr>
        <w:tblStyle w:val="Style12"/>
        <w:tblW w:w="0" w:type="auto"/>
        <w:jc w:val="center"/>
        <w:tblInd w:w="421" w:type="dxa"/>
        <w:tblLook w:val="04A0" w:firstRow="1" w:lastRow="0" w:firstColumn="1" w:lastColumn="0" w:noHBand="0" w:noVBand="1"/>
      </w:tblPr>
      <w:tblGrid>
        <w:gridCol w:w="1697"/>
        <w:gridCol w:w="452"/>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165</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 xml:space="preserve"> 147</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 xml:space="preserve"> 171</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141</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numPr>
          <w:ilvl w:val="0"/>
          <w:numId w:val="23"/>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7720" cy="2263140"/>
            <wp:effectExtent l="0" t="0" r="11430" b="22860"/>
            <wp:docPr id="301"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spacing w:after="200" w:line="276" w:lineRule="auto"/>
        <w:jc w:val="left"/>
        <w:rPr>
          <w:rFonts w:ascii="Arial" w:hAnsi="Arial" w:cs="Arial"/>
          <w:noProof/>
          <w:sz w:val="20"/>
        </w:rPr>
      </w:pPr>
      <w:r>
        <w:rPr>
          <w:noProof/>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127"/>
        </w:numPr>
        <w:rPr>
          <w:noProof/>
        </w:rPr>
      </w:pPr>
      <w:r>
        <w:rPr>
          <w:noProof/>
        </w:rPr>
        <w:t>New EU Pilot files opened against Bulgaria (2012-2016)</w:t>
      </w:r>
    </w:p>
    <w:p>
      <w:pPr>
        <w:tabs>
          <w:tab w:val="left" w:pos="0"/>
        </w:tabs>
        <w:spacing w:after="120"/>
        <w:ind w:firstLine="709"/>
        <w:rPr>
          <w:rFonts w:ascii="Arial" w:hAnsi="Arial" w:cs="Arial"/>
          <w:noProof/>
          <w:sz w:val="20"/>
        </w:rPr>
      </w:pPr>
      <w:r>
        <w:rPr>
          <w:rFonts w:ascii="Arial" w:hAnsi="Arial" w:cs="Arial"/>
          <w:noProof/>
          <w:sz w:val="20"/>
          <w:lang w:val="en-US"/>
        </w:rPr>
        <w:drawing>
          <wp:inline distT="0" distB="0" distL="0" distR="0">
            <wp:extent cx="4587240" cy="2194560"/>
            <wp:effectExtent l="0" t="0" r="22860" b="15240"/>
            <wp:docPr id="30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Subtitle"/>
        <w:numPr>
          <w:ilvl w:val="0"/>
          <w:numId w:val="23"/>
        </w:numPr>
        <w:rPr>
          <w:noProof/>
        </w:rPr>
      </w:pPr>
      <w:r>
        <w:rPr>
          <w:noProof/>
        </w:rPr>
        <w:t>Files relating to Bulgaria open in EU Pilot at year-end</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179320"/>
            <wp:effectExtent l="0" t="0" r="22860" b="11430"/>
            <wp:docPr id="13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Subtitle"/>
        <w:numPr>
          <w:ilvl w:val="0"/>
          <w:numId w:val="23"/>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400300"/>
            <wp:effectExtent l="0" t="0" r="15240" b="19050"/>
            <wp:docPr id="303"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23"/>
        </w:numPr>
        <w:rPr>
          <w:noProof/>
        </w:rPr>
      </w:pPr>
      <w:r>
        <w:rPr>
          <w:noProof/>
        </w:rPr>
        <w:t>EU Pilot files: Bulgaria’s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9620" cy="2209800"/>
            <wp:effectExtent l="0" t="0" r="11430" b="19050"/>
            <wp:docPr id="304"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Subtitle"/>
        <w:numPr>
          <w:ilvl w:val="0"/>
          <w:numId w:val="23"/>
        </w:numPr>
        <w:rPr>
          <w:noProof/>
        </w:rPr>
      </w:pPr>
      <w:r>
        <w:rPr>
          <w:noProof/>
        </w:rPr>
        <w:t>EU Pilot files: Bulgaria’s resolution rate in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2886" cy="2302328"/>
            <wp:effectExtent l="0" t="0" r="27305" b="22225"/>
            <wp:docPr id="305"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128"/>
        </w:numPr>
        <w:rPr>
          <w:noProof/>
        </w:rPr>
      </w:pPr>
      <w:r>
        <w:rPr>
          <w:noProof/>
        </w:rPr>
        <w:t>Infringement cases against Bulgaria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602480" cy="2141220"/>
            <wp:effectExtent l="0" t="0" r="26670" b="11430"/>
            <wp:docPr id="306"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spacing w:after="200" w:line="276" w:lineRule="auto"/>
        <w:jc w:val="left"/>
        <w:rPr>
          <w:rFonts w:ascii="Arial" w:hAnsi="Arial"/>
          <w:noProof/>
          <w:color w:val="002060"/>
          <w:sz w:val="22"/>
          <w:szCs w:val="22"/>
        </w:rPr>
      </w:pPr>
      <w:r>
        <w:rPr>
          <w:noProof/>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324100"/>
            <wp:effectExtent l="0" t="0" r="13970" b="19050"/>
            <wp:docPr id="308"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59"/>
        </w:numPr>
        <w:ind w:hanging="426"/>
        <w:rPr>
          <w:rFonts w:ascii="Arial" w:hAnsi="Arial" w:cs="Arial"/>
          <w:noProof/>
          <w:lang w:val="en-GB"/>
        </w:rPr>
      </w:pPr>
      <w:r>
        <w:rPr>
          <w:rFonts w:ascii="Arial" w:hAnsi="Arial" w:cs="Arial"/>
          <w:noProof/>
          <w:lang w:val="en-GB"/>
        </w:rPr>
        <w:t>The Commission opened 32 new infringement cases against Bulgaria in 2016. These, and other major ongoing infringement cases, include:</w:t>
      </w:r>
    </w:p>
    <w:p>
      <w:pPr>
        <w:pStyle w:val="Lijstje2"/>
        <w:spacing w:after="200"/>
        <w:ind w:left="1843" w:hanging="426"/>
        <w:rPr>
          <w:rFonts w:ascii="Arial" w:hAnsi="Arial" w:cs="Arial"/>
          <w:noProof/>
          <w:lang w:val="en-GB"/>
        </w:rPr>
      </w:pPr>
      <w:r>
        <w:rPr>
          <w:rFonts w:ascii="Arial" w:hAnsi="Arial" w:cs="Arial"/>
          <w:noProof/>
          <w:lang w:val="en-GB"/>
        </w:rPr>
        <w:t>non-communication of national measures transposing the Directive on attacks against information systems;</w:t>
      </w:r>
      <w:r>
        <w:rPr>
          <w:rStyle w:val="FootnoteReference"/>
          <w:rFonts w:ascii="Arial" w:hAnsi="Arial" w:cs="Arial"/>
          <w:noProof/>
          <w:lang w:val="en-GB"/>
        </w:rPr>
        <w:footnoteReference w:id="31"/>
      </w:r>
    </w:p>
    <w:p>
      <w:pPr>
        <w:pStyle w:val="Lijstje2"/>
        <w:spacing w:after="200"/>
        <w:ind w:left="1843" w:hanging="426"/>
        <w:rPr>
          <w:rFonts w:ascii="Arial" w:hAnsi="Arial" w:cs="Arial"/>
          <w:noProof/>
          <w:lang w:val="en-GB"/>
        </w:rPr>
      </w:pPr>
      <w:r>
        <w:rPr>
          <w:rFonts w:ascii="Arial" w:hAnsi="Arial" w:cs="Arial"/>
          <w:noProof/>
          <w:lang w:val="en-GB"/>
        </w:rPr>
        <w:t xml:space="preserve">incorrect implementation of the Directive on the status of third-country nationals who are long-term residents, by imposing disproportionate charges for resident permits; </w:t>
      </w:r>
      <w:r>
        <w:rPr>
          <w:rStyle w:val="FootnoteReference"/>
          <w:rFonts w:ascii="Arial" w:hAnsi="Arial" w:cs="Arial"/>
          <w:noProof/>
          <w:lang w:val="en-GB"/>
        </w:rPr>
        <w:footnoteReference w:id="32"/>
      </w:r>
    </w:p>
    <w:p>
      <w:pPr>
        <w:pStyle w:val="Lijstje2"/>
        <w:ind w:left="1843" w:hanging="426"/>
        <w:rPr>
          <w:rFonts w:ascii="Arial" w:hAnsi="Arial"/>
          <w:noProof/>
          <w:lang w:val="en-GB"/>
        </w:rPr>
      </w:pPr>
      <w:r>
        <w:rPr>
          <w:rFonts w:ascii="Arial" w:eastAsia="Times New Roman" w:hAnsi="Arial" w:cs="Arial"/>
          <w:noProof/>
          <w:kern w:val="0"/>
          <w:lang w:val="en-GB"/>
        </w:rPr>
        <w:t>failure to fully transpose the Offshore Safety Directive;</w:t>
      </w:r>
      <w:r>
        <w:rPr>
          <w:rStyle w:val="FootnoteReference"/>
          <w:noProof/>
        </w:rPr>
        <w:footnoteReference w:id="33"/>
      </w:r>
    </w:p>
    <w:p>
      <w:pPr>
        <w:pStyle w:val="Lijstje2"/>
        <w:spacing w:after="200"/>
        <w:ind w:left="1843" w:hanging="425"/>
        <w:rPr>
          <w:rFonts w:ascii="Arial" w:hAnsi="Arial" w:cs="Arial"/>
          <w:noProof/>
          <w:lang w:val="en-GB"/>
        </w:rPr>
      </w:pPr>
      <w:r>
        <w:rPr>
          <w:rFonts w:ascii="Arial" w:hAnsi="Arial" w:cs="Arial"/>
          <w:noProof/>
          <w:lang w:val="en-GB"/>
        </w:rPr>
        <w:t>failure to comply with the Energy Performance of Buildings Directives;</w:t>
      </w:r>
      <w:r>
        <w:rPr>
          <w:rStyle w:val="FootnoteReference"/>
          <w:noProof/>
        </w:rPr>
        <w:footnoteReference w:id="34"/>
      </w:r>
    </w:p>
    <w:p>
      <w:pPr>
        <w:pStyle w:val="Lijstje2"/>
        <w:spacing w:after="200"/>
        <w:ind w:left="1843" w:hanging="425"/>
        <w:rPr>
          <w:rFonts w:ascii="Arial" w:hAnsi="Arial" w:cs="Arial"/>
          <w:noProof/>
          <w:lang w:val="en-GB"/>
        </w:rPr>
      </w:pPr>
      <w:r>
        <w:rPr>
          <w:rFonts w:ascii="Arial" w:hAnsi="Arial" w:cs="Arial"/>
          <w:noProof/>
          <w:lang w:val="en-GB"/>
        </w:rPr>
        <w:t>failure to fulfil obligations under the Directive on the protection of waters against pollution caused by nitrates from agricultural sources;</w:t>
      </w:r>
      <w:r>
        <w:rPr>
          <w:rStyle w:val="FootnoteReference"/>
          <w:rFonts w:ascii="Arial" w:hAnsi="Arial" w:cs="Arial"/>
          <w:noProof/>
          <w:lang w:val="en-GB"/>
        </w:rPr>
        <w:footnoteReference w:id="35"/>
      </w:r>
    </w:p>
    <w:p>
      <w:pPr>
        <w:pStyle w:val="Lijstje2"/>
        <w:spacing w:after="200"/>
        <w:ind w:left="1843" w:hanging="425"/>
        <w:rPr>
          <w:rFonts w:ascii="Arial" w:hAnsi="Arial" w:cs="Arial"/>
          <w:noProof/>
          <w:lang w:val="en-GB"/>
        </w:rPr>
      </w:pPr>
      <w:r>
        <w:rPr>
          <w:rFonts w:ascii="Arial" w:hAnsi="Arial" w:cs="Arial"/>
          <w:noProof/>
          <w:lang w:val="en-GB"/>
        </w:rPr>
        <w:t>failure to communicate all national measures transposing the Accounting Directive;</w:t>
      </w:r>
      <w:r>
        <w:rPr>
          <w:rStyle w:val="FootnoteReference"/>
          <w:rFonts w:cs="Arial"/>
          <w:noProof/>
          <w:lang w:val="en-GB"/>
        </w:rPr>
        <w:footnoteReference w:id="36"/>
      </w:r>
    </w:p>
    <w:p>
      <w:pPr>
        <w:pStyle w:val="Lijstje2"/>
        <w:spacing w:after="200"/>
        <w:ind w:left="1843" w:hanging="425"/>
        <w:rPr>
          <w:rFonts w:ascii="Arial" w:hAnsi="Arial" w:cs="Arial"/>
          <w:i/>
          <w:noProof/>
          <w:lang w:val="en-GB"/>
        </w:rPr>
      </w:pPr>
      <w:r>
        <w:rPr>
          <w:rFonts w:ascii="Arial" w:hAnsi="Arial" w:cs="Arial"/>
          <w:noProof/>
          <w:lang w:val="en-GB"/>
        </w:rPr>
        <w:t>failure to correctly implement the Airport Charges Directive;</w:t>
      </w:r>
      <w:r>
        <w:rPr>
          <w:rStyle w:val="FootnoteReference"/>
          <w:rFonts w:ascii="Arial" w:hAnsi="Arial" w:cs="Arial"/>
          <w:noProof/>
          <w:lang w:val="en-GB"/>
        </w:rPr>
        <w:footnoteReference w:id="37"/>
      </w:r>
    </w:p>
    <w:p>
      <w:pPr>
        <w:pStyle w:val="Lijstje2"/>
        <w:spacing w:after="200"/>
        <w:ind w:left="1843" w:hanging="425"/>
        <w:rPr>
          <w:rFonts w:ascii="Arial" w:hAnsi="Arial" w:cs="Arial"/>
          <w:i/>
          <w:noProof/>
          <w:lang w:val="en-GB"/>
        </w:rPr>
      </w:pPr>
      <w:r>
        <w:rPr>
          <w:rFonts w:ascii="Arial" w:hAnsi="Arial" w:cs="Arial"/>
          <w:noProof/>
          <w:lang w:val="en-GB"/>
        </w:rPr>
        <w:t>non-communication of national measures transposing the Maritime Spatial Planning Directive;</w:t>
      </w:r>
      <w:r>
        <w:rPr>
          <w:rStyle w:val="FootnoteReference"/>
          <w:noProof/>
        </w:rPr>
        <w:footnoteReference w:id="38"/>
      </w:r>
      <w:r>
        <w:rPr>
          <w:rFonts w:ascii="Arial" w:hAnsi="Arial" w:cs="Arial"/>
          <w:noProof/>
          <w:lang w:val="en-GB"/>
        </w:rPr>
        <w:t xml:space="preserve"> </w:t>
      </w:r>
    </w:p>
    <w:p>
      <w:pPr>
        <w:pStyle w:val="Lijstje2"/>
        <w:ind w:left="1843" w:hanging="425"/>
        <w:rPr>
          <w:rFonts w:ascii="Arial" w:hAnsi="Arial" w:cs="Arial"/>
          <w:noProof/>
          <w:lang w:val="en-GB"/>
        </w:rPr>
      </w:pPr>
      <w:r>
        <w:rPr>
          <w:rFonts w:ascii="Arial" w:hAnsi="Arial" w:cs="Arial"/>
          <w:noProof/>
          <w:lang w:val="en-GB"/>
        </w:rPr>
        <w:t>disproportionate fines for not declaring cash entered into the customs union;</w:t>
      </w:r>
    </w:p>
    <w:p>
      <w:pPr>
        <w:pStyle w:val="Lijstje2"/>
        <w:ind w:left="1843" w:hanging="425"/>
        <w:rPr>
          <w:rFonts w:ascii="Arial" w:hAnsi="Arial" w:cs="Arial"/>
          <w:noProof/>
          <w:lang w:val="en-GB"/>
        </w:rPr>
      </w:pPr>
      <w:r>
        <w:rPr>
          <w:rFonts w:ascii="Arial" w:hAnsi="Arial" w:cs="Arial"/>
          <w:noProof/>
          <w:lang w:val="en-GB"/>
        </w:rPr>
        <w:t xml:space="preserve">failure </w:t>
      </w:r>
      <w:r>
        <w:rPr>
          <w:rFonts w:ascii="Arial" w:hAnsi="Arial"/>
          <w:noProof/>
          <w:lang w:val="en-GB"/>
        </w:rPr>
        <w:t>to transpose in full one or more of the three Directives on public procurement and concessions</w:t>
      </w:r>
      <w:r>
        <w:rPr>
          <w:rFonts w:ascii="Arial" w:hAnsi="Arial" w:cs="Arial"/>
          <w:noProof/>
          <w:lang w:val="en-GB"/>
        </w:rPr>
        <w:t>;</w:t>
      </w:r>
      <w:r>
        <w:rPr>
          <w:rStyle w:val="FootnoteReference"/>
          <w:rFonts w:ascii="Arial" w:hAnsi="Arial"/>
          <w:i/>
          <w:noProof/>
          <w:lang w:val="en-GB"/>
        </w:rPr>
        <w:footnoteReference w:id="39"/>
      </w:r>
    </w:p>
    <w:p>
      <w:pPr>
        <w:pStyle w:val="Lijstje2"/>
        <w:spacing w:after="200"/>
        <w:ind w:left="1843"/>
        <w:rPr>
          <w:rFonts w:ascii="Arial" w:hAnsi="Arial" w:cs="Arial"/>
          <w:noProof/>
          <w:lang w:val="en-GB"/>
        </w:rPr>
      </w:pPr>
      <w:r>
        <w:rPr>
          <w:rFonts w:ascii="Arial" w:hAnsi="Arial" w:cs="Arial"/>
          <w:noProof/>
          <w:lang w:val="en-GB"/>
        </w:rPr>
        <w:t>national restrictions on the acquisition of agricultural land which limit the free movement of capital and freedom of establishment by being discriminatory and/or disproportionate.</w:t>
      </w:r>
      <w:r>
        <w:rPr>
          <w:rStyle w:val="FootnoteReference"/>
          <w:noProof/>
          <w:lang w:val="en-GB"/>
        </w:rPr>
        <w:footnoteReference w:id="40"/>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260(2) TFEU.</w:t>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130"/>
        </w:numPr>
        <w:rPr>
          <w:noProof/>
        </w:rPr>
      </w:pPr>
      <w:r>
        <w:rPr>
          <w:noProof/>
        </w:rPr>
        <w:t>Late transposition infringement cases against Bulgaria open on 31 December (2012-2016)</w:t>
      </w:r>
    </w:p>
    <w:p>
      <w:pPr>
        <w:ind w:left="426" w:firstLine="283"/>
        <w:rPr>
          <w:noProof/>
        </w:rPr>
      </w:pPr>
      <w:r>
        <w:rPr>
          <w:noProof/>
          <w:lang w:val="en-US"/>
        </w:rPr>
        <w:drawing>
          <wp:inline distT="0" distB="0" distL="0" distR="0">
            <wp:extent cx="4602480" cy="2156460"/>
            <wp:effectExtent l="0" t="0" r="26670" b="15240"/>
            <wp:docPr id="309"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Subtitle"/>
        <w:numPr>
          <w:ilvl w:val="0"/>
          <w:numId w:val="23"/>
        </w:numPr>
        <w:rPr>
          <w:noProof/>
        </w:rPr>
      </w:pPr>
      <w:r>
        <w:rPr>
          <w:noProof/>
        </w:rPr>
        <w:t>New late transposition infringement cases against Bulgaria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8328" cy="2057400"/>
            <wp:effectExtent l="0" t="0" r="22225" b="19050"/>
            <wp:docPr id="310"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numPr>
          <w:ilvl w:val="0"/>
          <w:numId w:val="3"/>
        </w:numPr>
        <w:spacing w:after="120"/>
        <w:ind w:left="782" w:hanging="357"/>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8328" cy="2590800"/>
            <wp:effectExtent l="0" t="0" r="22225" b="19050"/>
            <wp:docPr id="311"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spacing w:after="200" w:line="276" w:lineRule="auto"/>
        <w:jc w:val="left"/>
        <w:rPr>
          <w:rFonts w:ascii="Arial" w:hAnsi="Arial"/>
          <w:noProof/>
          <w:color w:val="002060"/>
          <w:sz w:val="22"/>
          <w:szCs w:val="22"/>
        </w:rPr>
      </w:pPr>
      <w:r>
        <w:rPr>
          <w:rFonts w:ascii="Arial" w:hAnsi="Arial"/>
          <w:noProof/>
          <w:color w:val="002060"/>
          <w:sz w:val="22"/>
          <w:szCs w:val="22"/>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These concerned:</w:t>
      </w:r>
    </w:p>
    <w:p>
      <w:pPr>
        <w:numPr>
          <w:ilvl w:val="0"/>
          <w:numId w:val="4"/>
        </w:numPr>
        <w:spacing w:after="0"/>
        <w:ind w:left="1276" w:hanging="357"/>
        <w:contextualSpacing/>
        <w:rPr>
          <w:rFonts w:ascii="Arial" w:eastAsia="Calibri" w:hAnsi="Arial" w:cs="Arial"/>
          <w:noProof/>
          <w:kern w:val="20"/>
          <w:sz w:val="20"/>
        </w:rPr>
      </w:pPr>
      <w:r>
        <w:rPr>
          <w:rFonts w:ascii="Arial" w:eastAsia="Calibri" w:hAnsi="Arial" w:cs="Arial"/>
          <w:noProof/>
          <w:kern w:val="20"/>
          <w:sz w:val="20"/>
        </w:rPr>
        <w:t>non-communication of national measures transposing the Seveso III Directive;</w:t>
      </w:r>
      <w:r>
        <w:rPr>
          <w:rStyle w:val="FootnoteReference"/>
          <w:rFonts w:eastAsia="Calibri"/>
          <w:noProof/>
        </w:rPr>
        <w:footnoteReference w:id="41"/>
      </w:r>
    </w:p>
    <w:p>
      <w:pPr>
        <w:pStyle w:val="Lijstje2"/>
        <w:numPr>
          <w:ilvl w:val="0"/>
          <w:numId w:val="247"/>
        </w:numPr>
        <w:spacing w:after="0"/>
        <w:ind w:hanging="357"/>
        <w:rPr>
          <w:rFonts w:ascii="Arial" w:hAnsi="Arial"/>
          <w:noProof/>
          <w:lang w:val="en-GB"/>
        </w:rPr>
      </w:pPr>
      <w:r>
        <w:rPr>
          <w:rFonts w:ascii="Arial" w:hAnsi="Arial" w:cs="Arial"/>
          <w:noProof/>
          <w:lang w:val="en-GB"/>
        </w:rPr>
        <w:t>completing the notification of all national measures necessary to transpose</w:t>
      </w:r>
      <w:r>
        <w:rPr>
          <w:rFonts w:ascii="Arial" w:hAnsi="Arial"/>
          <w:noProof/>
          <w:lang w:val="en-GB"/>
        </w:rPr>
        <w:t xml:space="preserve"> the Capital Requirements Directive</w:t>
      </w:r>
      <w:r>
        <w:rPr>
          <w:rStyle w:val="FootnoteReference"/>
          <w:rFonts w:ascii="Arial" w:hAnsi="Arial" w:cs="Arial"/>
          <w:noProof/>
        </w:rPr>
        <w:footnoteReference w:id="42"/>
      </w:r>
      <w:r>
        <w:rPr>
          <w:rFonts w:ascii="Arial" w:hAnsi="Arial"/>
          <w:noProof/>
          <w:lang w:val="en-GB"/>
        </w:rPr>
        <w:t xml:space="preserve"> and </w:t>
      </w:r>
      <w:r>
        <w:rPr>
          <w:rFonts w:ascii="Arial" w:hAnsi="Arial" w:cs="Arial"/>
          <w:noProof/>
          <w:lang w:val="en-GB"/>
        </w:rPr>
        <w:t>the Bank Resolution and Recovery Directive.</w:t>
      </w:r>
      <w:r>
        <w:rPr>
          <w:rStyle w:val="FootnoteReference"/>
          <w:rFonts w:ascii="Arial" w:hAnsi="Arial" w:cs="Arial"/>
          <w:noProof/>
          <w:lang w:val="en-GB"/>
        </w:rPr>
        <w:footnoteReference w:id="43"/>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131"/>
        </w:numPr>
        <w:rPr>
          <w:noProof/>
        </w:rPr>
      </w:pPr>
      <w:r>
        <w:rPr>
          <w:noProof/>
        </w:rPr>
        <w:t>Court rulings</w:t>
      </w:r>
      <w:r>
        <w:rPr>
          <w:rStyle w:val="FootnoteReference"/>
          <w:noProof/>
        </w:rPr>
        <w:footnoteReference w:id="44"/>
      </w:r>
    </w:p>
    <w:p>
      <w:pPr>
        <w:pStyle w:val="Body"/>
        <w:rPr>
          <w:noProof/>
          <w:lang w:val="en-GB"/>
        </w:rPr>
      </w:pPr>
      <w:r>
        <w:rPr>
          <w:noProof/>
          <w:lang w:val="en-GB"/>
        </w:rPr>
        <w:t>The Court ruled that:</w:t>
      </w:r>
    </w:p>
    <w:p>
      <w:pPr>
        <w:pStyle w:val="Lijstje2"/>
        <w:ind w:left="1276"/>
        <w:rPr>
          <w:noProof/>
          <w:lang w:val="en-GB"/>
        </w:rPr>
      </w:pPr>
      <w:r>
        <w:rPr>
          <w:rFonts w:ascii="Arial" w:hAnsi="Arial"/>
          <w:noProof/>
          <w:lang w:val="en-GB"/>
        </w:rPr>
        <w:t>has failed to protect unique habitats and endangered species in the Kaliakra region, in violation of the Birds Directive, the Habitats Directive and the Environmental Impact Assessment Directive</w:t>
      </w:r>
      <w:r>
        <w:rPr>
          <w:rFonts w:ascii="Arial" w:hAnsi="Arial" w:cs="Arial"/>
          <w:noProof/>
          <w:lang w:val="en-GB"/>
        </w:rPr>
        <w:t>.</w:t>
      </w:r>
      <w:r>
        <w:rPr>
          <w:rStyle w:val="FootnoteReference"/>
          <w:rFonts w:ascii="Arial" w:hAnsi="Arial" w:cs="Arial"/>
          <w:bCs/>
          <w:noProof/>
          <w:lang w:val="en-GB"/>
        </w:rPr>
        <w:footnoteReference w:id="45"/>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ind w:left="786" w:firstLine="0"/>
        <w:rPr>
          <w:noProof/>
          <w:lang w:val="en-GB"/>
        </w:rPr>
      </w:pPr>
      <w:r>
        <w:rPr>
          <w:noProof/>
          <w:lang w:val="en-GB"/>
        </w:rPr>
        <w:t>In a preliminary ruling addressed to the Bulgarian judiciary, the Court held that:</w:t>
      </w:r>
    </w:p>
    <w:p>
      <w:pPr>
        <w:pStyle w:val="Lijstje2"/>
        <w:ind w:left="1276"/>
        <w:rPr>
          <w:rFonts w:ascii="Arial" w:hAnsi="Arial" w:cs="Arial"/>
          <w:noProof/>
          <w:lang w:val="en-GB"/>
        </w:rPr>
      </w:pPr>
      <w:r>
        <w:rPr>
          <w:rFonts w:ascii="Arial" w:hAnsi="Arial" w:cs="Arial"/>
          <w:noProof/>
          <w:lang w:val="en-GB"/>
        </w:rPr>
        <w:t>the custodial sentence of a prisoner may not be reduced, when he is transferred from one Member State to another, by reason of time spent working in prison in the first Member State if that Member State has not, under its national law, granted such a reduction in sentence.</w:t>
      </w:r>
      <w:r>
        <w:rPr>
          <w:rStyle w:val="FootnoteReference"/>
          <w:rFonts w:ascii="Arial" w:hAnsi="Arial" w:cs="Arial"/>
          <w:noProof/>
          <w:lang w:val="en-GB"/>
        </w:rPr>
        <w:footnoteReference w:id="46"/>
      </w:r>
    </w:p>
    <w:p>
      <w:pPr>
        <w:spacing w:after="120"/>
        <w:contextualSpacing/>
        <w:rPr>
          <w:rFonts w:ascii="Verdana" w:eastAsia="Calibri" w:hAnsi="Verdana"/>
          <w:noProof/>
          <w:kern w:val="20"/>
          <w:sz w:val="20"/>
        </w:rPr>
      </w:pPr>
    </w:p>
    <w:p>
      <w:pPr>
        <w:spacing w:after="0"/>
        <w:jc w:val="left"/>
        <w:rPr>
          <w:noProof/>
        </w:rPr>
        <w:sectPr>
          <w:headerReference w:type="even" r:id="rId55"/>
          <w:headerReference w:type="default" r:id="rId56"/>
          <w:footerReference w:type="even" r:id="rId57"/>
          <w:footerReference w:type="default" r:id="rId58"/>
          <w:headerReference w:type="first" r:id="rId59"/>
          <w:footerReference w:type="first" r:id="rId60"/>
          <w:footnotePr>
            <w:numRestart w:val="eachSect"/>
          </w:footnotePr>
          <w:pgSz w:w="11906" w:h="16838"/>
          <w:pgMar w:top="1701" w:right="1417" w:bottom="1134" w:left="1417" w:header="567" w:footer="351" w:gutter="0"/>
          <w:cols w:space="708"/>
          <w:titlePg/>
          <w:docGrid w:linePitch="360"/>
        </w:sectPr>
      </w:pPr>
    </w:p>
    <w:p>
      <w:pPr>
        <w:pStyle w:val="Heading1"/>
        <w:rPr>
          <w:noProof/>
        </w:rPr>
      </w:pPr>
      <w:bookmarkStart w:id="21" w:name="_Toc444769589"/>
      <w:bookmarkStart w:id="22" w:name="_Toc444772045"/>
      <w:bookmarkStart w:id="23" w:name="_Toc444773364"/>
      <w:bookmarkStart w:id="24" w:name="_Toc444776736"/>
      <w:bookmarkStart w:id="25" w:name="_Toc475974643"/>
      <w:bookmarkStart w:id="26" w:name="_Toc475980139"/>
      <w:bookmarkStart w:id="27" w:name="_Toc475981388"/>
      <w:bookmarkStart w:id="28" w:name="_Toc477938585"/>
      <w:r>
        <w:rPr>
          <w:noProof/>
        </w:rPr>
        <w:t>Czech Republic</w:t>
      </w:r>
      <w:bookmarkEnd w:id="21"/>
      <w:bookmarkEnd w:id="22"/>
      <w:bookmarkEnd w:id="23"/>
      <w:bookmarkEnd w:id="24"/>
      <w:bookmarkEnd w:id="25"/>
      <w:bookmarkEnd w:id="26"/>
      <w:bookmarkEnd w:id="27"/>
      <w:bookmarkEnd w:id="28"/>
    </w:p>
    <w:p>
      <w:pPr>
        <w:spacing w:after="120"/>
        <w:rPr>
          <w:rFonts w:ascii="Arial" w:hAnsi="Arial"/>
          <w:i/>
          <w:noProof/>
          <w:sz w:val="22"/>
        </w:rPr>
      </w:pPr>
      <w:r>
        <w:rPr>
          <w:rFonts w:ascii="Arial" w:hAnsi="Arial"/>
          <w:i/>
          <w:noProof/>
          <w:sz w:val="22"/>
        </w:rPr>
        <w:t xml:space="preserve">New complaints against </w:t>
      </w:r>
      <w:r>
        <w:rPr>
          <w:rFonts w:ascii="Arial" w:hAnsi="Arial" w:cs="Arial"/>
          <w:i/>
          <w:noProof/>
          <w:sz w:val="22"/>
          <w:szCs w:val="22"/>
        </w:rPr>
        <w:t xml:space="preserve">the </w:t>
      </w:r>
      <w:r>
        <w:rPr>
          <w:rFonts w:ascii="Arial" w:hAnsi="Arial"/>
          <w:i/>
          <w:noProof/>
          <w:sz w:val="22"/>
        </w:rPr>
        <w:t xml:space="preserve">Czech Republic continued to increase in 2016, reaching their highest level in 5 years. Open infringement cases also continued their steady rise </w:t>
      </w:r>
      <w:r>
        <w:rPr>
          <w:rFonts w:ascii="Arial" w:hAnsi="Arial" w:cs="Arial"/>
          <w:i/>
          <w:noProof/>
          <w:sz w:val="22"/>
          <w:szCs w:val="22"/>
        </w:rPr>
        <w:t>since 2013.</w:t>
      </w:r>
      <w:r>
        <w:rPr>
          <w:rFonts w:ascii="Arial" w:hAnsi="Arial"/>
          <w:i/>
          <w:noProof/>
          <w:sz w:val="22"/>
        </w:rPr>
        <w:t xml:space="preserve"> New infringement cases for late transposition rose to almost double their 2015 level. By contrast, the number of new EU Pilot files continued falling from its 2013 peak, hitting its lowest point since 2012.</w:t>
      </w:r>
    </w:p>
    <w:p>
      <w:pPr>
        <w:spacing w:after="120"/>
        <w:rPr>
          <w:rFonts w:ascii="Arial" w:hAnsi="Arial" w:cs="Arial"/>
          <w:i/>
          <w:noProof/>
          <w:sz w:val="22"/>
          <w:szCs w:val="22"/>
        </w:rPr>
      </w:pPr>
    </w:p>
    <w:p>
      <w:pPr>
        <w:pStyle w:val="kop2"/>
        <w:numPr>
          <w:ilvl w:val="0"/>
          <w:numId w:val="144"/>
        </w:numPr>
        <w:rPr>
          <w:noProof/>
        </w:rPr>
      </w:pPr>
      <w:r>
        <w:rPr>
          <w:noProof/>
        </w:rPr>
        <w:t>COMPLAINTS</w:t>
      </w:r>
    </w:p>
    <w:p>
      <w:pPr>
        <w:pStyle w:val="Subtitle"/>
        <w:numPr>
          <w:ilvl w:val="0"/>
          <w:numId w:val="145"/>
        </w:numPr>
        <w:rPr>
          <w:noProof/>
        </w:rPr>
      </w:pPr>
      <w:r>
        <w:rPr>
          <w:noProof/>
        </w:rPr>
        <w:t>New complaints made against the Czech Republic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77443" cy="2188028"/>
            <wp:effectExtent l="0" t="0" r="13970" b="22225"/>
            <wp:docPr id="485"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Subtitle"/>
        <w:numPr>
          <w:ilvl w:val="0"/>
          <w:numId w:val="23"/>
        </w:numPr>
        <w:rPr>
          <w:noProof/>
        </w:rPr>
      </w:pPr>
      <w:r>
        <w:rPr>
          <w:noProof/>
        </w:rPr>
        <w:t>Public complaints against the Czech Republic open at year-end</w:t>
      </w:r>
    </w:p>
    <w:tbl>
      <w:tblPr>
        <w:tblStyle w:val="Style15"/>
        <w:tblW w:w="0" w:type="auto"/>
        <w:jc w:val="center"/>
        <w:tblInd w:w="421" w:type="dxa"/>
        <w:tblLook w:val="04A0" w:firstRow="1" w:lastRow="0" w:firstColumn="1" w:lastColumn="0" w:noHBand="0" w:noVBand="1"/>
      </w:tblPr>
      <w:tblGrid>
        <w:gridCol w:w="1697"/>
        <w:gridCol w:w="452"/>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68</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67</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67</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68</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numPr>
          <w:ilvl w:val="0"/>
          <w:numId w:val="23"/>
        </w:numPr>
        <w:rPr>
          <w:noProof/>
        </w:rPr>
      </w:pPr>
      <w:r>
        <w:rPr>
          <w:noProof/>
        </w:rPr>
        <w:t xml:space="preserve">New complaints registered in 2016: main policy areas </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5543" cy="2416628"/>
            <wp:effectExtent l="0" t="0" r="13970" b="22225"/>
            <wp:docPr id="486"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146"/>
        </w:numPr>
        <w:rPr>
          <w:noProof/>
        </w:rPr>
      </w:pPr>
      <w:r>
        <w:rPr>
          <w:noProof/>
        </w:rPr>
        <w:t>New EU Pilot files opened against the Czech Republic (2012-2016)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572000" cy="2215243"/>
            <wp:effectExtent l="0" t="0" r="19050" b="13970"/>
            <wp:docPr id="487"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Subtitle"/>
        <w:numPr>
          <w:ilvl w:val="0"/>
          <w:numId w:val="23"/>
        </w:numPr>
        <w:rPr>
          <w:noProof/>
        </w:rPr>
      </w:pPr>
      <w:r>
        <w:rPr>
          <w:noProof/>
        </w:rPr>
        <w:t>Files relating to the Czech Republic open in EU Pilot at year-end</w:t>
      </w:r>
    </w:p>
    <w:p>
      <w:pPr>
        <w:spacing w:after="0"/>
        <w:ind w:firstLine="709"/>
        <w:rPr>
          <w:rFonts w:ascii="Arial" w:hAnsi="Arial" w:cs="Arial"/>
          <w:noProof/>
          <w:sz w:val="20"/>
        </w:rPr>
      </w:pPr>
      <w:r>
        <w:rPr>
          <w:rFonts w:ascii="Arial" w:hAnsi="Arial" w:cs="Arial"/>
          <w:noProof/>
          <w:sz w:val="20"/>
          <w:lang w:val="en-US"/>
        </w:rPr>
        <w:drawing>
          <wp:inline distT="0" distB="0" distL="0" distR="0">
            <wp:extent cx="4572000" cy="2156460"/>
            <wp:effectExtent l="0" t="0" r="19050" b="15240"/>
            <wp:docPr id="134"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Subtitle"/>
        <w:numPr>
          <w:ilvl w:val="0"/>
          <w:numId w:val="23"/>
        </w:numPr>
        <w:rPr>
          <w:rFonts w:cs="Arial"/>
          <w:noProof/>
          <w:sz w:val="20"/>
        </w:rPr>
      </w:pPr>
      <w:r>
        <w:rPr>
          <w:noProof/>
        </w:rPr>
        <w:t>New EU Pilot files opened in 2016: main policy areas</w:t>
      </w:r>
      <w:r>
        <w:rPr>
          <w:rFonts w:cs="Arial"/>
          <w:noProof/>
          <w:sz w:val="20"/>
          <w:lang w:val="en-US"/>
        </w:rPr>
        <w:drawing>
          <wp:inline distT="0" distB="0" distL="0" distR="0">
            <wp:extent cx="4632960" cy="2430780"/>
            <wp:effectExtent l="0" t="0" r="15240" b="26670"/>
            <wp:docPr id="488"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23"/>
        </w:numPr>
        <w:rPr>
          <w:noProof/>
        </w:rPr>
      </w:pPr>
      <w:r>
        <w:rPr>
          <w:noProof/>
        </w:rPr>
        <w:t>EU Pilot files: Czech Republic’s average response time in 2012-2016 (in days)</w:t>
      </w:r>
    </w:p>
    <w:p>
      <w:pPr>
        <w:spacing w:after="120"/>
        <w:ind w:firstLine="709"/>
        <w:rPr>
          <w:rFonts w:ascii="Arial" w:hAnsi="Arial" w:cs="Arial"/>
          <w:noProof/>
          <w:sz w:val="20"/>
        </w:rPr>
      </w:pPr>
      <w:r>
        <w:rPr>
          <w:rFonts w:ascii="Verdana" w:hAnsi="Verdana" w:cs="Arial"/>
          <w:noProof/>
          <w:color w:val="0070C0"/>
          <w:sz w:val="18"/>
          <w:szCs w:val="18"/>
          <w:lang w:val="en-US"/>
        </w:rPr>
        <w:drawing>
          <wp:inline distT="0" distB="0" distL="0" distR="0">
            <wp:extent cx="4579620" cy="2209800"/>
            <wp:effectExtent l="0" t="0" r="11430" b="19050"/>
            <wp:docPr id="489"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Subtitle"/>
        <w:numPr>
          <w:ilvl w:val="0"/>
          <w:numId w:val="23"/>
        </w:numPr>
        <w:rPr>
          <w:noProof/>
        </w:rPr>
      </w:pPr>
      <w:r>
        <w:rPr>
          <w:noProof/>
        </w:rPr>
        <w:t>EU Pilot files: Czech Republic’s resolution rate in 2012-2016</w:t>
      </w:r>
    </w:p>
    <w:p>
      <w:pPr>
        <w:ind w:firstLine="709"/>
        <w:rPr>
          <w:rFonts w:ascii="Arial" w:hAnsi="Arial" w:cs="Arial"/>
          <w:noProof/>
          <w:sz w:val="20"/>
        </w:rPr>
      </w:pPr>
      <w:r>
        <w:rPr>
          <w:rFonts w:ascii="Arial" w:hAnsi="Arial" w:cs="Arial"/>
          <w:noProof/>
          <w:sz w:val="20"/>
          <w:lang w:val="en-US"/>
        </w:rPr>
        <w:drawing>
          <wp:inline distT="0" distB="0" distL="0" distR="0">
            <wp:extent cx="4577443" cy="2177143"/>
            <wp:effectExtent l="0" t="0" r="13970" b="13970"/>
            <wp:docPr id="49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147"/>
        </w:numPr>
        <w:rPr>
          <w:noProof/>
        </w:rPr>
      </w:pPr>
      <w:r>
        <w:rPr>
          <w:noProof/>
        </w:rPr>
        <w:t>Infringement cases against the Czech Republic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226128"/>
            <wp:effectExtent l="0" t="0" r="13970" b="22225"/>
            <wp:docPr id="491"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spacing w:after="200" w:line="276" w:lineRule="auto"/>
        <w:jc w:val="left"/>
        <w:rPr>
          <w:rFonts w:ascii="Arial" w:hAnsi="Arial"/>
          <w:noProof/>
          <w:color w:val="002060"/>
          <w:sz w:val="22"/>
          <w:szCs w:val="22"/>
        </w:rPr>
      </w:pPr>
      <w:r>
        <w:rPr>
          <w:noProof/>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 xml:space="preserve">New infringement cases opened in 2016: main policy areas </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324100"/>
            <wp:effectExtent l="0" t="0" r="13970" b="19050"/>
            <wp:docPr id="49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56"/>
        </w:numPr>
        <w:ind w:hanging="426"/>
        <w:rPr>
          <w:rFonts w:ascii="Arial" w:hAnsi="Arial" w:cs="Arial"/>
          <w:noProof/>
          <w:lang w:val="en-GB"/>
        </w:rPr>
      </w:pPr>
      <w:r>
        <w:rPr>
          <w:rFonts w:ascii="Arial" w:hAnsi="Arial" w:cs="Arial"/>
          <w:noProof/>
          <w:lang w:val="en-GB"/>
        </w:rPr>
        <w:t>The Commission opened 42 new infringement cases against the Czech Republic in 2016. These, and other major ongoing infringement cases, include:</w:t>
      </w:r>
    </w:p>
    <w:p>
      <w:pPr>
        <w:pStyle w:val="Lijstje2"/>
        <w:spacing w:after="200"/>
        <w:ind w:left="1843" w:hanging="426"/>
        <w:rPr>
          <w:rFonts w:ascii="Arial" w:hAnsi="Arial" w:cs="Arial"/>
          <w:noProof/>
          <w:lang w:val="en-GB"/>
        </w:rPr>
      </w:pPr>
      <w:r>
        <w:rPr>
          <w:rFonts w:ascii="Arial" w:hAnsi="Arial"/>
          <w:noProof/>
          <w:lang w:val="en-GB"/>
        </w:rPr>
        <w:t>inadequate</w:t>
      </w:r>
      <w:r>
        <w:rPr>
          <w:rFonts w:ascii="Arial" w:hAnsi="Arial" w:cs="Arial"/>
          <w:noProof/>
          <w:lang w:val="en-GB"/>
        </w:rPr>
        <w:t xml:space="preserve"> </w:t>
      </w:r>
      <w:r>
        <w:rPr>
          <w:rFonts w:ascii="Arial" w:hAnsi="Arial"/>
          <w:noProof/>
          <w:lang w:val="en-GB"/>
        </w:rPr>
        <w:t>urban waste water treatment</w:t>
      </w:r>
      <w:r>
        <w:rPr>
          <w:rFonts w:ascii="Arial" w:hAnsi="Arial" w:cs="Arial"/>
          <w:noProof/>
          <w:lang w:val="en-GB"/>
        </w:rPr>
        <w:t>;</w:t>
      </w:r>
    </w:p>
    <w:p>
      <w:pPr>
        <w:pStyle w:val="Lijstje2"/>
        <w:spacing w:after="200"/>
        <w:ind w:left="1843" w:hanging="425"/>
        <w:rPr>
          <w:rFonts w:ascii="Arial" w:hAnsi="Arial" w:cs="Arial"/>
          <w:noProof/>
          <w:lang w:val="en-GB"/>
        </w:rPr>
      </w:pPr>
      <w:r>
        <w:rPr>
          <w:rFonts w:ascii="Arial" w:hAnsi="Arial" w:cs="Arial"/>
          <w:noProof/>
          <w:lang w:val="en-GB"/>
        </w:rPr>
        <w:t>non-respect of NO</w:t>
      </w:r>
      <w:r>
        <w:rPr>
          <w:rFonts w:ascii="Arial" w:hAnsi="Arial" w:cs="Arial"/>
          <w:noProof/>
          <w:vertAlign w:val="subscript"/>
          <w:lang w:val="en-GB"/>
        </w:rPr>
        <w:t>2 </w:t>
      </w:r>
      <w:r>
        <w:rPr>
          <w:rFonts w:ascii="Arial" w:hAnsi="Arial" w:cs="Arial"/>
          <w:noProof/>
          <w:lang w:val="en-GB"/>
        </w:rPr>
        <w:t xml:space="preserve"> limit values set by the Air Quality Directive;</w:t>
      </w:r>
      <w:r>
        <w:rPr>
          <w:rStyle w:val="FootnoteReference"/>
          <w:noProof/>
        </w:rPr>
        <w:footnoteReference w:id="47"/>
      </w:r>
    </w:p>
    <w:p>
      <w:pPr>
        <w:pStyle w:val="Lijstje2"/>
        <w:spacing w:after="200"/>
        <w:ind w:left="1843" w:hanging="425"/>
        <w:rPr>
          <w:rFonts w:ascii="Arial" w:hAnsi="Arial" w:cs="Arial"/>
          <w:noProof/>
          <w:lang w:val="en-GB"/>
        </w:rPr>
      </w:pPr>
      <w:r>
        <w:rPr>
          <w:rFonts w:ascii="Arial" w:hAnsi="Arial" w:cs="Arial"/>
          <w:noProof/>
          <w:lang w:val="en-GB"/>
        </w:rPr>
        <w:t>non-compliant transposition of the Environmental Liability Directive;</w:t>
      </w:r>
      <w:r>
        <w:rPr>
          <w:rStyle w:val="FootnoteReference"/>
          <w:noProof/>
        </w:rPr>
        <w:footnoteReference w:id="48"/>
      </w:r>
    </w:p>
    <w:p>
      <w:pPr>
        <w:pStyle w:val="Lijstje2"/>
        <w:spacing w:after="200"/>
        <w:ind w:left="1843" w:hanging="426"/>
        <w:rPr>
          <w:rFonts w:ascii="Arial" w:hAnsi="Arial" w:cs="Arial"/>
          <w:noProof/>
          <w:lang w:val="en-GB"/>
        </w:rPr>
      </w:pPr>
      <w:r>
        <w:rPr>
          <w:rFonts w:ascii="Arial" w:eastAsia="Times New Roman" w:hAnsi="Arial" w:cs="Arial"/>
          <w:noProof/>
          <w:kern w:val="0"/>
          <w:lang w:val="en-GB"/>
        </w:rPr>
        <w:t>failure to comply with the Security of Gas Supply Regulation;</w:t>
      </w:r>
      <w:r>
        <w:rPr>
          <w:rStyle w:val="FootnoteReference"/>
          <w:noProof/>
        </w:rPr>
        <w:footnoteReference w:id="49"/>
      </w:r>
    </w:p>
    <w:p>
      <w:pPr>
        <w:pStyle w:val="Lijstje2"/>
        <w:ind w:left="1843" w:hanging="426"/>
        <w:rPr>
          <w:rFonts w:ascii="Arial" w:hAnsi="Arial"/>
          <w:noProof/>
          <w:lang w:val="en-GB"/>
        </w:rPr>
      </w:pPr>
      <w:r>
        <w:rPr>
          <w:rFonts w:ascii="Arial" w:hAnsi="Arial"/>
          <w:noProof/>
          <w:lang w:val="en-GB"/>
        </w:rPr>
        <w:t>incomplete natura 2000 network, contrary to the Directive on the conservation of natural habitats and of wild fauna and flora;</w:t>
      </w:r>
      <w:r>
        <w:rPr>
          <w:rStyle w:val="FootnoteReference"/>
          <w:rFonts w:ascii="Arial" w:hAnsi="Arial"/>
          <w:noProof/>
          <w:lang w:val="en-GB"/>
        </w:rPr>
        <w:footnoteReference w:id="50"/>
      </w:r>
    </w:p>
    <w:p>
      <w:pPr>
        <w:pStyle w:val="Lijstje2"/>
        <w:spacing w:after="200"/>
        <w:ind w:left="1843" w:hanging="426"/>
        <w:rPr>
          <w:rFonts w:ascii="Arial" w:hAnsi="Arial" w:cs="Arial"/>
          <w:noProof/>
          <w:lang w:val="en-GB"/>
        </w:rPr>
      </w:pPr>
      <w:r>
        <w:rPr>
          <w:rFonts w:ascii="Arial" w:eastAsia="Times New Roman" w:hAnsi="Arial" w:cs="Arial"/>
          <w:noProof/>
          <w:kern w:val="0"/>
          <w:lang w:val="en-GB"/>
        </w:rPr>
        <w:t>failure</w:t>
      </w:r>
      <w:r>
        <w:rPr>
          <w:rFonts w:ascii="Arial" w:hAnsi="Arial" w:cs="Arial"/>
          <w:noProof/>
          <w:lang w:val="en-GB"/>
        </w:rPr>
        <w:t xml:space="preserve"> to fully notify transposition measures for the Directive establishing a single European railway area;</w:t>
      </w:r>
      <w:r>
        <w:rPr>
          <w:rStyle w:val="FootnoteReference"/>
          <w:rFonts w:ascii="Arial" w:hAnsi="Arial" w:cs="Arial"/>
          <w:noProof/>
          <w:lang w:val="en-GB"/>
        </w:rPr>
        <w:footnoteReference w:id="51"/>
      </w:r>
    </w:p>
    <w:p>
      <w:pPr>
        <w:pStyle w:val="Lijstje2"/>
        <w:spacing w:after="200"/>
        <w:ind w:left="1843" w:hanging="426"/>
        <w:rPr>
          <w:rFonts w:ascii="Arial" w:hAnsi="Arial" w:cs="Arial"/>
          <w:noProof/>
          <w:lang w:val="en-GB"/>
        </w:rPr>
      </w:pPr>
      <w:r>
        <w:rPr>
          <w:rFonts w:ascii="Arial" w:hAnsi="Arial" w:cs="Arial"/>
          <w:noProof/>
          <w:lang w:val="en-GB"/>
        </w:rPr>
        <w:t>incorrect transposition of the Directive on the interoperability of the rail system within the Community;</w:t>
      </w:r>
      <w:r>
        <w:rPr>
          <w:rStyle w:val="FootnoteReference"/>
          <w:rFonts w:ascii="Arial" w:hAnsi="Arial" w:cs="Arial"/>
          <w:noProof/>
          <w:lang w:val="en-GB"/>
        </w:rPr>
        <w:footnoteReference w:id="52"/>
      </w:r>
    </w:p>
    <w:p>
      <w:pPr>
        <w:pStyle w:val="Lijstje2"/>
        <w:ind w:left="1843" w:hanging="425"/>
        <w:rPr>
          <w:rFonts w:ascii="Arial" w:hAnsi="Arial" w:cs="Arial"/>
          <w:noProof/>
          <w:lang w:val="en-GB"/>
        </w:rPr>
      </w:pPr>
      <w:r>
        <w:rPr>
          <w:rFonts w:ascii="Arial" w:hAnsi="Arial" w:cs="Arial"/>
          <w:noProof/>
          <w:lang w:val="en-GB"/>
        </w:rPr>
        <w:t>failure to transpose in full one or more of the three Directives on public procurement and concessions;</w:t>
      </w:r>
      <w:r>
        <w:rPr>
          <w:rStyle w:val="FootnoteReference"/>
          <w:rFonts w:ascii="Arial" w:hAnsi="Arial" w:cs="Arial"/>
          <w:i/>
          <w:noProof/>
          <w:lang w:val="en-GB"/>
        </w:rPr>
        <w:footnoteReference w:id="53"/>
      </w:r>
    </w:p>
    <w:p>
      <w:pPr>
        <w:pStyle w:val="Lijstje2"/>
        <w:spacing w:after="200"/>
        <w:ind w:left="1843" w:hanging="425"/>
        <w:rPr>
          <w:rFonts w:ascii="Arial" w:hAnsi="Arial" w:cs="Arial"/>
          <w:noProof/>
          <w:lang w:val="en-GB"/>
        </w:rPr>
      </w:pPr>
      <w:r>
        <w:rPr>
          <w:rFonts w:ascii="Arial" w:hAnsi="Arial" w:cs="Arial"/>
          <w:noProof/>
          <w:lang w:val="en-GB"/>
        </w:rPr>
        <w:t>failure to fulfil the obligations under EU vehicle type approval legislation.</w:t>
      </w:r>
      <w:r>
        <w:rPr>
          <w:rStyle w:val="FootnoteReference"/>
          <w:rFonts w:ascii="Arial" w:hAnsi="Arial" w:cs="Arial"/>
          <w:noProof/>
          <w:lang w:val="en-GB"/>
        </w:rPr>
        <w:footnoteReference w:id="54"/>
      </w:r>
    </w:p>
    <w:p>
      <w:pPr>
        <w:pStyle w:val="Lijstje"/>
        <w:numPr>
          <w:ilvl w:val="0"/>
          <w:numId w:val="2"/>
        </w:numPr>
        <w:ind w:hanging="426"/>
        <w:rPr>
          <w:rFonts w:ascii="Arial" w:hAnsi="Arial" w:cs="Arial"/>
          <w:noProof/>
          <w:lang w:val="en-GB"/>
        </w:rPr>
      </w:pPr>
      <w:r>
        <w:rPr>
          <w:rFonts w:ascii="Arial" w:hAnsi="Arial" w:cs="Arial"/>
          <w:noProof/>
          <w:lang w:val="en-GB"/>
        </w:rPr>
        <w:t>The Commission referred two cases to the Court under Article 258 TFEU. They concern:</w:t>
      </w:r>
    </w:p>
    <w:p>
      <w:pPr>
        <w:numPr>
          <w:ilvl w:val="0"/>
          <w:numId w:val="4"/>
        </w:numPr>
        <w:spacing w:after="200"/>
        <w:ind w:left="1843" w:hanging="426"/>
        <w:contextualSpacing/>
        <w:rPr>
          <w:rFonts w:ascii="Arial" w:hAnsi="Arial"/>
          <w:noProof/>
        </w:rPr>
      </w:pPr>
      <w:r>
        <w:rPr>
          <w:rFonts w:ascii="Arial" w:hAnsi="Arial" w:cs="Arial"/>
          <w:noProof/>
          <w:sz w:val="20"/>
        </w:rPr>
        <w:t>failure to fulfil obligations under the Directive on driving licences;</w:t>
      </w:r>
      <w:r>
        <w:rPr>
          <w:rStyle w:val="FootnoteReference"/>
          <w:rFonts w:ascii="Arial" w:eastAsia="Calibri" w:hAnsi="Arial" w:cs="Arial"/>
          <w:noProof/>
          <w:kern w:val="20"/>
          <w:sz w:val="20"/>
        </w:rPr>
        <w:footnoteReference w:id="55"/>
      </w:r>
    </w:p>
    <w:p>
      <w:pPr>
        <w:numPr>
          <w:ilvl w:val="0"/>
          <w:numId w:val="4"/>
        </w:numPr>
        <w:spacing w:after="200"/>
        <w:ind w:left="1843" w:hanging="425"/>
        <w:contextualSpacing/>
        <w:rPr>
          <w:rFonts w:ascii="Arial" w:hAnsi="Arial" w:cs="Arial"/>
          <w:noProof/>
          <w:sz w:val="20"/>
        </w:rPr>
      </w:pPr>
      <w:r>
        <w:rPr>
          <w:rFonts w:ascii="Arial" w:hAnsi="Arial" w:cs="Arial"/>
          <w:noProof/>
          <w:sz w:val="20"/>
        </w:rPr>
        <w:t>the condition of nationality laid down for the exercise of the profession of notary in the Czech legal system. This is discriminatory and constitutes a disproportionate restriction of the freedom of establishment.</w:t>
      </w:r>
      <w:r>
        <w:rPr>
          <w:rStyle w:val="FootnoteReference"/>
          <w:rFonts w:ascii="Arial" w:eastAsia="MS Gothic" w:hAnsi="Arial" w:cs="Arial"/>
          <w:noProof/>
          <w:sz w:val="20"/>
        </w:rPr>
        <w:footnoteReference w:id="56"/>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260(2) TFEU.</w:t>
      </w:r>
    </w:p>
    <w:p>
      <w:pPr>
        <w:spacing w:after="200" w:line="276" w:lineRule="auto"/>
        <w:jc w:val="left"/>
        <w:rPr>
          <w:rFonts w:ascii="Arial" w:eastAsia="Calibri" w:hAnsi="Arial" w:cs="Arial"/>
          <w:noProof/>
          <w:kern w:val="20"/>
          <w:sz w:val="20"/>
        </w:rPr>
      </w:pPr>
      <w:r>
        <w:rPr>
          <w:rFonts w:ascii="Arial" w:hAnsi="Arial" w:cs="Arial"/>
          <w:noProof/>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148"/>
        </w:numPr>
        <w:rPr>
          <w:noProof/>
        </w:rPr>
      </w:pPr>
      <w:r>
        <w:rPr>
          <w:noProof/>
        </w:rPr>
        <w:t>Late transposition infringement cases against the Czech Republic open on 31 December (2012-2016)</w:t>
      </w:r>
    </w:p>
    <w:p>
      <w:pPr>
        <w:ind w:left="426" w:firstLine="283"/>
        <w:rPr>
          <w:noProof/>
        </w:rPr>
      </w:pPr>
      <w:r>
        <w:rPr>
          <w:noProof/>
          <w:lang w:val="en-US"/>
        </w:rPr>
        <w:drawing>
          <wp:inline distT="0" distB="0" distL="0" distR="0">
            <wp:extent cx="4593771" cy="2275114"/>
            <wp:effectExtent l="0" t="0" r="16510" b="11430"/>
            <wp:docPr id="49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Subtitle"/>
        <w:numPr>
          <w:ilvl w:val="0"/>
          <w:numId w:val="23"/>
        </w:numPr>
        <w:rPr>
          <w:noProof/>
        </w:rPr>
      </w:pPr>
      <w:r>
        <w:rPr>
          <w:noProof/>
        </w:rPr>
        <w:t>New late transposition infringement cases against the Czech Republic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93771" cy="2275114"/>
            <wp:effectExtent l="0" t="0" r="16510" b="11430"/>
            <wp:docPr id="494"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 xml:space="preserve">New late transposition infringement cases opened in 2016: policy areas </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499360"/>
            <wp:effectExtent l="0" t="0" r="22860" b="15240"/>
            <wp:docPr id="495"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spacing w:after="200" w:line="276" w:lineRule="auto"/>
        <w:jc w:val="left"/>
        <w:rPr>
          <w:rFonts w:ascii="Arial" w:hAnsi="Arial"/>
          <w:noProof/>
          <w:color w:val="002060"/>
          <w:sz w:val="22"/>
          <w:szCs w:val="22"/>
        </w:rPr>
      </w:pPr>
      <w:r>
        <w:rPr>
          <w:rFonts w:ascii="Arial" w:hAnsi="Arial"/>
          <w:noProof/>
          <w:color w:val="002060"/>
          <w:sz w:val="22"/>
          <w:szCs w:val="22"/>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pStyle w:val="Body"/>
        <w:rPr>
          <w:rFonts w:eastAsia="MS Gothic"/>
          <w:caps/>
          <w:noProof/>
          <w:szCs w:val="24"/>
          <w:lang w:val="en-GB"/>
        </w:rPr>
      </w:pPr>
      <w:r>
        <w:rPr>
          <w:rFonts w:eastAsia="Calibri"/>
          <w:noProof/>
          <w:lang w:val="en-GB"/>
        </w:rPr>
        <w:t>The Commission did not refer any cases to the Court under Articles 258 and 260(3)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ab/>
        <w:t>These concerned:</w:t>
      </w:r>
    </w:p>
    <w:p>
      <w:pPr>
        <w:numPr>
          <w:ilvl w:val="0"/>
          <w:numId w:val="4"/>
        </w:numPr>
        <w:spacing w:after="200"/>
        <w:ind w:left="1276"/>
        <w:contextualSpacing/>
        <w:rPr>
          <w:rFonts w:ascii="Arial" w:eastAsia="Calibri" w:hAnsi="Arial" w:cs="Arial"/>
          <w:noProof/>
          <w:kern w:val="20"/>
          <w:sz w:val="20"/>
        </w:rPr>
      </w:pPr>
      <w:r>
        <w:rPr>
          <w:rFonts w:ascii="Arial" w:eastAsia="Calibri" w:hAnsi="Arial" w:cs="Arial"/>
          <w:noProof/>
          <w:kern w:val="20"/>
          <w:sz w:val="20"/>
        </w:rPr>
        <w:t>non-compliant transposition of the Waste Framework Directive;</w:t>
      </w:r>
      <w:r>
        <w:rPr>
          <w:rStyle w:val="FootnoteReference"/>
          <w:rFonts w:eastAsia="Calibri"/>
          <w:noProof/>
        </w:rPr>
        <w:footnoteReference w:id="57"/>
      </w:r>
    </w:p>
    <w:p>
      <w:pPr>
        <w:numPr>
          <w:ilvl w:val="0"/>
          <w:numId w:val="4"/>
        </w:numPr>
        <w:spacing w:after="200"/>
        <w:ind w:left="1276"/>
        <w:contextualSpacing/>
        <w:rPr>
          <w:rFonts w:ascii="Arial" w:eastAsia="Calibri" w:hAnsi="Arial" w:cs="Arial"/>
          <w:noProof/>
          <w:kern w:val="20"/>
          <w:sz w:val="20"/>
        </w:rPr>
      </w:pPr>
      <w:r>
        <w:rPr>
          <w:rFonts w:ascii="Arial" w:eastAsia="Calibri" w:hAnsi="Arial" w:cs="Arial"/>
          <w:noProof/>
          <w:kern w:val="20"/>
          <w:sz w:val="20"/>
        </w:rPr>
        <w:t>incorrect transposition of the Groundwater Directive;</w:t>
      </w:r>
      <w:r>
        <w:rPr>
          <w:rStyle w:val="FootnoteReference"/>
          <w:rFonts w:eastAsia="Calibri"/>
          <w:noProof/>
        </w:rPr>
        <w:footnoteReference w:id="58"/>
      </w:r>
    </w:p>
    <w:p>
      <w:pPr>
        <w:numPr>
          <w:ilvl w:val="0"/>
          <w:numId w:val="4"/>
        </w:numPr>
        <w:spacing w:after="200"/>
        <w:ind w:left="1276"/>
        <w:contextualSpacing/>
        <w:rPr>
          <w:rFonts w:ascii="Arial" w:eastAsia="Calibri" w:hAnsi="Arial" w:cs="Arial"/>
          <w:noProof/>
          <w:kern w:val="20"/>
          <w:sz w:val="20"/>
        </w:rPr>
      </w:pPr>
      <w:r>
        <w:rPr>
          <w:rFonts w:ascii="Arial" w:eastAsia="Calibri" w:hAnsi="Arial" w:cs="Arial"/>
          <w:noProof/>
          <w:kern w:val="20"/>
          <w:sz w:val="20"/>
        </w:rPr>
        <w:t>incorrect transposition of the Environmental Quality Standards Directive;</w:t>
      </w:r>
      <w:r>
        <w:rPr>
          <w:rStyle w:val="FootnoteReference"/>
          <w:rFonts w:eastAsia="Calibri"/>
          <w:noProof/>
        </w:rPr>
        <w:footnoteReference w:id="59"/>
      </w:r>
    </w:p>
    <w:p>
      <w:pPr>
        <w:numPr>
          <w:ilvl w:val="0"/>
          <w:numId w:val="4"/>
        </w:numPr>
        <w:spacing w:after="200"/>
        <w:ind w:left="1276"/>
        <w:contextualSpacing/>
        <w:rPr>
          <w:rFonts w:ascii="Arial" w:eastAsia="Calibri" w:hAnsi="Arial" w:cs="Arial"/>
          <w:noProof/>
          <w:kern w:val="20"/>
          <w:sz w:val="20"/>
        </w:rPr>
      </w:pPr>
      <w:r>
        <w:rPr>
          <w:rFonts w:ascii="Arial" w:eastAsia="Calibri" w:hAnsi="Arial" w:cs="Arial"/>
          <w:noProof/>
          <w:kern w:val="20"/>
          <w:sz w:val="20"/>
        </w:rPr>
        <w:t>non-communication of national measures transposing the Seveso III Directive;</w:t>
      </w:r>
      <w:r>
        <w:rPr>
          <w:rStyle w:val="FootnoteReference"/>
          <w:rFonts w:eastAsia="Calibri"/>
          <w:noProof/>
        </w:rPr>
        <w:footnoteReference w:id="60"/>
      </w:r>
    </w:p>
    <w:p>
      <w:pPr>
        <w:numPr>
          <w:ilvl w:val="0"/>
          <w:numId w:val="4"/>
        </w:numPr>
        <w:spacing w:after="200"/>
        <w:ind w:left="1276"/>
        <w:contextualSpacing/>
        <w:rPr>
          <w:rFonts w:ascii="Arial" w:eastAsia="Calibri" w:hAnsi="Arial" w:cs="Arial"/>
          <w:noProof/>
          <w:kern w:val="20"/>
          <w:sz w:val="20"/>
        </w:rPr>
      </w:pPr>
      <w:r>
        <w:rPr>
          <w:rFonts w:ascii="Arial" w:eastAsia="Calibri" w:hAnsi="Arial" w:cs="Arial"/>
          <w:noProof/>
          <w:kern w:val="20"/>
          <w:sz w:val="20"/>
        </w:rPr>
        <w:t>completing the notification of all national measures necessary to transpose:</w:t>
      </w:r>
    </w:p>
    <w:p>
      <w:pPr>
        <w:numPr>
          <w:ilvl w:val="0"/>
          <w:numId w:val="237"/>
        </w:numPr>
        <w:spacing w:after="200"/>
        <w:contextualSpacing/>
        <w:rPr>
          <w:rFonts w:ascii="Arial" w:eastAsia="Calibri" w:hAnsi="Arial" w:cs="Arial"/>
          <w:noProof/>
          <w:kern w:val="20"/>
          <w:sz w:val="20"/>
        </w:rPr>
      </w:pPr>
      <w:r>
        <w:rPr>
          <w:rFonts w:ascii="Arial" w:eastAsia="Calibri" w:hAnsi="Arial" w:cs="Arial"/>
          <w:noProof/>
          <w:kern w:val="20"/>
          <w:sz w:val="20"/>
        </w:rPr>
        <w:t>the Bank Resolution and Recovery Directive;</w:t>
      </w:r>
      <w:r>
        <w:rPr>
          <w:rStyle w:val="FootnoteReference"/>
          <w:rFonts w:ascii="Arial" w:hAnsi="Arial" w:cs="Arial"/>
          <w:noProof/>
          <w:sz w:val="20"/>
        </w:rPr>
        <w:footnoteReference w:id="61"/>
      </w:r>
    </w:p>
    <w:p>
      <w:pPr>
        <w:numPr>
          <w:ilvl w:val="0"/>
          <w:numId w:val="237"/>
        </w:numPr>
        <w:spacing w:after="200"/>
        <w:contextualSpacing/>
        <w:rPr>
          <w:rFonts w:ascii="Arial" w:hAnsi="Arial"/>
          <w:noProof/>
          <w:sz w:val="20"/>
        </w:rPr>
      </w:pPr>
      <w:r>
        <w:rPr>
          <w:rFonts w:ascii="Arial" w:eastAsia="Calibri" w:hAnsi="Arial" w:cs="Arial"/>
          <w:noProof/>
          <w:kern w:val="20"/>
          <w:sz w:val="20"/>
        </w:rPr>
        <w:t>the Deposit Guarantee Schemes Directive;</w:t>
      </w:r>
      <w:r>
        <w:rPr>
          <w:rStyle w:val="FootnoteReference"/>
          <w:rFonts w:ascii="Arial" w:hAnsi="Arial" w:cs="Arial"/>
          <w:noProof/>
          <w:sz w:val="20"/>
        </w:rPr>
        <w:footnoteReference w:id="62"/>
      </w:r>
    </w:p>
    <w:p>
      <w:pPr>
        <w:numPr>
          <w:ilvl w:val="0"/>
          <w:numId w:val="237"/>
        </w:numPr>
        <w:spacing w:after="200"/>
        <w:contextualSpacing/>
        <w:rPr>
          <w:rFonts w:ascii="Arial" w:hAnsi="Arial" w:cs="Arial"/>
          <w:noProof/>
          <w:sz w:val="20"/>
        </w:rPr>
      </w:pPr>
      <w:r>
        <w:rPr>
          <w:rFonts w:ascii="Arial" w:eastAsia="Calibri" w:hAnsi="Arial" w:cs="Arial"/>
          <w:noProof/>
          <w:sz w:val="20"/>
        </w:rPr>
        <w:t xml:space="preserve">the </w:t>
      </w:r>
      <w:r>
        <w:rPr>
          <w:rFonts w:ascii="Arial" w:hAnsi="Arial" w:cs="Arial"/>
          <w:noProof/>
          <w:sz w:val="20"/>
        </w:rPr>
        <w:t>Financial Conglomerates Directive;</w:t>
      </w:r>
      <w:r>
        <w:rPr>
          <w:rStyle w:val="FootnoteReference"/>
          <w:rFonts w:ascii="Arial" w:hAnsi="Arial" w:cs="Arial"/>
          <w:noProof/>
          <w:sz w:val="20"/>
        </w:rPr>
        <w:footnoteReference w:id="63"/>
      </w:r>
    </w:p>
    <w:p>
      <w:pPr>
        <w:numPr>
          <w:ilvl w:val="0"/>
          <w:numId w:val="4"/>
        </w:numPr>
        <w:spacing w:after="200"/>
        <w:ind w:left="1276"/>
        <w:contextualSpacing/>
        <w:rPr>
          <w:rFonts w:ascii="Arial" w:hAnsi="Arial" w:cs="Arial"/>
          <w:noProof/>
          <w:sz w:val="20"/>
        </w:rPr>
      </w:pPr>
      <w:r>
        <w:rPr>
          <w:rFonts w:ascii="Arial" w:hAnsi="Arial"/>
          <w:noProof/>
          <w:sz w:val="20"/>
        </w:rPr>
        <w:t>failure to meet the obligation to interconnect a national electronic register of road transport undertakings;</w:t>
      </w:r>
      <w:r>
        <w:rPr>
          <w:rStyle w:val="FootnoteReference"/>
          <w:noProof/>
        </w:rPr>
        <w:footnoteReference w:id="64"/>
      </w:r>
    </w:p>
    <w:p>
      <w:pPr>
        <w:numPr>
          <w:ilvl w:val="0"/>
          <w:numId w:val="4"/>
        </w:numPr>
        <w:spacing w:after="200"/>
        <w:ind w:left="1276"/>
        <w:contextualSpacing/>
        <w:rPr>
          <w:rFonts w:ascii="Arial" w:eastAsia="Calibri" w:hAnsi="Arial"/>
          <w:noProof/>
          <w:kern w:val="20"/>
          <w:sz w:val="20"/>
        </w:rPr>
      </w:pPr>
      <w:r>
        <w:rPr>
          <w:rFonts w:ascii="Arial" w:hAnsi="Arial"/>
          <w:noProof/>
          <w:sz w:val="20"/>
        </w:rPr>
        <w:t>non-ratification of or reservations against appendices to the Convention concerning International Carriage by Rail;</w:t>
      </w:r>
    </w:p>
    <w:p>
      <w:pPr>
        <w:numPr>
          <w:ilvl w:val="0"/>
          <w:numId w:val="4"/>
        </w:numPr>
        <w:spacing w:after="200"/>
        <w:ind w:left="1276"/>
        <w:contextualSpacing/>
        <w:rPr>
          <w:rFonts w:ascii="Arial" w:eastAsia="Calibri" w:hAnsi="Arial"/>
          <w:noProof/>
          <w:kern w:val="20"/>
          <w:sz w:val="20"/>
        </w:rPr>
      </w:pPr>
      <w:r>
        <w:rPr>
          <w:rFonts w:ascii="Arial" w:eastAsia="Calibri" w:hAnsi="Arial"/>
          <w:noProof/>
          <w:kern w:val="20"/>
          <w:sz w:val="20"/>
        </w:rPr>
        <w:t>incorrect implementation of the Directive on a European electronic toll service.</w:t>
      </w:r>
      <w:r>
        <w:rPr>
          <w:rStyle w:val="FootnoteReference"/>
          <w:rFonts w:eastAsia="Calibri"/>
          <w:noProof/>
        </w:rPr>
        <w:footnoteReference w:id="65"/>
      </w:r>
    </w:p>
    <w:p>
      <w:pPr>
        <w:spacing w:after="200"/>
        <w:ind w:left="1276"/>
        <w:contextualSpacing/>
        <w:rPr>
          <w:rFonts w:ascii="Arial" w:hAnsi="Arial" w:cs="Arial"/>
          <w:noProof/>
          <w:sz w:val="20"/>
        </w:rPr>
      </w:pP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149"/>
        </w:numPr>
        <w:rPr>
          <w:noProof/>
        </w:rPr>
      </w:pPr>
      <w:r>
        <w:rPr>
          <w:noProof/>
        </w:rPr>
        <w:t>Court rulings</w:t>
      </w:r>
      <w:r>
        <w:rPr>
          <w:rStyle w:val="FootnoteReference"/>
          <w:noProof/>
        </w:rPr>
        <w:footnoteReference w:id="66"/>
      </w:r>
    </w:p>
    <w:p>
      <w:pPr>
        <w:pStyle w:val="Body"/>
        <w:rPr>
          <w:noProof/>
          <w:lang w:val="en-GB"/>
        </w:rPr>
      </w:pPr>
      <w:r>
        <w:rPr>
          <w:noProof/>
          <w:lang w:val="en-GB"/>
        </w:rPr>
        <w:t>The Court ruled that:</w:t>
      </w:r>
    </w:p>
    <w:p>
      <w:pPr>
        <w:pStyle w:val="Lijstje2"/>
        <w:ind w:left="1276" w:hanging="283"/>
        <w:rPr>
          <w:rFonts w:ascii="Arial" w:hAnsi="Arial" w:cs="Arial"/>
          <w:noProof/>
          <w:lang w:val="en-GB"/>
        </w:rPr>
      </w:pPr>
      <w:r>
        <w:rPr>
          <w:rFonts w:ascii="Arial" w:hAnsi="Arial" w:cs="Arial"/>
          <w:noProof/>
          <w:lang w:val="en-GB"/>
        </w:rPr>
        <w:t>the Czech Republic failed to fulfil its obligations concerning the free movement of goods by refusing to recognise the hallmarks of Waarborg Holland, the Netherlands’ independent assay office for precious metals. Although in some cases the Member State is entitled not to recognise hallmarks affixed outside the EU by that assay office, a general and systematic refusal to recognise any of that office’s hallmarks is a disproportionate measure.</w:t>
      </w:r>
      <w:r>
        <w:rPr>
          <w:rStyle w:val="FootnoteReference"/>
          <w:rFonts w:ascii="Arial" w:hAnsi="Arial"/>
          <w:noProof/>
          <w:lang w:val="en-GB"/>
        </w:rPr>
        <w:footnoteReference w:id="67"/>
      </w:r>
    </w:p>
    <w:p>
      <w:pPr>
        <w:pStyle w:val="Lijstje2"/>
        <w:numPr>
          <w:ilvl w:val="0"/>
          <w:numId w:val="0"/>
        </w:numPr>
        <w:ind w:left="1778"/>
        <w:rPr>
          <w:rFonts w:ascii="Arial" w:hAnsi="Arial" w:cs="Arial"/>
          <w:noProof/>
          <w:lang w:val="en-GB"/>
        </w:rPr>
      </w:pP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ind w:left="786" w:firstLine="0"/>
        <w:rPr>
          <w:noProof/>
          <w:lang w:val="en-GB"/>
        </w:rPr>
      </w:pPr>
      <w:r>
        <w:rPr>
          <w:noProof/>
          <w:lang w:val="en-GB"/>
        </w:rPr>
        <w:t>In a preliminary ruling addressed to the Czech judiciary, the Court held that:</w:t>
      </w:r>
    </w:p>
    <w:p>
      <w:pPr>
        <w:pStyle w:val="ListParagraph"/>
        <w:numPr>
          <w:ilvl w:val="0"/>
          <w:numId w:val="247"/>
        </w:numPr>
        <w:spacing w:after="120"/>
        <w:rPr>
          <w:rFonts w:ascii="Arial" w:hAnsi="Arial" w:cs="Arial"/>
          <w:noProof/>
          <w:sz w:val="20"/>
        </w:rPr>
      </w:pPr>
      <w:r>
        <w:rPr>
          <w:rFonts w:ascii="Arial" w:hAnsi="Arial" w:cs="Arial"/>
          <w:noProof/>
          <w:sz w:val="20"/>
        </w:rPr>
        <w:t>Directive 2003/95/EU does not preclude national legislation that requires individuals to complete periodic training of a specified duration as a condition for carrying out a driving activity in circumstances where the individuals concerned were exempted from the obligation laid down in the Directive to obtain an initial qualification.</w:t>
      </w:r>
    </w:p>
    <w:p>
      <w:pPr>
        <w:pStyle w:val="ListParagraph"/>
        <w:numPr>
          <w:ilvl w:val="0"/>
          <w:numId w:val="247"/>
        </w:numPr>
        <w:spacing w:after="120"/>
        <w:rPr>
          <w:rFonts w:ascii="Arial" w:hAnsi="Arial" w:cs="Arial"/>
          <w:noProof/>
          <w:sz w:val="20"/>
        </w:rPr>
        <w:sectPr>
          <w:headerReference w:type="even" r:id="rId73"/>
          <w:headerReference w:type="default" r:id="rId74"/>
          <w:footerReference w:type="even" r:id="rId75"/>
          <w:footerReference w:type="default" r:id="rId76"/>
          <w:headerReference w:type="first" r:id="rId77"/>
          <w:footerReference w:type="first" r:id="rId78"/>
          <w:footnotePr>
            <w:numRestart w:val="eachSect"/>
          </w:footnotePr>
          <w:pgSz w:w="11906" w:h="16838"/>
          <w:pgMar w:top="1701" w:right="1417" w:bottom="1134" w:left="1417" w:header="567" w:footer="351" w:gutter="0"/>
          <w:cols w:space="708"/>
          <w:titlePg/>
          <w:docGrid w:linePitch="360"/>
        </w:sectPr>
      </w:pPr>
    </w:p>
    <w:p>
      <w:pPr>
        <w:pStyle w:val="Heading1"/>
        <w:rPr>
          <w:noProof/>
        </w:rPr>
      </w:pPr>
      <w:bookmarkStart w:id="29" w:name="_Toc444769590"/>
      <w:bookmarkStart w:id="30" w:name="_Toc444772046"/>
      <w:bookmarkStart w:id="31" w:name="_Toc444773365"/>
      <w:bookmarkStart w:id="32" w:name="_Toc444776737"/>
      <w:bookmarkStart w:id="33" w:name="_Toc475974644"/>
      <w:bookmarkStart w:id="34" w:name="_Toc475980140"/>
      <w:bookmarkStart w:id="35" w:name="_Toc475981389"/>
      <w:bookmarkStart w:id="36" w:name="_Toc477938586"/>
      <w:r>
        <w:rPr>
          <w:noProof/>
        </w:rPr>
        <w:t>Denmark</w:t>
      </w:r>
      <w:bookmarkEnd w:id="29"/>
      <w:bookmarkEnd w:id="30"/>
      <w:bookmarkEnd w:id="31"/>
      <w:bookmarkEnd w:id="32"/>
      <w:bookmarkEnd w:id="33"/>
      <w:bookmarkEnd w:id="34"/>
      <w:bookmarkEnd w:id="35"/>
      <w:bookmarkEnd w:id="36"/>
    </w:p>
    <w:p>
      <w:pPr>
        <w:spacing w:after="120"/>
        <w:rPr>
          <w:rFonts w:ascii="Arial" w:hAnsi="Arial" w:cs="Arial"/>
          <w:i/>
          <w:noProof/>
          <w:sz w:val="22"/>
          <w:szCs w:val="22"/>
        </w:rPr>
      </w:pPr>
      <w:r>
        <w:rPr>
          <w:rFonts w:ascii="Arial" w:hAnsi="Arial" w:cs="Arial"/>
          <w:i/>
          <w:noProof/>
          <w:sz w:val="22"/>
          <w:szCs w:val="22"/>
        </w:rPr>
        <w:t xml:space="preserve">All the main indicators for Denmark worsened in 2016. New complaints rose to their highest level since 2012, while the number of new EU Pilot files also increased after the sharp fall from its 2013 peak. Both open infringement cases and new cases for late transposition rose considerably, reaching five-year highs.  </w:t>
      </w:r>
    </w:p>
    <w:p>
      <w:pPr>
        <w:spacing w:after="120"/>
        <w:rPr>
          <w:rFonts w:ascii="Arial" w:hAnsi="Arial" w:cs="Arial"/>
          <w:i/>
          <w:noProof/>
          <w:sz w:val="22"/>
          <w:szCs w:val="22"/>
        </w:rPr>
      </w:pPr>
    </w:p>
    <w:p>
      <w:pPr>
        <w:pStyle w:val="kop2"/>
        <w:numPr>
          <w:ilvl w:val="0"/>
          <w:numId w:val="150"/>
        </w:numPr>
        <w:rPr>
          <w:noProof/>
        </w:rPr>
      </w:pPr>
      <w:r>
        <w:rPr>
          <w:noProof/>
        </w:rPr>
        <w:t>COMPLAINTS</w:t>
      </w:r>
    </w:p>
    <w:p>
      <w:pPr>
        <w:pStyle w:val="Subtitle"/>
        <w:numPr>
          <w:ilvl w:val="0"/>
          <w:numId w:val="151"/>
        </w:numPr>
        <w:rPr>
          <w:noProof/>
        </w:rPr>
      </w:pPr>
      <w:r>
        <w:rPr>
          <w:noProof/>
        </w:rPr>
        <w:t>New complaints made against Denmark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23014" cy="1828800"/>
            <wp:effectExtent l="0" t="0" r="11430" b="19050"/>
            <wp:docPr id="42"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Subtitle"/>
        <w:numPr>
          <w:ilvl w:val="0"/>
          <w:numId w:val="23"/>
        </w:numPr>
        <w:rPr>
          <w:noProof/>
        </w:rPr>
      </w:pPr>
      <w:r>
        <w:rPr>
          <w:noProof/>
        </w:rPr>
        <w:t>Public complaints against Denmark open at year-end</w:t>
      </w:r>
    </w:p>
    <w:tbl>
      <w:tblPr>
        <w:tblStyle w:val="Style16"/>
        <w:tblW w:w="0" w:type="auto"/>
        <w:jc w:val="center"/>
        <w:tblInd w:w="421" w:type="dxa"/>
        <w:tblLook w:val="04A0" w:firstRow="1" w:lastRow="0" w:firstColumn="1" w:lastColumn="0" w:noHBand="0" w:noVBand="1"/>
      </w:tblPr>
      <w:tblGrid>
        <w:gridCol w:w="1697"/>
        <w:gridCol w:w="355"/>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52</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 xml:space="preserve"> 68</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 xml:space="preserve"> 74</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46</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numPr>
          <w:ilvl w:val="0"/>
          <w:numId w:val="23"/>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7720" cy="2354580"/>
            <wp:effectExtent l="0" t="0" r="11430" b="26670"/>
            <wp:docPr id="43"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spacing w:after="200" w:line="276" w:lineRule="auto"/>
        <w:jc w:val="left"/>
        <w:rPr>
          <w:rFonts w:ascii="Arial" w:hAnsi="Arial" w:cs="Arial"/>
          <w:noProof/>
          <w:sz w:val="20"/>
        </w:rPr>
      </w:pPr>
      <w:r>
        <w:rPr>
          <w:noProof/>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152"/>
        </w:numPr>
        <w:rPr>
          <w:noProof/>
        </w:rPr>
      </w:pPr>
      <w:r>
        <w:rPr>
          <w:noProof/>
        </w:rPr>
        <w:t>New EU Pilot files opened against Denmark (2012-2016)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572000" cy="1992085"/>
            <wp:effectExtent l="0" t="0" r="19050" b="27305"/>
            <wp:docPr id="44"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Subtitle"/>
        <w:numPr>
          <w:ilvl w:val="0"/>
          <w:numId w:val="23"/>
        </w:numPr>
        <w:rPr>
          <w:noProof/>
        </w:rPr>
      </w:pPr>
      <w:r>
        <w:rPr>
          <w:noProof/>
        </w:rPr>
        <w:t>Files relating to Denmark open in EU Pilot at year-end</w:t>
      </w:r>
    </w:p>
    <w:p>
      <w:pPr>
        <w:spacing w:after="0"/>
        <w:ind w:firstLine="709"/>
        <w:rPr>
          <w:rFonts w:ascii="Arial" w:hAnsi="Arial" w:cs="Arial"/>
          <w:noProof/>
          <w:sz w:val="20"/>
        </w:rPr>
      </w:pPr>
      <w:r>
        <w:rPr>
          <w:rFonts w:ascii="Arial" w:hAnsi="Arial" w:cs="Arial"/>
          <w:noProof/>
          <w:sz w:val="20"/>
          <w:lang w:val="en-US"/>
        </w:rPr>
        <w:drawing>
          <wp:inline distT="0" distB="0" distL="0" distR="0">
            <wp:extent cx="4572000" cy="1992085"/>
            <wp:effectExtent l="0" t="0" r="19050" b="27305"/>
            <wp:docPr id="135"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pStyle w:val="Subtitle"/>
        <w:numPr>
          <w:ilvl w:val="0"/>
          <w:numId w:val="23"/>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02480" cy="2382520"/>
            <wp:effectExtent l="0" t="0" r="26670" b="17780"/>
            <wp:docPr id="45"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spacing w:after="200" w:line="276" w:lineRule="auto"/>
        <w:jc w:val="left"/>
        <w:rPr>
          <w:rFonts w:ascii="Arial" w:hAnsi="Arial"/>
          <w:noProof/>
          <w:color w:val="002060"/>
          <w:sz w:val="22"/>
          <w:szCs w:val="22"/>
        </w:rPr>
      </w:pPr>
      <w:r>
        <w:rPr>
          <w:noProof/>
        </w:rPr>
        <w:br w:type="page"/>
      </w:r>
    </w:p>
    <w:p>
      <w:pPr>
        <w:pStyle w:val="Subtitle"/>
        <w:numPr>
          <w:ilvl w:val="0"/>
          <w:numId w:val="23"/>
        </w:numPr>
        <w:rPr>
          <w:noProof/>
        </w:rPr>
      </w:pPr>
      <w:r>
        <w:rPr>
          <w:noProof/>
        </w:rPr>
        <w:t>EU Pilot files: Denmark’s average response time in 2012-2016 (in days)</w:t>
      </w:r>
    </w:p>
    <w:p>
      <w:pPr>
        <w:spacing w:after="200"/>
        <w:ind w:firstLine="709"/>
        <w:rPr>
          <w:rFonts w:ascii="Arial" w:hAnsi="Arial" w:cs="Arial"/>
          <w:noProof/>
          <w:sz w:val="20"/>
        </w:rPr>
      </w:pPr>
      <w:r>
        <w:rPr>
          <w:rFonts w:ascii="Arial" w:hAnsi="Arial" w:cs="Arial"/>
          <w:noProof/>
          <w:sz w:val="20"/>
          <w:lang w:val="en-US"/>
        </w:rPr>
        <w:drawing>
          <wp:inline distT="0" distB="0" distL="0" distR="0">
            <wp:extent cx="4541520" cy="2019300"/>
            <wp:effectExtent l="0" t="0" r="11430" b="19050"/>
            <wp:docPr id="46"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pStyle w:val="Subtitle"/>
        <w:numPr>
          <w:ilvl w:val="0"/>
          <w:numId w:val="23"/>
        </w:numPr>
        <w:rPr>
          <w:noProof/>
        </w:rPr>
      </w:pPr>
      <w:r>
        <w:rPr>
          <w:noProof/>
        </w:rPr>
        <w:t>EU Pilot files: Denmark’s resolution rate in 2012-2016</w:t>
      </w:r>
    </w:p>
    <w:p>
      <w:pPr>
        <w:spacing w:after="200"/>
        <w:ind w:firstLine="709"/>
        <w:rPr>
          <w:rFonts w:ascii="Arial" w:hAnsi="Arial" w:cs="Arial"/>
          <w:noProof/>
          <w:sz w:val="20"/>
        </w:rPr>
      </w:pPr>
      <w:r>
        <w:rPr>
          <w:rFonts w:ascii="Arial" w:hAnsi="Arial" w:cs="Arial"/>
          <w:noProof/>
          <w:sz w:val="20"/>
          <w:lang w:val="en-US"/>
        </w:rPr>
        <w:drawing>
          <wp:inline distT="0" distB="0" distL="0" distR="0">
            <wp:extent cx="4572000" cy="2100943"/>
            <wp:effectExtent l="0" t="0" r="19050" b="13970"/>
            <wp:docPr id="47"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153"/>
        </w:numPr>
        <w:rPr>
          <w:noProof/>
        </w:rPr>
      </w:pPr>
      <w:r>
        <w:rPr>
          <w:noProof/>
        </w:rPr>
        <w:t>Infringement cases against Denmark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2000" cy="2057400"/>
            <wp:effectExtent l="0" t="0" r="19050" b="19050"/>
            <wp:docPr id="48"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spacing w:after="200" w:line="276" w:lineRule="auto"/>
        <w:jc w:val="left"/>
        <w:rPr>
          <w:rFonts w:ascii="Arial" w:hAnsi="Arial"/>
          <w:noProof/>
          <w:color w:val="002060"/>
          <w:sz w:val="22"/>
          <w:szCs w:val="22"/>
        </w:rPr>
      </w:pPr>
      <w:r>
        <w:rPr>
          <w:rFonts w:ascii="Arial" w:hAnsi="Arial"/>
          <w:noProof/>
          <w:color w:val="002060"/>
          <w:sz w:val="22"/>
          <w:szCs w:val="22"/>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324100"/>
            <wp:effectExtent l="0" t="0" r="13970" b="19050"/>
            <wp:docPr id="49"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54"/>
        </w:numPr>
        <w:ind w:hanging="426"/>
        <w:rPr>
          <w:rFonts w:ascii="Arial" w:hAnsi="Arial" w:cs="Arial"/>
          <w:noProof/>
          <w:lang w:val="en-GB"/>
        </w:rPr>
      </w:pPr>
      <w:r>
        <w:rPr>
          <w:rFonts w:ascii="Arial" w:hAnsi="Arial" w:cs="Arial"/>
          <w:noProof/>
          <w:lang w:val="en-GB"/>
        </w:rPr>
        <w:t>The Commission opened 31 new infringement cases against Denmark in 2016. These, and other major ongoing infringement cases, include:</w:t>
      </w:r>
    </w:p>
    <w:p>
      <w:pPr>
        <w:pStyle w:val="Lijstje2"/>
        <w:spacing w:after="200"/>
        <w:ind w:left="1843" w:hanging="425"/>
        <w:rPr>
          <w:rFonts w:ascii="Arial" w:hAnsi="Arial" w:cs="Arial"/>
          <w:noProof/>
          <w:lang w:val="en-GB"/>
        </w:rPr>
      </w:pPr>
      <w:r>
        <w:rPr>
          <w:rFonts w:ascii="Arial" w:hAnsi="Arial" w:cs="Arial"/>
          <w:noProof/>
          <w:lang w:val="en-GB"/>
        </w:rPr>
        <w:t>non-respect of NO</w:t>
      </w:r>
      <w:r>
        <w:rPr>
          <w:rFonts w:ascii="Arial" w:hAnsi="Arial" w:cs="Arial"/>
          <w:noProof/>
          <w:vertAlign w:val="subscript"/>
          <w:lang w:val="en-GB"/>
        </w:rPr>
        <w:t>2 </w:t>
      </w:r>
      <w:r>
        <w:rPr>
          <w:rFonts w:ascii="Arial" w:hAnsi="Arial" w:cs="Arial"/>
          <w:noProof/>
          <w:lang w:val="en-GB"/>
        </w:rPr>
        <w:t xml:space="preserve"> limit values set by the Air Quality Directive;</w:t>
      </w:r>
      <w:r>
        <w:rPr>
          <w:rStyle w:val="FootnoteReference"/>
          <w:noProof/>
        </w:rPr>
        <w:footnoteReference w:id="68"/>
      </w:r>
    </w:p>
    <w:p>
      <w:pPr>
        <w:pStyle w:val="Lijstje2"/>
        <w:spacing w:after="200"/>
        <w:ind w:left="1843" w:hanging="425"/>
        <w:rPr>
          <w:rFonts w:ascii="Arial" w:hAnsi="Arial" w:cs="Arial"/>
          <w:noProof/>
          <w:lang w:val="en-GB"/>
        </w:rPr>
      </w:pPr>
      <w:r>
        <w:rPr>
          <w:rFonts w:ascii="Arial" w:hAnsi="Arial" w:cs="Arial"/>
          <w:noProof/>
          <w:lang w:val="en-GB"/>
        </w:rPr>
        <w:t>non-compliant transposition of the Environmental Liability Directive;</w:t>
      </w:r>
      <w:r>
        <w:rPr>
          <w:rStyle w:val="FootnoteReference"/>
          <w:noProof/>
        </w:rPr>
        <w:footnoteReference w:id="69"/>
      </w:r>
    </w:p>
    <w:p>
      <w:pPr>
        <w:pStyle w:val="Lijstje2"/>
        <w:spacing w:after="200"/>
        <w:ind w:left="1843" w:hanging="425"/>
        <w:rPr>
          <w:rFonts w:ascii="Arial" w:hAnsi="Arial" w:cs="Arial"/>
          <w:noProof/>
          <w:lang w:val="en-GB"/>
        </w:rPr>
      </w:pPr>
      <w:r>
        <w:rPr>
          <w:rFonts w:ascii="Arial" w:hAnsi="Arial"/>
          <w:noProof/>
          <w:lang w:val="en-GB"/>
        </w:rPr>
        <w:t>failure to fully transpose the Energy Efficiency Directive;</w:t>
      </w:r>
      <w:r>
        <w:rPr>
          <w:rStyle w:val="FootnoteReference"/>
          <w:noProof/>
        </w:rPr>
        <w:footnoteReference w:id="70"/>
      </w:r>
      <w:r>
        <w:rPr>
          <w:rFonts w:ascii="Arial" w:hAnsi="Arial"/>
          <w:noProof/>
          <w:lang w:val="en-GB"/>
        </w:rPr>
        <w:t xml:space="preserve"> </w:t>
      </w:r>
    </w:p>
    <w:p>
      <w:pPr>
        <w:pStyle w:val="Lijstje2"/>
        <w:spacing w:after="0"/>
        <w:ind w:left="1843" w:hanging="426"/>
        <w:jc w:val="left"/>
        <w:rPr>
          <w:rFonts w:ascii="Arial" w:hAnsi="Arial" w:cs="Arial"/>
          <w:noProof/>
          <w:lang w:val="en-GB"/>
        </w:rPr>
      </w:pPr>
      <w:r>
        <w:rPr>
          <w:rFonts w:ascii="Arial" w:hAnsi="Arial"/>
          <w:noProof/>
          <w:lang w:val="en-GB"/>
        </w:rPr>
        <w:t xml:space="preserve">failure to correctly transpose the Directive on driving licences; </w:t>
      </w:r>
      <w:r>
        <w:rPr>
          <w:rStyle w:val="FootnoteReference"/>
          <w:rFonts w:ascii="Arial" w:hAnsi="Arial"/>
          <w:noProof/>
          <w:lang w:val="en-GB"/>
        </w:rPr>
        <w:footnoteReference w:id="71"/>
      </w:r>
    </w:p>
    <w:p>
      <w:pPr>
        <w:pStyle w:val="Lijstje2"/>
        <w:spacing w:after="0"/>
        <w:ind w:left="1843" w:hanging="425"/>
        <w:contextualSpacing w:val="0"/>
        <w:jc w:val="left"/>
        <w:rPr>
          <w:rFonts w:ascii="Arial" w:hAnsi="Arial" w:cs="Arial"/>
          <w:noProof/>
          <w:lang w:val="en-GB" w:eastAsia="en-GB"/>
        </w:rPr>
      </w:pPr>
      <w:r>
        <w:rPr>
          <w:rFonts w:ascii="Arial" w:hAnsi="Arial" w:cs="Arial"/>
          <w:i/>
          <w:noProof/>
          <w:lang w:val="en-GB"/>
        </w:rPr>
        <w:t>e</w:t>
      </w:r>
      <w:r>
        <w:rPr>
          <w:rFonts w:ascii="Arial" w:hAnsi="Arial" w:cs="Arial"/>
          <w:noProof/>
          <w:lang w:val="en-GB"/>
        </w:rPr>
        <w:t>xcessive and unjustified obstacles in the area of professional services that run counter to the Services Directive.</w:t>
      </w:r>
      <w:r>
        <w:rPr>
          <w:rStyle w:val="FootnoteReference"/>
          <w:noProof/>
        </w:rPr>
        <w:footnoteReference w:id="72"/>
      </w:r>
      <w:r>
        <w:rPr>
          <w:rFonts w:ascii="Arial" w:hAnsi="Arial" w:cs="Arial"/>
          <w:noProof/>
          <w:vertAlign w:val="superscript"/>
          <w:lang w:val="en-GB"/>
        </w:rPr>
        <w:t xml:space="preserve"> </w:t>
      </w:r>
    </w:p>
    <w:p>
      <w:pPr>
        <w:pStyle w:val="Lijstje2"/>
        <w:numPr>
          <w:ilvl w:val="0"/>
          <w:numId w:val="0"/>
        </w:numPr>
        <w:spacing w:after="0"/>
        <w:ind w:left="1843"/>
        <w:contextualSpacing w:val="0"/>
        <w:jc w:val="left"/>
        <w:rPr>
          <w:rFonts w:ascii="Arial" w:hAnsi="Arial" w:cs="Arial"/>
          <w:noProof/>
          <w:lang w:val="en-GB" w:eastAsia="en-GB"/>
        </w:rPr>
      </w:pPr>
    </w:p>
    <w:p>
      <w:pPr>
        <w:pStyle w:val="Lijstje"/>
        <w:numPr>
          <w:ilvl w:val="0"/>
          <w:numId w:val="2"/>
        </w:numPr>
        <w:ind w:hanging="426"/>
        <w:rPr>
          <w:rFonts w:ascii="Arial" w:hAnsi="Arial" w:cs="Arial"/>
          <w:noProof/>
          <w:lang w:val="en-GB"/>
        </w:rPr>
      </w:pPr>
      <w:r>
        <w:rPr>
          <w:rFonts w:ascii="Arial" w:hAnsi="Arial" w:cs="Arial"/>
          <w:noProof/>
          <w:lang w:val="en-GB"/>
        </w:rPr>
        <w:t>The Commission referred one case to the Court under Article 258 TFEU. It concerns:</w:t>
      </w:r>
    </w:p>
    <w:p>
      <w:pPr>
        <w:pStyle w:val="Lijstje2"/>
        <w:ind w:left="1843" w:hanging="426"/>
        <w:rPr>
          <w:rFonts w:ascii="Arial" w:hAnsi="Arial" w:cs="Arial"/>
          <w:noProof/>
          <w:lang w:val="en-GB"/>
        </w:rPr>
      </w:pPr>
      <w:r>
        <w:rPr>
          <w:rFonts w:ascii="Arial" w:eastAsia="Times New Roman" w:hAnsi="Arial" w:cs="Arial"/>
          <w:noProof/>
          <w:kern w:val="0"/>
          <w:lang w:val="en-GB"/>
        </w:rPr>
        <w:t>failure to comply with cabotage rules as laid down in the Regulation on access to the international road haulage market.</w:t>
      </w:r>
      <w:r>
        <w:rPr>
          <w:rStyle w:val="FootnoteReference"/>
          <w:noProof/>
        </w:rPr>
        <w:footnoteReference w:id="73"/>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260(2) TFEU.</w:t>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155"/>
        </w:numPr>
        <w:rPr>
          <w:noProof/>
        </w:rPr>
      </w:pPr>
      <w:r>
        <w:rPr>
          <w:noProof/>
        </w:rPr>
        <w:t>Late transposition infringement cases against Denmark open on 31 December (2012-2016)</w:t>
      </w:r>
    </w:p>
    <w:p>
      <w:pPr>
        <w:ind w:left="426" w:firstLine="283"/>
        <w:rPr>
          <w:rFonts w:ascii="Arial" w:hAnsi="Arial"/>
          <w:noProof/>
          <w:color w:val="002060"/>
          <w:sz w:val="22"/>
          <w:szCs w:val="22"/>
        </w:rPr>
      </w:pPr>
      <w:r>
        <w:rPr>
          <w:noProof/>
          <w:lang w:val="en-US"/>
        </w:rPr>
        <w:drawing>
          <wp:inline distT="0" distB="0" distL="0" distR="0">
            <wp:extent cx="4550228" cy="1899557"/>
            <wp:effectExtent l="0" t="0" r="22225" b="24765"/>
            <wp:docPr id="50"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pStyle w:val="Subtitle"/>
        <w:numPr>
          <w:ilvl w:val="0"/>
          <w:numId w:val="23"/>
        </w:numPr>
        <w:rPr>
          <w:noProof/>
        </w:rPr>
      </w:pPr>
      <w:r>
        <w:rPr>
          <w:noProof/>
        </w:rPr>
        <w:t>New late transposition infringement cases against Denmark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50228" cy="1899557"/>
            <wp:effectExtent l="0" t="0" r="22225" b="24765"/>
            <wp:docPr id="51"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spacing w:after="200"/>
        <w:ind w:firstLine="709"/>
        <w:rPr>
          <w:rFonts w:ascii="Arial" w:hAnsi="Arial" w:cs="Arial"/>
          <w:noProof/>
          <w:sz w:val="20"/>
        </w:rPr>
      </w:pPr>
      <w:r>
        <w:rPr>
          <w:rFonts w:ascii="Arial" w:hAnsi="Arial" w:cs="Arial"/>
          <w:noProof/>
          <w:sz w:val="20"/>
          <w:lang w:val="en-US"/>
        </w:rPr>
        <w:drawing>
          <wp:inline distT="0" distB="0" distL="0" distR="0">
            <wp:extent cx="4588328" cy="2590800"/>
            <wp:effectExtent l="0" t="0" r="22225" b="19050"/>
            <wp:docPr id="52"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These concerned:</w:t>
      </w:r>
    </w:p>
    <w:p>
      <w:pPr>
        <w:numPr>
          <w:ilvl w:val="0"/>
          <w:numId w:val="4"/>
        </w:numPr>
        <w:spacing w:after="0"/>
        <w:ind w:left="1276" w:hanging="357"/>
        <w:contextualSpacing/>
        <w:rPr>
          <w:rFonts w:ascii="Arial" w:eastAsia="Calibri" w:hAnsi="Arial"/>
          <w:noProof/>
          <w:kern w:val="20"/>
          <w:sz w:val="20"/>
        </w:rPr>
      </w:pPr>
      <w:r>
        <w:rPr>
          <w:rFonts w:ascii="Arial" w:eastAsia="Calibri" w:hAnsi="Arial" w:cs="Arial"/>
          <w:noProof/>
          <w:kern w:val="20"/>
          <w:sz w:val="20"/>
        </w:rPr>
        <w:t>non-communication of national measures transposing the Seveso III Directive;</w:t>
      </w:r>
      <w:r>
        <w:rPr>
          <w:rStyle w:val="FootnoteReference"/>
          <w:rFonts w:eastAsia="Calibri"/>
          <w:noProof/>
        </w:rPr>
        <w:footnoteReference w:id="74"/>
      </w:r>
    </w:p>
    <w:p>
      <w:pPr>
        <w:pStyle w:val="Lijstje2"/>
        <w:spacing w:after="0"/>
        <w:ind w:left="1276" w:hanging="357"/>
        <w:rPr>
          <w:rFonts w:ascii="Arial" w:hAnsi="Arial"/>
          <w:noProof/>
          <w:lang w:val="en-GB"/>
        </w:rPr>
      </w:pPr>
      <w:r>
        <w:rPr>
          <w:rFonts w:ascii="Arial" w:hAnsi="Arial"/>
          <w:noProof/>
          <w:lang w:val="en-GB"/>
        </w:rPr>
        <w:t>collective agreements in the municipal education sector which excluded part-time staff from a number of benefits if they worked less than 8 hours per week or were employed for less than 1 month.</w:t>
      </w:r>
    </w:p>
    <w:p>
      <w:pPr>
        <w:pStyle w:val="Lijstje2"/>
        <w:numPr>
          <w:ilvl w:val="0"/>
          <w:numId w:val="0"/>
        </w:numPr>
        <w:spacing w:after="0"/>
        <w:ind w:left="1276"/>
        <w:rPr>
          <w:rFonts w:ascii="Arial" w:hAnsi="Arial"/>
          <w:noProof/>
          <w:lang w:val="en-GB"/>
        </w:rPr>
      </w:pP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160"/>
        </w:numPr>
        <w:rPr>
          <w:noProof/>
        </w:rPr>
      </w:pPr>
      <w:r>
        <w:rPr>
          <w:noProof/>
        </w:rPr>
        <w:t>Court rulings</w:t>
      </w:r>
      <w:r>
        <w:rPr>
          <w:rStyle w:val="FootnoteReference"/>
          <w:noProof/>
        </w:rPr>
        <w:footnoteReference w:id="75"/>
      </w:r>
    </w:p>
    <w:p>
      <w:pPr>
        <w:pStyle w:val="Body"/>
        <w:rPr>
          <w:noProof/>
          <w:lang w:val="en-GB"/>
        </w:rPr>
      </w:pPr>
      <w:r>
        <w:rPr>
          <w:noProof/>
          <w:lang w:val="en-GB"/>
        </w:rPr>
        <w:t>There were no major Court rulings in 2016.</w:t>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ind w:left="786" w:firstLine="0"/>
        <w:rPr>
          <w:noProof/>
          <w:lang w:val="en-GB"/>
        </w:rPr>
      </w:pPr>
      <w:r>
        <w:rPr>
          <w:noProof/>
          <w:lang w:val="en-GB"/>
        </w:rPr>
        <w:t>In preliminary rulings addressed to the Danish judiciary, the Court held that:</w:t>
      </w:r>
    </w:p>
    <w:p>
      <w:pPr>
        <w:pStyle w:val="Lijstje2"/>
        <w:numPr>
          <w:ilvl w:val="0"/>
          <w:numId w:val="0"/>
        </w:numPr>
        <w:spacing w:after="200"/>
        <w:ind w:left="2137" w:hanging="360"/>
        <w:rPr>
          <w:rStyle w:val="FootnoteReference"/>
          <w:rFonts w:ascii="Arial" w:hAnsi="Arial"/>
          <w:noProof/>
          <w:lang w:val="en-GB"/>
        </w:rPr>
      </w:pPr>
    </w:p>
    <w:p>
      <w:pPr>
        <w:pStyle w:val="Lijstje2"/>
        <w:spacing w:after="200"/>
        <w:ind w:left="1166"/>
        <w:rPr>
          <w:rFonts w:ascii="Arial" w:eastAsia="Times New Roman" w:hAnsi="Arial"/>
          <w:noProof/>
          <w:kern w:val="0"/>
          <w:sz w:val="24"/>
          <w:lang w:val="en-GB"/>
        </w:rPr>
      </w:pPr>
      <w:r>
        <w:rPr>
          <w:rFonts w:ascii="Arial" w:hAnsi="Arial" w:cs="Arial"/>
          <w:noProof/>
          <w:lang w:val="en-GB"/>
        </w:rPr>
        <w:t>the Universal Service Directive</w:t>
      </w:r>
      <w:r>
        <w:rPr>
          <w:rStyle w:val="FootnoteReference"/>
          <w:rFonts w:ascii="Arial" w:hAnsi="Arial" w:cs="Arial"/>
          <w:noProof/>
          <w:lang w:val="en-GB"/>
        </w:rPr>
        <w:footnoteReference w:id="76"/>
      </w:r>
      <w:r>
        <w:rPr>
          <w:rFonts w:ascii="Arial" w:hAnsi="Arial" w:cs="Arial"/>
          <w:noProof/>
          <w:lang w:val="en-GB"/>
        </w:rPr>
        <w:t xml:space="preserve"> must be interpreted as precluding national legislation under which an undertaking designated as the provider of additional mandatory services is entitled to compensation from the Member State for the net cost of providing those services only if that cost constitutes an unfair burden on that undertaking;</w:t>
      </w:r>
      <w:r>
        <w:rPr>
          <w:rStyle w:val="FootnoteReference"/>
          <w:rFonts w:ascii="Arial" w:hAnsi="Arial" w:cs="Arial"/>
          <w:noProof/>
          <w:lang w:val="en-GB"/>
        </w:rPr>
        <w:footnoteReference w:id="77"/>
      </w:r>
    </w:p>
    <w:p>
      <w:pPr>
        <w:pStyle w:val="Lijstje2"/>
        <w:spacing w:after="200"/>
        <w:ind w:left="1166"/>
        <w:rPr>
          <w:rFonts w:ascii="Arial" w:eastAsia="Times New Roman" w:hAnsi="Arial" w:cs="Arial"/>
          <w:noProof/>
          <w:kern w:val="0"/>
          <w:sz w:val="24"/>
          <w:lang w:val="en-GB"/>
        </w:rPr>
      </w:pPr>
      <w:r>
        <w:rPr>
          <w:rFonts w:ascii="Arial" w:hAnsi="Arial" w:cs="Arial"/>
          <w:noProof/>
          <w:lang w:val="en-GB"/>
        </w:rPr>
        <w:t>the objective of ensuring the successful integration of non-EU nationals in the Member State concerned may constitute an overriding reason in the public interest</w:t>
      </w:r>
      <w:r>
        <w:rPr>
          <w:noProof/>
          <w:lang w:val="en-GB"/>
        </w:rPr>
        <w:t xml:space="preserve"> </w:t>
      </w:r>
      <w:r>
        <w:rPr>
          <w:rFonts w:ascii="Arial" w:hAnsi="Arial" w:cs="Arial"/>
          <w:noProof/>
          <w:lang w:val="en-GB"/>
        </w:rPr>
        <w:t>which Member States can legitimately invoke to justify new restrictions on the rights of residence of Turkish citizens and their family members in relation to the standstill clauses of the EU-Turkey association law, provided that they are proportionate to the objectives pursued.</w:t>
      </w:r>
      <w:r>
        <w:rPr>
          <w:rStyle w:val="FootnoteReference"/>
          <w:rFonts w:ascii="Arial" w:hAnsi="Arial" w:cs="Arial"/>
          <w:noProof/>
          <w:lang w:val="en-GB"/>
        </w:rPr>
        <w:footnoteReference w:id="78"/>
      </w:r>
    </w:p>
    <w:p>
      <w:pPr>
        <w:pStyle w:val="Lijstje2"/>
        <w:numPr>
          <w:ilvl w:val="0"/>
          <w:numId w:val="0"/>
        </w:numPr>
        <w:ind w:left="1778"/>
        <w:rPr>
          <w:rFonts w:ascii="Arial" w:hAnsi="Arial" w:cs="Arial"/>
          <w:noProof/>
          <w:lang w:val="en-GB"/>
        </w:rPr>
      </w:pPr>
    </w:p>
    <w:p>
      <w:pPr>
        <w:pStyle w:val="Body"/>
        <w:rPr>
          <w:rFonts w:eastAsia="Calibri"/>
          <w:noProof/>
          <w:lang w:val="en-GB"/>
        </w:rPr>
      </w:pPr>
    </w:p>
    <w:p>
      <w:pPr>
        <w:pStyle w:val="Lijstje2"/>
        <w:numPr>
          <w:ilvl w:val="0"/>
          <w:numId w:val="0"/>
        </w:numPr>
        <w:ind w:left="1777"/>
        <w:rPr>
          <w:noProof/>
          <w:lang w:val="en-GB"/>
        </w:rPr>
        <w:sectPr>
          <w:headerReference w:type="even" r:id="rId91"/>
          <w:headerReference w:type="default" r:id="rId92"/>
          <w:footerReference w:type="even" r:id="rId93"/>
          <w:footerReference w:type="default" r:id="rId94"/>
          <w:headerReference w:type="first" r:id="rId95"/>
          <w:footerReference w:type="first" r:id="rId96"/>
          <w:footnotePr>
            <w:numRestart w:val="eachSect"/>
          </w:footnotePr>
          <w:pgSz w:w="11906" w:h="16838"/>
          <w:pgMar w:top="1701" w:right="1417" w:bottom="1134" w:left="1417" w:header="567" w:footer="351" w:gutter="0"/>
          <w:cols w:space="708"/>
          <w:titlePg/>
          <w:docGrid w:linePitch="360"/>
        </w:sectPr>
      </w:pPr>
    </w:p>
    <w:p>
      <w:pPr>
        <w:pStyle w:val="Heading1"/>
        <w:rPr>
          <w:noProof/>
        </w:rPr>
      </w:pPr>
      <w:bookmarkStart w:id="37" w:name="_Toc477938587"/>
      <w:bookmarkStart w:id="38" w:name="_Toc444769591"/>
      <w:bookmarkStart w:id="39" w:name="_Toc444772047"/>
      <w:bookmarkStart w:id="40" w:name="_Toc444773366"/>
      <w:bookmarkStart w:id="41" w:name="_Toc444776738"/>
      <w:bookmarkStart w:id="42" w:name="_Toc475974645"/>
      <w:bookmarkStart w:id="43" w:name="_Toc475980141"/>
      <w:bookmarkStart w:id="44" w:name="_Toc475981390"/>
      <w:r>
        <w:rPr>
          <w:noProof/>
        </w:rPr>
        <w:t>Germany</w:t>
      </w:r>
      <w:bookmarkEnd w:id="37"/>
    </w:p>
    <w:p>
      <w:pPr>
        <w:spacing w:after="120"/>
        <w:rPr>
          <w:rFonts w:ascii="Arial" w:hAnsi="Arial"/>
          <w:i/>
          <w:noProof/>
          <w:sz w:val="22"/>
        </w:rPr>
      </w:pPr>
      <w:r>
        <w:rPr>
          <w:rFonts w:ascii="Arial" w:hAnsi="Arial"/>
          <w:i/>
          <w:noProof/>
          <w:sz w:val="22"/>
        </w:rPr>
        <w:t>New complaints against Germany in 2016 increased to a five-year peak, but new EU Pilot files reached a five-year low after falling sharply from 2015’s already low level. The number of infringement cases pending at the end of the year rose slightly. New infringement cases for late transposition remained at the 2015 level but were still above the 2012-2013 levels.</w:t>
      </w:r>
    </w:p>
    <w:p>
      <w:pPr>
        <w:spacing w:after="120"/>
        <w:rPr>
          <w:rFonts w:ascii="Arial" w:hAnsi="Arial" w:cs="Arial"/>
          <w:i/>
          <w:noProof/>
          <w:sz w:val="22"/>
          <w:szCs w:val="22"/>
        </w:rPr>
      </w:pPr>
    </w:p>
    <w:p>
      <w:pPr>
        <w:pStyle w:val="kop2"/>
        <w:numPr>
          <w:ilvl w:val="0"/>
          <w:numId w:val="182"/>
        </w:numPr>
        <w:rPr>
          <w:noProof/>
        </w:rPr>
      </w:pPr>
      <w:r>
        <w:rPr>
          <w:noProof/>
        </w:rPr>
        <w:t>COMPLAINTS</w:t>
      </w:r>
    </w:p>
    <w:p>
      <w:pPr>
        <w:pStyle w:val="Subtitle"/>
        <w:numPr>
          <w:ilvl w:val="0"/>
          <w:numId w:val="183"/>
        </w:numPr>
        <w:rPr>
          <w:noProof/>
        </w:rPr>
      </w:pPr>
      <w:r>
        <w:rPr>
          <w:noProof/>
        </w:rPr>
        <w:t>New complaints made against Germany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82886" cy="2226128"/>
            <wp:effectExtent l="0" t="0" r="27305" b="22225"/>
            <wp:docPr id="566"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pPr>
        <w:pStyle w:val="Subtitle"/>
        <w:numPr>
          <w:ilvl w:val="0"/>
          <w:numId w:val="23"/>
        </w:numPr>
        <w:rPr>
          <w:noProof/>
        </w:rPr>
      </w:pPr>
      <w:r>
        <w:rPr>
          <w:noProof/>
        </w:rPr>
        <w:t>Public complaints against Germany open at year-end</w:t>
      </w:r>
    </w:p>
    <w:tbl>
      <w:tblPr>
        <w:tblStyle w:val="Style110"/>
        <w:tblW w:w="0" w:type="auto"/>
        <w:jc w:val="center"/>
        <w:tblInd w:w="421" w:type="dxa"/>
        <w:tblLook w:val="04A0" w:firstRow="1" w:lastRow="0" w:firstColumn="1" w:lastColumn="0" w:noHBand="0" w:noVBand="1"/>
      </w:tblPr>
      <w:tblGrid>
        <w:gridCol w:w="1697"/>
        <w:gridCol w:w="452"/>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235</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308</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289</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254</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numPr>
          <w:ilvl w:val="0"/>
          <w:numId w:val="23"/>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5543" cy="2416628"/>
            <wp:effectExtent l="0" t="0" r="13970" b="22225"/>
            <wp:docPr id="567"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184"/>
        </w:numPr>
        <w:rPr>
          <w:noProof/>
        </w:rPr>
      </w:pPr>
      <w:r>
        <w:rPr>
          <w:noProof/>
        </w:rPr>
        <w:t>New EU Pilot files opened against Germany (2012-2016)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577443" cy="2220686"/>
            <wp:effectExtent l="0" t="0" r="13970" b="27305"/>
            <wp:docPr id="568"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pStyle w:val="Subtitle"/>
        <w:numPr>
          <w:ilvl w:val="0"/>
          <w:numId w:val="23"/>
        </w:numPr>
        <w:rPr>
          <w:noProof/>
        </w:rPr>
      </w:pPr>
      <w:r>
        <w:rPr>
          <w:noProof/>
        </w:rPr>
        <w:t>Files relating to Germany open in EU Pilot at year-end</w:t>
      </w:r>
    </w:p>
    <w:p>
      <w:pPr>
        <w:spacing w:after="0"/>
        <w:ind w:firstLine="709"/>
        <w:rPr>
          <w:rFonts w:ascii="Arial" w:hAnsi="Arial" w:cs="Arial"/>
          <w:noProof/>
          <w:sz w:val="20"/>
        </w:rPr>
      </w:pPr>
      <w:r>
        <w:rPr>
          <w:rFonts w:ascii="Arial" w:hAnsi="Arial" w:cs="Arial"/>
          <w:noProof/>
          <w:sz w:val="20"/>
          <w:lang w:val="en-US"/>
        </w:rPr>
        <w:drawing>
          <wp:inline distT="0" distB="0" distL="0" distR="0">
            <wp:extent cx="4577443" cy="2220686"/>
            <wp:effectExtent l="0" t="0" r="13970" b="27305"/>
            <wp:docPr id="15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pPr>
        <w:pStyle w:val="Subtitle"/>
        <w:numPr>
          <w:ilvl w:val="0"/>
          <w:numId w:val="23"/>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377440"/>
            <wp:effectExtent l="0" t="0" r="15240" b="22860"/>
            <wp:docPr id="569"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23"/>
        </w:numPr>
        <w:rPr>
          <w:noProof/>
        </w:rPr>
      </w:pPr>
      <w:r>
        <w:rPr>
          <w:noProof/>
        </w:rPr>
        <w:t>EU Pilot files: Germany’s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94860" cy="2240280"/>
            <wp:effectExtent l="0" t="0" r="15240" b="26670"/>
            <wp:docPr id="57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pStyle w:val="Subtitle"/>
        <w:numPr>
          <w:ilvl w:val="0"/>
          <w:numId w:val="23"/>
        </w:numPr>
        <w:rPr>
          <w:noProof/>
        </w:rPr>
      </w:pPr>
      <w:r>
        <w:rPr>
          <w:noProof/>
        </w:rPr>
        <w:t>EU Pilot files: Germany’s resolution rate in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99214" cy="2133600"/>
            <wp:effectExtent l="0" t="0" r="11430" b="19050"/>
            <wp:docPr id="571"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185"/>
        </w:numPr>
        <w:rPr>
          <w:noProof/>
        </w:rPr>
      </w:pPr>
      <w:r>
        <w:rPr>
          <w:noProof/>
        </w:rPr>
        <w:t>Infringement cases against Germany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2886" cy="2095500"/>
            <wp:effectExtent l="0" t="0" r="27305" b="19050"/>
            <wp:docPr id="572"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pPr>
        <w:spacing w:after="200" w:line="276" w:lineRule="auto"/>
        <w:jc w:val="left"/>
        <w:rPr>
          <w:rFonts w:ascii="Arial" w:hAnsi="Arial"/>
          <w:noProof/>
          <w:color w:val="002060"/>
          <w:sz w:val="22"/>
          <w:szCs w:val="22"/>
        </w:rPr>
      </w:pPr>
      <w:r>
        <w:rPr>
          <w:noProof/>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324100"/>
            <wp:effectExtent l="0" t="0" r="13970" b="19050"/>
            <wp:docPr id="573"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86"/>
        </w:numPr>
        <w:ind w:hanging="426"/>
        <w:rPr>
          <w:rFonts w:ascii="Arial" w:hAnsi="Arial" w:cs="Arial"/>
          <w:noProof/>
          <w:lang w:val="en-GB"/>
        </w:rPr>
      </w:pPr>
      <w:r>
        <w:rPr>
          <w:rFonts w:ascii="Arial" w:hAnsi="Arial" w:cs="Arial"/>
          <w:noProof/>
          <w:lang w:val="en-GB"/>
        </w:rPr>
        <w:t>The Commission opened 29 new infringement cases against Germany in 2016. These, and other major ongoing infringement cases, include:</w:t>
      </w:r>
    </w:p>
    <w:p>
      <w:pPr>
        <w:pStyle w:val="Lijstje2"/>
        <w:spacing w:after="200"/>
        <w:ind w:left="1843" w:hanging="426"/>
        <w:rPr>
          <w:rFonts w:ascii="Arial" w:hAnsi="Arial" w:cs="Arial"/>
          <w:noProof/>
          <w:lang w:val="en-GB"/>
        </w:rPr>
      </w:pPr>
      <w:r>
        <w:rPr>
          <w:rFonts w:ascii="Arial" w:hAnsi="Arial" w:cs="Arial"/>
          <w:noProof/>
          <w:lang w:val="en-GB"/>
        </w:rPr>
        <w:t>non-communication of national measures transposing the Directives on asylum procedures and reception conditions</w:t>
      </w:r>
      <w:r>
        <w:rPr>
          <w:rFonts w:ascii="Arial" w:hAnsi="Arial" w:cs="Arial"/>
          <w:i/>
          <w:noProof/>
          <w:lang w:val="en-GB"/>
        </w:rPr>
        <w:t>;</w:t>
      </w:r>
      <w:r>
        <w:rPr>
          <w:rStyle w:val="FootnoteReference"/>
          <w:rFonts w:ascii="Arial" w:hAnsi="Arial" w:cs="Arial"/>
          <w:noProof/>
          <w:lang w:val="en-GB"/>
        </w:rPr>
        <w:footnoteReference w:id="79"/>
      </w:r>
    </w:p>
    <w:p>
      <w:pPr>
        <w:pStyle w:val="Lijstje2"/>
        <w:spacing w:after="200"/>
        <w:ind w:left="1843" w:hanging="426"/>
        <w:rPr>
          <w:rFonts w:ascii="Arial" w:hAnsi="Arial" w:cs="Arial"/>
          <w:noProof/>
          <w:lang w:val="en-GB"/>
        </w:rPr>
      </w:pPr>
      <w:r>
        <w:rPr>
          <w:rFonts w:ascii="Arial" w:hAnsi="Arial" w:cs="Arial"/>
          <w:noProof/>
          <w:lang w:val="en-GB"/>
        </w:rPr>
        <w:t>failure to transpose in full the Directive amending EU legislation on the recognition of professional qualifications and the Internal Market Information System</w:t>
      </w:r>
    </w:p>
    <w:p>
      <w:pPr>
        <w:pStyle w:val="Lijstje2"/>
        <w:ind w:left="1843" w:hanging="426"/>
        <w:rPr>
          <w:rFonts w:ascii="Arial" w:hAnsi="Arial"/>
          <w:noProof/>
          <w:lang w:val="en-GB"/>
        </w:rPr>
      </w:pPr>
      <w:r>
        <w:rPr>
          <w:rFonts w:ascii="Arial" w:eastAsia="Times New Roman" w:hAnsi="Arial" w:cs="Arial"/>
          <w:noProof/>
          <w:kern w:val="0"/>
          <w:lang w:val="en-GB"/>
        </w:rPr>
        <w:t>lack of strategic noise maps and/or action plans required by the Environmental Noise Directive;</w:t>
      </w:r>
      <w:r>
        <w:rPr>
          <w:rStyle w:val="FootnoteReference"/>
          <w:noProof/>
        </w:rPr>
        <w:footnoteReference w:id="80"/>
      </w:r>
    </w:p>
    <w:p>
      <w:pPr>
        <w:pStyle w:val="Lijstje2"/>
        <w:ind w:left="1843" w:hanging="426"/>
        <w:rPr>
          <w:rFonts w:ascii="Arial" w:hAnsi="Arial"/>
          <w:noProof/>
          <w:lang w:val="en-GB"/>
        </w:rPr>
      </w:pPr>
      <w:r>
        <w:rPr>
          <w:rFonts w:ascii="Arial" w:eastAsia="Times New Roman" w:hAnsi="Arial" w:cs="Arial"/>
          <w:noProof/>
          <w:kern w:val="0"/>
          <w:lang w:val="en-GB"/>
        </w:rPr>
        <w:t>failure</w:t>
      </w:r>
      <w:r>
        <w:rPr>
          <w:rFonts w:ascii="Arial" w:hAnsi="Arial"/>
          <w:noProof/>
          <w:lang w:val="en-GB"/>
        </w:rPr>
        <w:t xml:space="preserve"> to communicate measures transposing the Seveso III Directive;</w:t>
      </w:r>
      <w:r>
        <w:rPr>
          <w:rStyle w:val="FootnoteReference"/>
          <w:rFonts w:ascii="Arial" w:hAnsi="Arial"/>
          <w:noProof/>
          <w:lang w:val="en-GB"/>
        </w:rPr>
        <w:footnoteReference w:id="81"/>
      </w:r>
    </w:p>
    <w:p>
      <w:pPr>
        <w:pStyle w:val="Lijstje2"/>
        <w:spacing w:after="200"/>
        <w:ind w:left="1843" w:hanging="426"/>
        <w:rPr>
          <w:rFonts w:ascii="Arial" w:hAnsi="Arial" w:cs="Arial"/>
          <w:noProof/>
          <w:lang w:val="en-GB"/>
        </w:rPr>
      </w:pPr>
      <w:r>
        <w:rPr>
          <w:rFonts w:ascii="Arial" w:eastAsia="Times New Roman" w:hAnsi="Arial" w:cs="Arial"/>
          <w:noProof/>
          <w:kern w:val="0"/>
          <w:lang w:val="en-GB"/>
        </w:rPr>
        <w:t>late transposition of the Directive</w:t>
      </w:r>
      <w:r>
        <w:rPr>
          <w:rStyle w:val="FootnoteReference"/>
          <w:noProof/>
        </w:rPr>
        <w:footnoteReference w:id="82"/>
      </w:r>
      <w:r>
        <w:rPr>
          <w:rFonts w:ascii="Arial" w:eastAsia="Times New Roman" w:hAnsi="Arial" w:cs="Arial"/>
          <w:noProof/>
          <w:kern w:val="0"/>
          <w:lang w:val="en-GB"/>
        </w:rPr>
        <w:t xml:space="preserve"> aligning various rules to the Regulation</w:t>
      </w:r>
      <w:r>
        <w:rPr>
          <w:rStyle w:val="FootnoteReference"/>
          <w:noProof/>
        </w:rPr>
        <w:footnoteReference w:id="83"/>
      </w:r>
      <w:r>
        <w:rPr>
          <w:rFonts w:ascii="Arial" w:eastAsia="Times New Roman" w:hAnsi="Arial" w:cs="Arial"/>
          <w:noProof/>
          <w:kern w:val="0"/>
          <w:lang w:val="en-GB"/>
        </w:rPr>
        <w:t xml:space="preserve"> on classification, labelling and packaging of substances and mixtures;</w:t>
      </w:r>
    </w:p>
    <w:p>
      <w:pPr>
        <w:pStyle w:val="Lijstje2"/>
        <w:spacing w:after="200"/>
        <w:ind w:left="1843" w:hanging="426"/>
        <w:rPr>
          <w:rFonts w:ascii="Arial" w:hAnsi="Arial" w:cs="Arial"/>
          <w:noProof/>
          <w:lang w:val="en-GB"/>
        </w:rPr>
      </w:pPr>
      <w:r>
        <w:rPr>
          <w:rFonts w:ascii="Arial" w:hAnsi="Arial" w:cs="Arial"/>
          <w:noProof/>
          <w:lang w:val="en-GB"/>
        </w:rPr>
        <w:t>failure to fully transpose the Offshore Safety Directive;</w:t>
      </w:r>
      <w:r>
        <w:rPr>
          <w:rStyle w:val="FootnoteReference"/>
          <w:noProof/>
        </w:rPr>
        <w:footnoteReference w:id="84"/>
      </w:r>
    </w:p>
    <w:p>
      <w:pPr>
        <w:pStyle w:val="Lijstje2"/>
        <w:spacing w:after="200"/>
        <w:ind w:left="1843" w:hanging="426"/>
        <w:rPr>
          <w:rFonts w:ascii="Arial" w:hAnsi="Arial" w:cs="Arial"/>
          <w:noProof/>
          <w:lang w:val="en-GB"/>
        </w:rPr>
      </w:pPr>
      <w:r>
        <w:rPr>
          <w:rFonts w:ascii="Arial" w:hAnsi="Arial" w:cs="Arial"/>
          <w:noProof/>
          <w:lang w:val="en-GB"/>
        </w:rPr>
        <w:t>failure to comply with the Third Internal Energy Market Package;</w:t>
      </w:r>
      <w:r>
        <w:rPr>
          <w:rStyle w:val="FootnoteReference"/>
          <w:noProof/>
        </w:rPr>
        <w:footnoteReference w:id="85"/>
      </w:r>
      <w:r>
        <w:rPr>
          <w:rFonts w:ascii="Arial" w:hAnsi="Arial" w:cs="Arial"/>
          <w:noProof/>
          <w:lang w:val="en-GB"/>
        </w:rPr>
        <w:t xml:space="preserve"> </w:t>
      </w:r>
    </w:p>
    <w:p>
      <w:pPr>
        <w:pStyle w:val="Lijstje2"/>
        <w:spacing w:after="0"/>
        <w:ind w:left="1843" w:hanging="426"/>
        <w:rPr>
          <w:rFonts w:ascii="Arial" w:hAnsi="Arial"/>
          <w:noProof/>
          <w:lang w:val="en-GB" w:eastAsia="en-GB"/>
        </w:rPr>
      </w:pPr>
      <w:r>
        <w:rPr>
          <w:rFonts w:ascii="Arial" w:eastAsia="Times New Roman" w:hAnsi="Arial" w:cs="Arial"/>
          <w:noProof/>
          <w:kern w:val="0"/>
          <w:lang w:val="en-GB"/>
        </w:rPr>
        <w:t>failure to fulfil air safety oversight obligations regarding initial and continuous airworthiness;</w:t>
      </w:r>
      <w:r>
        <w:rPr>
          <w:rStyle w:val="FootnoteReference"/>
          <w:noProof/>
        </w:rPr>
        <w:footnoteReference w:id="86"/>
      </w:r>
    </w:p>
    <w:p>
      <w:pPr>
        <w:pStyle w:val="Lijstje2"/>
        <w:spacing w:after="0"/>
        <w:ind w:left="1843" w:hanging="426"/>
        <w:rPr>
          <w:rFonts w:ascii="Arial" w:hAnsi="Arial"/>
          <w:noProof/>
          <w:lang w:val="en-GB" w:eastAsia="en-GB"/>
        </w:rPr>
      </w:pPr>
      <w:r>
        <w:rPr>
          <w:rFonts w:ascii="Arial" w:hAnsi="Arial" w:cs="Arial"/>
          <w:noProof/>
          <w:lang w:val="en-GB"/>
        </w:rPr>
        <w:t>restrictions on the provision of transport services and free movement of goods;</w:t>
      </w:r>
      <w:r>
        <w:rPr>
          <w:rStyle w:val="FootnoteReference"/>
          <w:rFonts w:ascii="Arial" w:hAnsi="Arial"/>
          <w:noProof/>
          <w:lang w:val="en-GB"/>
        </w:rPr>
        <w:footnoteReference w:id="87"/>
      </w:r>
    </w:p>
    <w:p>
      <w:pPr>
        <w:pStyle w:val="Lijstje2"/>
        <w:spacing w:after="0"/>
        <w:ind w:left="1843" w:hanging="426"/>
        <w:rPr>
          <w:rFonts w:ascii="Arial" w:hAnsi="Arial"/>
          <w:noProof/>
          <w:lang w:val="en-GB"/>
        </w:rPr>
      </w:pPr>
      <w:r>
        <w:rPr>
          <w:rFonts w:ascii="Arial" w:hAnsi="Arial" w:cs="Arial"/>
          <w:i/>
          <w:noProof/>
          <w:lang w:val="en-GB"/>
        </w:rPr>
        <w:t>e</w:t>
      </w:r>
      <w:r>
        <w:rPr>
          <w:rFonts w:ascii="Arial" w:hAnsi="Arial" w:cs="Arial"/>
          <w:noProof/>
          <w:lang w:val="en-GB"/>
        </w:rPr>
        <w:t>xcessive and unjustified obstacles in the area of professional services that run counter to the Services Directive;</w:t>
      </w:r>
      <w:r>
        <w:rPr>
          <w:rStyle w:val="FootnoteReference"/>
          <w:noProof/>
        </w:rPr>
        <w:footnoteReference w:id="88"/>
      </w:r>
      <w:r>
        <w:rPr>
          <w:rFonts w:ascii="Arial" w:hAnsi="Arial" w:cs="Arial"/>
          <w:noProof/>
          <w:vertAlign w:val="superscript"/>
          <w:lang w:val="en-GB"/>
        </w:rPr>
        <w:t xml:space="preserve"> </w:t>
      </w:r>
    </w:p>
    <w:p>
      <w:pPr>
        <w:pStyle w:val="Lijstje2"/>
        <w:spacing w:after="0"/>
        <w:ind w:left="1843" w:hanging="426"/>
        <w:rPr>
          <w:rFonts w:ascii="Arial" w:hAnsi="Arial" w:cs="Arial"/>
          <w:noProof/>
          <w:lang w:val="en-GB"/>
        </w:rPr>
      </w:pPr>
      <w:r>
        <w:rPr>
          <w:rFonts w:ascii="Arial" w:hAnsi="Arial" w:cs="Arial"/>
          <w:noProof/>
          <w:lang w:val="en-GB"/>
        </w:rPr>
        <w:t>limitation of approval of certain motor vehicles to two specific technical testing centres, contrary to the Services Directive;</w:t>
      </w:r>
      <w:r>
        <w:rPr>
          <w:rStyle w:val="FootnoteReference"/>
          <w:rFonts w:ascii="Arial" w:hAnsi="Arial" w:cs="Arial"/>
          <w:noProof/>
          <w:lang w:val="en-GB"/>
        </w:rPr>
        <w:footnoteReference w:id="89"/>
      </w:r>
    </w:p>
    <w:p>
      <w:pPr>
        <w:pStyle w:val="Lijstje2"/>
        <w:ind w:left="1843" w:hanging="425"/>
        <w:rPr>
          <w:rFonts w:ascii="Arial" w:hAnsi="Arial" w:cs="Arial"/>
          <w:noProof/>
          <w:lang w:val="en-GB"/>
        </w:rPr>
      </w:pPr>
      <w:r>
        <w:rPr>
          <w:rFonts w:ascii="Arial" w:hAnsi="Arial" w:cs="Arial"/>
          <w:noProof/>
          <w:lang w:val="en-GB"/>
        </w:rPr>
        <w:t>failure to fulfil the obligations under EU vehicle type approval legislation.</w:t>
      </w:r>
      <w:r>
        <w:rPr>
          <w:rStyle w:val="FootnoteReference"/>
          <w:rFonts w:ascii="Arial" w:hAnsi="Arial" w:cs="Arial"/>
          <w:noProof/>
          <w:lang w:val="en-GB"/>
        </w:rPr>
        <w:footnoteReference w:id="90"/>
      </w:r>
    </w:p>
    <w:p>
      <w:pPr>
        <w:spacing w:after="200" w:line="276" w:lineRule="auto"/>
        <w:jc w:val="left"/>
        <w:rPr>
          <w:rFonts w:ascii="Arial" w:eastAsia="Calibri" w:hAnsi="Arial" w:cs="Arial"/>
          <w:noProof/>
          <w:kern w:val="20"/>
          <w:sz w:val="20"/>
        </w:rPr>
      </w:pPr>
      <w:r>
        <w:rPr>
          <w:rFonts w:ascii="Arial" w:hAnsi="Arial" w:cs="Arial"/>
          <w:noProof/>
        </w:rPr>
        <w:br w:type="page"/>
      </w:r>
    </w:p>
    <w:p>
      <w:pPr>
        <w:pStyle w:val="Lijstje"/>
        <w:numPr>
          <w:ilvl w:val="0"/>
          <w:numId w:val="2"/>
        </w:numPr>
        <w:ind w:hanging="426"/>
        <w:rPr>
          <w:rFonts w:ascii="Arial" w:hAnsi="Arial" w:cs="Arial"/>
          <w:noProof/>
          <w:lang w:val="en-GB"/>
        </w:rPr>
      </w:pPr>
      <w:r>
        <w:rPr>
          <w:rFonts w:ascii="Arial" w:hAnsi="Arial" w:cs="Arial"/>
          <w:noProof/>
          <w:lang w:val="en-GB"/>
        </w:rPr>
        <w:t>The Commission referred six cases to the Court under Article 258 TFEU. They concern:</w:t>
      </w:r>
    </w:p>
    <w:p>
      <w:pPr>
        <w:numPr>
          <w:ilvl w:val="0"/>
          <w:numId w:val="4"/>
        </w:numPr>
        <w:spacing w:after="200"/>
        <w:ind w:left="1843" w:hanging="426"/>
        <w:contextualSpacing/>
        <w:rPr>
          <w:rFonts w:ascii="Arial" w:eastAsia="Calibri" w:hAnsi="Arial" w:cs="Arial"/>
          <w:noProof/>
          <w:kern w:val="20"/>
          <w:sz w:val="20"/>
        </w:rPr>
      </w:pPr>
      <w:r>
        <w:rPr>
          <w:rFonts w:ascii="Arial" w:eastAsia="Calibri" w:hAnsi="Arial" w:cs="Arial"/>
          <w:noProof/>
          <w:kern w:val="20"/>
          <w:sz w:val="20"/>
        </w:rPr>
        <w:t>failure to correctly apply the requirements of the Habitats Directive in relation to the authorisation of a coal power plant in Hamburg/Moorburg;</w:t>
      </w:r>
      <w:r>
        <w:rPr>
          <w:rStyle w:val="FootnoteReference"/>
          <w:rFonts w:eastAsia="Calibri"/>
          <w:noProof/>
        </w:rPr>
        <w:footnoteReference w:id="91"/>
      </w:r>
    </w:p>
    <w:p>
      <w:pPr>
        <w:numPr>
          <w:ilvl w:val="0"/>
          <w:numId w:val="4"/>
        </w:numPr>
        <w:spacing w:after="200"/>
        <w:ind w:left="1843" w:hanging="426"/>
        <w:contextualSpacing/>
        <w:rPr>
          <w:rFonts w:ascii="Arial" w:eastAsia="Calibri" w:hAnsi="Arial" w:cs="Arial"/>
          <w:noProof/>
          <w:kern w:val="20"/>
          <w:sz w:val="20"/>
        </w:rPr>
      </w:pPr>
      <w:r>
        <w:rPr>
          <w:rFonts w:ascii="Arial" w:eastAsia="Calibri" w:hAnsi="Arial" w:cs="Arial"/>
          <w:noProof/>
          <w:kern w:val="20"/>
          <w:sz w:val="20"/>
        </w:rPr>
        <w:t>failure to take sufficient measures to combat water pollution caused by nitrates</w:t>
      </w:r>
      <w:r>
        <w:rPr>
          <w:rFonts w:ascii="Arial" w:hAnsi="Arial" w:cs="Arial"/>
          <w:noProof/>
        </w:rPr>
        <w:t xml:space="preserve"> </w:t>
      </w:r>
      <w:r>
        <w:rPr>
          <w:rFonts w:ascii="Arial" w:hAnsi="Arial" w:cs="Arial"/>
          <w:noProof/>
          <w:sz w:val="20"/>
        </w:rPr>
        <w:t>from agricultural sources</w:t>
      </w:r>
      <w:r>
        <w:rPr>
          <w:rFonts w:ascii="Arial" w:eastAsia="Calibri" w:hAnsi="Arial" w:cs="Arial"/>
          <w:noProof/>
          <w:kern w:val="20"/>
          <w:sz w:val="20"/>
        </w:rPr>
        <w:t>;</w:t>
      </w:r>
      <w:r>
        <w:rPr>
          <w:rStyle w:val="FootnoteReference"/>
          <w:rFonts w:eastAsia="Calibri"/>
          <w:noProof/>
        </w:rPr>
        <w:footnoteReference w:id="92"/>
      </w:r>
    </w:p>
    <w:p>
      <w:pPr>
        <w:numPr>
          <w:ilvl w:val="0"/>
          <w:numId w:val="4"/>
        </w:numPr>
        <w:spacing w:after="200"/>
        <w:ind w:left="1843" w:hanging="426"/>
        <w:contextualSpacing/>
        <w:rPr>
          <w:rFonts w:ascii="Arial" w:hAnsi="Arial" w:cs="Arial"/>
          <w:noProof/>
          <w:sz w:val="20"/>
        </w:rPr>
      </w:pPr>
      <w:r>
        <w:rPr>
          <w:rFonts w:ascii="Arial" w:hAnsi="Arial" w:cs="Arial"/>
          <w:noProof/>
          <w:sz w:val="20"/>
        </w:rPr>
        <w:t>failure to fulfil the duty of sincere cooperation at the 25th session of the Revision Committee of the Intergovernmental Organisation for International Carriage by Rail;</w:t>
      </w:r>
      <w:r>
        <w:rPr>
          <w:rStyle w:val="FootnoteReference"/>
          <w:rFonts w:ascii="Arial" w:eastAsia="Calibri" w:hAnsi="Arial" w:cs="Arial"/>
          <w:noProof/>
          <w:kern w:val="20"/>
          <w:sz w:val="20"/>
        </w:rPr>
        <w:footnoteReference w:id="93"/>
      </w:r>
    </w:p>
    <w:p>
      <w:pPr>
        <w:numPr>
          <w:ilvl w:val="0"/>
          <w:numId w:val="4"/>
        </w:numPr>
        <w:spacing w:after="200"/>
        <w:ind w:left="1843" w:hanging="426"/>
        <w:contextualSpacing/>
        <w:rPr>
          <w:rFonts w:ascii="Arial" w:hAnsi="Arial" w:cs="Arial"/>
          <w:noProof/>
          <w:sz w:val="20"/>
        </w:rPr>
      </w:pPr>
      <w:r>
        <w:rPr>
          <w:rFonts w:ascii="Arial" w:hAnsi="Arial"/>
          <w:noProof/>
          <w:sz w:val="20"/>
        </w:rPr>
        <w:t>failure to fully implement, in North Rhine-Westphalia, the Directive on enhancing port security;</w:t>
      </w:r>
      <w:r>
        <w:rPr>
          <w:rStyle w:val="FootnoteReference"/>
          <w:noProof/>
        </w:rPr>
        <w:footnoteReference w:id="94"/>
      </w:r>
    </w:p>
    <w:p>
      <w:pPr>
        <w:numPr>
          <w:ilvl w:val="0"/>
          <w:numId w:val="4"/>
        </w:numPr>
        <w:spacing w:after="200"/>
        <w:ind w:left="1843" w:hanging="426"/>
        <w:contextualSpacing/>
        <w:rPr>
          <w:rFonts w:ascii="Arial" w:eastAsia="Calibri" w:hAnsi="Arial" w:cs="Arial"/>
          <w:noProof/>
          <w:sz w:val="20"/>
        </w:rPr>
      </w:pPr>
      <w:r>
        <w:rPr>
          <w:rFonts w:ascii="Arial" w:hAnsi="Arial"/>
          <w:noProof/>
          <w:sz w:val="20"/>
        </w:rPr>
        <w:t>failure to correctly transpose EU rules on driving licences;</w:t>
      </w:r>
      <w:r>
        <w:rPr>
          <w:rStyle w:val="FootnoteReference"/>
          <w:noProof/>
        </w:rPr>
        <w:footnoteReference w:id="95"/>
      </w:r>
    </w:p>
    <w:p>
      <w:pPr>
        <w:numPr>
          <w:ilvl w:val="0"/>
          <w:numId w:val="4"/>
        </w:numPr>
        <w:spacing w:after="200"/>
        <w:ind w:left="1843" w:hanging="426"/>
        <w:contextualSpacing/>
        <w:rPr>
          <w:rFonts w:ascii="Arial" w:eastAsia="Calibri" w:hAnsi="Arial" w:cs="Arial"/>
          <w:noProof/>
          <w:sz w:val="20"/>
        </w:rPr>
      </w:pPr>
      <w:r>
        <w:rPr>
          <w:rFonts w:ascii="Arial" w:eastAsia="Calibri" w:hAnsi="Arial" w:cs="Arial"/>
          <w:noProof/>
          <w:sz w:val="20"/>
        </w:rPr>
        <w:t>exclusion of travel services used by taxable persons for their business from the special scheme for travel agents (which allows travel agents to determine on a flat-rate basis the tax assessment base for groups of services and for each taxable period).</w:t>
      </w:r>
      <w:r>
        <w:rPr>
          <w:rStyle w:val="FootnoteReference"/>
          <w:rFonts w:ascii="Arial" w:eastAsia="Calibri" w:hAnsi="Arial" w:cs="Arial"/>
          <w:noProof/>
          <w:sz w:val="20"/>
        </w:rPr>
        <w:footnoteReference w:id="96"/>
      </w:r>
    </w:p>
    <w:p>
      <w:pPr>
        <w:pStyle w:val="Lijstje"/>
        <w:numPr>
          <w:ilvl w:val="0"/>
          <w:numId w:val="2"/>
        </w:numPr>
        <w:spacing w:after="200"/>
        <w:ind w:left="1417" w:hanging="425"/>
        <w:rPr>
          <w:rFonts w:ascii="Arial" w:hAnsi="Arial" w:cs="Arial"/>
          <w:noProof/>
          <w:lang w:val="en-GB"/>
        </w:rPr>
      </w:pPr>
      <w:r>
        <w:rPr>
          <w:rFonts w:ascii="Arial" w:hAnsi="Arial" w:cs="Arial"/>
          <w:noProof/>
          <w:lang w:val="en-GB"/>
        </w:rPr>
        <w:t>The Commission did not refer any cases to the Court under Article 260(2)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187"/>
        </w:numPr>
        <w:rPr>
          <w:noProof/>
        </w:rPr>
      </w:pPr>
      <w:r>
        <w:rPr>
          <w:noProof/>
        </w:rPr>
        <w:t>Late transposition infringement cases against Germany open on 31 December (2012-2016)</w:t>
      </w:r>
    </w:p>
    <w:p>
      <w:pPr>
        <w:ind w:left="426" w:firstLine="283"/>
        <w:rPr>
          <w:noProof/>
        </w:rPr>
      </w:pPr>
      <w:r>
        <w:rPr>
          <w:noProof/>
          <w:lang w:val="en-US"/>
        </w:rPr>
        <w:drawing>
          <wp:inline distT="0" distB="0" distL="0" distR="0">
            <wp:extent cx="4577443" cy="2139043"/>
            <wp:effectExtent l="0" t="0" r="13970" b="13970"/>
            <wp:docPr id="574"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pPr>
        <w:spacing w:after="200" w:line="276" w:lineRule="auto"/>
        <w:jc w:val="left"/>
        <w:rPr>
          <w:rFonts w:ascii="Arial" w:hAnsi="Arial"/>
          <w:noProof/>
          <w:color w:val="002060"/>
          <w:sz w:val="22"/>
          <w:szCs w:val="22"/>
        </w:rPr>
      </w:pPr>
      <w:r>
        <w:rPr>
          <w:noProof/>
        </w:rPr>
        <w:br w:type="page"/>
      </w:r>
    </w:p>
    <w:p>
      <w:pPr>
        <w:pStyle w:val="Subtitle"/>
        <w:numPr>
          <w:ilvl w:val="0"/>
          <w:numId w:val="23"/>
        </w:numPr>
        <w:rPr>
          <w:noProof/>
        </w:rPr>
      </w:pPr>
      <w:r>
        <w:rPr>
          <w:noProof/>
        </w:rPr>
        <w:t>New late transposition infringement cases against Germany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139043"/>
            <wp:effectExtent l="0" t="0" r="13970" b="13970"/>
            <wp:docPr id="575"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484120"/>
            <wp:effectExtent l="0" t="0" r="22860" b="11430"/>
            <wp:docPr id="576"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These concerned:</w:t>
      </w:r>
    </w:p>
    <w:p>
      <w:pPr>
        <w:numPr>
          <w:ilvl w:val="0"/>
          <w:numId w:val="4"/>
        </w:numPr>
        <w:spacing w:after="200"/>
        <w:ind w:left="1276" w:hanging="357"/>
        <w:rPr>
          <w:rFonts w:ascii="Arial" w:eastAsia="Calibri" w:hAnsi="Arial" w:cs="Arial"/>
          <w:noProof/>
          <w:kern w:val="20"/>
          <w:sz w:val="20"/>
        </w:rPr>
      </w:pPr>
      <w:r>
        <w:rPr>
          <w:rFonts w:ascii="Arial" w:eastAsia="Calibri" w:hAnsi="Arial" w:cs="Arial"/>
          <w:noProof/>
          <w:kern w:val="20"/>
          <w:sz w:val="20"/>
        </w:rPr>
        <w:t>inadequate application of EU aviation security legislation.</w:t>
      </w:r>
      <w:r>
        <w:rPr>
          <w:rStyle w:val="FootnoteReference"/>
          <w:rFonts w:eastAsia="Calibri"/>
          <w:noProof/>
        </w:rPr>
        <w:footnoteReference w:id="97"/>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188"/>
        </w:numPr>
        <w:rPr>
          <w:noProof/>
        </w:rPr>
      </w:pPr>
      <w:r>
        <w:rPr>
          <w:noProof/>
        </w:rPr>
        <w:t>Court rulings</w:t>
      </w:r>
      <w:r>
        <w:rPr>
          <w:rStyle w:val="FootnoteReference"/>
          <w:noProof/>
        </w:rPr>
        <w:footnoteReference w:id="98"/>
      </w:r>
    </w:p>
    <w:p>
      <w:pPr>
        <w:pStyle w:val="Body"/>
        <w:rPr>
          <w:noProof/>
          <w:lang w:val="en-GB"/>
        </w:rPr>
      </w:pPr>
      <w:r>
        <w:rPr>
          <w:noProof/>
          <w:lang w:val="en-GB"/>
        </w:rPr>
        <w:t>The Court ruled that:</w:t>
      </w:r>
    </w:p>
    <w:p>
      <w:pPr>
        <w:pStyle w:val="Lijstje2"/>
        <w:ind w:left="1276" w:hanging="283"/>
        <w:rPr>
          <w:rFonts w:ascii="Arial" w:hAnsi="Arial" w:cs="Arial"/>
          <w:noProof/>
          <w:lang w:val="en-GB"/>
        </w:rPr>
      </w:pPr>
      <w:r>
        <w:rPr>
          <w:rFonts w:ascii="Arial" w:hAnsi="Arial" w:cs="Arial"/>
          <w:noProof/>
          <w:lang w:val="en-GB"/>
        </w:rPr>
        <w:t>Germany failed to fulfil its obligations under the Directive on the placing on the market of pyrotechnic articles</w:t>
      </w:r>
      <w:r>
        <w:rPr>
          <w:rStyle w:val="FootnoteReference"/>
          <w:rFonts w:ascii="Arial" w:hAnsi="Arial" w:cs="Arial"/>
          <w:noProof/>
          <w:lang w:val="en-GB"/>
        </w:rPr>
        <w:footnoteReference w:id="99"/>
      </w:r>
      <w:r>
        <w:rPr>
          <w:rFonts w:ascii="Arial" w:hAnsi="Arial" w:cs="Arial"/>
          <w:noProof/>
          <w:lang w:val="en-GB"/>
        </w:rPr>
        <w:t>. This was because Germany provided, over and above the requirements of the Directive and notwithstanding a previous conformity assessment of pyrotechnic articles, that (i) those articles are to be subject to a specific national procedure (‘the SprengV’) before being placed on the market; and that (ii) pursuant to the SprengV, a national body is to have the power to review and, where required, to modify their instructions for use.</w:t>
      </w:r>
      <w:r>
        <w:rPr>
          <w:rStyle w:val="FootnoteReference"/>
          <w:rFonts w:ascii="Arial" w:hAnsi="Arial" w:cs="Arial"/>
          <w:noProof/>
          <w:lang w:val="en-GB"/>
        </w:rPr>
        <w:footnoteReference w:id="100"/>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ind w:left="786" w:firstLine="0"/>
        <w:rPr>
          <w:noProof/>
          <w:lang w:val="en-GB"/>
        </w:rPr>
      </w:pPr>
      <w:r>
        <w:rPr>
          <w:noProof/>
          <w:lang w:val="en-GB"/>
        </w:rPr>
        <w:t>In preliminary rulings addressed to the German judiciary, the Court held that:</w:t>
      </w:r>
    </w:p>
    <w:p>
      <w:pPr>
        <w:pStyle w:val="Lijstje2"/>
        <w:ind w:left="1276" w:hanging="283"/>
        <w:rPr>
          <w:rFonts w:ascii="Arial" w:hAnsi="Arial" w:cs="Arial"/>
          <w:noProof/>
          <w:lang w:val="en-GB"/>
        </w:rPr>
      </w:pPr>
      <w:r>
        <w:rPr>
          <w:rFonts w:ascii="Arial" w:hAnsi="Arial" w:cs="Arial"/>
          <w:noProof/>
          <w:lang w:val="en-GB"/>
        </w:rPr>
        <w:t>nationals of other Member States may be excluded from social assistance during the first 3 months of residence without the individual situation of the person concerned being assessed;</w:t>
      </w:r>
      <w:r>
        <w:rPr>
          <w:rStyle w:val="FootnoteReference"/>
          <w:rFonts w:ascii="Arial" w:hAnsi="Arial" w:cs="Arial"/>
          <w:noProof/>
          <w:lang w:val="en-GB"/>
        </w:rPr>
        <w:footnoteReference w:id="101"/>
      </w:r>
    </w:p>
    <w:p>
      <w:pPr>
        <w:pStyle w:val="Lijstje2"/>
        <w:ind w:left="1276" w:hanging="283"/>
        <w:rPr>
          <w:rFonts w:ascii="Arial" w:hAnsi="Arial" w:cs="Arial"/>
          <w:noProof/>
          <w:lang w:val="en-GB"/>
        </w:rPr>
      </w:pPr>
      <w:r>
        <w:rPr>
          <w:rFonts w:ascii="Arial" w:hAnsi="Arial" w:cs="Arial"/>
          <w:noProof/>
          <w:lang w:val="en-GB"/>
        </w:rPr>
        <w:t>the recognition of freely chosen forenames and the surname (acquired legally in another Member State) may be refused in order to ensure equality before the law;</w:t>
      </w:r>
      <w:r>
        <w:rPr>
          <w:rStyle w:val="FootnoteReference"/>
          <w:rFonts w:ascii="Arial" w:hAnsi="Arial" w:cs="Arial"/>
          <w:noProof/>
          <w:highlight w:val="yellow"/>
          <w:lang w:val="en-GB"/>
        </w:rPr>
        <w:t xml:space="preserve"> </w:t>
      </w:r>
      <w:r>
        <w:rPr>
          <w:rStyle w:val="FootnoteReference"/>
          <w:rFonts w:ascii="Arial" w:hAnsi="Arial" w:cs="Arial"/>
          <w:noProof/>
          <w:lang w:val="en-GB"/>
        </w:rPr>
        <w:footnoteReference w:id="102"/>
      </w:r>
    </w:p>
    <w:p>
      <w:pPr>
        <w:pStyle w:val="Lijstje2"/>
        <w:ind w:left="1276" w:hanging="283"/>
        <w:rPr>
          <w:rFonts w:ascii="Arial" w:hAnsi="Arial" w:cs="Arial"/>
          <w:noProof/>
          <w:lang w:val="en-GB"/>
        </w:rPr>
      </w:pPr>
      <w:r>
        <w:rPr>
          <w:rFonts w:ascii="Arial" w:hAnsi="Arial" w:cs="Arial"/>
          <w:noProof/>
          <w:lang w:val="en-GB"/>
        </w:rPr>
        <w:t>the execution of a European arrest warrant must be deferred if there is a real risk of inhuman or degrading treatment due to the detention conditions in the Member State where the warrant was issued;</w:t>
      </w:r>
      <w:r>
        <w:rPr>
          <w:rStyle w:val="FootnoteReference"/>
          <w:rFonts w:ascii="Arial" w:hAnsi="Arial" w:cs="Arial"/>
          <w:noProof/>
          <w:lang w:val="en-GB"/>
        </w:rPr>
        <w:footnoteReference w:id="103"/>
      </w:r>
    </w:p>
    <w:p>
      <w:pPr>
        <w:pStyle w:val="Lijstje2"/>
        <w:ind w:left="1276" w:hanging="283"/>
        <w:rPr>
          <w:rFonts w:ascii="Arial" w:hAnsi="Arial" w:cs="Arial"/>
          <w:noProof/>
          <w:lang w:val="en-GB"/>
        </w:rPr>
      </w:pPr>
      <w:r>
        <w:rPr>
          <w:rFonts w:ascii="Arial" w:hAnsi="Arial" w:cs="Arial"/>
          <w:noProof/>
          <w:lang w:val="en-GB"/>
        </w:rPr>
        <w:t>under the Qualification Directive,</w:t>
      </w:r>
      <w:r>
        <w:rPr>
          <w:rStyle w:val="FootnoteReference"/>
          <w:rFonts w:ascii="Arial" w:hAnsi="Arial" w:cs="Arial"/>
          <w:noProof/>
          <w:lang w:val="en-GB"/>
        </w:rPr>
        <w:footnoteReference w:id="104"/>
      </w:r>
      <w:r>
        <w:rPr>
          <w:rFonts w:ascii="Arial" w:hAnsi="Arial" w:cs="Arial"/>
          <w:noProof/>
          <w:lang w:val="en-GB"/>
        </w:rPr>
        <w:t xml:space="preserve"> beneficiaries of subsidiary protection status may be subjected to a residence condition to promote their integration where they are not in a comparable situation to non-EU citizens;</w:t>
      </w:r>
      <w:r>
        <w:rPr>
          <w:rStyle w:val="FootnoteReference"/>
          <w:rFonts w:ascii="Arial" w:hAnsi="Arial" w:cs="Arial"/>
          <w:noProof/>
          <w:lang w:val="en-GB"/>
        </w:rPr>
        <w:t xml:space="preserve"> </w:t>
      </w:r>
      <w:r>
        <w:rPr>
          <w:rStyle w:val="FootnoteReference"/>
          <w:rFonts w:ascii="Arial" w:hAnsi="Arial" w:cs="Arial"/>
          <w:noProof/>
          <w:lang w:val="en-GB"/>
        </w:rPr>
        <w:footnoteReference w:id="105"/>
      </w:r>
    </w:p>
    <w:p>
      <w:pPr>
        <w:pStyle w:val="Lijstje2"/>
        <w:spacing w:after="200"/>
        <w:ind w:left="1276" w:hanging="283"/>
        <w:rPr>
          <w:rFonts w:ascii="Arial" w:hAnsi="Arial"/>
          <w:noProof/>
          <w:lang w:val="en-GB"/>
        </w:rPr>
      </w:pPr>
      <w:r>
        <w:rPr>
          <w:rFonts w:ascii="Arial" w:hAnsi="Arial"/>
          <w:noProof/>
          <w:lang w:val="en-GB"/>
        </w:rPr>
        <w:t>when a person provides access to somebody else’s content through open internet access, the person whose rights are breached cannot claim compensation from the access provider for that breach by a third party. However, it can claim compensation from the access provider if the infringement continues;</w:t>
      </w:r>
      <w:r>
        <w:rPr>
          <w:rStyle w:val="FootnoteReference"/>
          <w:noProof/>
        </w:rPr>
        <w:footnoteReference w:id="106"/>
      </w:r>
    </w:p>
    <w:p>
      <w:pPr>
        <w:pStyle w:val="Lijstje2"/>
        <w:spacing w:after="200" w:line="276" w:lineRule="auto"/>
        <w:ind w:left="1276" w:hanging="283"/>
        <w:rPr>
          <w:rFonts w:ascii="Arial" w:hAnsi="Arial" w:cs="Arial"/>
          <w:noProof/>
          <w:lang w:val="en-GB"/>
        </w:rPr>
      </w:pPr>
      <w:r>
        <w:rPr>
          <w:rFonts w:ascii="Arial" w:hAnsi="Arial"/>
          <w:noProof/>
          <w:lang w:val="en-GB"/>
        </w:rPr>
        <w:t>a civil servant of a Member State who leaves his post voluntarily in order to be employed in another Member State should not lose his pension rights under the retirement scheme for civil servants;</w:t>
      </w:r>
      <w:r>
        <w:rPr>
          <w:rStyle w:val="FootnoteReference"/>
          <w:rFonts w:ascii="Arial" w:hAnsi="Arial" w:cs="Arial"/>
          <w:noProof/>
          <w:lang w:val="en-GB"/>
        </w:rPr>
        <w:footnoteReference w:id="107"/>
      </w:r>
    </w:p>
    <w:p>
      <w:pPr>
        <w:pStyle w:val="Lijstje2"/>
        <w:spacing w:after="200" w:line="276" w:lineRule="auto"/>
        <w:ind w:left="1276" w:hanging="283"/>
        <w:rPr>
          <w:rFonts w:ascii="Arial" w:hAnsi="Arial" w:cs="Arial"/>
          <w:noProof/>
          <w:lang w:val="en-GB"/>
        </w:rPr>
      </w:pPr>
      <w:r>
        <w:rPr>
          <w:rFonts w:ascii="Arial" w:hAnsi="Arial"/>
          <w:noProof/>
          <w:lang w:val="en-GB"/>
        </w:rPr>
        <w:t xml:space="preserve">the EU poultry meat labelling rules are compatible with the Charter of Fundamental Rights’ freedom to </w:t>
      </w:r>
      <w:r>
        <w:rPr>
          <w:rFonts w:ascii="Arial" w:hAnsi="Arial" w:cs="Arial"/>
          <w:noProof/>
          <w:lang w:val="en-GB"/>
        </w:rPr>
        <w:t xml:space="preserve">conduct a business and do not discriminate </w:t>
      </w:r>
      <w:r>
        <w:rPr>
          <w:rFonts w:ascii="Arial" w:hAnsi="Arial"/>
          <w:noProof/>
          <w:lang w:val="en-GB"/>
        </w:rPr>
        <w:t>by requiring the indication of the total price and the price per weight unit on the pre-packaging or on the attached label;</w:t>
      </w:r>
      <w:r>
        <w:rPr>
          <w:rStyle w:val="FootnoteReference"/>
          <w:noProof/>
        </w:rPr>
        <w:footnoteReference w:id="108"/>
      </w:r>
    </w:p>
    <w:p>
      <w:pPr>
        <w:pStyle w:val="Lijstje2"/>
        <w:spacing w:after="200" w:line="276" w:lineRule="auto"/>
        <w:ind w:left="1276" w:hanging="283"/>
        <w:rPr>
          <w:rFonts w:ascii="Arial" w:hAnsi="Arial" w:cs="Arial"/>
          <w:noProof/>
          <w:lang w:val="en-GB"/>
        </w:rPr>
      </w:pPr>
      <w:r>
        <w:rPr>
          <w:rFonts w:ascii="Arial" w:hAnsi="Arial" w:cs="Arial"/>
          <w:noProof/>
          <w:lang w:val="en-GB"/>
        </w:rPr>
        <w:t>the labelling, presentation and advertising of foodstuffs Directive</w:t>
      </w:r>
      <w:r>
        <w:rPr>
          <w:rStyle w:val="FootnoteReference"/>
          <w:rFonts w:ascii="Arial" w:hAnsi="Arial" w:cs="Arial"/>
          <w:noProof/>
          <w:lang w:val="en-GB"/>
        </w:rPr>
        <w:footnoteReference w:id="109"/>
      </w:r>
      <w:r>
        <w:rPr>
          <w:rFonts w:ascii="Arial" w:hAnsi="Arial" w:cs="Arial"/>
          <w:noProof/>
          <w:lang w:val="en-GB"/>
        </w:rPr>
        <w:t xml:space="preserve"> must be interpreted as meaning that each of the individual portions of honey presented in the form of portion-cups closed by an aluminium seal and packed in cartons supplied to mass caterers constitutes a ‘pre-packaged foodstuff’ where the mass caterers sell those portions separately or offer them for sale to the ultimate consumer as part of pre-prepared meals for an all-inclusive price;</w:t>
      </w:r>
      <w:r>
        <w:rPr>
          <w:rStyle w:val="FootnoteReference"/>
          <w:rFonts w:ascii="Arial" w:hAnsi="Arial" w:cs="Arial"/>
          <w:noProof/>
          <w:lang w:val="en-GB"/>
        </w:rPr>
        <w:footnoteReference w:id="110"/>
      </w:r>
    </w:p>
    <w:p>
      <w:pPr>
        <w:pStyle w:val="Lijstje2"/>
        <w:ind w:left="1276" w:hanging="283"/>
        <w:rPr>
          <w:rFonts w:ascii="Arial" w:hAnsi="Arial" w:cs="Arial"/>
          <w:noProof/>
          <w:lang w:val="en-GB"/>
        </w:rPr>
      </w:pPr>
      <w:r>
        <w:rPr>
          <w:rFonts w:ascii="Arial" w:hAnsi="Arial" w:cs="Arial"/>
          <w:noProof/>
          <w:lang w:val="en-GB"/>
        </w:rPr>
        <w:t>Regulation (EC) No  258/97 concerning novel foods and novel food ingredients, must be interpreted as meaning that the expression ‘new primary molecular structure’ relates to foods or food ingredients which were not used for human consumption in the territory of the European Union before 15 May 1997;</w:t>
      </w:r>
      <w:r>
        <w:rPr>
          <w:rStyle w:val="FootnoteReference"/>
          <w:rFonts w:ascii="Arial" w:hAnsi="Arial" w:cs="Arial"/>
          <w:noProof/>
          <w:lang w:val="en-GB"/>
        </w:rPr>
        <w:footnoteReference w:id="111"/>
      </w:r>
    </w:p>
    <w:p>
      <w:pPr>
        <w:pStyle w:val="Lijstje2"/>
        <w:spacing w:after="200" w:line="276" w:lineRule="auto"/>
        <w:ind w:left="1276" w:hanging="283"/>
        <w:rPr>
          <w:rFonts w:ascii="Arial" w:hAnsi="Arial" w:cs="Arial"/>
          <w:noProof/>
          <w:lang w:val="en-GB"/>
        </w:rPr>
      </w:pPr>
      <w:r>
        <w:rPr>
          <w:rFonts w:ascii="Arial" w:hAnsi="Arial" w:cs="Arial"/>
          <w:noProof/>
          <w:lang w:val="en-GB"/>
        </w:rPr>
        <w:t xml:space="preserve">the subcontracting rules in the Regulation on </w:t>
      </w:r>
      <w:r>
        <w:rPr>
          <w:rFonts w:ascii="Arial" w:hAnsi="Arial" w:cs="Arial"/>
          <w:bCs/>
          <w:noProof/>
          <w:lang w:val="en-GB"/>
        </w:rPr>
        <w:t>public passenger transport services by rail and by road</w:t>
      </w:r>
      <w:r>
        <w:rPr>
          <w:rStyle w:val="FootnoteReference"/>
          <w:rFonts w:ascii="Arial" w:hAnsi="Arial" w:cs="Arial"/>
          <w:bCs/>
          <w:noProof/>
          <w:lang w:val="en-GB"/>
        </w:rPr>
        <w:footnoteReference w:id="112"/>
      </w:r>
      <w:r>
        <w:rPr>
          <w:rFonts w:ascii="Arial" w:hAnsi="Arial" w:cs="Arial"/>
          <w:bCs/>
          <w:noProof/>
          <w:lang w:val="en-GB"/>
        </w:rPr>
        <w:t xml:space="preserve"> apply </w:t>
      </w:r>
      <w:r>
        <w:rPr>
          <w:rFonts w:ascii="Arial" w:hAnsi="Arial" w:cs="Arial"/>
          <w:noProof/>
          <w:lang w:val="en-GB"/>
        </w:rPr>
        <w:t>to contracts awarded for public passenger transport by bus. Also, a subcontracting limitation of 30 % of the transport services remains within the discretion of the competent authorities;</w:t>
      </w:r>
      <w:r>
        <w:rPr>
          <w:rStyle w:val="FootnoteReference"/>
          <w:rFonts w:ascii="Arial" w:hAnsi="Arial" w:cs="Arial"/>
          <w:noProof/>
          <w:lang w:val="en-GB"/>
        </w:rPr>
        <w:footnoteReference w:id="113"/>
      </w:r>
    </w:p>
    <w:p>
      <w:pPr>
        <w:pStyle w:val="Lijstje2"/>
        <w:spacing w:after="200" w:line="276" w:lineRule="auto"/>
        <w:ind w:left="1276" w:hanging="283"/>
        <w:rPr>
          <w:rFonts w:ascii="Arial" w:hAnsi="Arial" w:cs="Arial"/>
          <w:noProof/>
          <w:lang w:val="en-GB"/>
        </w:rPr>
      </w:pPr>
      <w:r>
        <w:rPr>
          <w:rFonts w:ascii="Arial" w:hAnsi="Arial" w:cs="Arial"/>
          <w:noProof/>
          <w:lang w:val="en-GB"/>
        </w:rPr>
        <w:t>the Court provided an interpretation of the terms ‘ticket’ and ‘price of the ticket’ under the Air Passenger Rights Regulation,</w:t>
      </w:r>
      <w:r>
        <w:rPr>
          <w:rStyle w:val="FootnoteReference"/>
          <w:rFonts w:ascii="Arial" w:hAnsi="Arial" w:cs="Arial"/>
          <w:noProof/>
          <w:lang w:val="en-GB"/>
        </w:rPr>
        <w:footnoteReference w:id="114"/>
      </w:r>
      <w:r>
        <w:rPr>
          <w:rFonts w:ascii="Arial" w:hAnsi="Arial" w:cs="Arial"/>
          <w:noProof/>
          <w:lang w:val="en-GB"/>
        </w:rPr>
        <w:t xml:space="preserve"> in the context of downgrading;</w:t>
      </w:r>
      <w:r>
        <w:rPr>
          <w:rStyle w:val="FootnoteReference"/>
          <w:rFonts w:ascii="Arial" w:hAnsi="Arial" w:cs="Arial"/>
          <w:noProof/>
          <w:lang w:val="en-GB"/>
        </w:rPr>
        <w:footnoteReference w:id="115"/>
      </w:r>
    </w:p>
    <w:p>
      <w:pPr>
        <w:pStyle w:val="Lijstje2"/>
        <w:spacing w:after="200" w:line="276" w:lineRule="auto"/>
        <w:ind w:left="1276" w:hanging="283"/>
        <w:rPr>
          <w:rFonts w:ascii="Arial" w:hAnsi="Arial" w:cs="Arial"/>
          <w:noProof/>
          <w:lang w:val="en-GB"/>
        </w:rPr>
      </w:pPr>
      <w:r>
        <w:rPr>
          <w:rFonts w:ascii="Arial" w:hAnsi="Arial" w:cs="Arial"/>
          <w:noProof/>
          <w:lang w:val="en-GB"/>
        </w:rPr>
        <w:t>inheritance rules obliging financial institutions (including their branches) to notify the tax authorities about a client's assets upon his death do not restrict the freedom of establishment. Thus, German banks’ branches in another Member State must also notify such information, even if inheritance tax is not levied in the other Member State and even if notification would breach the other Member State’s banking secrecy rules;</w:t>
      </w:r>
      <w:r>
        <w:rPr>
          <w:rStyle w:val="FootnoteReference"/>
          <w:rFonts w:ascii="Arial" w:hAnsi="Arial" w:cs="Arial"/>
          <w:bCs/>
          <w:noProof/>
          <w:lang w:val="en-GB"/>
        </w:rPr>
        <w:footnoteReference w:id="116"/>
      </w:r>
    </w:p>
    <w:p>
      <w:pPr>
        <w:pStyle w:val="Lijstje2"/>
        <w:spacing w:after="200" w:line="276" w:lineRule="auto"/>
        <w:ind w:left="1276" w:hanging="283"/>
        <w:rPr>
          <w:noProof/>
          <w:lang w:val="en-GB"/>
        </w:rPr>
      </w:pPr>
      <w:r>
        <w:rPr>
          <w:rFonts w:ascii="Arial" w:hAnsi="Arial" w:cs="Arial"/>
          <w:noProof/>
          <w:lang w:val="en-GB"/>
        </w:rPr>
        <w:t>under the EU-Switzerland agreement on free movement of persons, the income of German resident nationals paid by a legal person governed by public law established in Switzerland must be granted the same tax exemptions as those granted to incomes paid by a legal person governed by public law established in Germany;</w:t>
      </w:r>
      <w:r>
        <w:rPr>
          <w:rStyle w:val="FootnoteReference"/>
          <w:rFonts w:ascii="Arial" w:hAnsi="Arial" w:cs="Arial"/>
          <w:bCs/>
          <w:noProof/>
          <w:lang w:val="en-GB"/>
        </w:rPr>
        <w:footnoteReference w:id="117"/>
      </w:r>
    </w:p>
    <w:p>
      <w:pPr>
        <w:pStyle w:val="Lijstje2"/>
        <w:spacing w:after="200" w:line="276" w:lineRule="auto"/>
        <w:ind w:left="1276" w:hanging="283"/>
        <w:rPr>
          <w:rFonts w:ascii="Times New Roman" w:hAnsi="Times New Roman"/>
          <w:noProof/>
          <w:sz w:val="24"/>
          <w:szCs w:val="24"/>
          <w:lang w:val="en-GB" w:eastAsia="en-GB"/>
        </w:rPr>
      </w:pPr>
      <w:r>
        <w:rPr>
          <w:rFonts w:ascii="Arial" w:hAnsi="Arial" w:cs="Arial"/>
          <w:noProof/>
          <w:lang w:val="en-GB"/>
        </w:rPr>
        <w:t>the Inheritance Tax Act’s restriction on the free movement of capital by affording tax reduction only if a multiple inheritance occurred under German rules (thus inheritance taxes paid to other Member States cannot be taken into account) could be justified by the need to safeguard the coherence of the tax system;</w:t>
      </w:r>
      <w:r>
        <w:rPr>
          <w:rStyle w:val="FootnoteReference"/>
          <w:rFonts w:ascii="Arial" w:hAnsi="Arial" w:cs="Arial"/>
          <w:bCs/>
          <w:noProof/>
          <w:lang w:val="en-GB"/>
        </w:rPr>
        <w:footnoteReference w:id="118"/>
      </w:r>
    </w:p>
    <w:p>
      <w:pPr>
        <w:pStyle w:val="Lijstje2"/>
        <w:spacing w:after="200" w:line="276" w:lineRule="auto"/>
        <w:ind w:left="1276" w:hanging="283"/>
        <w:rPr>
          <w:rFonts w:ascii="Arial" w:hAnsi="Arial"/>
          <w:noProof/>
          <w:lang w:val="en-GB"/>
        </w:rPr>
      </w:pPr>
      <w:r>
        <w:rPr>
          <w:rFonts w:ascii="Arial" w:hAnsi="Arial" w:cs="Arial"/>
          <w:bCs/>
          <w:noProof/>
          <w:lang w:val="en-GB"/>
        </w:rPr>
        <w:t>for</w:t>
      </w:r>
      <w:r>
        <w:rPr>
          <w:rFonts w:ascii="Arial" w:hAnsi="Arial" w:cs="Arial"/>
          <w:noProof/>
          <w:lang w:val="en-GB"/>
        </w:rPr>
        <w:t xml:space="preserve"> the purposes of </w:t>
      </w:r>
      <w:r>
        <w:rPr>
          <w:rFonts w:ascii="Arial" w:hAnsi="Arial" w:cs="Arial"/>
          <w:bCs/>
          <w:noProof/>
          <w:lang w:val="en-GB"/>
        </w:rPr>
        <w:t>customs rules,</w:t>
      </w:r>
      <w:r>
        <w:rPr>
          <w:rStyle w:val="FootnoteReference"/>
          <w:rFonts w:ascii="Arial" w:hAnsi="Arial"/>
          <w:noProof/>
          <w:lang w:val="en-GB"/>
        </w:rPr>
        <w:footnoteReference w:id="119"/>
      </w:r>
      <w:r>
        <w:rPr>
          <w:rFonts w:ascii="Arial" w:hAnsi="Arial" w:cs="Arial"/>
          <w:noProof/>
          <w:lang w:val="en-GB"/>
        </w:rPr>
        <w:t xml:space="preserve"> remunerated helicopter-flight training, if an instructor and the trainee pilot are present in the cockpit, is not commercial use of the aircraft</w:t>
      </w:r>
      <w:r>
        <w:rPr>
          <w:rFonts w:ascii="Arial" w:hAnsi="Arial" w:cs="Arial"/>
          <w:bCs/>
          <w:noProof/>
          <w:lang w:val="en-GB"/>
        </w:rPr>
        <w:t>;</w:t>
      </w:r>
      <w:r>
        <w:rPr>
          <w:rStyle w:val="FootnoteReference"/>
          <w:rFonts w:ascii="Arial" w:hAnsi="Arial"/>
          <w:noProof/>
          <w:sz w:val="24"/>
          <w:lang w:val="en-GB" w:eastAsia="en-GB"/>
        </w:rPr>
        <w:footnoteReference w:id="120"/>
      </w:r>
    </w:p>
    <w:p>
      <w:pPr>
        <w:pStyle w:val="Lijstje2"/>
        <w:spacing w:after="200" w:line="276" w:lineRule="auto"/>
        <w:ind w:left="1276" w:hanging="283"/>
        <w:rPr>
          <w:rFonts w:ascii="Arial" w:hAnsi="Arial" w:cs="Arial"/>
          <w:i/>
          <w:noProof/>
          <w:lang w:val="en-GB"/>
        </w:rPr>
      </w:pPr>
      <w:r>
        <w:rPr>
          <w:rFonts w:ascii="Arial" w:hAnsi="Arial" w:cs="Arial"/>
          <w:noProof/>
          <w:lang w:val="en-GB"/>
        </w:rPr>
        <w:t>when a plan indirectly connected with the management of a nature site was authorised following a study that is not compliant with the Habitats Directive, and before including this site in the list of sites of Community importance, a subsequent review shall be carried out if that is the only proper step to prevent significant deterioration of the habitat due to implementation of the plan;</w:t>
      </w:r>
      <w:r>
        <w:rPr>
          <w:rStyle w:val="FootnoteReference"/>
          <w:rFonts w:ascii="Arial" w:hAnsi="Arial" w:cs="Arial"/>
          <w:bCs/>
          <w:noProof/>
          <w:lang w:val="en-GB"/>
        </w:rPr>
        <w:footnoteReference w:id="121"/>
      </w:r>
    </w:p>
    <w:p>
      <w:pPr>
        <w:pStyle w:val="Lijstje2"/>
        <w:spacing w:after="200" w:line="276" w:lineRule="auto"/>
        <w:ind w:left="1276" w:hanging="283"/>
        <w:rPr>
          <w:rFonts w:ascii="Arial" w:hAnsi="Arial" w:cs="Arial"/>
          <w:i/>
          <w:noProof/>
          <w:lang w:val="en-GB"/>
        </w:rPr>
      </w:pPr>
      <w:r>
        <w:rPr>
          <w:rFonts w:ascii="Arial" w:hAnsi="Arial" w:cs="Arial"/>
          <w:noProof/>
          <w:lang w:val="en-GB"/>
        </w:rPr>
        <w:t>a project aiming at stretching a road by less than 10 km is not, in itself, subject to a systematic environmental impact assessment, even though it widens an existing road with four or more lanes. The term ‘express road’ does not have to form part of the network of main international traffic arteries or to be located in urban areas. The term ‘construction’ covers the carrying-out of works not previously existing or the physical alteration of existing installations;</w:t>
      </w:r>
      <w:r>
        <w:rPr>
          <w:rStyle w:val="FootnoteReference"/>
          <w:rFonts w:ascii="Arial" w:hAnsi="Arial" w:cs="Arial"/>
          <w:noProof/>
          <w:lang w:val="en-GB"/>
        </w:rPr>
        <w:footnoteReference w:id="122"/>
      </w:r>
    </w:p>
    <w:p>
      <w:pPr>
        <w:pStyle w:val="Lijstje2"/>
        <w:spacing w:after="200" w:line="276" w:lineRule="auto"/>
        <w:ind w:left="1276" w:hanging="283"/>
        <w:rPr>
          <w:rFonts w:ascii="Arial" w:hAnsi="Arial" w:cs="Arial"/>
          <w:noProof/>
          <w:lang w:val="en-GB"/>
        </w:rPr>
      </w:pPr>
      <w:r>
        <w:rPr>
          <w:rFonts w:ascii="Arial" w:hAnsi="Arial" w:cs="Arial"/>
          <w:noProof/>
          <w:lang w:val="en-GB"/>
        </w:rPr>
        <w:t>the Temporary Agency Work Directive</w:t>
      </w:r>
      <w:r>
        <w:rPr>
          <w:rStyle w:val="FootnoteReference"/>
          <w:noProof/>
        </w:rPr>
        <w:footnoteReference w:id="123"/>
      </w:r>
      <w:r>
        <w:rPr>
          <w:rFonts w:ascii="Arial" w:hAnsi="Arial" w:cs="Arial"/>
          <w:noProof/>
          <w:lang w:val="en-GB"/>
        </w:rPr>
        <w:t xml:space="preserve"> applies to members of non-profit associations working in an undertaking in so far as they are paid by the association and the association receives compensation in return for their work;</w:t>
      </w:r>
      <w:r>
        <w:rPr>
          <w:rStyle w:val="FootnoteReference"/>
          <w:rFonts w:ascii="Arial" w:hAnsi="Arial" w:cs="Arial"/>
          <w:noProof/>
          <w:lang w:val="en-GB"/>
        </w:rPr>
        <w:footnoteReference w:id="124"/>
      </w:r>
    </w:p>
    <w:p>
      <w:pPr>
        <w:pStyle w:val="Lijstje2"/>
        <w:ind w:left="1276" w:hanging="283"/>
        <w:rPr>
          <w:rFonts w:ascii="Arial" w:hAnsi="Arial" w:cs="Arial"/>
          <w:noProof/>
          <w:lang w:val="en-GB"/>
        </w:rPr>
      </w:pPr>
      <w:r>
        <w:rPr>
          <w:rFonts w:ascii="Arial" w:hAnsi="Arial" w:cs="Arial"/>
          <w:noProof/>
          <w:lang w:val="en-GB"/>
        </w:rPr>
        <w:t>imposing fixed prices for the sale of prescription-only medicines by pharmacies restricts the free movement of goods due to its impact on pharmacies in other Member States. Imposing such price-fixing on foreign pharmacies cannot be justified as it is not an appropriate way to achieve the objective of protecting human health and life by ensuring a safe and high-quality supply of medicinal products.</w:t>
      </w:r>
      <w:r>
        <w:rPr>
          <w:rStyle w:val="FootnoteReference"/>
          <w:rFonts w:ascii="Arial" w:hAnsi="Arial" w:cs="Arial"/>
          <w:noProof/>
          <w:lang w:val="en-GB"/>
        </w:rPr>
        <w:footnoteReference w:id="125"/>
      </w:r>
    </w:p>
    <w:p>
      <w:pPr>
        <w:spacing w:after="0"/>
        <w:jc w:val="left"/>
        <w:rPr>
          <w:noProof/>
        </w:rPr>
        <w:sectPr>
          <w:headerReference w:type="even" r:id="rId109"/>
          <w:headerReference w:type="default" r:id="rId110"/>
          <w:footerReference w:type="even" r:id="rId111"/>
          <w:footerReference w:type="default" r:id="rId112"/>
          <w:headerReference w:type="first" r:id="rId113"/>
          <w:footerReference w:type="first" r:id="rId114"/>
          <w:footnotePr>
            <w:numRestart w:val="eachSect"/>
          </w:footnotePr>
          <w:pgSz w:w="11906" w:h="16838"/>
          <w:pgMar w:top="1702" w:right="1417" w:bottom="1134" w:left="1417" w:header="567" w:footer="351" w:gutter="0"/>
          <w:cols w:space="708"/>
          <w:titlePg/>
          <w:docGrid w:linePitch="360"/>
        </w:sectPr>
      </w:pPr>
    </w:p>
    <w:p>
      <w:pPr>
        <w:pStyle w:val="Heading1"/>
        <w:rPr>
          <w:noProof/>
        </w:rPr>
      </w:pPr>
      <w:bookmarkStart w:id="45" w:name="_Toc477938588"/>
      <w:r>
        <w:rPr>
          <w:noProof/>
        </w:rPr>
        <w:t>Estonia</w:t>
      </w:r>
      <w:bookmarkEnd w:id="38"/>
      <w:bookmarkEnd w:id="39"/>
      <w:bookmarkEnd w:id="40"/>
      <w:bookmarkEnd w:id="41"/>
      <w:bookmarkEnd w:id="42"/>
      <w:bookmarkEnd w:id="43"/>
      <w:bookmarkEnd w:id="44"/>
      <w:bookmarkEnd w:id="45"/>
    </w:p>
    <w:p>
      <w:pPr>
        <w:spacing w:after="120"/>
        <w:rPr>
          <w:rFonts w:ascii="Arial" w:hAnsi="Arial" w:cs="Arial"/>
          <w:i/>
          <w:noProof/>
          <w:sz w:val="22"/>
          <w:szCs w:val="22"/>
        </w:rPr>
      </w:pPr>
      <w:r>
        <w:rPr>
          <w:rFonts w:ascii="Arial" w:hAnsi="Arial" w:cs="Arial"/>
          <w:i/>
          <w:noProof/>
          <w:sz w:val="22"/>
          <w:szCs w:val="22"/>
        </w:rPr>
        <w:t xml:space="preserve">All the main indicators for Estonia worsened in 2016. </w:t>
      </w:r>
      <w:r>
        <w:rPr>
          <w:rFonts w:ascii="Arial" w:hAnsi="Arial"/>
          <w:i/>
          <w:noProof/>
          <w:sz w:val="22"/>
        </w:rPr>
        <w:t>New complaints reached their highest level since 2012, while the number of new EU Pilot files increased after dropping for 2 consecutive years. Open infringement cases and new cases for late transposition both rose to their highest levels in 5 years.</w:t>
      </w:r>
    </w:p>
    <w:p>
      <w:pPr>
        <w:spacing w:after="120"/>
        <w:rPr>
          <w:rFonts w:ascii="Arial" w:hAnsi="Arial" w:cs="Arial"/>
          <w:i/>
          <w:noProof/>
          <w:sz w:val="22"/>
          <w:szCs w:val="22"/>
        </w:rPr>
      </w:pPr>
    </w:p>
    <w:p>
      <w:pPr>
        <w:pStyle w:val="kop2"/>
        <w:numPr>
          <w:ilvl w:val="0"/>
          <w:numId w:val="161"/>
        </w:numPr>
        <w:rPr>
          <w:noProof/>
        </w:rPr>
      </w:pPr>
      <w:r>
        <w:rPr>
          <w:noProof/>
        </w:rPr>
        <w:t>COMPLAINTS</w:t>
      </w:r>
    </w:p>
    <w:p>
      <w:pPr>
        <w:pStyle w:val="Subtitle"/>
        <w:numPr>
          <w:ilvl w:val="0"/>
          <w:numId w:val="162"/>
        </w:numPr>
        <w:rPr>
          <w:noProof/>
        </w:rPr>
      </w:pPr>
      <w:r>
        <w:rPr>
          <w:noProof/>
        </w:rPr>
        <w:t>New complaints made against Estonia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82886" cy="1915886"/>
            <wp:effectExtent l="0" t="0" r="27305" b="27305"/>
            <wp:docPr id="525"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pPr>
        <w:pStyle w:val="Subtitle"/>
        <w:numPr>
          <w:ilvl w:val="0"/>
          <w:numId w:val="23"/>
        </w:numPr>
        <w:rPr>
          <w:noProof/>
        </w:rPr>
      </w:pPr>
      <w:r>
        <w:rPr>
          <w:noProof/>
        </w:rPr>
        <w:t>Public complaints against Estonia open at year-end</w:t>
      </w:r>
    </w:p>
    <w:tbl>
      <w:tblPr>
        <w:tblStyle w:val="Style17"/>
        <w:tblW w:w="0" w:type="auto"/>
        <w:jc w:val="center"/>
        <w:tblInd w:w="421" w:type="dxa"/>
        <w:tblLook w:val="04A0" w:firstRow="1" w:lastRow="0" w:firstColumn="1" w:lastColumn="0" w:noHBand="0" w:noVBand="1"/>
      </w:tblPr>
      <w:tblGrid>
        <w:gridCol w:w="1697"/>
        <w:gridCol w:w="452"/>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13</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22</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18</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17</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numPr>
          <w:ilvl w:val="0"/>
          <w:numId w:val="23"/>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7720" cy="2346960"/>
            <wp:effectExtent l="0" t="0" r="11430" b="15240"/>
            <wp:docPr id="526"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pPr>
        <w:spacing w:after="200" w:line="276" w:lineRule="auto"/>
        <w:jc w:val="left"/>
        <w:rPr>
          <w:rFonts w:ascii="Arial" w:hAnsi="Arial" w:cs="Arial"/>
          <w:noProof/>
          <w:sz w:val="20"/>
        </w:rPr>
      </w:pPr>
      <w:r>
        <w:rPr>
          <w:noProof/>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163"/>
        </w:numPr>
        <w:rPr>
          <w:noProof/>
        </w:rPr>
      </w:pPr>
      <w:r>
        <w:rPr>
          <w:noProof/>
        </w:rPr>
        <w:t>New EU Pilot files opened against Estonia (2012-2016)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599214" cy="2155372"/>
            <wp:effectExtent l="0" t="0" r="11430" b="16510"/>
            <wp:docPr id="527"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pPr>
        <w:pStyle w:val="Subtitle"/>
        <w:numPr>
          <w:ilvl w:val="0"/>
          <w:numId w:val="23"/>
        </w:numPr>
        <w:rPr>
          <w:noProof/>
        </w:rPr>
      </w:pPr>
      <w:r>
        <w:rPr>
          <w:noProof/>
        </w:rPr>
        <w:t>Files relating to Estonia open in EU Pilot at year-end</w:t>
      </w:r>
    </w:p>
    <w:p>
      <w:pPr>
        <w:spacing w:after="120"/>
        <w:ind w:firstLine="709"/>
        <w:rPr>
          <w:rFonts w:ascii="Arial" w:hAnsi="Arial" w:cs="Arial"/>
          <w:noProof/>
          <w:sz w:val="20"/>
        </w:rPr>
      </w:pPr>
      <w:r>
        <w:rPr>
          <w:rFonts w:ascii="Arial" w:hAnsi="Arial" w:cs="Arial"/>
          <w:noProof/>
          <w:sz w:val="20"/>
          <w:lang w:val="en-US"/>
        </w:rPr>
        <w:drawing>
          <wp:inline distT="0" distB="0" distL="0" distR="0">
            <wp:extent cx="4599214" cy="2155372"/>
            <wp:effectExtent l="0" t="0" r="11430" b="16510"/>
            <wp:docPr id="136"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pPr>
        <w:pStyle w:val="Subtitle"/>
        <w:numPr>
          <w:ilvl w:val="0"/>
          <w:numId w:val="23"/>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339340"/>
            <wp:effectExtent l="0" t="0" r="15240" b="22860"/>
            <wp:docPr id="528"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23"/>
        </w:numPr>
        <w:rPr>
          <w:noProof/>
        </w:rPr>
      </w:pPr>
      <w:r>
        <w:rPr>
          <w:noProof/>
        </w:rPr>
        <w:t>EU Pilot files: Estonia’s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958443" cy="2231572"/>
            <wp:effectExtent l="0" t="0" r="13970" b="16510"/>
            <wp:docPr id="529"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pPr>
        <w:pStyle w:val="Subtitle"/>
        <w:numPr>
          <w:ilvl w:val="0"/>
          <w:numId w:val="23"/>
        </w:numPr>
        <w:rPr>
          <w:noProof/>
        </w:rPr>
      </w:pPr>
      <w:r>
        <w:rPr>
          <w:noProof/>
        </w:rPr>
        <w:t>EU Pilot files: Estonia’s resolution rate in 2012-2016</w:t>
      </w:r>
    </w:p>
    <w:p>
      <w:pPr>
        <w:spacing w:after="200"/>
        <w:ind w:firstLine="709"/>
        <w:rPr>
          <w:rFonts w:ascii="Arial" w:hAnsi="Arial" w:cs="Arial"/>
          <w:noProof/>
          <w:sz w:val="20"/>
        </w:rPr>
      </w:pPr>
      <w:r>
        <w:rPr>
          <w:rFonts w:ascii="Arial" w:hAnsi="Arial" w:cs="Arial"/>
          <w:noProof/>
          <w:sz w:val="20"/>
          <w:lang w:val="en-US"/>
        </w:rPr>
        <w:drawing>
          <wp:inline distT="0" distB="0" distL="0" distR="0">
            <wp:extent cx="5115378" cy="2160814"/>
            <wp:effectExtent l="0" t="0" r="9525" b="11430"/>
            <wp:docPr id="53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164"/>
        </w:numPr>
        <w:rPr>
          <w:noProof/>
        </w:rPr>
      </w:pPr>
      <w:r>
        <w:rPr>
          <w:noProof/>
        </w:rPr>
        <w:t>Infringement cases against Estonia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2000" cy="2242457"/>
            <wp:effectExtent l="0" t="0" r="19050" b="24765"/>
            <wp:docPr id="531"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pPr>
        <w:spacing w:after="200" w:line="276" w:lineRule="auto"/>
        <w:jc w:val="left"/>
        <w:rPr>
          <w:rFonts w:ascii="Arial" w:hAnsi="Arial"/>
          <w:noProof/>
          <w:color w:val="002060"/>
          <w:sz w:val="22"/>
          <w:szCs w:val="22"/>
        </w:rPr>
      </w:pPr>
      <w:r>
        <w:rPr>
          <w:noProof/>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324100"/>
            <wp:effectExtent l="0" t="0" r="13970" b="19050"/>
            <wp:docPr id="53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65"/>
        </w:numPr>
        <w:ind w:hanging="426"/>
        <w:rPr>
          <w:rFonts w:ascii="Arial" w:hAnsi="Arial" w:cs="Arial"/>
          <w:noProof/>
          <w:lang w:val="en-GB"/>
        </w:rPr>
      </w:pPr>
      <w:r>
        <w:rPr>
          <w:rFonts w:ascii="Arial" w:hAnsi="Arial" w:cs="Arial"/>
          <w:noProof/>
          <w:lang w:val="en-GB"/>
        </w:rPr>
        <w:t>The Commission opened 20 new infringement cases against Estonia in 2016. These, and other major ongoing infringement cases, include:</w:t>
      </w:r>
    </w:p>
    <w:p>
      <w:pPr>
        <w:pStyle w:val="Lijstje2"/>
        <w:spacing w:after="200"/>
        <w:ind w:left="1843" w:hanging="426"/>
        <w:rPr>
          <w:rFonts w:ascii="Arial" w:hAnsi="Arial" w:cs="Arial"/>
          <w:noProof/>
          <w:lang w:val="en-GB"/>
        </w:rPr>
      </w:pPr>
      <w:r>
        <w:rPr>
          <w:rFonts w:ascii="Arial" w:hAnsi="Arial"/>
          <w:noProof/>
          <w:lang w:val="en-GB"/>
        </w:rPr>
        <w:t>inadequate</w:t>
      </w:r>
      <w:r>
        <w:rPr>
          <w:rFonts w:ascii="Arial" w:hAnsi="Arial" w:cs="Arial"/>
          <w:noProof/>
          <w:lang w:val="en-GB"/>
        </w:rPr>
        <w:t xml:space="preserve"> </w:t>
      </w:r>
      <w:r>
        <w:rPr>
          <w:rFonts w:ascii="Arial" w:hAnsi="Arial"/>
          <w:noProof/>
          <w:lang w:val="en-GB"/>
        </w:rPr>
        <w:t>urban waste water treatment</w:t>
      </w:r>
      <w:r>
        <w:rPr>
          <w:rFonts w:ascii="Arial" w:hAnsi="Arial" w:cs="Arial"/>
          <w:noProof/>
          <w:lang w:val="en-GB"/>
        </w:rPr>
        <w:t>;</w:t>
      </w:r>
    </w:p>
    <w:p>
      <w:pPr>
        <w:pStyle w:val="Lijstje2"/>
        <w:spacing w:after="200"/>
        <w:ind w:left="1843" w:hanging="426"/>
        <w:rPr>
          <w:rFonts w:ascii="Arial" w:hAnsi="Arial" w:cs="Arial"/>
          <w:noProof/>
          <w:lang w:val="en-GB"/>
        </w:rPr>
      </w:pPr>
      <w:r>
        <w:rPr>
          <w:rFonts w:ascii="Arial" w:hAnsi="Arial"/>
          <w:noProof/>
          <w:lang w:val="en-GB"/>
        </w:rPr>
        <w:t xml:space="preserve">failure to take measures to combat water pollution caused by </w:t>
      </w:r>
      <w:hyperlink r:id="rId124" w:history="1">
        <w:r>
          <w:rPr>
            <w:rStyle w:val="Hyperlink"/>
            <w:rFonts w:ascii="Arial" w:hAnsi="Arial"/>
            <w:noProof/>
            <w:color w:val="auto"/>
            <w:u w:val="none"/>
            <w:lang w:val="en-GB"/>
          </w:rPr>
          <w:t>nitrates</w:t>
        </w:r>
      </w:hyperlink>
      <w:r>
        <w:rPr>
          <w:rFonts w:ascii="Arial" w:hAnsi="Arial" w:cs="Arial"/>
          <w:noProof/>
          <w:lang w:val="en-GB"/>
        </w:rPr>
        <w:t xml:space="preserve"> from agricultural sources</w:t>
      </w:r>
      <w:r>
        <w:rPr>
          <w:rFonts w:ascii="Arial" w:hAnsi="Arial"/>
          <w:noProof/>
          <w:lang w:val="en-GB"/>
        </w:rPr>
        <w:t>;</w:t>
      </w:r>
      <w:r>
        <w:rPr>
          <w:rStyle w:val="FootnoteReference"/>
          <w:rFonts w:ascii="Arial" w:hAnsi="Arial"/>
          <w:noProof/>
          <w:lang w:val="en-GB"/>
        </w:rPr>
        <w:footnoteReference w:id="126"/>
      </w:r>
    </w:p>
    <w:p>
      <w:pPr>
        <w:pStyle w:val="Lijstje2"/>
        <w:spacing w:after="200"/>
        <w:ind w:left="1843" w:hanging="425"/>
        <w:rPr>
          <w:rFonts w:ascii="Arial" w:hAnsi="Arial" w:cs="Arial"/>
          <w:noProof/>
          <w:lang w:val="en-GB"/>
        </w:rPr>
      </w:pPr>
      <w:r>
        <w:rPr>
          <w:rFonts w:ascii="Arial" w:hAnsi="Arial" w:cs="Arial"/>
          <w:noProof/>
          <w:lang w:val="en-GB"/>
        </w:rPr>
        <w:t>failure to fully transpose the Energy Efficiency Directive;</w:t>
      </w:r>
      <w:r>
        <w:rPr>
          <w:rStyle w:val="FootnoteReference"/>
          <w:noProof/>
        </w:rPr>
        <w:footnoteReference w:id="127"/>
      </w:r>
    </w:p>
    <w:p>
      <w:pPr>
        <w:pStyle w:val="Lijstje2"/>
        <w:tabs>
          <w:tab w:val="left" w:pos="1843"/>
        </w:tabs>
        <w:ind w:left="1843" w:hanging="425"/>
        <w:rPr>
          <w:rFonts w:ascii="Arial" w:hAnsi="Arial"/>
          <w:noProof/>
          <w:lang w:val="en-GB"/>
        </w:rPr>
      </w:pPr>
      <w:r>
        <w:rPr>
          <w:rFonts w:ascii="Arial" w:hAnsi="Arial" w:cs="Arial"/>
          <w:noProof/>
          <w:lang w:val="en-GB"/>
        </w:rPr>
        <w:t>incomplete transposition of the Directive on administrative cooperation on taxation</w:t>
      </w:r>
      <w:r>
        <w:rPr>
          <w:rStyle w:val="FootnoteReference"/>
          <w:rFonts w:ascii="Arial" w:hAnsi="Arial" w:cs="Arial"/>
          <w:noProof/>
          <w:lang w:val="en-GB"/>
        </w:rPr>
        <w:footnoteReference w:id="128"/>
      </w:r>
      <w:r>
        <w:rPr>
          <w:rFonts w:ascii="Arial" w:hAnsi="Arial" w:cs="Arial"/>
          <w:noProof/>
          <w:lang w:val="en-GB"/>
        </w:rPr>
        <w:t xml:space="preserve"> through a general provision broadly referring to the application of EU law in the relevant matters;</w:t>
      </w:r>
    </w:p>
    <w:p>
      <w:pPr>
        <w:pStyle w:val="Lijstje2"/>
        <w:ind w:left="1843"/>
        <w:rPr>
          <w:rFonts w:ascii="Arial" w:hAnsi="Arial" w:cs="Arial"/>
          <w:i/>
          <w:noProof/>
          <w:lang w:val="en-GB"/>
        </w:rPr>
      </w:pPr>
      <w:r>
        <w:rPr>
          <w:rFonts w:ascii="Arial" w:hAnsi="Arial" w:cs="Arial"/>
          <w:noProof/>
          <w:lang w:val="en-GB"/>
        </w:rPr>
        <w:t>breach of the rules</w:t>
      </w:r>
      <w:r>
        <w:rPr>
          <w:rFonts w:ascii="Arial" w:hAnsi="Arial" w:cs="Arial"/>
          <w:i/>
          <w:noProof/>
          <w:lang w:val="en-GB"/>
        </w:rPr>
        <w:t xml:space="preserve"> </w:t>
      </w:r>
      <w:r>
        <w:rPr>
          <w:rFonts w:ascii="Arial" w:hAnsi="Arial" w:cs="Arial"/>
          <w:noProof/>
          <w:lang w:val="en-GB"/>
        </w:rPr>
        <w:t>on the separation of accounts under the First Railway Package;</w:t>
      </w:r>
      <w:r>
        <w:rPr>
          <w:rStyle w:val="FootnoteReference"/>
          <w:rFonts w:ascii="Arial" w:hAnsi="Arial" w:cs="Arial"/>
          <w:noProof/>
          <w:lang w:val="en-GB"/>
        </w:rPr>
        <w:footnoteReference w:id="129"/>
      </w:r>
    </w:p>
    <w:p>
      <w:pPr>
        <w:pStyle w:val="Lijstje2"/>
        <w:ind w:left="1843" w:hanging="425"/>
        <w:rPr>
          <w:rFonts w:ascii="Arial" w:hAnsi="Arial" w:cs="Arial"/>
          <w:noProof/>
          <w:lang w:val="en-GB"/>
        </w:rPr>
      </w:pPr>
      <w:r>
        <w:rPr>
          <w:rFonts w:ascii="Arial" w:hAnsi="Arial" w:cs="Arial"/>
          <w:noProof/>
          <w:lang w:val="en-GB"/>
        </w:rPr>
        <w:t>failure to transpose in full one or more of the three Directives on public procurement and concessions</w:t>
      </w:r>
      <w:r>
        <w:rPr>
          <w:rFonts w:ascii="Arial" w:hAnsi="Arial" w:cs="Arial"/>
          <w:i/>
          <w:noProof/>
          <w:lang w:val="en-GB"/>
        </w:rPr>
        <w:t>.</w:t>
      </w:r>
      <w:r>
        <w:rPr>
          <w:rStyle w:val="FootnoteReference"/>
          <w:rFonts w:ascii="Arial" w:hAnsi="Arial"/>
          <w:noProof/>
          <w:lang w:val="en-GB"/>
        </w:rPr>
        <w:footnoteReference w:id="130"/>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260(2) TFEU.</w:t>
      </w:r>
    </w:p>
    <w:p>
      <w:pPr>
        <w:spacing w:after="200" w:line="276" w:lineRule="auto"/>
        <w:jc w:val="left"/>
        <w:rPr>
          <w:rFonts w:ascii="Arial" w:eastAsia="MS Gothic" w:hAnsi="Arial" w:cs="Arial"/>
          <w:caps/>
          <w:noProof/>
          <w:kern w:val="20"/>
          <w:sz w:val="20"/>
        </w:rPr>
      </w:pPr>
      <w:r>
        <w:rPr>
          <w:rFonts w:ascii="Arial" w:eastAsia="MS Gothic" w:hAnsi="Arial" w:cs="Arial"/>
          <w:caps/>
          <w:noProof/>
          <w:kern w:val="20"/>
          <w:sz w:val="20"/>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166"/>
        </w:numPr>
        <w:rPr>
          <w:noProof/>
        </w:rPr>
      </w:pPr>
      <w:r>
        <w:rPr>
          <w:noProof/>
        </w:rPr>
        <w:t>Late transposition infringement cases against Estonia open on 31 December (2012-2016)</w:t>
      </w:r>
    </w:p>
    <w:p>
      <w:pPr>
        <w:ind w:left="426" w:firstLine="283"/>
        <w:rPr>
          <w:noProof/>
        </w:rPr>
      </w:pPr>
      <w:r>
        <w:rPr>
          <w:noProof/>
          <w:lang w:val="en-US"/>
        </w:rPr>
        <w:drawing>
          <wp:inline distT="0" distB="0" distL="0" distR="0">
            <wp:extent cx="4579620" cy="1965960"/>
            <wp:effectExtent l="0" t="0" r="11430" b="15240"/>
            <wp:docPr id="53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pPr>
        <w:pStyle w:val="Subtitle"/>
        <w:numPr>
          <w:ilvl w:val="0"/>
          <w:numId w:val="23"/>
        </w:numPr>
        <w:rPr>
          <w:noProof/>
        </w:rPr>
      </w:pPr>
      <w:r>
        <w:rPr>
          <w:noProof/>
        </w:rPr>
        <w:t>New late transposition infringement cases against Estonia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155371"/>
            <wp:effectExtent l="0" t="0" r="13970" b="16510"/>
            <wp:docPr id="534"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8328" cy="2590800"/>
            <wp:effectExtent l="0" t="0" r="22225" b="19050"/>
            <wp:docPr id="535"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ab/>
        <w:t>These concerned:</w:t>
      </w:r>
    </w:p>
    <w:p>
      <w:pPr>
        <w:numPr>
          <w:ilvl w:val="0"/>
          <w:numId w:val="4"/>
        </w:numPr>
        <w:spacing w:after="200"/>
        <w:ind w:left="1276" w:hanging="425"/>
        <w:contextualSpacing/>
        <w:rPr>
          <w:rFonts w:ascii="Arial" w:eastAsia="Calibri" w:hAnsi="Arial" w:cs="Arial"/>
          <w:noProof/>
          <w:kern w:val="20"/>
          <w:sz w:val="20"/>
        </w:rPr>
      </w:pPr>
      <w:r>
        <w:rPr>
          <w:rFonts w:ascii="Arial" w:eastAsia="Calibri" w:hAnsi="Arial" w:cs="Arial"/>
          <w:noProof/>
          <w:kern w:val="20"/>
          <w:sz w:val="20"/>
        </w:rPr>
        <w:t>non-communication of national measures transposing the Seveso III Directive;</w:t>
      </w:r>
      <w:r>
        <w:rPr>
          <w:rStyle w:val="FootnoteReference"/>
          <w:rFonts w:eastAsia="Calibri"/>
          <w:noProof/>
        </w:rPr>
        <w:footnoteReference w:id="131"/>
      </w:r>
    </w:p>
    <w:p>
      <w:pPr>
        <w:numPr>
          <w:ilvl w:val="0"/>
          <w:numId w:val="4"/>
        </w:numPr>
        <w:spacing w:after="200"/>
        <w:ind w:left="1276" w:hanging="425"/>
        <w:contextualSpacing/>
        <w:rPr>
          <w:rFonts w:ascii="Arial" w:eastAsia="Calibri" w:hAnsi="Arial" w:cs="Arial"/>
          <w:noProof/>
          <w:kern w:val="20"/>
          <w:sz w:val="20"/>
        </w:rPr>
      </w:pPr>
      <w:r>
        <w:rPr>
          <w:rFonts w:ascii="Arial" w:eastAsia="Calibri" w:hAnsi="Arial" w:cs="Arial"/>
          <w:noProof/>
          <w:kern w:val="20"/>
          <w:sz w:val="20"/>
        </w:rPr>
        <w:t>completing the notification of all national measures necessary to transpose</w:t>
      </w:r>
    </w:p>
    <w:p>
      <w:pPr>
        <w:numPr>
          <w:ilvl w:val="0"/>
          <w:numId w:val="231"/>
        </w:numPr>
        <w:spacing w:after="200"/>
        <w:contextualSpacing/>
        <w:rPr>
          <w:rFonts w:ascii="Arial" w:eastAsia="Calibri" w:hAnsi="Arial" w:cs="Arial"/>
          <w:noProof/>
          <w:kern w:val="20"/>
          <w:sz w:val="20"/>
        </w:rPr>
      </w:pPr>
      <w:r>
        <w:rPr>
          <w:rFonts w:ascii="Arial" w:eastAsia="Calibri" w:hAnsi="Arial" w:cs="Arial"/>
          <w:noProof/>
          <w:kern w:val="20"/>
          <w:sz w:val="20"/>
        </w:rPr>
        <w:t>the Capital Requirements Directive;</w:t>
      </w:r>
      <w:r>
        <w:rPr>
          <w:rStyle w:val="FootnoteReference"/>
          <w:rFonts w:ascii="Arial" w:hAnsi="Arial" w:cs="Arial"/>
          <w:noProof/>
          <w:sz w:val="20"/>
        </w:rPr>
        <w:footnoteReference w:id="132"/>
      </w:r>
    </w:p>
    <w:p>
      <w:pPr>
        <w:numPr>
          <w:ilvl w:val="0"/>
          <w:numId w:val="231"/>
        </w:numPr>
        <w:spacing w:after="200"/>
        <w:contextualSpacing/>
        <w:rPr>
          <w:rFonts w:ascii="Arial" w:eastAsia="Calibri" w:hAnsi="Arial" w:cs="Arial"/>
          <w:noProof/>
          <w:kern w:val="20"/>
          <w:sz w:val="20"/>
        </w:rPr>
      </w:pPr>
      <w:r>
        <w:rPr>
          <w:rFonts w:ascii="Arial" w:eastAsia="Calibri" w:hAnsi="Arial" w:cs="Arial"/>
          <w:noProof/>
          <w:kern w:val="20"/>
          <w:sz w:val="20"/>
        </w:rPr>
        <w:t xml:space="preserve">the Bank Resolution and Recovery Directive; </w:t>
      </w:r>
      <w:r>
        <w:rPr>
          <w:rStyle w:val="FootnoteReference"/>
          <w:rFonts w:ascii="Arial" w:hAnsi="Arial" w:cs="Arial"/>
          <w:noProof/>
          <w:sz w:val="20"/>
        </w:rPr>
        <w:footnoteReference w:id="133"/>
      </w:r>
    </w:p>
    <w:p>
      <w:pPr>
        <w:numPr>
          <w:ilvl w:val="0"/>
          <w:numId w:val="231"/>
        </w:numPr>
        <w:spacing w:after="200"/>
        <w:contextualSpacing/>
        <w:rPr>
          <w:rFonts w:ascii="Arial" w:hAnsi="Arial" w:cs="Arial"/>
          <w:noProof/>
          <w:sz w:val="20"/>
        </w:rPr>
      </w:pPr>
      <w:r>
        <w:rPr>
          <w:rFonts w:ascii="Arial" w:eastAsia="Calibri" w:hAnsi="Arial" w:cs="Arial"/>
          <w:noProof/>
          <w:kern w:val="20"/>
          <w:sz w:val="20"/>
        </w:rPr>
        <w:t>the Deposit Guarantee Schemes Directive;</w:t>
      </w:r>
      <w:r>
        <w:rPr>
          <w:rStyle w:val="FootnoteReference"/>
          <w:rFonts w:ascii="Arial" w:hAnsi="Arial" w:cs="Arial"/>
          <w:noProof/>
          <w:sz w:val="20"/>
        </w:rPr>
        <w:footnoteReference w:id="134"/>
      </w:r>
    </w:p>
    <w:p>
      <w:pPr>
        <w:numPr>
          <w:ilvl w:val="0"/>
          <w:numId w:val="231"/>
        </w:numPr>
        <w:spacing w:after="200"/>
        <w:contextualSpacing/>
        <w:rPr>
          <w:rFonts w:ascii="Arial" w:hAnsi="Arial" w:cs="Arial"/>
          <w:noProof/>
          <w:sz w:val="20"/>
        </w:rPr>
      </w:pPr>
      <w:r>
        <w:rPr>
          <w:rFonts w:ascii="Arial" w:hAnsi="Arial" w:cs="Arial"/>
          <w:noProof/>
          <w:sz w:val="20"/>
        </w:rPr>
        <w:t>the Directive on over-reliance on credit ratings;</w:t>
      </w:r>
      <w:r>
        <w:rPr>
          <w:rStyle w:val="FootnoteReference"/>
          <w:rFonts w:ascii="Arial" w:hAnsi="Arial" w:cs="Arial"/>
          <w:noProof/>
          <w:sz w:val="20"/>
        </w:rPr>
        <w:footnoteReference w:id="135"/>
      </w:r>
    </w:p>
    <w:p>
      <w:pPr>
        <w:numPr>
          <w:ilvl w:val="0"/>
          <w:numId w:val="231"/>
        </w:numPr>
        <w:spacing w:after="200"/>
        <w:contextualSpacing/>
        <w:rPr>
          <w:rFonts w:ascii="Arial" w:hAnsi="Arial" w:cs="Arial"/>
          <w:noProof/>
          <w:sz w:val="20"/>
        </w:rPr>
      </w:pPr>
      <w:r>
        <w:rPr>
          <w:rFonts w:ascii="Arial" w:hAnsi="Arial" w:cs="Arial"/>
          <w:noProof/>
          <w:sz w:val="20"/>
        </w:rPr>
        <w:t>the Directive on alternative investment fund managers;</w:t>
      </w:r>
      <w:r>
        <w:rPr>
          <w:rStyle w:val="FootnoteReference"/>
          <w:rFonts w:ascii="Arial" w:hAnsi="Arial" w:cs="Arial"/>
          <w:noProof/>
          <w:sz w:val="20"/>
        </w:rPr>
        <w:footnoteReference w:id="136"/>
      </w:r>
    </w:p>
    <w:p>
      <w:pPr>
        <w:numPr>
          <w:ilvl w:val="0"/>
          <w:numId w:val="4"/>
        </w:numPr>
        <w:spacing w:after="200"/>
        <w:ind w:left="1276" w:hanging="425"/>
        <w:contextualSpacing/>
        <w:rPr>
          <w:rFonts w:ascii="Arial" w:hAnsi="Arial" w:cs="Arial"/>
          <w:noProof/>
          <w:sz w:val="20"/>
        </w:rPr>
      </w:pPr>
      <w:r>
        <w:rPr>
          <w:rFonts w:ascii="Arial" w:eastAsia="Calibri" w:hAnsi="Arial"/>
          <w:noProof/>
          <w:kern w:val="20"/>
          <w:sz w:val="20"/>
        </w:rPr>
        <w:t xml:space="preserve">failure to </w:t>
      </w:r>
      <w:r>
        <w:rPr>
          <w:rFonts w:ascii="Arial" w:eastAsia="Calibri" w:hAnsi="Arial" w:cs="Arial"/>
          <w:noProof/>
          <w:kern w:val="20"/>
          <w:sz w:val="20"/>
        </w:rPr>
        <w:t>fulfil obligations under</w:t>
      </w:r>
      <w:r>
        <w:rPr>
          <w:rFonts w:ascii="Arial" w:eastAsia="Calibri" w:hAnsi="Arial"/>
          <w:noProof/>
          <w:kern w:val="20"/>
          <w:sz w:val="20"/>
        </w:rPr>
        <w:t xml:space="preserve"> the Directive on driving licences</w:t>
      </w:r>
      <w:r>
        <w:rPr>
          <w:rFonts w:ascii="Arial" w:hAnsi="Arial"/>
          <w:noProof/>
          <w:sz w:val="20"/>
        </w:rPr>
        <w:t>;</w:t>
      </w:r>
      <w:r>
        <w:rPr>
          <w:rStyle w:val="FootnoteReference"/>
          <w:noProof/>
        </w:rPr>
        <w:footnoteReference w:id="137"/>
      </w:r>
    </w:p>
    <w:p>
      <w:pPr>
        <w:numPr>
          <w:ilvl w:val="0"/>
          <w:numId w:val="4"/>
        </w:numPr>
        <w:spacing w:after="200"/>
        <w:ind w:left="1276" w:hanging="425"/>
        <w:contextualSpacing/>
        <w:rPr>
          <w:rFonts w:ascii="Arial" w:hAnsi="Arial" w:cs="Arial"/>
          <w:noProof/>
          <w:sz w:val="20"/>
        </w:rPr>
      </w:pPr>
      <w:r>
        <w:rPr>
          <w:rFonts w:ascii="Arial" w:eastAsia="Calibri" w:hAnsi="Arial"/>
          <w:noProof/>
          <w:kern w:val="20"/>
          <w:sz w:val="20"/>
        </w:rPr>
        <w:t>failure to meet the requirements of the Regulation on the investigation and prevention of accidents and incidents in civil aviation.</w:t>
      </w:r>
      <w:r>
        <w:rPr>
          <w:rStyle w:val="FootnoteReference"/>
          <w:rFonts w:eastAsia="Calibri"/>
          <w:noProof/>
        </w:rPr>
        <w:footnoteReference w:id="138"/>
      </w:r>
    </w:p>
    <w:p>
      <w:pPr>
        <w:pStyle w:val="Lijstje2"/>
        <w:numPr>
          <w:ilvl w:val="0"/>
          <w:numId w:val="0"/>
        </w:numPr>
        <w:spacing w:after="200"/>
        <w:ind w:left="1276"/>
        <w:rPr>
          <w:rFonts w:ascii="Arial" w:hAnsi="Arial" w:cs="Arial"/>
          <w:noProof/>
          <w:lang w:val="en-GB"/>
        </w:rPr>
      </w:pP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167"/>
        </w:numPr>
        <w:rPr>
          <w:noProof/>
        </w:rPr>
      </w:pPr>
      <w:r>
        <w:rPr>
          <w:noProof/>
        </w:rPr>
        <w:t>Court rulings</w:t>
      </w:r>
      <w:r>
        <w:rPr>
          <w:rStyle w:val="FootnoteReference"/>
          <w:noProof/>
        </w:rPr>
        <w:footnoteReference w:id="139"/>
      </w:r>
    </w:p>
    <w:p>
      <w:pPr>
        <w:pStyle w:val="Body"/>
        <w:rPr>
          <w:noProof/>
          <w:lang w:val="en-GB"/>
        </w:rPr>
      </w:pPr>
      <w:r>
        <w:rPr>
          <w:noProof/>
          <w:lang w:val="en-GB"/>
        </w:rPr>
        <w:t>There were no major Court rulings in 2016.</w:t>
      </w:r>
    </w:p>
    <w:p>
      <w:pPr>
        <w:numPr>
          <w:ilvl w:val="0"/>
          <w:numId w:val="3"/>
        </w:numPr>
        <w:spacing w:after="60"/>
        <w:jc w:val="left"/>
        <w:outlineLvl w:val="1"/>
        <w:rPr>
          <w:rFonts w:ascii="Arial" w:hAnsi="Arial"/>
          <w:noProof/>
          <w:color w:val="002060"/>
          <w:sz w:val="22"/>
        </w:rPr>
      </w:pPr>
      <w:r>
        <w:rPr>
          <w:rFonts w:ascii="Arial" w:hAnsi="Arial"/>
          <w:noProof/>
          <w:color w:val="002060"/>
          <w:sz w:val="22"/>
          <w:szCs w:val="22"/>
        </w:rPr>
        <w:t>Preliminary rulings</w:t>
      </w:r>
    </w:p>
    <w:p>
      <w:pPr>
        <w:pStyle w:val="Body"/>
        <w:rPr>
          <w:rFonts w:ascii="Verdana" w:eastAsia="Calibri" w:hAnsi="Verdana"/>
          <w:noProof/>
          <w:kern w:val="20"/>
          <w:lang w:val="en-GB"/>
        </w:rPr>
      </w:pPr>
      <w:r>
        <w:rPr>
          <w:noProof/>
          <w:lang w:val="en-GB"/>
        </w:rPr>
        <w:t>No major preliminary rulings were addressed to the Estonian judiciary in 2016.</w:t>
      </w:r>
    </w:p>
    <w:p>
      <w:pPr>
        <w:spacing w:after="0"/>
        <w:jc w:val="left"/>
        <w:rPr>
          <w:noProof/>
        </w:rPr>
        <w:sectPr>
          <w:headerReference w:type="even" r:id="rId128"/>
          <w:headerReference w:type="default" r:id="rId129"/>
          <w:footerReference w:type="even" r:id="rId130"/>
          <w:footerReference w:type="default" r:id="rId131"/>
          <w:headerReference w:type="first" r:id="rId132"/>
          <w:footerReference w:type="first" r:id="rId133"/>
          <w:footnotePr>
            <w:numRestart w:val="eachSect"/>
          </w:footnotePr>
          <w:pgSz w:w="11906" w:h="16838"/>
          <w:pgMar w:top="1810" w:right="1417" w:bottom="1134" w:left="1417" w:header="567" w:footer="351" w:gutter="0"/>
          <w:cols w:space="708"/>
          <w:titlePg/>
          <w:docGrid w:linePitch="360"/>
        </w:sectPr>
      </w:pPr>
    </w:p>
    <w:p>
      <w:pPr>
        <w:pStyle w:val="Heading1"/>
        <w:rPr>
          <w:noProof/>
        </w:rPr>
      </w:pPr>
      <w:bookmarkStart w:id="46" w:name="_Toc475974651"/>
      <w:bookmarkStart w:id="47" w:name="_Toc475980147"/>
      <w:bookmarkStart w:id="48" w:name="_Toc475981396"/>
      <w:bookmarkStart w:id="49" w:name="_Toc477938589"/>
      <w:bookmarkStart w:id="50" w:name="_Toc444769592"/>
      <w:bookmarkStart w:id="51" w:name="_Toc444772048"/>
      <w:bookmarkStart w:id="52" w:name="_Toc444773367"/>
      <w:bookmarkStart w:id="53" w:name="_Toc444776739"/>
      <w:bookmarkStart w:id="54" w:name="_Toc475974646"/>
      <w:bookmarkStart w:id="55" w:name="_Toc475980142"/>
      <w:bookmarkStart w:id="56" w:name="_Toc475981391"/>
      <w:r>
        <w:rPr>
          <w:noProof/>
        </w:rPr>
        <w:t>Ireland</w:t>
      </w:r>
      <w:bookmarkEnd w:id="46"/>
      <w:bookmarkEnd w:id="47"/>
      <w:bookmarkEnd w:id="48"/>
      <w:bookmarkEnd w:id="49"/>
    </w:p>
    <w:p>
      <w:pPr>
        <w:spacing w:after="120"/>
        <w:rPr>
          <w:rFonts w:ascii="Arial" w:hAnsi="Arial" w:cs="Arial"/>
          <w:i/>
          <w:noProof/>
          <w:sz w:val="22"/>
          <w:szCs w:val="22"/>
        </w:rPr>
      </w:pPr>
      <w:r>
        <w:rPr>
          <w:rFonts w:ascii="Arial" w:hAnsi="Arial" w:cs="Arial"/>
          <w:i/>
          <w:noProof/>
          <w:sz w:val="22"/>
          <w:szCs w:val="22"/>
        </w:rPr>
        <w:t xml:space="preserve">New complaints against Ireland more than doubled in 2016 and open infringement cases at year-end jumped to a five-year high. New infringement cases for late transposition of directives also more than doubled to the highest level for 5 years. On a more positive note, the number of new EU Pilot files fell to a five-year low. </w:t>
      </w:r>
    </w:p>
    <w:p>
      <w:pPr>
        <w:spacing w:after="120"/>
        <w:rPr>
          <w:rFonts w:ascii="Arial" w:hAnsi="Arial" w:cs="Arial"/>
          <w:i/>
          <w:noProof/>
          <w:sz w:val="22"/>
          <w:szCs w:val="22"/>
        </w:rPr>
      </w:pPr>
    </w:p>
    <w:p>
      <w:pPr>
        <w:pStyle w:val="kop2"/>
        <w:numPr>
          <w:ilvl w:val="0"/>
          <w:numId w:val="7"/>
        </w:numPr>
        <w:rPr>
          <w:noProof/>
        </w:rPr>
      </w:pPr>
      <w:r>
        <w:rPr>
          <w:noProof/>
        </w:rPr>
        <w:t>COMPLAINTS</w:t>
      </w:r>
    </w:p>
    <w:p>
      <w:pPr>
        <w:pStyle w:val="Subtitle"/>
        <w:numPr>
          <w:ilvl w:val="0"/>
          <w:numId w:val="24"/>
        </w:numPr>
        <w:rPr>
          <w:noProof/>
        </w:rPr>
      </w:pPr>
      <w:r>
        <w:rPr>
          <w:noProof/>
        </w:rPr>
        <w:t>New complaints made against Ireland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79620" cy="2316480"/>
            <wp:effectExtent l="0" t="0" r="11430" b="26670"/>
            <wp:docPr id="666"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pPr>
        <w:pStyle w:val="Subtitle"/>
        <w:numPr>
          <w:ilvl w:val="0"/>
          <w:numId w:val="24"/>
        </w:numPr>
        <w:rPr>
          <w:noProof/>
        </w:rPr>
      </w:pPr>
      <w:r>
        <w:rPr>
          <w:noProof/>
        </w:rPr>
        <w:t>Public complaints against Ireland open at year-end</w:t>
      </w:r>
    </w:p>
    <w:tbl>
      <w:tblPr>
        <w:tblStyle w:val="Style113"/>
        <w:tblW w:w="0" w:type="auto"/>
        <w:jc w:val="center"/>
        <w:tblInd w:w="421" w:type="dxa"/>
        <w:tblLook w:val="04A0" w:firstRow="1" w:lastRow="0" w:firstColumn="1" w:lastColumn="0" w:noHBand="0" w:noVBand="1"/>
      </w:tblPr>
      <w:tblGrid>
        <w:gridCol w:w="1697"/>
        <w:gridCol w:w="355"/>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168</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162</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76</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254</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numPr>
          <w:ilvl w:val="0"/>
          <w:numId w:val="24"/>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7720" cy="2240280"/>
            <wp:effectExtent l="0" t="0" r="11430" b="26670"/>
            <wp:docPr id="667"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pPr>
        <w:spacing w:after="200" w:line="276" w:lineRule="auto"/>
        <w:jc w:val="left"/>
        <w:rPr>
          <w:rFonts w:ascii="Arial" w:hAnsi="Arial" w:cs="Arial"/>
          <w:noProof/>
          <w:sz w:val="20"/>
        </w:rPr>
      </w:pPr>
      <w:r>
        <w:rPr>
          <w:noProof/>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25"/>
        </w:numPr>
        <w:rPr>
          <w:noProof/>
        </w:rPr>
      </w:pPr>
      <w:r>
        <w:rPr>
          <w:noProof/>
        </w:rPr>
        <w:t>New EU Pilot files opened against Ireland (2012-2016)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577443" cy="2258786"/>
            <wp:effectExtent l="0" t="0" r="13970" b="27305"/>
            <wp:docPr id="668"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pPr>
        <w:pStyle w:val="Subtitle"/>
        <w:numPr>
          <w:ilvl w:val="0"/>
          <w:numId w:val="25"/>
        </w:numPr>
        <w:rPr>
          <w:noProof/>
        </w:rPr>
      </w:pPr>
      <w:r>
        <w:rPr>
          <w:noProof/>
        </w:rPr>
        <w:t>Files relating to Ireland open in EU Pilot at year-end</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258786"/>
            <wp:effectExtent l="0" t="0" r="13970" b="27305"/>
            <wp:docPr id="16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pPr>
        <w:pStyle w:val="Subtitle"/>
        <w:numPr>
          <w:ilvl w:val="0"/>
          <w:numId w:val="25"/>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354580"/>
            <wp:effectExtent l="0" t="0" r="15240" b="26670"/>
            <wp:docPr id="669"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25"/>
        </w:numPr>
        <w:rPr>
          <w:noProof/>
        </w:rPr>
      </w:pPr>
      <w:r>
        <w:rPr>
          <w:noProof/>
        </w:rPr>
        <w:t>EU Pilot files: Ireland’s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204357"/>
            <wp:effectExtent l="0" t="0" r="13970" b="24765"/>
            <wp:docPr id="67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pPr>
        <w:pStyle w:val="Subtitle"/>
        <w:numPr>
          <w:ilvl w:val="0"/>
          <w:numId w:val="25"/>
        </w:numPr>
        <w:rPr>
          <w:noProof/>
        </w:rPr>
      </w:pPr>
      <w:r>
        <w:rPr>
          <w:noProof/>
        </w:rPr>
        <w:t>EU Pilot files: Ireland’s resolution rate in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280557"/>
            <wp:effectExtent l="0" t="0" r="13970" b="24765"/>
            <wp:docPr id="671"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26"/>
        </w:numPr>
        <w:rPr>
          <w:noProof/>
        </w:rPr>
      </w:pPr>
      <w:r>
        <w:rPr>
          <w:noProof/>
        </w:rPr>
        <w:t>Infringement cases against Ireland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9620" cy="2209800"/>
            <wp:effectExtent l="0" t="0" r="11430" b="19050"/>
            <wp:docPr id="672"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pPr>
        <w:spacing w:after="200" w:line="276" w:lineRule="auto"/>
        <w:jc w:val="left"/>
        <w:rPr>
          <w:rFonts w:ascii="Arial" w:hAnsi="Arial"/>
          <w:noProof/>
          <w:color w:val="002060"/>
          <w:sz w:val="22"/>
          <w:szCs w:val="22"/>
        </w:rPr>
      </w:pPr>
      <w:r>
        <w:rPr>
          <w:noProof/>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ind w:firstLine="709"/>
        <w:rPr>
          <w:rFonts w:ascii="Arial" w:hAnsi="Arial" w:cs="Arial"/>
          <w:noProof/>
          <w:sz w:val="20"/>
        </w:rPr>
      </w:pPr>
      <w:r>
        <w:rPr>
          <w:rFonts w:ascii="Arial" w:hAnsi="Arial" w:cs="Arial"/>
          <w:noProof/>
          <w:sz w:val="20"/>
          <w:lang w:val="en-US"/>
        </w:rPr>
        <w:drawing>
          <wp:inline distT="0" distB="0" distL="0" distR="0">
            <wp:extent cx="4579620" cy="2240280"/>
            <wp:effectExtent l="0" t="0" r="11430" b="26670"/>
            <wp:docPr id="673"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01"/>
        </w:numPr>
        <w:ind w:hanging="426"/>
        <w:rPr>
          <w:rFonts w:ascii="Arial" w:hAnsi="Arial" w:cs="Arial"/>
          <w:noProof/>
          <w:lang w:val="en-GB"/>
        </w:rPr>
      </w:pPr>
      <w:r>
        <w:rPr>
          <w:rFonts w:ascii="Arial" w:hAnsi="Arial" w:cs="Arial"/>
          <w:noProof/>
          <w:lang w:val="en-GB"/>
        </w:rPr>
        <w:t>The Commission opened 40 new infringement cases against Ireland in 2016. These, and other major ongoing infringement cases, include:</w:t>
      </w:r>
    </w:p>
    <w:p>
      <w:pPr>
        <w:pStyle w:val="Lijstje2"/>
        <w:spacing w:after="200"/>
        <w:ind w:left="1843" w:hanging="426"/>
        <w:rPr>
          <w:rFonts w:ascii="Arial" w:hAnsi="Arial" w:cs="Arial"/>
          <w:noProof/>
          <w:lang w:val="en-GB"/>
        </w:rPr>
      </w:pPr>
      <w:r>
        <w:rPr>
          <w:rFonts w:ascii="Arial" w:hAnsi="Arial" w:cs="Arial"/>
          <w:noProof/>
          <w:lang w:val="en-GB"/>
        </w:rPr>
        <w:t>non-compliance of the national food safety control system as regards the production and marketing of live bivalve molluscs with the EU health standards;</w:t>
      </w:r>
      <w:r>
        <w:rPr>
          <w:rStyle w:val="FootnoteReference"/>
          <w:rFonts w:ascii="Arial" w:hAnsi="Arial" w:cs="Arial"/>
          <w:noProof/>
          <w:lang w:val="en-GB"/>
        </w:rPr>
        <w:footnoteReference w:id="140"/>
      </w:r>
    </w:p>
    <w:p>
      <w:pPr>
        <w:pStyle w:val="Lijstje2"/>
        <w:spacing w:after="200"/>
        <w:ind w:left="1843" w:hanging="426"/>
        <w:rPr>
          <w:rFonts w:ascii="Arial" w:hAnsi="Arial" w:cs="Arial"/>
          <w:noProof/>
          <w:lang w:val="en-GB"/>
        </w:rPr>
      </w:pPr>
      <w:r>
        <w:rPr>
          <w:rFonts w:ascii="Arial" w:hAnsi="Arial" w:cs="Arial"/>
          <w:noProof/>
          <w:lang w:val="en-GB"/>
        </w:rPr>
        <w:t>incorrect implementation of the Directive on attacks against information systems;</w:t>
      </w:r>
      <w:r>
        <w:rPr>
          <w:rStyle w:val="FootnoteReference"/>
          <w:rFonts w:ascii="Arial" w:hAnsi="Arial" w:cs="Arial"/>
          <w:noProof/>
          <w:lang w:val="en-GB"/>
        </w:rPr>
        <w:footnoteReference w:id="141"/>
      </w:r>
    </w:p>
    <w:p>
      <w:pPr>
        <w:pStyle w:val="Lijstje2"/>
        <w:ind w:left="1843" w:hanging="426"/>
        <w:rPr>
          <w:rFonts w:ascii="Arial" w:hAnsi="Arial"/>
          <w:noProof/>
          <w:lang w:val="en-GB"/>
        </w:rPr>
      </w:pPr>
      <w:r>
        <w:rPr>
          <w:rFonts w:ascii="Arial" w:hAnsi="Arial" w:cs="Arial"/>
          <w:noProof/>
          <w:lang w:val="en-GB"/>
        </w:rPr>
        <w:t>non-compliance with the Prüm Decisions on information-sharing to combat terrorism and serious crime;</w:t>
      </w:r>
      <w:r>
        <w:rPr>
          <w:rStyle w:val="FootnoteReference"/>
          <w:rFonts w:ascii="Arial" w:hAnsi="Arial" w:cs="Arial"/>
          <w:noProof/>
          <w:lang w:val="en-GB"/>
        </w:rPr>
        <w:footnoteReference w:id="142"/>
      </w:r>
    </w:p>
    <w:p>
      <w:pPr>
        <w:pStyle w:val="Lijstje2"/>
        <w:spacing w:after="200"/>
        <w:ind w:left="1843" w:hanging="425"/>
        <w:rPr>
          <w:rFonts w:ascii="Arial" w:hAnsi="Arial" w:cs="Arial"/>
          <w:noProof/>
          <w:lang w:val="en-GB"/>
        </w:rPr>
      </w:pPr>
      <w:r>
        <w:rPr>
          <w:rFonts w:ascii="Arial" w:hAnsi="Arial" w:cs="Arial"/>
          <w:noProof/>
          <w:lang w:val="en-GB"/>
        </w:rPr>
        <w:t>bad application of the Habitats Directive as regards designation of special areas of conservation and establishment of the necessary conservation measures;</w:t>
      </w:r>
      <w:r>
        <w:rPr>
          <w:rStyle w:val="FootnoteReference"/>
          <w:noProof/>
        </w:rPr>
        <w:footnoteReference w:id="143"/>
      </w:r>
      <w:r>
        <w:rPr>
          <w:rFonts w:ascii="Arial" w:hAnsi="Arial" w:cs="Arial"/>
          <w:b/>
          <w:noProof/>
          <w:lang w:val="en-GB"/>
        </w:rPr>
        <w:t xml:space="preserve"> </w:t>
      </w:r>
    </w:p>
    <w:p>
      <w:pPr>
        <w:pStyle w:val="Lijstje2"/>
        <w:spacing w:after="200"/>
        <w:ind w:left="1843" w:hanging="426"/>
        <w:rPr>
          <w:rFonts w:ascii="Arial" w:hAnsi="Arial" w:cs="Arial"/>
          <w:noProof/>
          <w:lang w:val="en-GB"/>
        </w:rPr>
      </w:pPr>
      <w:r>
        <w:rPr>
          <w:rFonts w:ascii="Arial" w:hAnsi="Arial"/>
          <w:noProof/>
          <w:lang w:val="en-GB"/>
        </w:rPr>
        <w:t>inadequate</w:t>
      </w:r>
      <w:r>
        <w:rPr>
          <w:rFonts w:ascii="Arial" w:hAnsi="Arial" w:cs="Arial"/>
          <w:noProof/>
          <w:lang w:val="en-GB"/>
        </w:rPr>
        <w:t xml:space="preserve"> </w:t>
      </w:r>
      <w:r>
        <w:rPr>
          <w:rFonts w:ascii="Arial" w:hAnsi="Arial"/>
          <w:noProof/>
          <w:lang w:val="en-GB"/>
        </w:rPr>
        <w:t>urban waste water treatment</w:t>
      </w:r>
      <w:r>
        <w:rPr>
          <w:rFonts w:ascii="Arial" w:hAnsi="Arial" w:cs="Arial"/>
          <w:noProof/>
          <w:lang w:val="en-GB"/>
        </w:rPr>
        <w:t>;</w:t>
      </w:r>
      <w:r>
        <w:rPr>
          <w:rStyle w:val="FootnoteReference"/>
          <w:rFonts w:ascii="Arial" w:hAnsi="Arial" w:cs="Arial"/>
          <w:noProof/>
          <w:lang w:val="en-GB"/>
        </w:rPr>
        <w:footnoteReference w:id="144"/>
      </w:r>
    </w:p>
    <w:p>
      <w:pPr>
        <w:pStyle w:val="Lijstje2"/>
        <w:spacing w:after="200"/>
        <w:ind w:left="1843" w:hanging="425"/>
        <w:rPr>
          <w:rFonts w:ascii="Arial" w:hAnsi="Arial" w:cs="Arial"/>
          <w:noProof/>
          <w:lang w:val="en-GB"/>
        </w:rPr>
      </w:pPr>
      <w:r>
        <w:rPr>
          <w:rFonts w:ascii="Arial" w:hAnsi="Arial" w:cs="Arial"/>
          <w:noProof/>
          <w:lang w:val="en-GB"/>
        </w:rPr>
        <w:t>failure to communicate all national measures transposing the Transparency Directive;</w:t>
      </w:r>
      <w:r>
        <w:rPr>
          <w:rStyle w:val="FootnoteReference"/>
          <w:rFonts w:ascii="Arial" w:hAnsi="Arial" w:cs="Arial"/>
          <w:noProof/>
          <w:lang w:val="en-GB"/>
        </w:rPr>
        <w:footnoteReference w:id="145"/>
      </w:r>
    </w:p>
    <w:p>
      <w:pPr>
        <w:pStyle w:val="Lijstje2"/>
        <w:spacing w:after="200"/>
        <w:ind w:left="1843" w:hanging="425"/>
        <w:rPr>
          <w:rFonts w:ascii="Arial" w:hAnsi="Arial" w:cs="Arial"/>
          <w:noProof/>
          <w:lang w:val="en-GB"/>
        </w:rPr>
      </w:pPr>
      <w:r>
        <w:rPr>
          <w:rFonts w:ascii="Arial" w:hAnsi="Arial" w:cs="Arial"/>
          <w:noProof/>
          <w:lang w:val="en-GB"/>
        </w:rPr>
        <w:t>failure to communicate all national measures transposing the Accounting Directive;</w:t>
      </w:r>
      <w:r>
        <w:rPr>
          <w:rStyle w:val="FootnoteReference"/>
          <w:rFonts w:cs="Arial"/>
          <w:noProof/>
          <w:lang w:val="en-GB"/>
        </w:rPr>
        <w:footnoteReference w:id="146"/>
      </w:r>
    </w:p>
    <w:p>
      <w:pPr>
        <w:pStyle w:val="Lijstje2"/>
        <w:spacing w:after="200"/>
        <w:ind w:left="1843" w:hanging="425"/>
        <w:rPr>
          <w:rFonts w:ascii="Arial" w:hAnsi="Arial" w:cs="Arial"/>
          <w:noProof/>
          <w:lang w:val="en-GB"/>
        </w:rPr>
      </w:pPr>
      <w:r>
        <w:rPr>
          <w:rFonts w:ascii="Arial" w:hAnsi="Arial" w:cs="Arial"/>
          <w:noProof/>
          <w:lang w:val="en-GB"/>
        </w:rPr>
        <w:t>failure to transpose in full the Directive amending EU legislation on the recognition of professional qualifications and the Internal Market Information System;</w:t>
      </w:r>
    </w:p>
    <w:p>
      <w:pPr>
        <w:pStyle w:val="Lijstje2"/>
        <w:spacing w:after="200"/>
        <w:ind w:left="1843" w:hanging="425"/>
        <w:rPr>
          <w:rFonts w:ascii="Arial" w:hAnsi="Arial" w:cs="Arial"/>
          <w:i/>
          <w:noProof/>
          <w:lang w:val="en-GB"/>
        </w:rPr>
      </w:pPr>
      <w:r>
        <w:rPr>
          <w:rFonts w:ascii="Arial" w:hAnsi="Arial" w:cs="Arial"/>
          <w:noProof/>
          <w:lang w:val="en-GB"/>
        </w:rPr>
        <w:t>incorrect implementation of the Directive on accident investigations</w:t>
      </w:r>
      <w:r>
        <w:rPr>
          <w:rFonts w:ascii="Arial" w:hAnsi="Arial" w:cs="Arial"/>
          <w:i/>
          <w:noProof/>
          <w:lang w:val="en-GB"/>
        </w:rPr>
        <w:t>;</w:t>
      </w:r>
      <w:r>
        <w:rPr>
          <w:rStyle w:val="FootnoteReference"/>
          <w:rFonts w:ascii="Arial" w:hAnsi="Arial" w:cs="Arial"/>
          <w:i/>
          <w:noProof/>
          <w:lang w:val="en-GB"/>
        </w:rPr>
        <w:footnoteReference w:id="147"/>
      </w:r>
    </w:p>
    <w:p>
      <w:pPr>
        <w:pStyle w:val="Lijstje2"/>
        <w:ind w:left="1843" w:hanging="425"/>
        <w:rPr>
          <w:rFonts w:ascii="Arial" w:hAnsi="Arial" w:cs="Arial"/>
          <w:noProof/>
          <w:lang w:val="en-GB"/>
        </w:rPr>
      </w:pPr>
      <w:r>
        <w:rPr>
          <w:rFonts w:ascii="Arial" w:hAnsi="Arial" w:cs="Arial"/>
          <w:noProof/>
          <w:lang w:val="en-GB"/>
        </w:rPr>
        <w:t>failure to transpose in full one or more of the three Directives on public procurement and concessions</w:t>
      </w:r>
      <w:r>
        <w:rPr>
          <w:rFonts w:ascii="Arial" w:hAnsi="Arial" w:cs="Arial"/>
          <w:i/>
          <w:noProof/>
          <w:lang w:val="en-GB"/>
        </w:rPr>
        <w:t>.</w:t>
      </w:r>
      <w:r>
        <w:rPr>
          <w:rStyle w:val="FootnoteReference"/>
          <w:rFonts w:ascii="Arial" w:hAnsi="Arial" w:cs="Arial"/>
          <w:i/>
          <w:noProof/>
          <w:lang w:val="en-GB"/>
        </w:rPr>
        <w:footnoteReference w:id="148"/>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260(2) TFEU.</w:t>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27"/>
        </w:numPr>
        <w:rPr>
          <w:noProof/>
        </w:rPr>
      </w:pPr>
      <w:r>
        <w:rPr>
          <w:noProof/>
        </w:rPr>
        <w:t>Late transposition infringement cases against Ireland open on 31 December (2012-2016)</w:t>
      </w:r>
    </w:p>
    <w:p>
      <w:pPr>
        <w:ind w:left="426" w:firstLine="283"/>
        <w:rPr>
          <w:noProof/>
        </w:rPr>
      </w:pPr>
      <w:r>
        <w:rPr>
          <w:noProof/>
          <w:lang w:val="en-US"/>
        </w:rPr>
        <w:drawing>
          <wp:inline distT="0" distB="0" distL="0" distR="0">
            <wp:extent cx="4577443" cy="2215242"/>
            <wp:effectExtent l="0" t="0" r="13970" b="13970"/>
            <wp:docPr id="674"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pPr>
        <w:pStyle w:val="Subtitle"/>
        <w:numPr>
          <w:ilvl w:val="0"/>
          <w:numId w:val="27"/>
        </w:numPr>
        <w:rPr>
          <w:noProof/>
        </w:rPr>
      </w:pPr>
      <w:r>
        <w:rPr>
          <w:noProof/>
        </w:rPr>
        <w:t>New late transposition infringement cases against Ireland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9620" cy="2156460"/>
            <wp:effectExtent l="0" t="0" r="11430" b="15240"/>
            <wp:docPr id="675"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446020"/>
            <wp:effectExtent l="0" t="0" r="22860" b="11430"/>
            <wp:docPr id="676"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These concerned:</w:t>
      </w:r>
    </w:p>
    <w:p>
      <w:pPr>
        <w:numPr>
          <w:ilvl w:val="0"/>
          <w:numId w:val="4"/>
        </w:numPr>
        <w:spacing w:after="200"/>
        <w:ind w:left="1418" w:hanging="425"/>
        <w:contextualSpacing/>
        <w:rPr>
          <w:rFonts w:ascii="Arial" w:eastAsia="Calibri" w:hAnsi="Arial" w:cs="Arial"/>
          <w:noProof/>
          <w:kern w:val="20"/>
          <w:sz w:val="20"/>
        </w:rPr>
      </w:pPr>
      <w:r>
        <w:rPr>
          <w:rFonts w:ascii="Arial" w:eastAsia="Calibri" w:hAnsi="Arial" w:cs="Arial"/>
          <w:noProof/>
          <w:kern w:val="20"/>
          <w:sz w:val="20"/>
        </w:rPr>
        <w:t>completing the notification of all national measures necessary to transpose:</w:t>
      </w:r>
    </w:p>
    <w:p>
      <w:pPr>
        <w:numPr>
          <w:ilvl w:val="0"/>
          <w:numId w:val="240"/>
        </w:numPr>
        <w:spacing w:after="200"/>
        <w:contextualSpacing/>
        <w:rPr>
          <w:rFonts w:ascii="Arial" w:eastAsia="Calibri" w:hAnsi="Arial" w:cs="Arial"/>
          <w:noProof/>
          <w:kern w:val="20"/>
          <w:sz w:val="20"/>
        </w:rPr>
      </w:pPr>
      <w:r>
        <w:rPr>
          <w:rFonts w:ascii="Arial" w:eastAsia="Calibri" w:hAnsi="Arial" w:cs="Arial"/>
          <w:noProof/>
          <w:kern w:val="20"/>
          <w:sz w:val="20"/>
        </w:rPr>
        <w:t>the Capital Requirements Directive;</w:t>
      </w:r>
      <w:r>
        <w:rPr>
          <w:rStyle w:val="FootnoteReference"/>
          <w:rFonts w:ascii="Arial" w:hAnsi="Arial" w:cs="Arial"/>
          <w:noProof/>
          <w:sz w:val="20"/>
        </w:rPr>
        <w:footnoteReference w:id="149"/>
      </w:r>
    </w:p>
    <w:p>
      <w:pPr>
        <w:numPr>
          <w:ilvl w:val="0"/>
          <w:numId w:val="240"/>
        </w:numPr>
        <w:spacing w:after="200"/>
        <w:contextualSpacing/>
        <w:rPr>
          <w:rFonts w:ascii="Arial" w:eastAsia="Calibri" w:hAnsi="Arial" w:cs="Arial"/>
          <w:noProof/>
          <w:kern w:val="20"/>
          <w:sz w:val="20"/>
        </w:rPr>
      </w:pPr>
      <w:r>
        <w:rPr>
          <w:rFonts w:ascii="Arial" w:eastAsia="Calibri" w:hAnsi="Arial" w:cs="Arial"/>
          <w:noProof/>
          <w:kern w:val="20"/>
          <w:sz w:val="20"/>
        </w:rPr>
        <w:t>the Bank Resolution and Recovery Directive;</w:t>
      </w:r>
      <w:r>
        <w:rPr>
          <w:rStyle w:val="FootnoteReference"/>
          <w:rFonts w:ascii="Arial" w:hAnsi="Arial" w:cs="Arial"/>
          <w:noProof/>
          <w:sz w:val="20"/>
        </w:rPr>
        <w:footnoteReference w:id="150"/>
      </w:r>
    </w:p>
    <w:p>
      <w:pPr>
        <w:numPr>
          <w:ilvl w:val="0"/>
          <w:numId w:val="240"/>
        </w:numPr>
        <w:spacing w:after="200"/>
        <w:contextualSpacing/>
        <w:rPr>
          <w:rFonts w:ascii="Arial" w:eastAsia="Calibri" w:hAnsi="Arial"/>
          <w:noProof/>
          <w:kern w:val="20"/>
          <w:sz w:val="20"/>
        </w:rPr>
      </w:pPr>
      <w:r>
        <w:rPr>
          <w:rFonts w:ascii="Arial" w:eastAsia="Calibri" w:hAnsi="Arial" w:cs="Arial"/>
          <w:noProof/>
          <w:kern w:val="20"/>
          <w:sz w:val="20"/>
        </w:rPr>
        <w:t>the Deposit Guarantee Schemes Directive;</w:t>
      </w:r>
      <w:r>
        <w:rPr>
          <w:rStyle w:val="FootnoteReference"/>
          <w:rFonts w:ascii="Arial" w:hAnsi="Arial" w:cs="Arial"/>
          <w:noProof/>
          <w:sz w:val="20"/>
        </w:rPr>
        <w:footnoteReference w:id="151"/>
      </w:r>
    </w:p>
    <w:p>
      <w:pPr>
        <w:numPr>
          <w:ilvl w:val="0"/>
          <w:numId w:val="4"/>
        </w:numPr>
        <w:spacing w:after="200"/>
        <w:ind w:left="1417" w:hanging="425"/>
        <w:rPr>
          <w:rFonts w:ascii="Arial" w:eastAsia="Calibri" w:hAnsi="Arial"/>
          <w:noProof/>
          <w:kern w:val="20"/>
          <w:sz w:val="20"/>
        </w:rPr>
      </w:pPr>
      <w:r>
        <w:rPr>
          <w:rFonts w:ascii="Arial" w:eastAsia="Calibri" w:hAnsi="Arial"/>
          <w:noProof/>
          <w:kern w:val="20"/>
          <w:sz w:val="20"/>
        </w:rPr>
        <w:t>non-ratification of or reservations against appendices to the Convention concerning International Carriage by Rail.</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28"/>
        </w:numPr>
        <w:rPr>
          <w:noProof/>
        </w:rPr>
      </w:pPr>
      <w:r>
        <w:rPr>
          <w:noProof/>
        </w:rPr>
        <w:t>Court ruling</w:t>
      </w:r>
      <w:r>
        <w:rPr>
          <w:rStyle w:val="FootnoteReference"/>
          <w:noProof/>
        </w:rPr>
        <w:footnoteReference w:id="152"/>
      </w:r>
    </w:p>
    <w:p>
      <w:pPr>
        <w:pStyle w:val="Body"/>
        <w:rPr>
          <w:noProof/>
          <w:lang w:val="en-GB"/>
        </w:rPr>
      </w:pPr>
      <w:r>
        <w:rPr>
          <w:noProof/>
          <w:lang w:val="en-GB"/>
        </w:rPr>
        <w:t>There were no major Court rulings in 2016.</w:t>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ind w:left="426" w:firstLine="294"/>
        <w:rPr>
          <w:noProof/>
          <w:lang w:val="en-GB"/>
        </w:rPr>
      </w:pPr>
      <w:r>
        <w:rPr>
          <w:noProof/>
          <w:lang w:val="en-GB"/>
        </w:rPr>
        <w:t>In preliminary ruling addressed to the Irish judiciary, the Court held that:</w:t>
      </w:r>
    </w:p>
    <w:p>
      <w:pPr>
        <w:pStyle w:val="Lijstje2"/>
        <w:ind w:left="1418" w:hanging="425"/>
        <w:rPr>
          <w:rFonts w:ascii="Arial" w:hAnsi="Arial" w:cs="Arial"/>
          <w:noProof/>
          <w:lang w:val="en-GB"/>
        </w:rPr>
      </w:pPr>
      <w:r>
        <w:rPr>
          <w:rFonts w:ascii="Arial" w:hAnsi="Arial" w:cs="Arial"/>
          <w:noProof/>
          <w:lang w:val="en-GB"/>
        </w:rPr>
        <w:t>the principle of effectiveness must be interpreted as precluding a national procedural rule which requires an application for subsidiary protection status to be made within 15 working days of notification, by the competent authority, that an applicant whose asylum application has been rejected may make an application for subsidiary protection.</w:t>
      </w:r>
      <w:r>
        <w:rPr>
          <w:rStyle w:val="FootnoteReference"/>
          <w:rFonts w:ascii="Arial" w:hAnsi="Arial" w:cs="Arial"/>
          <w:noProof/>
          <w:lang w:val="en-GB"/>
        </w:rPr>
        <w:footnoteReference w:id="153"/>
      </w:r>
    </w:p>
    <w:p>
      <w:pPr>
        <w:pStyle w:val="Body"/>
        <w:ind w:firstLine="720"/>
        <w:rPr>
          <w:noProof/>
          <w:lang w:val="en-GB"/>
        </w:rPr>
      </w:pPr>
    </w:p>
    <w:p>
      <w:pPr>
        <w:pStyle w:val="ListParagraph"/>
        <w:spacing w:after="0"/>
        <w:ind w:left="1276"/>
        <w:rPr>
          <w:noProof/>
        </w:rPr>
        <w:sectPr>
          <w:headerReference w:type="even" r:id="rId146"/>
          <w:headerReference w:type="default" r:id="rId147"/>
          <w:footerReference w:type="even" r:id="rId148"/>
          <w:footerReference w:type="default" r:id="rId149"/>
          <w:headerReference w:type="first" r:id="rId150"/>
          <w:footerReference w:type="first" r:id="rId151"/>
          <w:footnotePr>
            <w:numRestart w:val="eachSect"/>
          </w:footnotePr>
          <w:pgSz w:w="11906" w:h="16838"/>
          <w:pgMar w:top="1702" w:right="1417" w:bottom="1134" w:left="1417" w:header="567" w:footer="351" w:gutter="0"/>
          <w:cols w:space="708"/>
          <w:titlePg/>
          <w:docGrid w:linePitch="360"/>
        </w:sectPr>
      </w:pPr>
    </w:p>
    <w:p>
      <w:pPr>
        <w:pStyle w:val="Heading1"/>
        <w:rPr>
          <w:noProof/>
        </w:rPr>
      </w:pPr>
      <w:bookmarkStart w:id="57" w:name="_Toc444769595"/>
      <w:bookmarkStart w:id="58" w:name="_Toc444772051"/>
      <w:bookmarkStart w:id="59" w:name="_Toc444773370"/>
      <w:bookmarkStart w:id="60" w:name="_Toc444776742"/>
      <w:bookmarkStart w:id="61" w:name="_Toc475974649"/>
      <w:bookmarkStart w:id="62" w:name="_Toc475980145"/>
      <w:bookmarkStart w:id="63" w:name="_Toc475981394"/>
      <w:bookmarkStart w:id="64" w:name="_Toc477938590"/>
      <w:bookmarkStart w:id="65" w:name="_Toc444769593"/>
      <w:bookmarkStart w:id="66" w:name="_Toc444772049"/>
      <w:bookmarkStart w:id="67" w:name="_Toc444773368"/>
      <w:bookmarkStart w:id="68" w:name="_Toc444776740"/>
      <w:bookmarkStart w:id="69" w:name="_Toc475974647"/>
      <w:bookmarkStart w:id="70" w:name="_Toc475980143"/>
      <w:bookmarkStart w:id="71" w:name="_Toc475981392"/>
      <w:bookmarkEnd w:id="50"/>
      <w:bookmarkEnd w:id="51"/>
      <w:bookmarkEnd w:id="52"/>
      <w:bookmarkEnd w:id="53"/>
      <w:bookmarkEnd w:id="54"/>
      <w:bookmarkEnd w:id="55"/>
      <w:bookmarkEnd w:id="56"/>
      <w:r>
        <w:rPr>
          <w:noProof/>
        </w:rPr>
        <w:t>Greece</w:t>
      </w:r>
      <w:bookmarkEnd w:id="57"/>
      <w:bookmarkEnd w:id="58"/>
      <w:bookmarkEnd w:id="59"/>
      <w:bookmarkEnd w:id="60"/>
      <w:bookmarkEnd w:id="61"/>
      <w:bookmarkEnd w:id="62"/>
      <w:bookmarkEnd w:id="63"/>
      <w:bookmarkEnd w:id="64"/>
    </w:p>
    <w:p>
      <w:pPr>
        <w:spacing w:after="120"/>
        <w:rPr>
          <w:rFonts w:ascii="Arial" w:hAnsi="Arial" w:cs="Arial"/>
          <w:i/>
          <w:noProof/>
          <w:sz w:val="22"/>
          <w:szCs w:val="22"/>
        </w:rPr>
      </w:pPr>
      <w:r>
        <w:rPr>
          <w:rFonts w:ascii="Arial" w:hAnsi="Arial" w:cs="Arial"/>
          <w:i/>
          <w:noProof/>
          <w:sz w:val="22"/>
          <w:szCs w:val="22"/>
        </w:rPr>
        <w:t xml:space="preserve">Both new complaints and new EU Pilot files against Greece continued to drop in 2016, reaching their lowest level in recent years. The number of infringement cases open at the end of 2016 was only slightly higher than the previous year, confirming the relatively stable trend registered since 2012. The number of new infringement cases for late transposition also rose slightly.    </w:t>
      </w:r>
    </w:p>
    <w:p>
      <w:pPr>
        <w:spacing w:after="120"/>
        <w:rPr>
          <w:rFonts w:ascii="Arial" w:hAnsi="Arial" w:cs="Arial"/>
          <w:i/>
          <w:noProof/>
          <w:sz w:val="22"/>
          <w:szCs w:val="22"/>
        </w:rPr>
      </w:pPr>
    </w:p>
    <w:p>
      <w:pPr>
        <w:pStyle w:val="kop2"/>
        <w:numPr>
          <w:ilvl w:val="0"/>
          <w:numId w:val="189"/>
        </w:numPr>
        <w:rPr>
          <w:noProof/>
        </w:rPr>
      </w:pPr>
      <w:r>
        <w:rPr>
          <w:noProof/>
        </w:rPr>
        <w:t>COMPLAINTS</w:t>
      </w:r>
    </w:p>
    <w:p>
      <w:pPr>
        <w:pStyle w:val="Subtitle"/>
        <w:numPr>
          <w:ilvl w:val="0"/>
          <w:numId w:val="190"/>
        </w:numPr>
        <w:rPr>
          <w:noProof/>
        </w:rPr>
      </w:pPr>
      <w:r>
        <w:rPr>
          <w:noProof/>
        </w:rPr>
        <w:t>New complaints made against Greece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72000" cy="1859280"/>
            <wp:effectExtent l="0" t="0" r="19050" b="26670"/>
            <wp:docPr id="597"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pPr>
        <w:pStyle w:val="Subtitle"/>
        <w:numPr>
          <w:ilvl w:val="0"/>
          <w:numId w:val="23"/>
        </w:numPr>
        <w:rPr>
          <w:noProof/>
        </w:rPr>
      </w:pPr>
      <w:r>
        <w:rPr>
          <w:noProof/>
        </w:rPr>
        <w:t>Public complaints against Greece open at year-end</w:t>
      </w:r>
    </w:p>
    <w:tbl>
      <w:tblPr>
        <w:tblStyle w:val="Style111"/>
        <w:tblW w:w="0" w:type="auto"/>
        <w:jc w:val="center"/>
        <w:tblInd w:w="421" w:type="dxa"/>
        <w:tblLook w:val="04A0" w:firstRow="1" w:lastRow="0" w:firstColumn="1" w:lastColumn="0" w:noHBand="0" w:noVBand="1"/>
      </w:tblPr>
      <w:tblGrid>
        <w:gridCol w:w="1697"/>
        <w:gridCol w:w="452"/>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108</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136</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132</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112</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numPr>
          <w:ilvl w:val="0"/>
          <w:numId w:val="23"/>
        </w:numPr>
        <w:rPr>
          <w:noProof/>
        </w:rPr>
      </w:pPr>
      <w:r>
        <w:rPr>
          <w:noProof/>
        </w:rPr>
        <w:t>New complaints registered in 2016: main policy areas</w:t>
      </w:r>
    </w:p>
    <w:p>
      <w:pPr>
        <w:spacing w:after="200" w:line="276" w:lineRule="auto"/>
        <w:ind w:firstLine="709"/>
        <w:jc w:val="left"/>
        <w:rPr>
          <w:noProof/>
        </w:rPr>
      </w:pPr>
      <w:r>
        <w:rPr>
          <w:rFonts w:ascii="Arial" w:hAnsi="Arial" w:cs="Arial"/>
          <w:noProof/>
          <w:sz w:val="20"/>
          <w:lang w:val="en-US"/>
        </w:rPr>
        <w:drawing>
          <wp:inline distT="0" distB="0" distL="0" distR="0">
            <wp:extent cx="4615543" cy="2416628"/>
            <wp:effectExtent l="0" t="0" r="13970" b="22225"/>
            <wp:docPr id="7"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pPr>
        <w:spacing w:after="200" w:line="276" w:lineRule="auto"/>
        <w:ind w:firstLine="709"/>
        <w:jc w:val="left"/>
        <w:rPr>
          <w:rFonts w:ascii="Arial" w:hAnsi="Arial" w:cs="Arial"/>
          <w:noProof/>
          <w:sz w:val="20"/>
        </w:rPr>
      </w:pPr>
      <w:r>
        <w:rPr>
          <w:noProof/>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191"/>
        </w:numPr>
        <w:rPr>
          <w:noProof/>
        </w:rPr>
      </w:pPr>
      <w:r>
        <w:rPr>
          <w:noProof/>
        </w:rPr>
        <w:t>New EU Pilot files opened against Greece (2012-2016)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582886" cy="2177142"/>
            <wp:effectExtent l="0" t="0" r="27305" b="13970"/>
            <wp:docPr id="5"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pPr>
        <w:pStyle w:val="Subtitle"/>
        <w:numPr>
          <w:ilvl w:val="0"/>
          <w:numId w:val="23"/>
        </w:numPr>
        <w:rPr>
          <w:noProof/>
        </w:rPr>
      </w:pPr>
      <w:r>
        <w:rPr>
          <w:noProof/>
        </w:rPr>
        <w:t>Files relating to Greece open in EU Pilot at year-end</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2886" cy="2177142"/>
            <wp:effectExtent l="0" t="0" r="27305" b="13970"/>
            <wp:docPr id="158"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pPr>
        <w:pStyle w:val="Subtitle"/>
        <w:numPr>
          <w:ilvl w:val="0"/>
          <w:numId w:val="23"/>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430780"/>
            <wp:effectExtent l="0" t="0" r="15240" b="26670"/>
            <wp:docPr id="600"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23"/>
        </w:numPr>
        <w:rPr>
          <w:noProof/>
        </w:rPr>
      </w:pPr>
      <w:r>
        <w:rPr>
          <w:noProof/>
        </w:rPr>
        <w:t>EU Pilot files: Greece’s average response time in 2012-2016 (in days)</w:t>
      </w:r>
    </w:p>
    <w:p>
      <w:pPr>
        <w:ind w:firstLine="709"/>
        <w:rPr>
          <w:rFonts w:ascii="Arial" w:hAnsi="Arial" w:cs="Arial"/>
          <w:noProof/>
          <w:sz w:val="20"/>
        </w:rPr>
      </w:pPr>
      <w:r>
        <w:rPr>
          <w:rFonts w:ascii="Arial" w:hAnsi="Arial" w:cs="Arial"/>
          <w:noProof/>
          <w:sz w:val="20"/>
          <w:lang w:val="en-US"/>
        </w:rPr>
        <w:drawing>
          <wp:inline distT="0" distB="0" distL="0" distR="0">
            <wp:extent cx="4599214" cy="2122715"/>
            <wp:effectExtent l="0" t="0" r="11430" b="11430"/>
            <wp:docPr id="601"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pPr>
        <w:pStyle w:val="Subtitle"/>
        <w:numPr>
          <w:ilvl w:val="0"/>
          <w:numId w:val="23"/>
        </w:numPr>
        <w:rPr>
          <w:noProof/>
        </w:rPr>
      </w:pPr>
      <w:r>
        <w:rPr>
          <w:noProof/>
        </w:rPr>
        <w:t>EU Pilot files: Greece’s resolution rate in 2012-2016</w:t>
      </w:r>
    </w:p>
    <w:p>
      <w:pPr>
        <w:ind w:firstLine="709"/>
        <w:rPr>
          <w:rFonts w:ascii="Arial" w:hAnsi="Arial" w:cs="Arial"/>
          <w:noProof/>
          <w:sz w:val="20"/>
        </w:rPr>
      </w:pPr>
      <w:r>
        <w:rPr>
          <w:rFonts w:ascii="Arial" w:hAnsi="Arial" w:cs="Arial"/>
          <w:noProof/>
          <w:sz w:val="20"/>
          <w:lang w:val="en-US"/>
        </w:rPr>
        <w:drawing>
          <wp:inline distT="0" distB="0" distL="0" distR="0">
            <wp:extent cx="4599214" cy="2242457"/>
            <wp:effectExtent l="0" t="0" r="11430" b="24765"/>
            <wp:docPr id="602"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192"/>
        </w:numPr>
        <w:rPr>
          <w:noProof/>
        </w:rPr>
      </w:pPr>
      <w:r>
        <w:rPr>
          <w:noProof/>
        </w:rPr>
        <w:t>Infringement cases against Greece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1964871"/>
            <wp:effectExtent l="0" t="0" r="13970" b="16510"/>
            <wp:docPr id="603"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pPr>
        <w:spacing w:after="200" w:line="276" w:lineRule="auto"/>
        <w:jc w:val="left"/>
        <w:rPr>
          <w:rFonts w:ascii="Arial" w:hAnsi="Arial"/>
          <w:noProof/>
          <w:color w:val="002060"/>
          <w:sz w:val="22"/>
          <w:szCs w:val="22"/>
        </w:rPr>
      </w:pPr>
      <w:r>
        <w:rPr>
          <w:noProof/>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324100"/>
            <wp:effectExtent l="0" t="0" r="13970" b="19050"/>
            <wp:docPr id="604"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93"/>
        </w:numPr>
        <w:ind w:hanging="426"/>
        <w:rPr>
          <w:rFonts w:ascii="Arial" w:hAnsi="Arial" w:cs="Arial"/>
          <w:noProof/>
          <w:lang w:val="en-GB"/>
        </w:rPr>
      </w:pPr>
      <w:r>
        <w:rPr>
          <w:rFonts w:ascii="Arial" w:hAnsi="Arial" w:cs="Arial"/>
          <w:noProof/>
          <w:lang w:val="en-GB"/>
        </w:rPr>
        <w:t>The Commission opened 42 new infringement cases against Greece in 2016. These, and other major ongoing infringement cases, include:</w:t>
      </w:r>
    </w:p>
    <w:p>
      <w:pPr>
        <w:pStyle w:val="Lijstje2"/>
        <w:spacing w:after="200"/>
        <w:ind w:left="1843" w:hanging="426"/>
        <w:rPr>
          <w:rFonts w:ascii="Arial" w:hAnsi="Arial" w:cs="Arial"/>
          <w:noProof/>
          <w:lang w:val="en-GB"/>
        </w:rPr>
      </w:pPr>
      <w:r>
        <w:rPr>
          <w:rFonts w:ascii="Arial" w:hAnsi="Arial" w:cs="Arial"/>
          <w:noProof/>
          <w:lang w:val="en-GB"/>
        </w:rPr>
        <w:t>non-compliance with the Prüm Decisions on information-sharing to combat terrorism and serious crime;</w:t>
      </w:r>
      <w:r>
        <w:rPr>
          <w:rStyle w:val="FootnoteReference"/>
          <w:rFonts w:ascii="Arial" w:hAnsi="Arial" w:cs="Arial"/>
          <w:noProof/>
          <w:lang w:val="en-GB"/>
        </w:rPr>
        <w:footnoteReference w:id="154"/>
      </w:r>
    </w:p>
    <w:p>
      <w:pPr>
        <w:pStyle w:val="Lijstje2"/>
        <w:ind w:left="1843" w:hanging="426"/>
        <w:rPr>
          <w:rFonts w:ascii="Arial" w:hAnsi="Arial" w:cs="Arial"/>
          <w:noProof/>
          <w:lang w:val="en-GB"/>
        </w:rPr>
      </w:pPr>
      <w:r>
        <w:rPr>
          <w:rFonts w:ascii="Arial" w:hAnsi="Arial" w:cs="Arial"/>
          <w:noProof/>
          <w:lang w:val="en-GB"/>
        </w:rPr>
        <w:t>non-communication of national measures transposing the Directives on asylum procedures and reception conditions;</w:t>
      </w:r>
      <w:r>
        <w:rPr>
          <w:rStyle w:val="FootnoteReference"/>
          <w:rFonts w:ascii="Arial" w:hAnsi="Arial" w:cs="Arial"/>
          <w:noProof/>
          <w:lang w:val="en-GB"/>
        </w:rPr>
        <w:footnoteReference w:id="155"/>
      </w:r>
    </w:p>
    <w:p>
      <w:pPr>
        <w:pStyle w:val="Lijstje2"/>
        <w:spacing w:after="200"/>
        <w:ind w:left="1843" w:hanging="426"/>
        <w:rPr>
          <w:rFonts w:ascii="Arial" w:hAnsi="Arial" w:cs="Arial"/>
          <w:noProof/>
          <w:lang w:val="en-GB"/>
        </w:rPr>
      </w:pPr>
      <w:r>
        <w:rPr>
          <w:rFonts w:ascii="Arial" w:hAnsi="Arial" w:cs="Arial"/>
          <w:noProof/>
          <w:lang w:val="en-GB"/>
        </w:rPr>
        <w:t>non-conformity of national legislation with the Return Directive;</w:t>
      </w:r>
      <w:r>
        <w:rPr>
          <w:rStyle w:val="FootnoteReference"/>
          <w:rFonts w:ascii="Arial" w:hAnsi="Arial" w:cs="Arial"/>
          <w:noProof/>
          <w:lang w:val="en-GB"/>
        </w:rPr>
        <w:footnoteReference w:id="156"/>
      </w:r>
    </w:p>
    <w:p>
      <w:pPr>
        <w:pStyle w:val="Lijstje2"/>
        <w:spacing w:after="200"/>
        <w:ind w:left="1843" w:hanging="425"/>
        <w:rPr>
          <w:rFonts w:ascii="Arial" w:hAnsi="Arial" w:cs="Arial"/>
          <w:noProof/>
          <w:lang w:val="en-GB"/>
        </w:rPr>
      </w:pPr>
      <w:r>
        <w:rPr>
          <w:rFonts w:ascii="Arial" w:hAnsi="Arial" w:cs="Arial"/>
          <w:noProof/>
          <w:lang w:val="en-GB"/>
        </w:rPr>
        <w:t>non-compliance with the rules under the Authorisation and Framework Directives as regards the independence of the national regulatory authority and rules on digital terrestrial television broadcasting;</w:t>
      </w:r>
      <w:r>
        <w:rPr>
          <w:rStyle w:val="FootnoteReference"/>
          <w:rFonts w:ascii="Arial" w:hAnsi="Arial" w:cs="Arial"/>
          <w:noProof/>
          <w:lang w:val="en-GB"/>
        </w:rPr>
        <w:footnoteReference w:id="157"/>
      </w:r>
    </w:p>
    <w:p>
      <w:pPr>
        <w:pStyle w:val="Lijstje2"/>
        <w:spacing w:after="200"/>
        <w:ind w:left="1843" w:hanging="425"/>
        <w:rPr>
          <w:rFonts w:ascii="Arial" w:hAnsi="Arial" w:cs="Arial"/>
          <w:noProof/>
          <w:lang w:val="en-GB"/>
        </w:rPr>
      </w:pPr>
      <w:r>
        <w:rPr>
          <w:rFonts w:ascii="Arial" w:hAnsi="Arial" w:cs="Arial"/>
          <w:noProof/>
          <w:lang w:val="en-GB"/>
        </w:rPr>
        <w:t>bad application of the Habitats Directive as regards designation of special areas of conservation and establishment of the necessary conservation measures;</w:t>
      </w:r>
      <w:r>
        <w:rPr>
          <w:rStyle w:val="FootnoteReference"/>
          <w:noProof/>
        </w:rPr>
        <w:footnoteReference w:id="158"/>
      </w:r>
      <w:r>
        <w:rPr>
          <w:rFonts w:ascii="Arial" w:hAnsi="Arial" w:cs="Arial"/>
          <w:b/>
          <w:noProof/>
          <w:lang w:val="en-GB"/>
        </w:rPr>
        <w:t xml:space="preserve"> </w:t>
      </w:r>
    </w:p>
    <w:p>
      <w:pPr>
        <w:pStyle w:val="Lijstje2"/>
        <w:spacing w:after="200"/>
        <w:ind w:left="1843" w:hanging="425"/>
        <w:rPr>
          <w:rFonts w:ascii="Arial" w:hAnsi="Arial" w:cs="Arial"/>
          <w:noProof/>
          <w:lang w:val="en-GB"/>
        </w:rPr>
      </w:pPr>
      <w:r>
        <w:rPr>
          <w:rFonts w:ascii="Arial" w:hAnsi="Arial" w:cs="Arial"/>
          <w:noProof/>
          <w:lang w:val="en-GB"/>
        </w:rPr>
        <w:t>illegal poisoning of birds, in breach of the Birds Directive;</w:t>
      </w:r>
      <w:r>
        <w:rPr>
          <w:rStyle w:val="FootnoteReference"/>
          <w:rFonts w:ascii="Arial" w:hAnsi="Arial" w:cs="Arial"/>
          <w:noProof/>
          <w:lang w:val="en-GB"/>
        </w:rPr>
        <w:footnoteReference w:id="159"/>
      </w:r>
    </w:p>
    <w:p>
      <w:pPr>
        <w:pStyle w:val="Lijstje2"/>
        <w:spacing w:after="200"/>
        <w:ind w:left="1843" w:hanging="425"/>
        <w:rPr>
          <w:rFonts w:ascii="Arial" w:hAnsi="Arial" w:cs="Arial"/>
          <w:noProof/>
          <w:lang w:val="en-GB"/>
        </w:rPr>
      </w:pPr>
      <w:r>
        <w:rPr>
          <w:rFonts w:ascii="Arial" w:hAnsi="Arial" w:cs="Arial"/>
          <w:noProof/>
          <w:lang w:val="en-GB"/>
        </w:rPr>
        <w:t>failure to notify flood hazard and risk maps</w:t>
      </w:r>
      <w:r>
        <w:rPr>
          <w:rFonts w:ascii="Arial" w:eastAsia="MS Mincho" w:hAnsi="Arial" w:cs="Arial"/>
          <w:noProof/>
          <w:szCs w:val="24"/>
          <w:lang w:val="en-GB" w:eastAsia="ja-JP"/>
        </w:rPr>
        <w:t xml:space="preserve"> </w:t>
      </w:r>
      <w:r>
        <w:rPr>
          <w:rFonts w:ascii="Arial" w:hAnsi="Arial" w:cs="Arial"/>
          <w:noProof/>
          <w:lang w:val="en-GB"/>
        </w:rPr>
        <w:t>required under the Floods Directive;</w:t>
      </w:r>
      <w:r>
        <w:rPr>
          <w:rStyle w:val="FootnoteReference"/>
          <w:noProof/>
        </w:rPr>
        <w:footnoteReference w:id="160"/>
      </w:r>
    </w:p>
    <w:p>
      <w:pPr>
        <w:pStyle w:val="Lijstje2"/>
        <w:spacing w:after="200"/>
        <w:ind w:left="1843" w:hanging="425"/>
        <w:rPr>
          <w:rFonts w:ascii="Arial" w:hAnsi="Arial" w:cs="Arial"/>
          <w:noProof/>
          <w:lang w:val="en-GB"/>
        </w:rPr>
      </w:pPr>
      <w:r>
        <w:rPr>
          <w:rFonts w:ascii="Arial" w:hAnsi="Arial" w:cs="Arial"/>
          <w:noProof/>
          <w:lang w:val="en-GB"/>
        </w:rPr>
        <w:t>failure to fully transpose the Offshore Safety Directive;</w:t>
      </w:r>
      <w:r>
        <w:rPr>
          <w:rStyle w:val="FootnoteReference"/>
          <w:noProof/>
        </w:rPr>
        <w:footnoteReference w:id="161"/>
      </w:r>
    </w:p>
    <w:p>
      <w:pPr>
        <w:pStyle w:val="Lijstje2"/>
        <w:spacing w:after="200"/>
        <w:ind w:left="1843" w:hanging="425"/>
        <w:rPr>
          <w:rFonts w:ascii="Arial" w:hAnsi="Arial" w:cs="Arial"/>
          <w:noProof/>
          <w:lang w:val="en-GB"/>
        </w:rPr>
      </w:pPr>
      <w:r>
        <w:rPr>
          <w:rFonts w:ascii="Arial" w:hAnsi="Arial" w:cs="Arial"/>
          <w:noProof/>
          <w:lang w:val="en-GB"/>
        </w:rPr>
        <w:t>failure to communicate all national measures transposing the Mortgage Credit Directive;</w:t>
      </w:r>
      <w:r>
        <w:rPr>
          <w:rStyle w:val="FootnoteReference"/>
          <w:rFonts w:ascii="Arial" w:hAnsi="Arial" w:cs="Arial"/>
          <w:noProof/>
          <w:lang w:val="en-GB"/>
        </w:rPr>
        <w:footnoteReference w:id="162"/>
      </w:r>
    </w:p>
    <w:p>
      <w:pPr>
        <w:pStyle w:val="Lijstje2"/>
        <w:spacing w:after="200"/>
        <w:ind w:left="1843" w:hanging="426"/>
        <w:rPr>
          <w:rFonts w:ascii="Arial" w:hAnsi="Arial" w:cs="Arial"/>
          <w:noProof/>
          <w:lang w:val="en-GB"/>
        </w:rPr>
      </w:pPr>
      <w:r>
        <w:rPr>
          <w:rFonts w:ascii="Arial" w:eastAsia="Times New Roman" w:hAnsi="Arial" w:cs="Arial"/>
          <w:noProof/>
          <w:kern w:val="0"/>
          <w:lang w:val="en-GB"/>
        </w:rPr>
        <w:t>failure to communicate all national measures transposing the Audit Directive;</w:t>
      </w:r>
      <w:r>
        <w:rPr>
          <w:rStyle w:val="FootnoteReference"/>
          <w:noProof/>
        </w:rPr>
        <w:footnoteReference w:id="163"/>
      </w:r>
    </w:p>
    <w:p>
      <w:pPr>
        <w:pStyle w:val="Lijstje2"/>
        <w:ind w:left="1843" w:hanging="425"/>
        <w:rPr>
          <w:rFonts w:ascii="Arial" w:hAnsi="Arial" w:cs="Arial"/>
          <w:noProof/>
          <w:lang w:val="en-GB"/>
        </w:rPr>
      </w:pPr>
      <w:r>
        <w:rPr>
          <w:rFonts w:ascii="Arial" w:hAnsi="Arial" w:cs="Arial"/>
          <w:noProof/>
          <w:lang w:val="en-GB"/>
        </w:rPr>
        <w:t>the prohibition placed on individual wine growers on the island of Samos from producing and marketing wine products;</w:t>
      </w:r>
      <w:r>
        <w:rPr>
          <w:rStyle w:val="FootnoteReference"/>
          <w:rFonts w:ascii="Arial" w:hAnsi="Arial" w:cs="Arial"/>
          <w:noProof/>
          <w:lang w:val="en-GB"/>
        </w:rPr>
        <w:footnoteReference w:id="164"/>
      </w:r>
    </w:p>
    <w:p>
      <w:pPr>
        <w:pStyle w:val="Lijstje2"/>
        <w:ind w:left="1843" w:hanging="425"/>
        <w:rPr>
          <w:rFonts w:ascii="Arial" w:hAnsi="Arial" w:cs="Arial"/>
          <w:noProof/>
          <w:lang w:val="en-GB"/>
        </w:rPr>
      </w:pPr>
      <w:r>
        <w:rPr>
          <w:rFonts w:ascii="Arial" w:hAnsi="Arial" w:cs="Arial"/>
          <w:noProof/>
          <w:lang w:val="en-GB"/>
        </w:rPr>
        <w:t>non-communication of national measures transposing the Maritime Spatial Planning Directive;</w:t>
      </w:r>
      <w:r>
        <w:rPr>
          <w:rStyle w:val="FootnoteReference"/>
          <w:noProof/>
        </w:rPr>
        <w:footnoteReference w:id="165"/>
      </w:r>
      <w:r>
        <w:rPr>
          <w:rFonts w:ascii="Arial" w:hAnsi="Arial" w:cs="Arial"/>
          <w:noProof/>
          <w:lang w:val="en-GB"/>
        </w:rPr>
        <w:t xml:space="preserve"> </w:t>
      </w:r>
    </w:p>
    <w:p>
      <w:pPr>
        <w:pStyle w:val="Lijstje2"/>
        <w:ind w:left="1843" w:hanging="425"/>
        <w:rPr>
          <w:rFonts w:ascii="Arial" w:hAnsi="Arial" w:cs="Arial"/>
          <w:noProof/>
          <w:lang w:val="en-GB" w:eastAsia="en-GB"/>
        </w:rPr>
      </w:pPr>
      <w:r>
        <w:rPr>
          <w:rFonts w:ascii="Arial" w:hAnsi="Arial" w:cs="Arial"/>
          <w:noProof/>
          <w:lang w:val="en-GB"/>
        </w:rPr>
        <w:t>incorrect application of the Regulation on the rights of passengers travelling by sea or inland waterways;</w:t>
      </w:r>
      <w:r>
        <w:rPr>
          <w:rStyle w:val="FootnoteReference"/>
          <w:rFonts w:ascii="Arial" w:hAnsi="Arial" w:cs="Arial"/>
          <w:noProof/>
          <w:lang w:val="en-GB"/>
        </w:rPr>
        <w:footnoteReference w:id="166"/>
      </w:r>
    </w:p>
    <w:p>
      <w:pPr>
        <w:pStyle w:val="Lijstje2"/>
        <w:ind w:left="1843" w:hanging="425"/>
        <w:rPr>
          <w:rFonts w:ascii="Arial" w:hAnsi="Arial" w:cs="Arial"/>
          <w:noProof/>
          <w:lang w:val="en-GB" w:eastAsia="en-GB"/>
        </w:rPr>
      </w:pPr>
      <w:r>
        <w:rPr>
          <w:rFonts w:ascii="Arial" w:hAnsi="Arial" w:cs="Arial"/>
          <w:noProof/>
          <w:lang w:val="en-GB"/>
        </w:rPr>
        <w:t>excessive and unjustified obstacles in the area of professional services that run counter to the Services Directive;</w:t>
      </w:r>
      <w:r>
        <w:rPr>
          <w:rStyle w:val="FootnoteReference"/>
          <w:noProof/>
        </w:rPr>
        <w:footnoteReference w:id="167"/>
      </w:r>
      <w:r>
        <w:rPr>
          <w:rFonts w:ascii="Arial" w:hAnsi="Arial" w:cs="Arial"/>
          <w:noProof/>
          <w:vertAlign w:val="superscript"/>
          <w:lang w:val="en-GB"/>
        </w:rPr>
        <w:t xml:space="preserve"> </w:t>
      </w:r>
    </w:p>
    <w:p>
      <w:pPr>
        <w:pStyle w:val="Lijstje2"/>
        <w:ind w:left="1843" w:hanging="425"/>
        <w:rPr>
          <w:rFonts w:ascii="Arial" w:hAnsi="Arial" w:cs="Arial"/>
          <w:noProof/>
          <w:lang w:val="en-GB"/>
        </w:rPr>
      </w:pPr>
      <w:r>
        <w:rPr>
          <w:rFonts w:ascii="Arial" w:hAnsi="Arial" w:cs="Arial"/>
          <w:noProof/>
          <w:lang w:val="en-GB"/>
        </w:rPr>
        <w:t>excessive delays in the examination of applications for recognition of qualifications from other Member States;</w:t>
      </w:r>
      <w:r>
        <w:rPr>
          <w:rStyle w:val="FootnoteReference"/>
          <w:rFonts w:ascii="Arial" w:hAnsi="Arial" w:cs="Arial"/>
          <w:noProof/>
          <w:lang w:val="en-GB"/>
        </w:rPr>
        <w:footnoteReference w:id="168"/>
      </w:r>
    </w:p>
    <w:p>
      <w:pPr>
        <w:pStyle w:val="Lijstje2"/>
        <w:ind w:left="1843" w:hanging="425"/>
        <w:rPr>
          <w:rFonts w:ascii="Arial" w:hAnsi="Arial" w:cs="Arial"/>
          <w:noProof/>
          <w:lang w:val="en-GB"/>
        </w:rPr>
      </w:pPr>
      <w:r>
        <w:rPr>
          <w:rFonts w:ascii="Arial" w:hAnsi="Arial" w:cs="Arial"/>
          <w:noProof/>
          <w:lang w:val="en-GB"/>
        </w:rPr>
        <w:t xml:space="preserve">failure </w:t>
      </w:r>
      <w:r>
        <w:rPr>
          <w:rFonts w:ascii="Arial" w:hAnsi="Arial"/>
          <w:noProof/>
          <w:lang w:val="en-GB"/>
        </w:rPr>
        <w:t>to transpose in full the Directive amending EU legislation on the recognition of professional qualifications and the Internal Market Information System</w:t>
      </w:r>
      <w:r>
        <w:rPr>
          <w:rFonts w:ascii="Arial" w:hAnsi="Arial" w:cs="Arial"/>
          <w:noProof/>
          <w:lang w:val="en-GB"/>
        </w:rPr>
        <w:t>;</w:t>
      </w:r>
      <w:r>
        <w:rPr>
          <w:rStyle w:val="FootnoteReference"/>
          <w:rFonts w:ascii="Arial" w:hAnsi="Arial" w:cs="Arial"/>
          <w:noProof/>
          <w:lang w:val="en-GB"/>
        </w:rPr>
        <w:footnoteReference w:id="169"/>
      </w:r>
    </w:p>
    <w:p>
      <w:pPr>
        <w:pStyle w:val="Lijstje2"/>
        <w:spacing w:after="200"/>
        <w:ind w:left="1843" w:hanging="426"/>
        <w:rPr>
          <w:rFonts w:ascii="Arial" w:hAnsi="Arial" w:cs="Arial"/>
          <w:noProof/>
          <w:lang w:val="en-GB"/>
        </w:rPr>
      </w:pPr>
      <w:r>
        <w:rPr>
          <w:rFonts w:ascii="Arial" w:hAnsi="Arial" w:cs="Arial"/>
          <w:noProof/>
          <w:lang w:val="en-GB"/>
        </w:rPr>
        <w:t>failure to fulfil the obligations under EU vehicle type approval legislation;</w:t>
      </w:r>
      <w:r>
        <w:rPr>
          <w:rStyle w:val="FootnoteReference"/>
          <w:rFonts w:ascii="Arial" w:hAnsi="Arial" w:cs="Arial"/>
          <w:noProof/>
          <w:lang w:val="en-GB"/>
        </w:rPr>
        <w:footnoteReference w:id="170"/>
      </w:r>
    </w:p>
    <w:p>
      <w:pPr>
        <w:pStyle w:val="Lijstje2"/>
        <w:spacing w:after="200"/>
        <w:ind w:left="1843" w:hanging="426"/>
        <w:rPr>
          <w:rFonts w:ascii="Arial" w:hAnsi="Arial" w:cs="Arial"/>
          <w:noProof/>
          <w:lang w:val="en-GB"/>
        </w:rPr>
      </w:pPr>
      <w:r>
        <w:rPr>
          <w:rFonts w:ascii="Arial" w:hAnsi="Arial" w:cs="Arial"/>
          <w:noProof/>
          <w:lang w:val="en-GB"/>
        </w:rPr>
        <w:t>failure to ensure the adequate protection of Lake Koroneia in conformity with the Habitats Directive and the Urban Waste Water Treatment Directive.</w:t>
      </w:r>
      <w:r>
        <w:rPr>
          <w:rStyle w:val="FootnoteReference"/>
          <w:rFonts w:ascii="Arial" w:hAnsi="Arial" w:cs="Arial"/>
          <w:noProof/>
          <w:lang w:val="en-GB"/>
        </w:rPr>
        <w:footnoteReference w:id="171"/>
      </w:r>
    </w:p>
    <w:p>
      <w:pPr>
        <w:pStyle w:val="Lijstje"/>
        <w:numPr>
          <w:ilvl w:val="0"/>
          <w:numId w:val="2"/>
        </w:numPr>
        <w:ind w:hanging="426"/>
        <w:rPr>
          <w:rFonts w:ascii="Arial" w:hAnsi="Arial" w:cs="Arial"/>
          <w:noProof/>
          <w:lang w:val="en-GB"/>
        </w:rPr>
      </w:pPr>
      <w:r>
        <w:rPr>
          <w:rFonts w:ascii="Arial" w:hAnsi="Arial" w:cs="Arial"/>
          <w:noProof/>
          <w:lang w:val="en-GB"/>
        </w:rPr>
        <w:t>The Commission referred four cases to the Court under Article 258 TFEU. They concern:</w:t>
      </w:r>
    </w:p>
    <w:p>
      <w:pPr>
        <w:numPr>
          <w:ilvl w:val="0"/>
          <w:numId w:val="4"/>
        </w:numPr>
        <w:spacing w:after="200"/>
        <w:ind w:left="1843" w:hanging="426"/>
        <w:contextualSpacing/>
        <w:rPr>
          <w:rFonts w:ascii="Arial" w:eastAsia="Calibri" w:hAnsi="Arial" w:cs="Arial"/>
          <w:noProof/>
          <w:kern w:val="20"/>
          <w:sz w:val="20"/>
        </w:rPr>
      </w:pPr>
      <w:r>
        <w:rPr>
          <w:rFonts w:ascii="Arial" w:eastAsia="Calibri" w:hAnsi="Arial" w:cs="Arial"/>
          <w:noProof/>
          <w:kern w:val="20"/>
          <w:sz w:val="20"/>
        </w:rPr>
        <w:t>poor management of the Temploni waste landfill on the island of Corfu;</w:t>
      </w:r>
      <w:r>
        <w:rPr>
          <w:rStyle w:val="FootnoteReference"/>
          <w:rFonts w:eastAsia="Calibri"/>
          <w:noProof/>
        </w:rPr>
        <w:footnoteReference w:id="172"/>
      </w:r>
    </w:p>
    <w:p>
      <w:pPr>
        <w:numPr>
          <w:ilvl w:val="0"/>
          <w:numId w:val="4"/>
        </w:numPr>
        <w:spacing w:after="200"/>
        <w:ind w:left="1843" w:hanging="426"/>
        <w:contextualSpacing/>
        <w:rPr>
          <w:rFonts w:ascii="Arial" w:eastAsia="Calibri" w:hAnsi="Arial"/>
          <w:noProof/>
          <w:sz w:val="20"/>
        </w:rPr>
      </w:pPr>
      <w:r>
        <w:rPr>
          <w:rFonts w:ascii="Arial" w:eastAsia="Calibri" w:hAnsi="Arial" w:cs="Arial"/>
          <w:noProof/>
          <w:kern w:val="20"/>
          <w:sz w:val="20"/>
        </w:rPr>
        <w:t>non-compliance with the obligation to calculate the cost-optimal levels of minimum energy performance requirements for buildings;</w:t>
      </w:r>
      <w:r>
        <w:rPr>
          <w:rStyle w:val="FootnoteReference"/>
          <w:rFonts w:eastAsia="Calibri"/>
          <w:noProof/>
        </w:rPr>
        <w:footnoteReference w:id="173"/>
      </w:r>
    </w:p>
    <w:p>
      <w:pPr>
        <w:numPr>
          <w:ilvl w:val="0"/>
          <w:numId w:val="4"/>
        </w:numPr>
        <w:spacing w:after="200"/>
        <w:ind w:left="1843" w:hanging="426"/>
        <w:contextualSpacing/>
        <w:rPr>
          <w:rFonts w:ascii="Arial" w:eastAsia="Calibri" w:hAnsi="Arial" w:cs="Arial"/>
          <w:noProof/>
          <w:sz w:val="20"/>
        </w:rPr>
      </w:pPr>
      <w:r>
        <w:rPr>
          <w:rFonts w:ascii="Arial" w:eastAsia="Calibri" w:hAnsi="Arial" w:cs="Arial"/>
          <w:noProof/>
          <w:sz w:val="20"/>
        </w:rPr>
        <w:t>national rules allowing service stations at its land borders with Kipi (Turkey), Kakkayia (Albania) and Evzoni (FYROM) to sell fuel without the payment of excise duties. Under the Horizontal Excise Duty Directive</w:t>
      </w:r>
      <w:r>
        <w:rPr>
          <w:rStyle w:val="FootnoteReference"/>
          <w:rFonts w:ascii="Arial" w:eastAsia="Calibri" w:hAnsi="Arial" w:cs="Arial"/>
          <w:noProof/>
          <w:sz w:val="20"/>
        </w:rPr>
        <w:footnoteReference w:id="174"/>
      </w:r>
      <w:r>
        <w:rPr>
          <w:rFonts w:ascii="Arial" w:eastAsia="Calibri" w:hAnsi="Arial" w:cs="Arial"/>
          <w:noProof/>
          <w:sz w:val="20"/>
        </w:rPr>
        <w:t>, excise duties should be charged on the sale of such fuel.</w:t>
      </w:r>
      <w:r>
        <w:rPr>
          <w:rStyle w:val="FootnoteReference"/>
          <w:rFonts w:ascii="Arial" w:eastAsia="Calibri" w:hAnsi="Arial" w:cs="Arial"/>
          <w:noProof/>
          <w:kern w:val="20"/>
          <w:sz w:val="20"/>
        </w:rPr>
        <w:footnoteReference w:id="175"/>
      </w:r>
    </w:p>
    <w:p>
      <w:pPr>
        <w:numPr>
          <w:ilvl w:val="0"/>
          <w:numId w:val="4"/>
        </w:numPr>
        <w:spacing w:after="200"/>
        <w:ind w:left="1843" w:hanging="426"/>
        <w:contextualSpacing/>
        <w:rPr>
          <w:rFonts w:ascii="Arial" w:eastAsia="Calibri" w:hAnsi="Arial" w:cs="Arial"/>
          <w:noProof/>
          <w:kern w:val="20"/>
          <w:sz w:val="20"/>
        </w:rPr>
      </w:pPr>
      <w:r>
        <w:rPr>
          <w:rFonts w:ascii="Arial" w:eastAsia="Calibri" w:hAnsi="Arial" w:cs="Arial"/>
          <w:noProof/>
          <w:sz w:val="20"/>
        </w:rPr>
        <w:t>legacies bestowed on certain non-profit entities established in Greece which are treated more favourably than those bestowed on similar entities established in other EU Member States. For Greek non-profit entities, a preferential tax rate of 0.5 % is automatically available. However, similar non-profit entities from other Member States are taxed at a rate of 20 to 40 % unless their Member State also affords preferential tax treatment to Greek non-profit entities.</w:t>
      </w:r>
      <w:r>
        <w:rPr>
          <w:rStyle w:val="FootnoteReference"/>
          <w:rFonts w:ascii="Arial" w:eastAsia="Calibri" w:hAnsi="Arial" w:cs="Arial"/>
          <w:noProof/>
          <w:sz w:val="20"/>
        </w:rPr>
        <w:footnoteReference w:id="176"/>
      </w:r>
    </w:p>
    <w:p>
      <w:pPr>
        <w:pStyle w:val="Lijstje"/>
        <w:numPr>
          <w:ilvl w:val="0"/>
          <w:numId w:val="2"/>
        </w:numPr>
        <w:ind w:hanging="426"/>
        <w:rPr>
          <w:rFonts w:ascii="Arial" w:hAnsi="Arial" w:cs="Arial"/>
          <w:noProof/>
          <w:lang w:val="en-GB"/>
        </w:rPr>
      </w:pPr>
      <w:r>
        <w:rPr>
          <w:rFonts w:ascii="Arial" w:hAnsi="Arial" w:cs="Arial"/>
          <w:noProof/>
          <w:lang w:val="en-GB"/>
        </w:rPr>
        <w:t>The Commission referred one case to the Court under Article 260(2) TFEU. It concerns:</w:t>
      </w:r>
    </w:p>
    <w:p>
      <w:pPr>
        <w:numPr>
          <w:ilvl w:val="0"/>
          <w:numId w:val="4"/>
        </w:numPr>
        <w:spacing w:after="200"/>
        <w:ind w:left="1843" w:hanging="425"/>
        <w:rPr>
          <w:rFonts w:ascii="Arial" w:eastAsia="Calibri" w:hAnsi="Arial" w:cs="Arial"/>
          <w:noProof/>
          <w:kern w:val="20"/>
          <w:sz w:val="20"/>
        </w:rPr>
      </w:pPr>
      <w:r>
        <w:rPr>
          <w:rFonts w:ascii="Arial" w:eastAsia="Calibri" w:hAnsi="Arial" w:cs="Arial"/>
          <w:noProof/>
          <w:kern w:val="20"/>
          <w:sz w:val="20"/>
        </w:rPr>
        <w:t>failure to implement a judgment of the Court of Justice that Greece was failing to adequately collect and treat waste water discharged into the Gulf of Elefsina. The Commission proposed to the Court to impose a lump sum payment of EUR</w:t>
      </w:r>
      <w:r>
        <w:rPr>
          <w:rFonts w:ascii="Arial" w:eastAsia="Calibri" w:hAnsi="Arial" w:cs="Arial"/>
          <w:noProof/>
          <w:kern w:val="20"/>
          <w:sz w:val="20"/>
          <w:vertAlign w:val="subscript"/>
        </w:rPr>
        <w:t> </w:t>
      </w:r>
      <w:r>
        <w:rPr>
          <w:rFonts w:ascii="Arial" w:eastAsia="Calibri" w:hAnsi="Arial" w:cs="Arial"/>
          <w:noProof/>
          <w:kern w:val="20"/>
          <w:sz w:val="20"/>
        </w:rPr>
        <w:t>15 943 620 and a daily penalty payment of EUR</w:t>
      </w:r>
      <w:r>
        <w:rPr>
          <w:rFonts w:ascii="Arial" w:eastAsia="Calibri" w:hAnsi="Arial" w:cs="Arial"/>
          <w:noProof/>
          <w:kern w:val="20"/>
          <w:sz w:val="20"/>
          <w:vertAlign w:val="subscript"/>
        </w:rPr>
        <w:t> </w:t>
      </w:r>
      <w:r>
        <w:rPr>
          <w:rFonts w:ascii="Arial" w:eastAsia="Calibri" w:hAnsi="Arial" w:cs="Arial"/>
          <w:noProof/>
          <w:kern w:val="20"/>
          <w:sz w:val="20"/>
        </w:rPr>
        <w:t>34 974 until full compliance with EU law is ensured.</w:t>
      </w:r>
      <w:r>
        <w:rPr>
          <w:rStyle w:val="FootnoteReference"/>
          <w:rFonts w:eastAsia="Calibri"/>
          <w:noProof/>
        </w:rPr>
        <w:footnoteReference w:id="177"/>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194"/>
        </w:numPr>
        <w:rPr>
          <w:noProof/>
        </w:rPr>
      </w:pPr>
      <w:r>
        <w:rPr>
          <w:noProof/>
        </w:rPr>
        <w:t>Late transposition infringement cases against Greece open on 31 December (2012-2016)</w:t>
      </w:r>
    </w:p>
    <w:p>
      <w:pPr>
        <w:ind w:left="426" w:firstLine="283"/>
        <w:rPr>
          <w:noProof/>
        </w:rPr>
      </w:pPr>
      <w:r>
        <w:rPr>
          <w:noProof/>
          <w:lang w:val="en-US"/>
        </w:rPr>
        <w:drawing>
          <wp:inline distT="0" distB="0" distL="0" distR="0">
            <wp:extent cx="4533900" cy="2041071"/>
            <wp:effectExtent l="0" t="0" r="19050" b="16510"/>
            <wp:docPr id="605"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pPr>
        <w:pStyle w:val="Subtitle"/>
        <w:numPr>
          <w:ilvl w:val="0"/>
          <w:numId w:val="23"/>
        </w:numPr>
        <w:rPr>
          <w:noProof/>
        </w:rPr>
      </w:pPr>
      <w:r>
        <w:rPr>
          <w:noProof/>
        </w:rPr>
        <w:t>New late transposition infringement cases against Greece (2012-2016)</w:t>
      </w:r>
    </w:p>
    <w:p>
      <w:pPr>
        <w:ind w:firstLine="709"/>
        <w:rPr>
          <w:rFonts w:ascii="Arial" w:hAnsi="Arial" w:cs="Arial"/>
          <w:noProof/>
          <w:sz w:val="20"/>
        </w:rPr>
      </w:pPr>
      <w:r>
        <w:rPr>
          <w:rFonts w:ascii="Arial" w:hAnsi="Arial" w:cs="Arial"/>
          <w:noProof/>
          <w:sz w:val="20"/>
          <w:lang w:val="en-US"/>
        </w:rPr>
        <w:drawing>
          <wp:inline distT="0" distB="0" distL="0" distR="0">
            <wp:extent cx="4533900" cy="2041071"/>
            <wp:effectExtent l="0" t="0" r="19050" b="16510"/>
            <wp:docPr id="606"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8328" cy="2590800"/>
            <wp:effectExtent l="0" t="0" r="22225" b="19050"/>
            <wp:docPr id="607"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These concerned:</w:t>
      </w:r>
    </w:p>
    <w:p>
      <w:pPr>
        <w:pStyle w:val="Lijstje2"/>
        <w:spacing w:after="200"/>
        <w:ind w:left="1276" w:hanging="283"/>
        <w:rPr>
          <w:rFonts w:ascii="Arial" w:hAnsi="Arial"/>
          <w:noProof/>
          <w:lang w:val="en-GB"/>
        </w:rPr>
      </w:pPr>
      <w:r>
        <w:rPr>
          <w:rFonts w:ascii="Arial" w:hAnsi="Arial" w:cs="Arial"/>
          <w:noProof/>
          <w:lang w:val="en-GB"/>
        </w:rPr>
        <w:t>failure to implement the Eurodac Regulation, which sets up an EU asylum fingerprint database;</w:t>
      </w:r>
      <w:r>
        <w:rPr>
          <w:rStyle w:val="FootnoteReference"/>
          <w:rFonts w:ascii="Arial" w:hAnsi="Arial" w:cs="Arial"/>
          <w:noProof/>
          <w:lang w:val="en-GB"/>
        </w:rPr>
        <w:footnoteReference w:id="178"/>
      </w:r>
    </w:p>
    <w:p>
      <w:pPr>
        <w:pStyle w:val="Lijstje2"/>
        <w:spacing w:after="200"/>
        <w:ind w:left="1276" w:hanging="283"/>
        <w:rPr>
          <w:rFonts w:ascii="Arial" w:hAnsi="Arial" w:cs="Arial"/>
          <w:noProof/>
          <w:lang w:val="en-GB"/>
        </w:rPr>
      </w:pPr>
      <w:r>
        <w:rPr>
          <w:rFonts w:ascii="Arial" w:hAnsi="Arial" w:cs="Arial"/>
          <w:noProof/>
          <w:lang w:val="en-GB"/>
        </w:rPr>
        <w:t>non-communication of national measures transposing the Directive on attacks against information systems;</w:t>
      </w:r>
      <w:r>
        <w:rPr>
          <w:rStyle w:val="FootnoteReference"/>
          <w:rFonts w:ascii="Arial" w:hAnsi="Arial" w:cs="Arial"/>
          <w:noProof/>
          <w:lang w:val="en-GB"/>
        </w:rPr>
        <w:footnoteReference w:id="179"/>
      </w:r>
    </w:p>
    <w:p>
      <w:pPr>
        <w:pStyle w:val="Lijstje2"/>
        <w:spacing w:after="200"/>
        <w:ind w:left="1276" w:hanging="283"/>
        <w:rPr>
          <w:rFonts w:ascii="Arial" w:hAnsi="Arial" w:cs="Arial"/>
          <w:noProof/>
          <w:lang w:val="en-GB"/>
        </w:rPr>
      </w:pPr>
      <w:r>
        <w:rPr>
          <w:rFonts w:ascii="Arial" w:hAnsi="Arial"/>
          <w:noProof/>
          <w:lang w:val="en-GB"/>
        </w:rPr>
        <w:t>operation of the landfill of Mesolonghi in breach of the Landfill Directive and the Waste Framework Directive;</w:t>
      </w:r>
      <w:r>
        <w:rPr>
          <w:rStyle w:val="FootnoteReference"/>
          <w:noProof/>
        </w:rPr>
        <w:footnoteReference w:id="180"/>
      </w:r>
    </w:p>
    <w:p>
      <w:pPr>
        <w:pStyle w:val="Lijstje2"/>
        <w:spacing w:after="200"/>
        <w:ind w:left="1276" w:hanging="283"/>
        <w:rPr>
          <w:rFonts w:ascii="Arial" w:eastAsia="Times New Roman" w:hAnsi="Arial" w:cs="Arial"/>
          <w:noProof/>
          <w:kern w:val="0"/>
          <w:lang w:val="en-GB"/>
        </w:rPr>
      </w:pPr>
      <w:r>
        <w:rPr>
          <w:rFonts w:ascii="Arial" w:hAnsi="Arial" w:cs="Arial"/>
          <w:noProof/>
          <w:lang w:val="en-GB"/>
        </w:rPr>
        <w:t>non-communication of national measures transposing the Seveso III Directive;</w:t>
      </w:r>
      <w:r>
        <w:rPr>
          <w:rStyle w:val="FootnoteReference"/>
          <w:noProof/>
        </w:rPr>
        <w:footnoteReference w:id="181"/>
      </w:r>
    </w:p>
    <w:p>
      <w:pPr>
        <w:pStyle w:val="Lijstje2"/>
        <w:spacing w:after="200"/>
        <w:ind w:left="1276" w:hanging="283"/>
        <w:rPr>
          <w:rFonts w:ascii="Arial" w:hAnsi="Arial" w:cs="Arial"/>
          <w:noProof/>
          <w:lang w:val="en-GB"/>
        </w:rPr>
      </w:pPr>
      <w:r>
        <w:rPr>
          <w:rFonts w:ascii="Arial" w:hAnsi="Arial" w:cs="Arial"/>
          <w:noProof/>
          <w:lang w:val="en-GB"/>
        </w:rPr>
        <w:t>the notification of all national measures necessary to transpose:</w:t>
      </w:r>
    </w:p>
    <w:p>
      <w:pPr>
        <w:pStyle w:val="Lijstje2"/>
        <w:numPr>
          <w:ilvl w:val="0"/>
          <w:numId w:val="234"/>
        </w:numPr>
        <w:spacing w:after="200"/>
        <w:rPr>
          <w:rFonts w:ascii="Arial" w:hAnsi="Arial" w:cs="Arial"/>
          <w:noProof/>
          <w:lang w:val="en-GB"/>
        </w:rPr>
      </w:pPr>
      <w:r>
        <w:rPr>
          <w:rFonts w:ascii="Arial" w:hAnsi="Arial" w:cs="Arial"/>
          <w:noProof/>
          <w:lang w:val="en-GB"/>
        </w:rPr>
        <w:t>the Bank Resolution and Recovery Directive;</w:t>
      </w:r>
      <w:r>
        <w:rPr>
          <w:rStyle w:val="FootnoteReference"/>
          <w:rFonts w:ascii="Arial" w:hAnsi="Arial" w:cs="Arial"/>
          <w:noProof/>
          <w:lang w:val="en-GB"/>
        </w:rPr>
        <w:footnoteReference w:id="182"/>
      </w:r>
    </w:p>
    <w:p>
      <w:pPr>
        <w:pStyle w:val="Lijstje2"/>
        <w:numPr>
          <w:ilvl w:val="0"/>
          <w:numId w:val="234"/>
        </w:numPr>
        <w:spacing w:after="200"/>
        <w:rPr>
          <w:rFonts w:ascii="Arial" w:hAnsi="Arial" w:cs="Arial"/>
          <w:noProof/>
          <w:lang w:val="en-GB"/>
        </w:rPr>
      </w:pPr>
      <w:r>
        <w:rPr>
          <w:rFonts w:ascii="Arial" w:hAnsi="Arial" w:cs="Arial"/>
          <w:noProof/>
          <w:lang w:val="en-GB"/>
        </w:rPr>
        <w:t>the Deposit Guarantee Schemes Directive;</w:t>
      </w:r>
      <w:r>
        <w:rPr>
          <w:rStyle w:val="FootnoteReference"/>
          <w:rFonts w:ascii="Arial" w:hAnsi="Arial" w:cs="Arial"/>
          <w:noProof/>
          <w:lang w:val="en-GB"/>
        </w:rPr>
        <w:footnoteReference w:id="183"/>
      </w:r>
    </w:p>
    <w:p>
      <w:pPr>
        <w:pStyle w:val="Lijstje2"/>
        <w:numPr>
          <w:ilvl w:val="0"/>
          <w:numId w:val="234"/>
        </w:numPr>
        <w:spacing w:after="200"/>
        <w:rPr>
          <w:rFonts w:ascii="Arial" w:hAnsi="Arial" w:cs="Arial"/>
          <w:noProof/>
          <w:lang w:val="en-GB"/>
        </w:rPr>
      </w:pPr>
      <w:r>
        <w:rPr>
          <w:rFonts w:ascii="Arial" w:hAnsi="Arial" w:cs="Arial"/>
          <w:noProof/>
          <w:lang w:val="en-GB"/>
        </w:rPr>
        <w:t>the Directive on over-reliance on credit ratings;</w:t>
      </w:r>
      <w:r>
        <w:rPr>
          <w:rStyle w:val="FootnoteReference"/>
          <w:noProof/>
        </w:rPr>
        <w:footnoteReference w:id="184"/>
      </w:r>
    </w:p>
    <w:p>
      <w:pPr>
        <w:pStyle w:val="Lijstje2"/>
        <w:spacing w:after="200"/>
        <w:ind w:left="1276" w:hanging="283"/>
        <w:rPr>
          <w:rFonts w:ascii="Arial" w:hAnsi="Arial" w:cs="Arial"/>
          <w:noProof/>
          <w:lang w:val="en-GB"/>
        </w:rPr>
      </w:pPr>
      <w:r>
        <w:rPr>
          <w:rFonts w:ascii="Arial" w:hAnsi="Arial"/>
          <w:noProof/>
          <w:lang w:val="en-GB"/>
        </w:rPr>
        <w:t xml:space="preserve">failure to </w:t>
      </w:r>
      <w:r>
        <w:rPr>
          <w:rFonts w:ascii="Arial" w:hAnsi="Arial" w:cs="Arial"/>
          <w:noProof/>
          <w:lang w:val="en-GB"/>
        </w:rPr>
        <w:t>fulfil obligations under the Directive</w:t>
      </w:r>
      <w:r>
        <w:rPr>
          <w:rFonts w:ascii="Arial" w:hAnsi="Arial"/>
          <w:noProof/>
          <w:lang w:val="en-GB"/>
        </w:rPr>
        <w:t xml:space="preserve"> on driving licences</w:t>
      </w:r>
      <w:r>
        <w:rPr>
          <w:rFonts w:ascii="Arial" w:eastAsia="Times New Roman" w:hAnsi="Arial"/>
          <w:noProof/>
          <w:kern w:val="0"/>
          <w:lang w:val="en-GB"/>
        </w:rPr>
        <w:t>;</w:t>
      </w:r>
      <w:r>
        <w:rPr>
          <w:rStyle w:val="FootnoteReference"/>
          <w:noProof/>
        </w:rPr>
        <w:footnoteReference w:id="185"/>
      </w:r>
    </w:p>
    <w:p>
      <w:pPr>
        <w:pStyle w:val="Lijstje2"/>
        <w:spacing w:after="200"/>
        <w:ind w:left="1276" w:hanging="283"/>
        <w:rPr>
          <w:rFonts w:ascii="Arial" w:hAnsi="Arial" w:cs="Arial"/>
          <w:noProof/>
          <w:lang w:val="en-GB"/>
        </w:rPr>
      </w:pPr>
      <w:r>
        <w:rPr>
          <w:rFonts w:ascii="Arial" w:hAnsi="Arial"/>
          <w:noProof/>
          <w:lang w:val="en-GB"/>
        </w:rPr>
        <w:t>failure to transpose in full the three Directives on public procurement and concessions</w:t>
      </w:r>
      <w:r>
        <w:rPr>
          <w:rFonts w:ascii="Arial" w:hAnsi="Arial" w:cs="Arial"/>
          <w:noProof/>
          <w:lang w:val="en-GB"/>
        </w:rPr>
        <w:t>;</w:t>
      </w:r>
      <w:r>
        <w:rPr>
          <w:rStyle w:val="FootnoteReference"/>
          <w:rFonts w:ascii="Arial" w:hAnsi="Arial" w:cs="Arial"/>
          <w:noProof/>
          <w:lang w:val="en-GB"/>
        </w:rPr>
        <w:footnoteReference w:id="186"/>
      </w:r>
    </w:p>
    <w:p>
      <w:pPr>
        <w:pStyle w:val="Lijstje2"/>
        <w:spacing w:after="200"/>
        <w:ind w:left="1276" w:hanging="283"/>
        <w:rPr>
          <w:rFonts w:ascii="Arial" w:hAnsi="Arial" w:cs="Arial"/>
          <w:noProof/>
          <w:lang w:val="en-GB"/>
        </w:rPr>
      </w:pPr>
      <w:r>
        <w:rPr>
          <w:rFonts w:ascii="Arial" w:eastAsia="Times New Roman" w:hAnsi="Arial"/>
          <w:noProof/>
          <w:kern w:val="0"/>
          <w:lang w:val="en-GB"/>
        </w:rPr>
        <w:t>failure to meet the obligation to interconnect a national electronic register of road transport undertakings;</w:t>
      </w:r>
      <w:r>
        <w:rPr>
          <w:rStyle w:val="FootnoteReference"/>
          <w:noProof/>
        </w:rPr>
        <w:footnoteReference w:id="187"/>
      </w:r>
    </w:p>
    <w:p>
      <w:pPr>
        <w:pStyle w:val="Lijstje2"/>
        <w:spacing w:after="200"/>
        <w:ind w:left="1276" w:hanging="283"/>
        <w:rPr>
          <w:rFonts w:ascii="Arial" w:hAnsi="Arial" w:cs="Arial"/>
          <w:noProof/>
          <w:lang w:val="en-GB"/>
        </w:rPr>
      </w:pPr>
      <w:r>
        <w:rPr>
          <w:rFonts w:ascii="Arial" w:hAnsi="Arial" w:cs="Arial"/>
          <w:noProof/>
          <w:lang w:val="en-GB"/>
        </w:rPr>
        <w:t>failure to establish a registration procedure for the European electronic toll service providers and a toll domain statement;</w:t>
      </w:r>
    </w:p>
    <w:p>
      <w:pPr>
        <w:pStyle w:val="Lijstje2"/>
        <w:spacing w:after="200"/>
        <w:ind w:left="1276" w:hanging="283"/>
        <w:rPr>
          <w:rFonts w:ascii="Arial" w:hAnsi="Arial" w:cs="Arial"/>
          <w:noProof/>
          <w:lang w:val="en-GB"/>
        </w:rPr>
      </w:pPr>
      <w:r>
        <w:rPr>
          <w:rFonts w:ascii="Arial" w:eastAsia="Times New Roman" w:hAnsi="Arial"/>
          <w:noProof/>
          <w:kern w:val="0"/>
          <w:lang w:val="en-GB"/>
        </w:rPr>
        <w:t>non-compliance with the Airport Charges Directive.</w:t>
      </w:r>
      <w:r>
        <w:rPr>
          <w:rStyle w:val="FootnoteReference"/>
          <w:noProof/>
        </w:rPr>
        <w:footnoteReference w:id="188"/>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195"/>
        </w:numPr>
        <w:rPr>
          <w:noProof/>
        </w:rPr>
      </w:pPr>
      <w:r>
        <w:rPr>
          <w:noProof/>
        </w:rPr>
        <w:t>Court rulings</w:t>
      </w:r>
      <w:r>
        <w:rPr>
          <w:rStyle w:val="FootnoteReference"/>
          <w:noProof/>
        </w:rPr>
        <w:footnoteReference w:id="189"/>
      </w:r>
    </w:p>
    <w:p>
      <w:pPr>
        <w:pStyle w:val="Body"/>
        <w:rPr>
          <w:noProof/>
          <w:lang w:val="en-GB"/>
        </w:rPr>
      </w:pPr>
      <w:r>
        <w:rPr>
          <w:noProof/>
          <w:lang w:val="en-GB"/>
        </w:rPr>
        <w:t>The Court ruled that:</w:t>
      </w:r>
    </w:p>
    <w:p>
      <w:pPr>
        <w:pStyle w:val="Lijstje2"/>
        <w:ind w:left="1276"/>
        <w:rPr>
          <w:rFonts w:ascii="Arial" w:hAnsi="Arial" w:cs="Arial"/>
          <w:noProof/>
          <w:lang w:val="en-GB"/>
        </w:rPr>
      </w:pPr>
      <w:r>
        <w:rPr>
          <w:rFonts w:ascii="Arial" w:hAnsi="Arial" w:cs="Arial"/>
          <w:noProof/>
          <w:lang w:val="en-GB"/>
        </w:rPr>
        <w:t>Greece</w:t>
      </w:r>
      <w:r>
        <w:rPr>
          <w:rFonts w:ascii="Arial" w:eastAsia="Times New Roman" w:hAnsi="Arial" w:cs="Arial"/>
          <w:bCs/>
          <w:noProof/>
          <w:kern w:val="0"/>
          <w:lang w:val="en-GB"/>
        </w:rPr>
        <w:t xml:space="preserve"> has failed to comply with the Habitats Directive by not providing adequate protection for the endangered sea turtle</w:t>
      </w:r>
      <w:r>
        <w:rPr>
          <w:rFonts w:ascii="Arial" w:eastAsia="Times New Roman" w:hAnsi="Arial" w:cs="Arial"/>
          <w:bCs/>
          <w:i/>
          <w:iCs/>
          <w:noProof/>
          <w:kern w:val="0"/>
          <w:lang w:val="en-GB"/>
        </w:rPr>
        <w:t xml:space="preserve"> Caretta caretta</w:t>
      </w:r>
      <w:r>
        <w:rPr>
          <w:rFonts w:ascii="Arial" w:eastAsia="Times New Roman" w:hAnsi="Arial" w:cs="Arial"/>
          <w:bCs/>
          <w:noProof/>
          <w:kern w:val="0"/>
          <w:lang w:val="en-GB"/>
        </w:rPr>
        <w:t xml:space="preserve"> in the Bay of Kyparissia;</w:t>
      </w:r>
      <w:r>
        <w:rPr>
          <w:rStyle w:val="FootnoteReference"/>
          <w:noProof/>
        </w:rPr>
        <w:footnoteReference w:id="190"/>
      </w:r>
    </w:p>
    <w:p>
      <w:pPr>
        <w:pStyle w:val="Lijstje2"/>
        <w:ind w:left="1276"/>
        <w:rPr>
          <w:rFonts w:ascii="Arial" w:hAnsi="Arial" w:cs="Arial"/>
          <w:noProof/>
          <w:lang w:val="en-GB"/>
        </w:rPr>
      </w:pPr>
      <w:r>
        <w:rPr>
          <w:rFonts w:ascii="Arial" w:hAnsi="Arial" w:cs="Arial"/>
          <w:noProof/>
          <w:lang w:val="en-GB"/>
        </w:rPr>
        <w:t>Greece</w:t>
      </w:r>
      <w:r>
        <w:rPr>
          <w:rFonts w:ascii="Arial" w:hAnsi="Arial" w:cs="Arial"/>
          <w:i/>
          <w:noProof/>
          <w:lang w:val="en-GB"/>
        </w:rPr>
        <w:t xml:space="preserve"> </w:t>
      </w:r>
      <w:r>
        <w:rPr>
          <w:rFonts w:ascii="Arial" w:hAnsi="Arial" w:cs="Arial"/>
          <w:noProof/>
          <w:lang w:val="en-GB"/>
        </w:rPr>
        <w:t>has failed to take all the necessary measures to comply</w:t>
      </w:r>
      <w:r>
        <w:rPr>
          <w:rFonts w:ascii="Arial" w:hAnsi="Arial" w:cs="Arial"/>
          <w:b/>
          <w:noProof/>
          <w:lang w:val="en-GB"/>
        </w:rPr>
        <w:t xml:space="preserve"> </w:t>
      </w:r>
      <w:r>
        <w:rPr>
          <w:rFonts w:ascii="Arial" w:hAnsi="Arial" w:cs="Arial"/>
          <w:noProof/>
          <w:lang w:val="en-GB"/>
        </w:rPr>
        <w:t>with the Court's 2009 judgment finding that Greece was not ensuring adequate management of hazardous waste. The Court ordered Greece to pay a lump sum of EUR 10 million and a daily penalty payment of EUR 30 000;</w:t>
      </w:r>
      <w:r>
        <w:rPr>
          <w:rStyle w:val="FootnoteReference"/>
          <w:rFonts w:ascii="Arial" w:hAnsi="Arial" w:cs="Arial"/>
          <w:bCs/>
          <w:noProof/>
          <w:lang w:val="en-GB"/>
        </w:rPr>
        <w:footnoteReference w:id="191"/>
      </w:r>
    </w:p>
    <w:p>
      <w:pPr>
        <w:pStyle w:val="Lijstje2"/>
        <w:ind w:left="1276"/>
        <w:rPr>
          <w:rFonts w:ascii="Arial" w:hAnsi="Arial" w:cs="Arial"/>
          <w:noProof/>
          <w:lang w:val="en-GB"/>
        </w:rPr>
      </w:pPr>
      <w:r>
        <w:rPr>
          <w:rFonts w:ascii="Arial" w:hAnsi="Arial" w:cs="Arial"/>
          <w:noProof/>
          <w:lang w:val="en-GB"/>
        </w:rPr>
        <w:t>it is a restriction on the freedom to provide services to levy the full amount of car registration tax (as provided for under its national legislation) at the time of registration of a vehicle hired or leased by a Greek customer from a supplier established in another Member State, if the duration of the hire or lease contract and the duration of the vehicle’s use in Greek territory is not taken into consideration;</w:t>
      </w:r>
      <w:r>
        <w:rPr>
          <w:rStyle w:val="FootnoteReference"/>
          <w:rFonts w:ascii="Arial" w:hAnsi="Arial" w:cs="Arial"/>
          <w:noProof/>
          <w:lang w:val="en-GB"/>
        </w:rPr>
        <w:footnoteReference w:id="192"/>
      </w:r>
    </w:p>
    <w:p>
      <w:pPr>
        <w:pStyle w:val="Lijstje2"/>
        <w:ind w:left="1276"/>
        <w:rPr>
          <w:rFonts w:ascii="Arial" w:hAnsi="Arial" w:cs="Arial"/>
          <w:noProof/>
          <w:lang w:val="en-GB"/>
        </w:rPr>
      </w:pPr>
      <w:r>
        <w:rPr>
          <w:rFonts w:ascii="Arial" w:hAnsi="Arial" w:cs="Arial"/>
          <w:noProof/>
          <w:lang w:val="en-GB"/>
        </w:rPr>
        <w:t>national rules exempting the primary residence from inheritance tax only for nationals of EU Member States who are resident in Greece restricts the free movement of capital;</w:t>
      </w:r>
      <w:r>
        <w:rPr>
          <w:rStyle w:val="FootnoteReference"/>
          <w:rFonts w:ascii="Arial" w:hAnsi="Arial" w:cs="Arial"/>
          <w:noProof/>
          <w:lang w:val="en-GB"/>
        </w:rPr>
        <w:footnoteReference w:id="193"/>
      </w:r>
    </w:p>
    <w:p>
      <w:pPr>
        <w:pStyle w:val="Lijstje2"/>
        <w:ind w:left="1276"/>
        <w:rPr>
          <w:rFonts w:ascii="Arial" w:hAnsi="Arial" w:cs="Arial"/>
          <w:noProof/>
          <w:lang w:val="en-GB"/>
        </w:rPr>
      </w:pPr>
      <w:r>
        <w:rPr>
          <w:rFonts w:ascii="Arial" w:hAnsi="Arial" w:cs="Arial"/>
          <w:noProof/>
          <w:lang w:val="en-GB"/>
        </w:rPr>
        <w:t>Greece infringed Article 106 in conjunction with Article 102 TFEU by granting the public undertaking Dimosia Epicheirisi Ilektrismou AE privileged access to lignite. This maintained or reinforced its dominant position on Greece's wholesale electricity market.</w:t>
      </w:r>
      <w:r>
        <w:rPr>
          <w:rStyle w:val="FootnoteReference"/>
          <w:rFonts w:ascii="Arial" w:hAnsi="Arial" w:cs="Arial"/>
          <w:noProof/>
          <w:lang w:val="en-GB"/>
        </w:rPr>
        <w:footnoteReference w:id="194"/>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ind w:left="786" w:firstLine="0"/>
        <w:rPr>
          <w:noProof/>
          <w:lang w:val="en-GB"/>
        </w:rPr>
      </w:pPr>
      <w:r>
        <w:rPr>
          <w:noProof/>
          <w:lang w:val="en-GB"/>
        </w:rPr>
        <w:t>In preliminary rulings addressed to the Greek judiciary, the Court held that:</w:t>
      </w:r>
    </w:p>
    <w:p>
      <w:pPr>
        <w:pStyle w:val="Lijstje2"/>
        <w:ind w:left="1276" w:hanging="425"/>
        <w:rPr>
          <w:noProof/>
          <w:lang w:val="en-GB"/>
        </w:rPr>
      </w:pPr>
      <w:r>
        <w:rPr>
          <w:rFonts w:ascii="Arial" w:hAnsi="Arial" w:cs="Arial"/>
          <w:noProof/>
          <w:lang w:val="en-GB"/>
        </w:rPr>
        <w:t>in principle, EU law allows national authorities to prohibit collective redundancies. However, these rules must strike a fair balance between the protection of workers and employers’ freedom to conduct a business. The legal criteria on the basis of which the authorities may oppose planned collective redundancies must therefore be formulated in specific and precise terms. Thus a national authorisation regime for collective redundancies would be incompatible with the Collective Redundancies Directive</w:t>
      </w:r>
      <w:r>
        <w:rPr>
          <w:rStyle w:val="FootnoteReference"/>
          <w:rFonts w:ascii="Arial" w:hAnsi="Arial" w:cs="Arial"/>
          <w:noProof/>
          <w:lang w:val="en-GB"/>
        </w:rPr>
        <w:footnoteReference w:id="195"/>
      </w:r>
      <w:r>
        <w:rPr>
          <w:rFonts w:ascii="Arial" w:hAnsi="Arial" w:cs="Arial"/>
          <w:noProof/>
          <w:lang w:val="en-GB"/>
        </w:rPr>
        <w:t xml:space="preserve"> if it deprived the Directive of its practical effect.</w:t>
      </w:r>
      <w:r>
        <w:rPr>
          <w:rStyle w:val="FootnoteReference"/>
          <w:rFonts w:ascii="Arial" w:hAnsi="Arial" w:cs="Arial"/>
          <w:noProof/>
          <w:lang w:val="en-GB"/>
        </w:rPr>
        <w:footnoteReference w:id="196"/>
      </w:r>
      <w:r>
        <w:rPr>
          <w:rFonts w:ascii="Arial" w:hAnsi="Arial" w:cs="Arial"/>
          <w:noProof/>
          <w:lang w:val="en-GB"/>
        </w:rPr>
        <w:t xml:space="preserve"> </w:t>
      </w:r>
    </w:p>
    <w:p>
      <w:pPr>
        <w:spacing w:after="120"/>
        <w:contextualSpacing/>
        <w:rPr>
          <w:rFonts w:ascii="Verdana" w:eastAsia="Calibri" w:hAnsi="Verdana"/>
          <w:noProof/>
          <w:kern w:val="20"/>
          <w:sz w:val="20"/>
        </w:rPr>
        <w:sectPr>
          <w:headerReference w:type="even" r:id="rId164"/>
          <w:headerReference w:type="default" r:id="rId165"/>
          <w:footerReference w:type="even" r:id="rId166"/>
          <w:footerReference w:type="default" r:id="rId167"/>
          <w:headerReference w:type="first" r:id="rId168"/>
          <w:footerReference w:type="first" r:id="rId169"/>
          <w:footnotePr>
            <w:numRestart w:val="eachSect"/>
          </w:footnotePr>
          <w:pgSz w:w="11906" w:h="16838"/>
          <w:pgMar w:top="1843" w:right="1417" w:bottom="1134" w:left="1417" w:header="567" w:footer="351" w:gutter="0"/>
          <w:cols w:space="708"/>
          <w:titlePg/>
          <w:docGrid w:linePitch="360"/>
        </w:sectPr>
      </w:pPr>
    </w:p>
    <w:p>
      <w:pPr>
        <w:pStyle w:val="Heading1"/>
        <w:rPr>
          <w:noProof/>
        </w:rPr>
      </w:pPr>
      <w:bookmarkStart w:id="72" w:name="_Toc475974663"/>
      <w:bookmarkStart w:id="73" w:name="_Toc475980159"/>
      <w:bookmarkStart w:id="74" w:name="_Toc475981408"/>
      <w:bookmarkStart w:id="75" w:name="_Toc477938591"/>
      <w:r>
        <w:rPr>
          <w:noProof/>
        </w:rPr>
        <w:t>Spain</w:t>
      </w:r>
      <w:bookmarkEnd w:id="72"/>
      <w:bookmarkEnd w:id="73"/>
      <w:bookmarkEnd w:id="74"/>
      <w:bookmarkEnd w:id="75"/>
    </w:p>
    <w:p>
      <w:pPr>
        <w:spacing w:after="120"/>
        <w:rPr>
          <w:rFonts w:ascii="Arial" w:hAnsi="Arial" w:cs="Arial"/>
          <w:i/>
          <w:noProof/>
          <w:sz w:val="22"/>
          <w:szCs w:val="22"/>
        </w:rPr>
      </w:pPr>
      <w:r>
        <w:rPr>
          <w:rFonts w:ascii="Arial" w:hAnsi="Arial" w:cs="Arial"/>
          <w:i/>
          <w:noProof/>
          <w:sz w:val="22"/>
          <w:szCs w:val="22"/>
        </w:rPr>
        <w:t>All the main indicators for Spain worsened in 2016. New complaints increased significantly after a sharp drop the previous year. New infringement cases for late transposition more than doubled. New EU Pilot files and open infringement cases both started to rise, reversing the downward trend seen since 2012.</w:t>
      </w:r>
    </w:p>
    <w:p>
      <w:pPr>
        <w:spacing w:after="120"/>
        <w:rPr>
          <w:rFonts w:ascii="Arial" w:hAnsi="Arial" w:cs="Arial"/>
          <w:i/>
          <w:noProof/>
          <w:sz w:val="22"/>
          <w:szCs w:val="22"/>
        </w:rPr>
      </w:pPr>
    </w:p>
    <w:p>
      <w:pPr>
        <w:pStyle w:val="kop2"/>
        <w:numPr>
          <w:ilvl w:val="0"/>
          <w:numId w:val="19"/>
        </w:numPr>
        <w:rPr>
          <w:noProof/>
        </w:rPr>
      </w:pPr>
      <w:r>
        <w:rPr>
          <w:noProof/>
        </w:rPr>
        <w:t>COMPLAINTS</w:t>
      </w:r>
    </w:p>
    <w:p>
      <w:pPr>
        <w:pStyle w:val="Subtitle"/>
        <w:numPr>
          <w:ilvl w:val="0"/>
          <w:numId w:val="84"/>
        </w:numPr>
        <w:rPr>
          <w:noProof/>
        </w:rPr>
      </w:pPr>
      <w:r>
        <w:rPr>
          <w:noProof/>
        </w:rPr>
        <w:t>New complaints made against Spain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82886" cy="2177143"/>
            <wp:effectExtent l="0" t="0" r="27305" b="13970"/>
            <wp:docPr id="102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pPr>
        <w:pStyle w:val="Subtitle"/>
        <w:numPr>
          <w:ilvl w:val="0"/>
          <w:numId w:val="84"/>
        </w:numPr>
        <w:rPr>
          <w:noProof/>
        </w:rPr>
      </w:pPr>
      <w:r>
        <w:rPr>
          <w:noProof/>
        </w:rPr>
        <w:t>Public complaints against Spain open at year-end</w:t>
      </w:r>
    </w:p>
    <w:tbl>
      <w:tblPr>
        <w:tblStyle w:val="Style125"/>
        <w:tblW w:w="0" w:type="auto"/>
        <w:jc w:val="center"/>
        <w:tblInd w:w="421" w:type="dxa"/>
        <w:tblLook w:val="04A0" w:firstRow="1" w:lastRow="0" w:firstColumn="1" w:lastColumn="0" w:noHBand="0" w:noVBand="1"/>
      </w:tblPr>
      <w:tblGrid>
        <w:gridCol w:w="1697"/>
        <w:gridCol w:w="452"/>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276</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424</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344</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356</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numPr>
          <w:ilvl w:val="0"/>
          <w:numId w:val="84"/>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7720" cy="2308860"/>
            <wp:effectExtent l="0" t="0" r="11430" b="15240"/>
            <wp:docPr id="1021"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85"/>
        </w:numPr>
        <w:rPr>
          <w:noProof/>
        </w:rPr>
      </w:pPr>
      <w:r>
        <w:rPr>
          <w:noProof/>
        </w:rPr>
        <w:t>New EU Pilot files opened against Spain (2011-2016)</w:t>
      </w:r>
    </w:p>
    <w:p>
      <w:pPr>
        <w:pStyle w:val="Subtitle"/>
        <w:numPr>
          <w:ilvl w:val="0"/>
          <w:numId w:val="0"/>
        </w:numPr>
        <w:ind w:left="786"/>
        <w:rPr>
          <w:noProof/>
        </w:rPr>
      </w:pPr>
      <w:r>
        <w:rPr>
          <w:noProof/>
          <w:lang w:val="en-US"/>
        </w:rPr>
        <w:drawing>
          <wp:inline distT="0" distB="0" distL="0" distR="0">
            <wp:extent cx="4579620" cy="2339340"/>
            <wp:effectExtent l="0" t="0" r="11430" b="22860"/>
            <wp:docPr id="15"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pPr>
        <w:pStyle w:val="Subtitle"/>
        <w:numPr>
          <w:ilvl w:val="0"/>
          <w:numId w:val="84"/>
        </w:numPr>
        <w:rPr>
          <w:noProof/>
        </w:rPr>
      </w:pPr>
      <w:r>
        <w:rPr>
          <w:noProof/>
        </w:rPr>
        <w:t>Files relating to Spain open in EU Pilot at year-end</w:t>
      </w:r>
    </w:p>
    <w:p>
      <w:pPr>
        <w:spacing w:after="120"/>
        <w:ind w:firstLine="709"/>
        <w:rPr>
          <w:rFonts w:ascii="Arial" w:hAnsi="Arial" w:cs="Arial"/>
          <w:noProof/>
          <w:sz w:val="20"/>
        </w:rPr>
      </w:pPr>
      <w:r>
        <w:rPr>
          <w:rFonts w:cs="Arial"/>
          <w:noProof/>
          <w:sz w:val="20"/>
          <w:lang w:val="en-US"/>
        </w:rPr>
        <w:drawing>
          <wp:inline distT="0" distB="0" distL="0" distR="0">
            <wp:extent cx="4579620" cy="2339340"/>
            <wp:effectExtent l="0" t="0" r="11430" b="22860"/>
            <wp:docPr id="172"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pPr>
        <w:pStyle w:val="Subtitle"/>
        <w:numPr>
          <w:ilvl w:val="0"/>
          <w:numId w:val="84"/>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392680"/>
            <wp:effectExtent l="0" t="0" r="15240" b="26670"/>
            <wp:docPr id="1023"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84"/>
        </w:numPr>
        <w:rPr>
          <w:noProof/>
        </w:rPr>
      </w:pPr>
      <w:r>
        <w:rPr>
          <w:noProof/>
        </w:rPr>
        <w:t>EU Pilot files: Spain’s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2000" cy="2202180"/>
            <wp:effectExtent l="0" t="0" r="19050" b="26670"/>
            <wp:docPr id="1024"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pPr>
        <w:pStyle w:val="Subtitle"/>
        <w:numPr>
          <w:ilvl w:val="0"/>
          <w:numId w:val="84"/>
        </w:numPr>
        <w:rPr>
          <w:noProof/>
        </w:rPr>
      </w:pPr>
      <w:r>
        <w:rPr>
          <w:noProof/>
        </w:rPr>
        <w:t>EU Pilot files: Spain’s resolution rate in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2000" cy="2340428"/>
            <wp:effectExtent l="0" t="0" r="19050" b="22225"/>
            <wp:docPr id="1025"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86"/>
        </w:numPr>
        <w:rPr>
          <w:noProof/>
        </w:rPr>
      </w:pPr>
      <w:r>
        <w:rPr>
          <w:noProof/>
        </w:rPr>
        <w:t>Infringement cases against Spain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55671" cy="2280557"/>
            <wp:effectExtent l="0" t="0" r="16510" b="24765"/>
            <wp:docPr id="1026"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pPr>
        <w:spacing w:after="200" w:line="276" w:lineRule="auto"/>
        <w:jc w:val="left"/>
        <w:rPr>
          <w:rFonts w:ascii="Arial" w:hAnsi="Arial"/>
          <w:noProof/>
          <w:color w:val="002060"/>
          <w:sz w:val="22"/>
          <w:szCs w:val="22"/>
        </w:rPr>
      </w:pPr>
      <w:r>
        <w:rPr>
          <w:noProof/>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324100"/>
            <wp:effectExtent l="0" t="0" r="13970" b="19050"/>
            <wp:docPr id="1027"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12"/>
        </w:numPr>
        <w:ind w:hanging="426"/>
        <w:rPr>
          <w:rFonts w:ascii="Arial" w:hAnsi="Arial" w:cs="Arial"/>
          <w:noProof/>
          <w:lang w:val="en-GB"/>
        </w:rPr>
      </w:pPr>
      <w:r>
        <w:rPr>
          <w:rFonts w:ascii="Arial" w:hAnsi="Arial" w:cs="Arial"/>
          <w:noProof/>
          <w:lang w:val="en-GB"/>
        </w:rPr>
        <w:t>The Commission opened 46 new infringement cases against Spain in 2016. These, and other major ongoing infringement cases, include:</w:t>
      </w:r>
    </w:p>
    <w:p>
      <w:pPr>
        <w:pStyle w:val="Lijstje2"/>
        <w:spacing w:after="200"/>
        <w:ind w:left="1843" w:hanging="426"/>
        <w:rPr>
          <w:rFonts w:ascii="Arial" w:hAnsi="Arial" w:cs="Arial"/>
          <w:noProof/>
          <w:lang w:val="en-GB"/>
        </w:rPr>
      </w:pPr>
      <w:r>
        <w:rPr>
          <w:rFonts w:ascii="Arial" w:hAnsi="Arial" w:cs="Arial"/>
          <w:noProof/>
          <w:lang w:val="en-GB"/>
        </w:rPr>
        <w:t>non-compliance of the</w:t>
      </w:r>
      <w:r>
        <w:rPr>
          <w:rFonts w:ascii="Arial" w:hAnsi="Arial" w:cs="Arial"/>
          <w:i/>
          <w:noProof/>
          <w:lang w:val="en-GB"/>
        </w:rPr>
        <w:t xml:space="preserve"> </w:t>
      </w:r>
      <w:r>
        <w:rPr>
          <w:rFonts w:ascii="Arial" w:hAnsi="Arial" w:cs="Arial"/>
          <w:noProof/>
          <w:lang w:val="en-GB"/>
        </w:rPr>
        <w:t>national rules and the case law of the Spanish Supreme Court on mortgage enforcement with the Directive on unfair terms in consumer contracts;</w:t>
      </w:r>
      <w:r>
        <w:rPr>
          <w:rStyle w:val="FootnoteReference"/>
          <w:rFonts w:ascii="Arial" w:hAnsi="Arial" w:cs="Arial"/>
          <w:noProof/>
          <w:lang w:val="en-GB"/>
        </w:rPr>
        <w:footnoteReference w:id="197"/>
      </w:r>
    </w:p>
    <w:p>
      <w:pPr>
        <w:pStyle w:val="Lijstje2"/>
        <w:spacing w:after="200"/>
        <w:ind w:left="1843" w:hanging="426"/>
        <w:rPr>
          <w:rFonts w:ascii="Arial" w:hAnsi="Arial" w:cs="Arial"/>
          <w:noProof/>
          <w:lang w:val="en-GB"/>
        </w:rPr>
      </w:pPr>
      <w:r>
        <w:rPr>
          <w:rFonts w:ascii="Arial" w:hAnsi="Arial" w:cs="Arial"/>
          <w:noProof/>
          <w:lang w:val="en-GB" w:eastAsia="en-GB"/>
        </w:rPr>
        <w:t>non-compliance with the Regulation on the marketing and use of explosives precursors;</w:t>
      </w:r>
      <w:r>
        <w:rPr>
          <w:rStyle w:val="FootnoteReference"/>
          <w:rFonts w:ascii="Arial" w:hAnsi="Arial" w:cs="Arial"/>
          <w:noProof/>
          <w:lang w:val="en-GB" w:eastAsia="en-GB"/>
        </w:rPr>
        <w:footnoteReference w:id="198"/>
      </w:r>
    </w:p>
    <w:p>
      <w:pPr>
        <w:pStyle w:val="Lijstje2"/>
        <w:ind w:left="1843" w:hanging="426"/>
        <w:rPr>
          <w:rFonts w:ascii="Arial" w:hAnsi="Arial"/>
          <w:noProof/>
          <w:lang w:val="en-GB"/>
        </w:rPr>
      </w:pPr>
      <w:r>
        <w:rPr>
          <w:rFonts w:ascii="Arial" w:hAnsi="Arial" w:cs="Arial"/>
          <w:noProof/>
          <w:lang w:val="en-GB"/>
        </w:rPr>
        <w:t>non-conformity of national legislation with the Return Directive;</w:t>
      </w:r>
      <w:r>
        <w:rPr>
          <w:rStyle w:val="FootnoteReference"/>
          <w:rFonts w:ascii="Arial" w:hAnsi="Arial" w:cs="Arial"/>
          <w:noProof/>
          <w:lang w:val="en-GB"/>
        </w:rPr>
        <w:footnoteReference w:id="199"/>
      </w:r>
    </w:p>
    <w:p>
      <w:pPr>
        <w:pStyle w:val="Lijstje2"/>
        <w:spacing w:after="200"/>
        <w:ind w:left="1843" w:hanging="426"/>
        <w:rPr>
          <w:rFonts w:ascii="Arial" w:hAnsi="Arial" w:cs="Arial"/>
          <w:noProof/>
          <w:lang w:val="en-GB"/>
        </w:rPr>
      </w:pPr>
      <w:r>
        <w:rPr>
          <w:rFonts w:ascii="Arial" w:hAnsi="Arial" w:cs="Arial"/>
          <w:noProof/>
          <w:lang w:val="en-GB"/>
        </w:rPr>
        <w:t>failure to notify measures transposing the Tobacco Directive;</w:t>
      </w:r>
      <w:r>
        <w:rPr>
          <w:rStyle w:val="FootnoteReference"/>
          <w:rFonts w:ascii="Arial" w:hAnsi="Arial" w:cs="Arial"/>
          <w:noProof/>
          <w:lang w:val="en-GB"/>
        </w:rPr>
        <w:footnoteReference w:id="200"/>
      </w:r>
    </w:p>
    <w:p>
      <w:pPr>
        <w:pStyle w:val="Lijstje2"/>
        <w:spacing w:after="200"/>
        <w:ind w:left="1843" w:hanging="426"/>
        <w:rPr>
          <w:rFonts w:ascii="Arial" w:hAnsi="Arial" w:cs="Arial"/>
          <w:noProof/>
          <w:lang w:val="en-GB"/>
        </w:rPr>
      </w:pPr>
      <w:r>
        <w:rPr>
          <w:rFonts w:ascii="Arial" w:hAnsi="Arial" w:cs="Arial"/>
          <w:noProof/>
          <w:lang w:val="en-GB"/>
        </w:rPr>
        <w:t>lack of waste management plans and waste prevention programmes required under the Waste Framework Directive;</w:t>
      </w:r>
      <w:r>
        <w:rPr>
          <w:rStyle w:val="FootnoteReference"/>
          <w:noProof/>
        </w:rPr>
        <w:footnoteReference w:id="201"/>
      </w:r>
    </w:p>
    <w:p>
      <w:pPr>
        <w:pStyle w:val="Lijstje2"/>
        <w:spacing w:after="200"/>
        <w:ind w:left="1843" w:hanging="426"/>
        <w:rPr>
          <w:rFonts w:ascii="Arial" w:hAnsi="Arial" w:cs="Arial"/>
          <w:noProof/>
          <w:lang w:val="en-GB"/>
        </w:rPr>
      </w:pPr>
      <w:r>
        <w:rPr>
          <w:rFonts w:ascii="Arial" w:hAnsi="Arial" w:cs="Arial"/>
          <w:noProof/>
          <w:lang w:val="en-GB"/>
        </w:rPr>
        <w:t>failure to ensure that waste landfills operate in compliance with EU standards;</w:t>
      </w:r>
    </w:p>
    <w:p>
      <w:pPr>
        <w:pStyle w:val="Lijstje2"/>
        <w:spacing w:after="200"/>
        <w:ind w:left="1843" w:hanging="426"/>
        <w:rPr>
          <w:rFonts w:ascii="Arial" w:hAnsi="Arial" w:cs="Arial"/>
          <w:noProof/>
          <w:lang w:val="en-GB"/>
        </w:rPr>
      </w:pPr>
      <w:r>
        <w:rPr>
          <w:rFonts w:ascii="Arial" w:hAnsi="Arial" w:cs="Arial"/>
          <w:noProof/>
          <w:lang w:val="en-GB"/>
        </w:rPr>
        <w:t>failure to ensure adequate protection of natural habitats and sustainable management of water resources in the area of the Doñana national park;</w:t>
      </w:r>
      <w:r>
        <w:rPr>
          <w:rStyle w:val="FootnoteReference"/>
          <w:rFonts w:ascii="Arial" w:hAnsi="Arial" w:cs="Arial"/>
          <w:noProof/>
          <w:lang w:val="en-GB"/>
        </w:rPr>
        <w:footnoteReference w:id="202"/>
      </w:r>
    </w:p>
    <w:p>
      <w:pPr>
        <w:pStyle w:val="Lijstje2"/>
        <w:spacing w:after="200"/>
        <w:ind w:left="1843" w:hanging="426"/>
        <w:rPr>
          <w:rFonts w:ascii="Arial" w:hAnsi="Arial" w:cs="Arial"/>
          <w:noProof/>
          <w:lang w:val="en-GB"/>
        </w:rPr>
      </w:pPr>
      <w:r>
        <w:rPr>
          <w:rFonts w:ascii="Arial" w:hAnsi="Arial" w:cs="Arial"/>
          <w:noProof/>
          <w:lang w:val="en-GB"/>
        </w:rPr>
        <w:t>less favourable treatment of fixed-term staff in the public sector, which raises concerns under the Fixed-Term Work Directive;</w:t>
      </w:r>
      <w:r>
        <w:rPr>
          <w:rStyle w:val="FootnoteReference"/>
          <w:noProof/>
        </w:rPr>
        <w:footnoteReference w:id="203"/>
      </w:r>
    </w:p>
    <w:p>
      <w:pPr>
        <w:pStyle w:val="Lijstje2"/>
        <w:spacing w:after="200"/>
        <w:ind w:left="1843" w:hanging="426"/>
        <w:rPr>
          <w:rFonts w:ascii="Arial" w:hAnsi="Arial" w:cs="Arial"/>
          <w:noProof/>
          <w:lang w:val="en-GB"/>
        </w:rPr>
      </w:pPr>
      <w:r>
        <w:rPr>
          <w:rFonts w:ascii="Arial" w:hAnsi="Arial"/>
          <w:noProof/>
          <w:lang w:val="en-GB"/>
        </w:rPr>
        <w:t>inadequate</w:t>
      </w:r>
      <w:r>
        <w:rPr>
          <w:rFonts w:ascii="Arial" w:hAnsi="Arial" w:cs="Arial"/>
          <w:noProof/>
          <w:lang w:val="en-GB"/>
        </w:rPr>
        <w:t xml:space="preserve"> </w:t>
      </w:r>
      <w:r>
        <w:rPr>
          <w:rFonts w:ascii="Arial" w:hAnsi="Arial"/>
          <w:noProof/>
          <w:lang w:val="en-GB"/>
        </w:rPr>
        <w:t>urban waste water treatment</w:t>
      </w:r>
      <w:r>
        <w:rPr>
          <w:rFonts w:ascii="Arial" w:hAnsi="Arial" w:cs="Arial"/>
          <w:noProof/>
          <w:lang w:val="en-GB"/>
        </w:rPr>
        <w:t>;</w:t>
      </w:r>
    </w:p>
    <w:p>
      <w:pPr>
        <w:pStyle w:val="Lijstje2"/>
        <w:spacing w:after="200"/>
        <w:ind w:left="1843" w:hanging="426"/>
        <w:rPr>
          <w:rFonts w:ascii="Arial" w:hAnsi="Arial" w:cs="Arial"/>
          <w:noProof/>
          <w:lang w:val="en-GB"/>
        </w:rPr>
      </w:pPr>
      <w:r>
        <w:rPr>
          <w:rFonts w:ascii="Arial" w:eastAsia="Times New Roman" w:hAnsi="Arial" w:cs="Arial"/>
          <w:noProof/>
          <w:kern w:val="0"/>
          <w:lang w:val="en-GB"/>
        </w:rPr>
        <w:t>lack of strategic noise maps and/or action plans required by the Environmental Noise Directive;</w:t>
      </w:r>
      <w:r>
        <w:rPr>
          <w:rStyle w:val="FootnoteReference"/>
          <w:noProof/>
        </w:rPr>
        <w:footnoteReference w:id="204"/>
      </w:r>
    </w:p>
    <w:p>
      <w:pPr>
        <w:pStyle w:val="Lijstje2"/>
        <w:spacing w:after="200"/>
        <w:ind w:left="1843" w:hanging="426"/>
        <w:rPr>
          <w:rFonts w:ascii="Arial" w:hAnsi="Arial" w:cs="Arial"/>
          <w:noProof/>
          <w:lang w:val="en-GB"/>
        </w:rPr>
      </w:pPr>
      <w:r>
        <w:rPr>
          <w:rFonts w:ascii="Arial" w:hAnsi="Arial" w:cs="Arial"/>
          <w:noProof/>
          <w:lang w:val="en-GB"/>
        </w:rPr>
        <w:t>trapping of finches in breach of the requirements of the Birds Directive;</w:t>
      </w:r>
      <w:r>
        <w:rPr>
          <w:rStyle w:val="FootnoteReference"/>
          <w:rFonts w:ascii="Arial" w:hAnsi="Arial" w:cs="Arial"/>
          <w:noProof/>
          <w:lang w:val="en-GB"/>
        </w:rPr>
        <w:footnoteReference w:id="205"/>
      </w:r>
    </w:p>
    <w:p>
      <w:pPr>
        <w:pStyle w:val="Lijstje2"/>
        <w:spacing w:after="200"/>
        <w:ind w:left="1843" w:hanging="426"/>
        <w:rPr>
          <w:rFonts w:ascii="Arial" w:hAnsi="Arial" w:cs="Arial"/>
          <w:noProof/>
          <w:lang w:val="en-GB"/>
        </w:rPr>
      </w:pPr>
      <w:r>
        <w:rPr>
          <w:rFonts w:ascii="Arial" w:eastAsia="Times New Roman" w:hAnsi="Arial" w:cs="Arial"/>
          <w:noProof/>
          <w:kern w:val="0"/>
          <w:lang w:val="en-GB"/>
        </w:rPr>
        <w:t>failure to fully transpose the Offshore Safety Directive;</w:t>
      </w:r>
      <w:r>
        <w:rPr>
          <w:rStyle w:val="FootnoteReference"/>
          <w:noProof/>
        </w:rPr>
        <w:footnoteReference w:id="206"/>
      </w:r>
    </w:p>
    <w:p>
      <w:pPr>
        <w:pStyle w:val="Lijstje2"/>
        <w:spacing w:after="200"/>
        <w:ind w:left="1843" w:hanging="426"/>
        <w:rPr>
          <w:rFonts w:ascii="Arial" w:hAnsi="Arial" w:cs="Arial"/>
          <w:noProof/>
          <w:lang w:val="en-GB"/>
        </w:rPr>
      </w:pPr>
      <w:r>
        <w:rPr>
          <w:rFonts w:ascii="Arial" w:hAnsi="Arial" w:cs="Arial"/>
          <w:noProof/>
          <w:lang w:val="en-GB"/>
        </w:rPr>
        <w:t>failure to comply with the Energy Performance of Buildings Directive;</w:t>
      </w:r>
      <w:r>
        <w:rPr>
          <w:rStyle w:val="FootnoteReference"/>
          <w:noProof/>
        </w:rPr>
        <w:footnoteReference w:id="207"/>
      </w:r>
    </w:p>
    <w:p>
      <w:pPr>
        <w:pStyle w:val="Lijstje2"/>
        <w:spacing w:after="200"/>
        <w:ind w:left="1843" w:hanging="426"/>
        <w:rPr>
          <w:rFonts w:ascii="Arial" w:hAnsi="Arial" w:cs="Arial"/>
          <w:noProof/>
          <w:lang w:val="en-GB"/>
        </w:rPr>
      </w:pPr>
      <w:r>
        <w:rPr>
          <w:rFonts w:ascii="Arial" w:hAnsi="Arial" w:cs="Arial"/>
          <w:noProof/>
          <w:lang w:val="en-GB"/>
        </w:rPr>
        <w:t xml:space="preserve">failure to </w:t>
      </w:r>
      <w:r>
        <w:rPr>
          <w:rFonts w:ascii="Arial" w:hAnsi="Arial" w:cs="Arial"/>
          <w:bCs/>
          <w:noProof/>
          <w:lang w:val="en-GB"/>
        </w:rPr>
        <w:t>comply with the Third Internal Energy Market Package;</w:t>
      </w:r>
      <w:r>
        <w:rPr>
          <w:rStyle w:val="FootnoteReference"/>
          <w:rFonts w:ascii="Arial" w:hAnsi="Arial" w:cs="Arial"/>
          <w:bCs/>
          <w:noProof/>
          <w:lang w:val="en-GB"/>
        </w:rPr>
        <w:footnoteReference w:id="208"/>
      </w:r>
    </w:p>
    <w:p>
      <w:pPr>
        <w:pStyle w:val="Lijstje2"/>
        <w:spacing w:after="200"/>
        <w:ind w:left="1843" w:hanging="426"/>
        <w:rPr>
          <w:rFonts w:ascii="Arial" w:hAnsi="Arial" w:cs="Arial"/>
          <w:noProof/>
          <w:lang w:val="en-GB"/>
        </w:rPr>
      </w:pPr>
      <w:r>
        <w:rPr>
          <w:rFonts w:ascii="Arial" w:hAnsi="Arial" w:cs="Arial"/>
          <w:noProof/>
          <w:lang w:val="en-GB"/>
        </w:rPr>
        <w:t>failure to communicate all national measures transposing the Mortgage Credit Directive;</w:t>
      </w:r>
      <w:r>
        <w:rPr>
          <w:rStyle w:val="FootnoteReference"/>
          <w:rFonts w:ascii="Arial" w:hAnsi="Arial" w:cs="Arial"/>
          <w:noProof/>
          <w:lang w:val="en-GB"/>
        </w:rPr>
        <w:footnoteReference w:id="209"/>
      </w:r>
    </w:p>
    <w:p>
      <w:pPr>
        <w:pStyle w:val="Lijstje2"/>
        <w:spacing w:after="200"/>
        <w:ind w:left="1843" w:hanging="426"/>
        <w:rPr>
          <w:rFonts w:ascii="Arial" w:hAnsi="Arial" w:cs="Arial"/>
          <w:noProof/>
          <w:lang w:val="en-GB"/>
        </w:rPr>
      </w:pPr>
      <w:r>
        <w:rPr>
          <w:rFonts w:ascii="Arial" w:hAnsi="Arial" w:cs="Arial"/>
          <w:noProof/>
          <w:lang w:val="en-GB"/>
        </w:rPr>
        <w:t>failure to communicate all national measures transposing the Transparency Directive;</w:t>
      </w:r>
      <w:r>
        <w:rPr>
          <w:rStyle w:val="FootnoteReference"/>
          <w:rFonts w:ascii="Arial" w:hAnsi="Arial" w:cs="Arial"/>
          <w:noProof/>
          <w:lang w:val="en-GB"/>
        </w:rPr>
        <w:footnoteReference w:id="210"/>
      </w:r>
    </w:p>
    <w:p>
      <w:pPr>
        <w:pStyle w:val="Lijstje2"/>
        <w:spacing w:after="200"/>
        <w:ind w:left="1843" w:hanging="426"/>
        <w:rPr>
          <w:rFonts w:ascii="Arial" w:hAnsi="Arial" w:cs="Arial"/>
          <w:i/>
          <w:noProof/>
          <w:lang w:val="en-GB"/>
        </w:rPr>
      </w:pPr>
      <w:r>
        <w:rPr>
          <w:rFonts w:ascii="Arial" w:eastAsia="Times New Roman" w:hAnsi="Arial" w:cs="Arial"/>
          <w:noProof/>
          <w:kern w:val="0"/>
          <w:lang w:val="en-GB"/>
        </w:rPr>
        <w:t>incorrect application of the Regulation on passenger rights;</w:t>
      </w:r>
      <w:r>
        <w:rPr>
          <w:rStyle w:val="FootnoteReference"/>
          <w:noProof/>
        </w:rPr>
        <w:footnoteReference w:id="211"/>
      </w:r>
    </w:p>
    <w:p>
      <w:pPr>
        <w:pStyle w:val="Lijstje2"/>
        <w:spacing w:after="200"/>
        <w:ind w:left="1843" w:hanging="426"/>
        <w:rPr>
          <w:rFonts w:ascii="Arial" w:hAnsi="Arial" w:cs="Arial"/>
          <w:i/>
          <w:noProof/>
          <w:lang w:val="en-GB"/>
        </w:rPr>
      </w:pPr>
      <w:r>
        <w:rPr>
          <w:rFonts w:ascii="Arial" w:hAnsi="Arial" w:cs="Arial"/>
          <w:noProof/>
          <w:lang w:val="en-GB"/>
        </w:rPr>
        <w:t xml:space="preserve">failure to comply with </w:t>
      </w:r>
      <w:r>
        <w:rPr>
          <w:rFonts w:ascii="Arial" w:hAnsi="Arial" w:cs="Arial"/>
          <w:bCs/>
          <w:noProof/>
          <w:lang w:val="en-GB"/>
        </w:rPr>
        <w:t>EU rules on access to the occupation of road transport operator;</w:t>
      </w:r>
      <w:r>
        <w:rPr>
          <w:rStyle w:val="FootnoteReference"/>
          <w:rFonts w:ascii="Arial" w:hAnsi="Arial" w:cs="Arial"/>
          <w:bCs/>
          <w:noProof/>
          <w:lang w:val="en-GB"/>
        </w:rPr>
        <w:footnoteReference w:id="212"/>
      </w:r>
    </w:p>
    <w:p>
      <w:pPr>
        <w:pStyle w:val="Lijstje2"/>
        <w:ind w:left="1843" w:hanging="425"/>
        <w:rPr>
          <w:rFonts w:ascii="Arial" w:hAnsi="Arial" w:cs="Arial"/>
          <w:noProof/>
          <w:lang w:val="en-GB" w:eastAsia="en-GB"/>
        </w:rPr>
      </w:pPr>
      <w:r>
        <w:rPr>
          <w:rFonts w:ascii="Arial" w:hAnsi="Arial" w:cs="Arial"/>
          <w:noProof/>
          <w:lang w:val="en-GB"/>
        </w:rPr>
        <w:t>excessive and unjustified obstacles in the area of professional services that run counter to the Services Directive;</w:t>
      </w:r>
      <w:r>
        <w:rPr>
          <w:rStyle w:val="FootnoteReference"/>
          <w:noProof/>
        </w:rPr>
        <w:footnoteReference w:id="213"/>
      </w:r>
      <w:r>
        <w:rPr>
          <w:rFonts w:ascii="Arial" w:hAnsi="Arial" w:cs="Arial"/>
          <w:noProof/>
          <w:vertAlign w:val="superscript"/>
          <w:lang w:val="en-GB"/>
        </w:rPr>
        <w:t xml:space="preserve"> </w:t>
      </w:r>
    </w:p>
    <w:p>
      <w:pPr>
        <w:pStyle w:val="Lijstje2"/>
        <w:ind w:left="1843" w:hanging="425"/>
        <w:rPr>
          <w:rFonts w:ascii="Arial" w:hAnsi="Arial" w:cs="Arial"/>
          <w:noProof/>
          <w:lang w:val="en-GB"/>
        </w:rPr>
      </w:pPr>
      <w:r>
        <w:rPr>
          <w:rFonts w:ascii="Arial" w:hAnsi="Arial" w:cs="Arial"/>
          <w:noProof/>
          <w:lang w:val="en-GB"/>
        </w:rPr>
        <w:t>failure to transpose in full the three Directives on public procurement and concessions;</w:t>
      </w:r>
      <w:r>
        <w:rPr>
          <w:rStyle w:val="FootnoteReference"/>
          <w:rFonts w:ascii="Arial" w:hAnsi="Arial" w:cs="Arial"/>
          <w:noProof/>
          <w:lang w:val="en-GB"/>
        </w:rPr>
        <w:footnoteReference w:id="214"/>
      </w:r>
    </w:p>
    <w:p>
      <w:pPr>
        <w:pStyle w:val="Lijstje2"/>
        <w:spacing w:after="200"/>
        <w:ind w:left="1843" w:hanging="426"/>
        <w:rPr>
          <w:rFonts w:ascii="Arial" w:hAnsi="Arial" w:cs="Arial"/>
          <w:noProof/>
          <w:lang w:val="en-GB"/>
        </w:rPr>
      </w:pPr>
      <w:r>
        <w:rPr>
          <w:rFonts w:ascii="Arial" w:hAnsi="Arial" w:cs="Arial"/>
          <w:noProof/>
          <w:lang w:val="en-GB"/>
        </w:rPr>
        <w:t>failure to fulfil the obligations under EU vehicle type approval legislation;</w:t>
      </w:r>
      <w:r>
        <w:rPr>
          <w:rStyle w:val="FootnoteReference"/>
          <w:rFonts w:ascii="Arial" w:hAnsi="Arial" w:cs="Arial"/>
          <w:noProof/>
          <w:lang w:val="en-GB"/>
        </w:rPr>
        <w:footnoteReference w:id="215"/>
      </w:r>
    </w:p>
    <w:p>
      <w:pPr>
        <w:pStyle w:val="Lijstje2"/>
        <w:ind w:left="1843" w:hanging="425"/>
        <w:rPr>
          <w:rFonts w:ascii="Arial" w:hAnsi="Arial" w:cs="Arial"/>
          <w:noProof/>
          <w:lang w:val="en-GB"/>
        </w:rPr>
      </w:pPr>
      <w:r>
        <w:rPr>
          <w:rFonts w:ascii="Arial" w:hAnsi="Arial" w:cs="Arial"/>
          <w:noProof/>
          <w:lang w:val="en-GB"/>
        </w:rPr>
        <w:t xml:space="preserve">failure </w:t>
      </w:r>
      <w:r>
        <w:rPr>
          <w:rFonts w:ascii="Arial" w:hAnsi="Arial"/>
          <w:noProof/>
          <w:lang w:val="en-GB"/>
        </w:rPr>
        <w:t>to transpose in full the Directive amending EU legislation on the recognition of professional qualifications and the Internal Market Information System</w:t>
      </w:r>
      <w:r>
        <w:rPr>
          <w:rFonts w:ascii="Arial" w:hAnsi="Arial" w:cs="Arial"/>
          <w:noProof/>
          <w:lang w:val="en-GB"/>
        </w:rPr>
        <w:t>;</w:t>
      </w:r>
      <w:r>
        <w:rPr>
          <w:rStyle w:val="FootnoteReference"/>
          <w:rFonts w:ascii="Arial" w:hAnsi="Arial" w:cs="Arial"/>
          <w:noProof/>
          <w:lang w:val="en-GB"/>
        </w:rPr>
        <w:footnoteReference w:id="216"/>
      </w:r>
    </w:p>
    <w:p>
      <w:pPr>
        <w:pStyle w:val="Lijstje2"/>
        <w:spacing w:after="200"/>
        <w:ind w:left="1843" w:hanging="426"/>
        <w:rPr>
          <w:rFonts w:ascii="Arial" w:hAnsi="Arial" w:cs="Arial"/>
          <w:noProof/>
          <w:lang w:val="en-GB"/>
        </w:rPr>
      </w:pPr>
      <w:r>
        <w:rPr>
          <w:rFonts w:ascii="Arial" w:hAnsi="Arial" w:cs="Arial"/>
          <w:noProof/>
          <w:lang w:val="en-GB"/>
        </w:rPr>
        <w:t>non-communication of national measures transposing the Maritime Spatial Planning Directive.</w:t>
      </w:r>
      <w:r>
        <w:rPr>
          <w:rStyle w:val="FootnoteReference"/>
          <w:noProof/>
        </w:rPr>
        <w:footnoteReference w:id="217"/>
      </w:r>
      <w:r>
        <w:rPr>
          <w:rFonts w:ascii="Arial" w:hAnsi="Arial" w:cs="Arial"/>
          <w:noProof/>
          <w:lang w:val="en-GB"/>
        </w:rPr>
        <w:t xml:space="preserve"> </w:t>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2"/>
        </w:numPr>
        <w:ind w:left="1417" w:hanging="426"/>
        <w:rPr>
          <w:rFonts w:ascii="Arial" w:hAnsi="Arial" w:cs="Arial"/>
          <w:noProof/>
          <w:lang w:val="en-GB"/>
        </w:rPr>
      </w:pPr>
      <w:r>
        <w:rPr>
          <w:rFonts w:ascii="Arial" w:hAnsi="Arial" w:cs="Arial"/>
          <w:noProof/>
          <w:lang w:val="en-GB"/>
        </w:rPr>
        <w:t>The Commission referred one case to the Court under Article 260(2) TFEU. It concerns:</w:t>
      </w:r>
    </w:p>
    <w:p>
      <w:pPr>
        <w:numPr>
          <w:ilvl w:val="0"/>
          <w:numId w:val="4"/>
        </w:numPr>
        <w:spacing w:after="200"/>
        <w:ind w:left="1843" w:hanging="425"/>
        <w:rPr>
          <w:rFonts w:ascii="Arial" w:eastAsia="Calibri" w:hAnsi="Arial" w:cs="Arial"/>
          <w:noProof/>
          <w:kern w:val="20"/>
          <w:sz w:val="20"/>
        </w:rPr>
      </w:pPr>
      <w:r>
        <w:rPr>
          <w:rFonts w:ascii="Arial" w:hAnsi="Arial" w:cs="Arial"/>
          <w:noProof/>
          <w:sz w:val="20"/>
        </w:rPr>
        <w:t>failure to comply with a previous judgment of the Court concerning freedom of establishment at Spanish ports.</w:t>
      </w:r>
      <w:r>
        <w:rPr>
          <w:rStyle w:val="FootnoteReference"/>
          <w:rFonts w:ascii="Arial" w:eastAsia="Calibri" w:hAnsi="Arial" w:cs="Arial"/>
          <w:noProof/>
          <w:kern w:val="20"/>
          <w:sz w:val="20"/>
        </w:rPr>
        <w:footnoteReference w:id="218"/>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87"/>
        </w:numPr>
        <w:rPr>
          <w:noProof/>
        </w:rPr>
      </w:pPr>
      <w:r>
        <w:rPr>
          <w:noProof/>
        </w:rPr>
        <w:t>Late transposition infringement cases against Spain open on 31 December (2012-2016)</w:t>
      </w:r>
    </w:p>
    <w:p>
      <w:pPr>
        <w:ind w:left="426" w:firstLine="283"/>
        <w:rPr>
          <w:noProof/>
        </w:rPr>
      </w:pPr>
      <w:r>
        <w:rPr>
          <w:noProof/>
          <w:lang w:val="en-US"/>
        </w:rPr>
        <w:drawing>
          <wp:inline distT="0" distB="0" distL="0" distR="0">
            <wp:extent cx="4582886" cy="2465614"/>
            <wp:effectExtent l="0" t="0" r="27305" b="11430"/>
            <wp:docPr id="1028"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pPr>
        <w:spacing w:after="200" w:line="276" w:lineRule="auto"/>
        <w:jc w:val="left"/>
        <w:rPr>
          <w:rFonts w:ascii="Arial" w:hAnsi="Arial"/>
          <w:noProof/>
          <w:color w:val="002060"/>
          <w:sz w:val="22"/>
          <w:szCs w:val="22"/>
        </w:rPr>
      </w:pPr>
      <w:r>
        <w:rPr>
          <w:noProof/>
        </w:rPr>
        <w:br w:type="page"/>
      </w:r>
    </w:p>
    <w:p>
      <w:pPr>
        <w:pStyle w:val="Subtitle"/>
        <w:numPr>
          <w:ilvl w:val="0"/>
          <w:numId w:val="87"/>
        </w:numPr>
        <w:rPr>
          <w:noProof/>
        </w:rPr>
      </w:pPr>
      <w:r>
        <w:rPr>
          <w:noProof/>
        </w:rPr>
        <w:t>New late transposition infringement cases against Spain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2886" cy="2465614"/>
            <wp:effectExtent l="0" t="0" r="27305" b="11430"/>
            <wp:docPr id="1029"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484120"/>
            <wp:effectExtent l="0" t="0" r="22860" b="11430"/>
            <wp:docPr id="1030"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ab/>
        <w:t>These concerned:</w:t>
      </w:r>
    </w:p>
    <w:p>
      <w:pPr>
        <w:pStyle w:val="Lijstje2"/>
        <w:spacing w:after="200"/>
        <w:ind w:left="1418" w:hanging="425"/>
        <w:rPr>
          <w:rFonts w:ascii="Arial" w:hAnsi="Arial" w:cs="Arial"/>
          <w:i/>
          <w:noProof/>
          <w:lang w:val="en-GB"/>
        </w:rPr>
      </w:pPr>
      <w:r>
        <w:rPr>
          <w:rFonts w:ascii="Arial" w:hAnsi="Arial" w:cs="Arial"/>
          <w:noProof/>
          <w:lang w:val="en-GB"/>
        </w:rPr>
        <w:t>breach of EU citizens’ right to stand as candidates in local and European elections in the Member State of residence due to restrictions on their involvement in political parties;</w:t>
      </w:r>
    </w:p>
    <w:p>
      <w:pPr>
        <w:pStyle w:val="Lijstje2"/>
        <w:spacing w:after="200"/>
        <w:ind w:left="1418" w:hanging="425"/>
        <w:rPr>
          <w:rFonts w:ascii="Arial" w:hAnsi="Arial"/>
          <w:i/>
          <w:noProof/>
          <w:lang w:val="en-GB"/>
        </w:rPr>
      </w:pPr>
      <w:r>
        <w:rPr>
          <w:rFonts w:ascii="Arial" w:hAnsi="Arial" w:cs="Arial"/>
          <w:noProof/>
          <w:lang w:val="en-GB"/>
        </w:rPr>
        <w:t xml:space="preserve">incorrect transposition of the Environmental Impact Assessment Directive by the Tourism Act in the </w:t>
      </w:r>
      <w:r>
        <w:rPr>
          <w:rFonts w:ascii="Arial" w:hAnsi="Arial"/>
          <w:noProof/>
          <w:lang w:val="en-GB"/>
        </w:rPr>
        <w:t>Balearic Islands;</w:t>
      </w:r>
      <w:r>
        <w:rPr>
          <w:rStyle w:val="FootnoteReference"/>
          <w:noProof/>
        </w:rPr>
        <w:footnoteReference w:id="219"/>
      </w:r>
    </w:p>
    <w:p>
      <w:pPr>
        <w:pStyle w:val="Lijstje2"/>
        <w:spacing w:after="200"/>
        <w:ind w:left="1418" w:hanging="425"/>
        <w:rPr>
          <w:rFonts w:ascii="Arial" w:hAnsi="Arial"/>
          <w:noProof/>
          <w:lang w:val="en-GB"/>
        </w:rPr>
      </w:pPr>
      <w:r>
        <w:rPr>
          <w:rFonts w:ascii="Arial" w:hAnsi="Arial" w:cs="Arial"/>
          <w:noProof/>
          <w:lang w:val="en-GB"/>
        </w:rPr>
        <w:t>non-communication of national measures transposing the Seveso III Directive;</w:t>
      </w:r>
      <w:r>
        <w:rPr>
          <w:rStyle w:val="FootnoteReference"/>
          <w:noProof/>
        </w:rPr>
        <w:footnoteReference w:id="220"/>
      </w:r>
    </w:p>
    <w:p>
      <w:pPr>
        <w:pStyle w:val="Lijstje2"/>
        <w:spacing w:after="200"/>
        <w:ind w:left="1418" w:hanging="425"/>
        <w:rPr>
          <w:rFonts w:ascii="Arial" w:hAnsi="Arial"/>
          <w:noProof/>
          <w:lang w:val="en-GB"/>
        </w:rPr>
      </w:pPr>
      <w:r>
        <w:rPr>
          <w:rFonts w:ascii="Arial" w:hAnsi="Arial" w:cs="Arial"/>
          <w:noProof/>
          <w:lang w:val="en-GB"/>
        </w:rPr>
        <w:t>the notification of all national measures necessary to transpose the Bank Resolution and Recovery Directive;</w:t>
      </w:r>
      <w:r>
        <w:rPr>
          <w:rStyle w:val="FootnoteReference"/>
          <w:rFonts w:ascii="Arial" w:hAnsi="Arial" w:cs="Arial"/>
          <w:noProof/>
          <w:lang w:val="en-GB"/>
        </w:rPr>
        <w:footnoteReference w:id="221"/>
      </w:r>
    </w:p>
    <w:p>
      <w:pPr>
        <w:pStyle w:val="Lijstje2"/>
        <w:spacing w:after="200"/>
        <w:ind w:left="1418" w:hanging="425"/>
        <w:rPr>
          <w:rFonts w:ascii="Arial" w:hAnsi="Arial" w:cs="Arial"/>
          <w:noProof/>
          <w:lang w:val="en-GB"/>
        </w:rPr>
      </w:pPr>
      <w:r>
        <w:rPr>
          <w:rFonts w:ascii="Arial" w:hAnsi="Arial" w:cs="Arial"/>
          <w:noProof/>
          <w:lang w:val="en-GB"/>
        </w:rPr>
        <w:t xml:space="preserve">two cases related to the incompatibility of national law on the </w:t>
      </w:r>
      <w:r>
        <w:rPr>
          <w:rFonts w:ascii="Arial" w:hAnsi="Arial" w:cs="Arial"/>
          <w:i/>
          <w:noProof/>
          <w:lang w:val="en-GB"/>
        </w:rPr>
        <w:t>Guardia Civil</w:t>
      </w:r>
      <w:r>
        <w:rPr>
          <w:rFonts w:ascii="Arial" w:hAnsi="Arial" w:cs="Arial"/>
          <w:noProof/>
          <w:lang w:val="en-GB"/>
        </w:rPr>
        <w:t xml:space="preserve"> with the Working Time Directive as regards maximum working time, minimum rest periods and the protective provisions concerning night work;</w:t>
      </w:r>
    </w:p>
    <w:p>
      <w:pPr>
        <w:pStyle w:val="Lijstje2"/>
        <w:spacing w:after="200"/>
        <w:ind w:left="1418" w:hanging="425"/>
        <w:rPr>
          <w:rFonts w:ascii="Arial" w:hAnsi="Arial" w:cs="Arial"/>
          <w:noProof/>
          <w:lang w:val="en-GB"/>
        </w:rPr>
      </w:pPr>
      <w:r>
        <w:rPr>
          <w:rFonts w:ascii="Arial" w:hAnsi="Arial" w:cs="Arial"/>
          <w:noProof/>
          <w:lang w:val="en-GB"/>
        </w:rPr>
        <w:t>notification of all national measures necessary to transpose the Deposit Guarantee Schemes Directive</w:t>
      </w:r>
      <w:r>
        <w:rPr>
          <w:rStyle w:val="FootnoteReference"/>
          <w:rFonts w:ascii="Arial" w:hAnsi="Arial" w:cs="Arial"/>
          <w:noProof/>
        </w:rPr>
        <w:footnoteReference w:id="222"/>
      </w:r>
      <w:r>
        <w:rPr>
          <w:rFonts w:ascii="Arial" w:hAnsi="Arial" w:cs="Arial"/>
          <w:noProof/>
          <w:lang w:val="en-GB"/>
        </w:rPr>
        <w:t xml:space="preserve"> and the Directive on alternative investment fund managers;</w:t>
      </w:r>
      <w:r>
        <w:rPr>
          <w:rStyle w:val="FootnoteReference"/>
          <w:rFonts w:ascii="Arial" w:hAnsi="Arial" w:cs="Arial"/>
          <w:noProof/>
          <w:lang w:val="en-GB"/>
        </w:rPr>
        <w:footnoteReference w:id="223"/>
      </w:r>
    </w:p>
    <w:p>
      <w:pPr>
        <w:pStyle w:val="Lijstje2"/>
        <w:spacing w:after="200"/>
        <w:ind w:left="1418" w:hanging="425"/>
        <w:rPr>
          <w:rFonts w:ascii="Arial" w:hAnsi="Arial" w:cs="Arial"/>
          <w:noProof/>
          <w:lang w:val="en-GB"/>
        </w:rPr>
      </w:pPr>
      <w:r>
        <w:rPr>
          <w:rFonts w:ascii="Arial" w:hAnsi="Arial" w:cs="Arial"/>
          <w:noProof/>
          <w:lang w:val="en-GB"/>
        </w:rPr>
        <w:t>non-compliance with the Mediterranean Regulation regarding the obligation to adopt management plans for fisheries conducted by dredges;</w:t>
      </w:r>
      <w:r>
        <w:rPr>
          <w:rStyle w:val="FootnoteReference"/>
          <w:noProof/>
        </w:rPr>
        <w:footnoteReference w:id="224"/>
      </w:r>
    </w:p>
    <w:p>
      <w:pPr>
        <w:pStyle w:val="Lijstje2"/>
        <w:spacing w:after="200"/>
        <w:ind w:left="1418" w:hanging="425"/>
        <w:rPr>
          <w:rFonts w:ascii="Arial" w:hAnsi="Arial" w:cs="Arial"/>
          <w:noProof/>
          <w:lang w:val="en-GB"/>
        </w:rPr>
      </w:pPr>
      <w:r>
        <w:rPr>
          <w:rFonts w:ascii="Arial" w:hAnsi="Arial"/>
          <w:noProof/>
          <w:lang w:val="en-GB"/>
        </w:rPr>
        <w:t xml:space="preserve">failure to </w:t>
      </w:r>
      <w:r>
        <w:rPr>
          <w:rFonts w:ascii="Arial" w:hAnsi="Arial" w:cs="Arial"/>
          <w:noProof/>
          <w:lang w:val="en-GB"/>
        </w:rPr>
        <w:t>fulfil obligations under</w:t>
      </w:r>
      <w:r>
        <w:rPr>
          <w:rFonts w:ascii="Arial" w:hAnsi="Arial"/>
          <w:noProof/>
          <w:lang w:val="en-GB"/>
        </w:rPr>
        <w:t xml:space="preserve"> the Directive on driving licences;</w:t>
      </w:r>
      <w:r>
        <w:rPr>
          <w:rStyle w:val="FootnoteReference"/>
          <w:noProof/>
        </w:rPr>
        <w:footnoteReference w:id="225"/>
      </w:r>
    </w:p>
    <w:p>
      <w:pPr>
        <w:pStyle w:val="Lijstje2"/>
        <w:spacing w:after="200"/>
        <w:ind w:left="1418" w:hanging="425"/>
        <w:rPr>
          <w:rFonts w:ascii="Arial" w:hAnsi="Arial"/>
          <w:noProof/>
          <w:lang w:val="en-GB"/>
        </w:rPr>
      </w:pPr>
      <w:r>
        <w:rPr>
          <w:rFonts w:ascii="Arial" w:eastAsia="Times New Roman" w:hAnsi="Arial"/>
          <w:noProof/>
          <w:kern w:val="0"/>
          <w:lang w:val="en-GB"/>
        </w:rPr>
        <w:t>incorrect implementation of the Regulation on the rights of passengers travelling by sea and inland waterway;</w:t>
      </w:r>
      <w:r>
        <w:rPr>
          <w:rStyle w:val="FootnoteReference"/>
          <w:noProof/>
        </w:rPr>
        <w:footnoteReference w:id="226"/>
      </w:r>
    </w:p>
    <w:p>
      <w:pPr>
        <w:pStyle w:val="Lijstje2"/>
        <w:spacing w:after="200"/>
        <w:ind w:left="1418" w:hanging="425"/>
        <w:rPr>
          <w:rFonts w:ascii="Arial" w:hAnsi="Arial"/>
          <w:noProof/>
          <w:lang w:val="en-GB"/>
        </w:rPr>
      </w:pPr>
      <w:r>
        <w:rPr>
          <w:rFonts w:ascii="Arial" w:hAnsi="Arial"/>
          <w:noProof/>
          <w:lang w:val="en-GB"/>
        </w:rPr>
        <w:t>non-compliance with the Airport Charges Directive;</w:t>
      </w:r>
      <w:r>
        <w:rPr>
          <w:rStyle w:val="FootnoteReference"/>
          <w:noProof/>
        </w:rPr>
        <w:footnoteReference w:id="227"/>
      </w:r>
    </w:p>
    <w:p>
      <w:pPr>
        <w:pStyle w:val="Lijstje2"/>
        <w:spacing w:after="200"/>
        <w:ind w:left="1418" w:hanging="425"/>
        <w:rPr>
          <w:rFonts w:ascii="Arial" w:hAnsi="Arial"/>
          <w:noProof/>
          <w:lang w:val="en-GB"/>
        </w:rPr>
      </w:pPr>
      <w:r>
        <w:rPr>
          <w:rFonts w:ascii="Arial" w:hAnsi="Arial"/>
          <w:noProof/>
          <w:lang w:val="en-GB"/>
        </w:rPr>
        <w:t>non-compliance with the Railway Safety Directive.</w:t>
      </w:r>
      <w:r>
        <w:rPr>
          <w:rStyle w:val="FootnoteReference"/>
          <w:noProof/>
        </w:rPr>
        <w:footnoteReference w:id="228"/>
      </w:r>
      <w:r>
        <w:rPr>
          <w:rFonts w:ascii="Arial" w:hAnsi="Arial"/>
          <w:noProof/>
          <w:vertAlign w:val="superscript"/>
          <w:lang w:val="en-GB"/>
        </w:rPr>
        <w:t xml:space="preserve"> </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88"/>
        </w:numPr>
        <w:rPr>
          <w:noProof/>
        </w:rPr>
      </w:pPr>
      <w:r>
        <w:rPr>
          <w:noProof/>
        </w:rPr>
        <w:t>Court rulings</w:t>
      </w:r>
      <w:r>
        <w:rPr>
          <w:rStyle w:val="FootnoteReference"/>
          <w:noProof/>
        </w:rPr>
        <w:footnoteReference w:id="229"/>
      </w:r>
    </w:p>
    <w:p>
      <w:pPr>
        <w:spacing w:after="120"/>
        <w:ind w:firstLine="709"/>
        <w:rPr>
          <w:rFonts w:ascii="Arial" w:hAnsi="Arial" w:cs="Arial"/>
          <w:noProof/>
          <w:sz w:val="20"/>
        </w:rPr>
      </w:pPr>
      <w:r>
        <w:rPr>
          <w:rFonts w:ascii="Arial" w:hAnsi="Arial" w:cs="Arial"/>
          <w:noProof/>
          <w:sz w:val="20"/>
        </w:rPr>
        <w:t>The Court ruled that:</w:t>
      </w:r>
    </w:p>
    <w:p>
      <w:pPr>
        <w:pStyle w:val="Lijstje2"/>
        <w:ind w:left="1418"/>
        <w:rPr>
          <w:rFonts w:ascii="Arial" w:hAnsi="Arial" w:cs="Arial"/>
          <w:noProof/>
          <w:lang w:val="en-GB"/>
        </w:rPr>
      </w:pPr>
      <w:r>
        <w:rPr>
          <w:rFonts w:ascii="Arial" w:hAnsi="Arial" w:cs="Arial"/>
          <w:noProof/>
          <w:lang w:val="en-GB"/>
        </w:rPr>
        <w:t>Spain has failed to ensure the adequate treatment of urban waste water from four agglomerations discharging into sensitive areas;</w:t>
      </w:r>
      <w:r>
        <w:rPr>
          <w:rStyle w:val="FootnoteReference"/>
          <w:rFonts w:ascii="Arial" w:hAnsi="Arial" w:cs="Arial"/>
          <w:bCs/>
          <w:noProof/>
          <w:lang w:val="en-GB"/>
        </w:rPr>
        <w:footnoteReference w:id="230"/>
      </w:r>
    </w:p>
    <w:p>
      <w:pPr>
        <w:pStyle w:val="Lijstje2"/>
        <w:ind w:left="1418"/>
        <w:rPr>
          <w:rFonts w:ascii="Arial" w:hAnsi="Arial" w:cs="Arial"/>
          <w:noProof/>
          <w:lang w:val="en-GB"/>
        </w:rPr>
      </w:pPr>
      <w:r>
        <w:rPr>
          <w:rFonts w:ascii="Arial" w:hAnsi="Arial" w:cs="Arial"/>
          <w:noProof/>
          <w:lang w:val="en-GB"/>
        </w:rPr>
        <w:t>Spain</w:t>
      </w:r>
      <w:r>
        <w:rPr>
          <w:rFonts w:ascii="Arial" w:hAnsi="Arial" w:cs="Arial"/>
          <w:i/>
          <w:noProof/>
          <w:lang w:val="en-GB"/>
        </w:rPr>
        <w:t xml:space="preserve"> </w:t>
      </w:r>
      <w:r>
        <w:rPr>
          <w:rFonts w:ascii="Arial" w:hAnsi="Arial" w:cs="Arial"/>
          <w:noProof/>
          <w:lang w:val="en-GB"/>
        </w:rPr>
        <w:t>has not fulfilled its obligations under the Birds Directive and the Habitats Directive in relation to a project for the building of a high-speed railway line between Seville and Almeria;</w:t>
      </w:r>
      <w:r>
        <w:rPr>
          <w:rStyle w:val="FootnoteReference"/>
          <w:rFonts w:ascii="Arial" w:hAnsi="Arial" w:cs="Arial"/>
          <w:bCs/>
          <w:noProof/>
          <w:lang w:val="en-GB"/>
        </w:rPr>
        <w:footnoteReference w:id="231"/>
      </w:r>
    </w:p>
    <w:p>
      <w:pPr>
        <w:pStyle w:val="Lijstje2"/>
        <w:ind w:left="1418"/>
        <w:rPr>
          <w:rFonts w:ascii="Arial" w:hAnsi="Arial" w:cs="Arial"/>
          <w:noProof/>
          <w:lang w:val="en-GB"/>
        </w:rPr>
      </w:pPr>
      <w:r>
        <w:rPr>
          <w:rFonts w:ascii="Arial" w:hAnsi="Arial" w:cs="Arial"/>
          <w:noProof/>
          <w:lang w:val="en-GB"/>
        </w:rPr>
        <w:t>Spain</w:t>
      </w:r>
      <w:r>
        <w:rPr>
          <w:rFonts w:ascii="Arial" w:hAnsi="Arial" w:cs="Arial"/>
          <w:i/>
          <w:noProof/>
          <w:lang w:val="en-GB"/>
        </w:rPr>
        <w:t xml:space="preserve"> </w:t>
      </w:r>
      <w:r>
        <w:rPr>
          <w:rFonts w:ascii="Arial" w:hAnsi="Arial" w:cs="Arial"/>
          <w:noProof/>
          <w:lang w:val="en-GB"/>
        </w:rPr>
        <w:t>has infringed the Landfill Directive by not taking the necessary measures to ensure that non-compliant landfills do not continue to operate unless they satisfy the requirements of the Directive;</w:t>
      </w:r>
      <w:r>
        <w:rPr>
          <w:rStyle w:val="FootnoteReference"/>
          <w:rFonts w:ascii="Arial" w:hAnsi="Arial" w:cs="Arial"/>
          <w:bCs/>
          <w:noProof/>
          <w:lang w:val="en-GB"/>
        </w:rPr>
        <w:footnoteReference w:id="232"/>
      </w:r>
    </w:p>
    <w:p>
      <w:pPr>
        <w:pStyle w:val="Lijstje2"/>
        <w:ind w:left="1418"/>
        <w:rPr>
          <w:rFonts w:ascii="Arial" w:hAnsi="Arial" w:cs="Arial"/>
          <w:noProof/>
          <w:lang w:val="en-GB"/>
        </w:rPr>
      </w:pPr>
      <w:r>
        <w:rPr>
          <w:rFonts w:ascii="Arial" w:hAnsi="Arial" w:cs="Arial"/>
          <w:noProof/>
          <w:lang w:val="en-GB"/>
        </w:rPr>
        <w:t>the Commission’s appeals are unfounded in relation to the General Court’s rulings to annul the Commission’s decisions on the reduction of the EU contribution to various projects (due to irregularities in public procurements) because the Commission had not adopted its decision within the six-month deadline indicated in the General Structural Fund Regulation.</w:t>
      </w:r>
      <w:r>
        <w:rPr>
          <w:rStyle w:val="FootnoteReference"/>
          <w:rFonts w:ascii="Arial" w:hAnsi="Arial" w:cs="Arial"/>
          <w:noProof/>
          <w:lang w:val="en-GB"/>
        </w:rPr>
        <w:footnoteReference w:id="233"/>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ind w:left="426" w:firstLine="294"/>
        <w:rPr>
          <w:noProof/>
          <w:lang w:val="en-GB"/>
        </w:rPr>
      </w:pPr>
      <w:r>
        <w:rPr>
          <w:noProof/>
          <w:lang w:val="en-GB"/>
        </w:rPr>
        <w:t>In preliminary rulings addressed to the Spanish judiciary, the Court held that:</w:t>
      </w:r>
    </w:p>
    <w:p>
      <w:pPr>
        <w:pStyle w:val="Lijstje2"/>
        <w:ind w:left="1418"/>
        <w:rPr>
          <w:rFonts w:ascii="Arial" w:hAnsi="Arial" w:cs="Arial"/>
          <w:noProof/>
          <w:lang w:val="en-GB"/>
        </w:rPr>
      </w:pPr>
      <w:r>
        <w:rPr>
          <w:rFonts w:ascii="Arial" w:hAnsi="Arial" w:cs="Arial"/>
          <w:noProof/>
          <w:lang w:val="en-GB"/>
        </w:rPr>
        <w:t>National case-law cannot temporally limit the restitutory effects connected with a finding of unfairness by a court, in respect of a clause contained in a contract concluded between a consumer and a seller or supplier, to amounts overpaid under such a clause after the delivery of the decision in which the finding of unfairness is made.The case concerned a decision by the Spanish Supreme Court of 2013 which had found so-called floor clauses in loan contracts concluded by consumers to be unfair, but had ruled that this finding would have effect only from the date of its judgment, thereby excluding restitution claims by consumers for overpayments made in the past;</w:t>
      </w:r>
      <w:r>
        <w:rPr>
          <w:rStyle w:val="FootnoteReference"/>
          <w:rFonts w:ascii="Arial" w:hAnsi="Arial" w:cs="Arial"/>
          <w:noProof/>
          <w:lang w:val="en-GB"/>
        </w:rPr>
        <w:footnoteReference w:id="234"/>
      </w:r>
    </w:p>
    <w:p>
      <w:pPr>
        <w:pStyle w:val="Lijstje2"/>
        <w:ind w:left="1418"/>
        <w:rPr>
          <w:rFonts w:ascii="Arial" w:hAnsi="Arial" w:cs="Arial"/>
          <w:noProof/>
          <w:lang w:val="en-GB"/>
        </w:rPr>
      </w:pPr>
      <w:r>
        <w:rPr>
          <w:rFonts w:ascii="Arial" w:hAnsi="Arial" w:cs="Arial"/>
          <w:noProof/>
          <w:lang w:val="en-GB"/>
        </w:rPr>
        <w:t>Member States’ may adopt or retain in force stricter measures to prevent money laundering and terrorist financing than the rules laid down in the Directive on the prevention of the use of the financial system for money laundering and terrorist financing.</w:t>
      </w:r>
      <w:r>
        <w:rPr>
          <w:rStyle w:val="FootnoteReference"/>
          <w:rFonts w:ascii="Arial" w:hAnsi="Arial" w:cs="Arial"/>
          <w:noProof/>
          <w:lang w:val="en-GB"/>
        </w:rPr>
        <w:footnoteReference w:id="235"/>
      </w:r>
      <w:r>
        <w:rPr>
          <w:rFonts w:ascii="Arial" w:hAnsi="Arial" w:cs="Arial"/>
          <w:noProof/>
          <w:lang w:val="en-GB"/>
        </w:rPr>
        <w:t xml:space="preserve"> These measures, however, must be justified by the level of risk and must be proportionate;</w:t>
      </w:r>
      <w:r>
        <w:rPr>
          <w:rStyle w:val="FootnoteReference"/>
          <w:rFonts w:ascii="Arial" w:hAnsi="Arial" w:cs="Arial"/>
          <w:noProof/>
          <w:lang w:val="en-GB"/>
        </w:rPr>
        <w:footnoteReference w:id="236"/>
      </w:r>
    </w:p>
    <w:p>
      <w:pPr>
        <w:pStyle w:val="Lijstje2"/>
        <w:ind w:left="1418"/>
        <w:rPr>
          <w:rFonts w:ascii="Arial" w:hAnsi="Arial" w:cs="Arial"/>
          <w:noProof/>
          <w:lang w:val="en-GB"/>
        </w:rPr>
      </w:pPr>
      <w:r>
        <w:rPr>
          <w:rFonts w:ascii="Arial" w:hAnsi="Arial" w:cs="Arial"/>
          <w:noProof/>
          <w:lang w:val="en-GB"/>
        </w:rPr>
        <w:t>a national of a non-EU country who has the sole care of an EU citizen who is a minor cannot be automatically refused a residence permit or expelled from the territory of the European Union on the sole ground that he has a criminal record. To be capable of being adopted, an expulsion measure must be proportionate and founded on the personal conduct of the national of a non-EU country. Moreover, that conduct must constitute a genuine, present and sufficiently serious threat adversely affecting one of the fundamental interests of the society of the host Member State.</w:t>
      </w:r>
      <w:r>
        <w:rPr>
          <w:rStyle w:val="FootnoteReference"/>
          <w:rFonts w:ascii="Arial" w:hAnsi="Arial" w:cs="Arial"/>
          <w:noProof/>
          <w:lang w:val="en-GB"/>
        </w:rPr>
        <w:footnoteReference w:id="237"/>
      </w:r>
    </w:p>
    <w:p>
      <w:pPr>
        <w:pStyle w:val="Lijstje2"/>
        <w:ind w:left="1418"/>
        <w:rPr>
          <w:rStyle w:val="FootnoteReference"/>
          <w:rFonts w:ascii="Arial" w:hAnsi="Arial" w:cs="Arial"/>
          <w:noProof/>
          <w:vertAlign w:val="baseline"/>
          <w:lang w:val="en-GB"/>
        </w:rPr>
      </w:pPr>
      <w:r>
        <w:rPr>
          <w:rFonts w:ascii="Arial" w:hAnsi="Arial" w:cs="Arial"/>
          <w:noProof/>
          <w:lang w:val="en-GB"/>
        </w:rPr>
        <w:t>a Member State may refuse an application for family reunification if the sponsor does not have sufficient, stable and regular resources to maintain himself and the members of his family without recourse to the social assistance system of that Member State.</w:t>
      </w:r>
      <w:r>
        <w:rPr>
          <w:rFonts w:ascii="Arial" w:hAnsi="Arial" w:cs="Arial"/>
          <w:b/>
          <w:bCs/>
          <w:noProof/>
          <w:lang w:val="en-GB"/>
        </w:rPr>
        <w:t xml:space="preserve"> </w:t>
      </w:r>
      <w:r>
        <w:rPr>
          <w:rFonts w:ascii="Arial" w:hAnsi="Arial" w:cs="Arial"/>
          <w:noProof/>
          <w:lang w:val="en-GB"/>
        </w:rPr>
        <w:t>Such a decision could be based on the prospective assessment of the likelihood of the sponsor retaining, or failing to retain, the necessary stable and regular resources in the year following the date of submission of the application for family reunification. The assessment is based on the pattern of the sponsor’s income in the 6 months preceding the date of the application;</w:t>
      </w:r>
      <w:r>
        <w:rPr>
          <w:rStyle w:val="FootnoteReference"/>
          <w:rFonts w:ascii="Arial" w:hAnsi="Arial" w:cs="Arial"/>
          <w:noProof/>
          <w:lang w:val="en-GB"/>
        </w:rPr>
        <w:footnoteReference w:id="238"/>
      </w:r>
    </w:p>
    <w:p>
      <w:pPr>
        <w:pStyle w:val="Lijstje2"/>
        <w:ind w:left="1418"/>
        <w:rPr>
          <w:rFonts w:ascii="Arial" w:hAnsi="Arial" w:cs="Arial"/>
          <w:noProof/>
          <w:lang w:val="en-GB"/>
        </w:rPr>
      </w:pPr>
      <w:r>
        <w:rPr>
          <w:rFonts w:ascii="Arial" w:hAnsi="Arial" w:cs="Arial"/>
          <w:noProof/>
          <w:lang w:val="en-GB"/>
        </w:rPr>
        <w:t>the Framework Directive</w:t>
      </w:r>
      <w:r>
        <w:rPr>
          <w:rStyle w:val="FootnoteReference"/>
          <w:noProof/>
        </w:rPr>
        <w:footnoteReference w:id="239"/>
      </w:r>
      <w:r>
        <w:rPr>
          <w:rFonts w:ascii="Arial" w:hAnsi="Arial" w:cs="Arial"/>
          <w:i/>
          <w:noProof/>
          <w:lang w:val="en-GB"/>
        </w:rPr>
        <w:t xml:space="preserve"> </w:t>
      </w:r>
      <w:r>
        <w:rPr>
          <w:rFonts w:ascii="Arial" w:hAnsi="Arial" w:cs="Arial"/>
          <w:noProof/>
          <w:lang w:val="en-GB"/>
        </w:rPr>
        <w:t>on electronic communications networks and services does not preclude the possibility for national regulatory authorities to merge into one multisectoral authority provided that, in performing those tasks, that body meets the requirements of competence, independence, impartiality and transparency laid down by the Directive. In addition, an effective right of appeal to an independent body must be available against its decisions, which is a matter to be determined by the national court;</w:t>
      </w:r>
      <w:r>
        <w:rPr>
          <w:rStyle w:val="FootnoteReference"/>
          <w:noProof/>
        </w:rPr>
        <w:footnoteReference w:id="240"/>
      </w:r>
    </w:p>
    <w:p>
      <w:pPr>
        <w:pStyle w:val="Lijstje2"/>
        <w:ind w:left="1418"/>
        <w:rPr>
          <w:rFonts w:ascii="Arial" w:hAnsi="Arial" w:cs="Arial"/>
          <w:noProof/>
          <w:lang w:val="en-GB"/>
        </w:rPr>
      </w:pPr>
      <w:r>
        <w:rPr>
          <w:rFonts w:ascii="Arial" w:hAnsi="Arial" w:cs="Arial"/>
          <w:noProof/>
          <w:lang w:val="en-GB"/>
        </w:rPr>
        <w:t xml:space="preserve">the </w:t>
      </w:r>
      <w:r>
        <w:rPr>
          <w:rFonts w:ascii="Arial" w:hAnsi="Arial" w:cs="Arial"/>
          <w:bCs/>
          <w:noProof/>
          <w:lang w:val="en-GB"/>
        </w:rPr>
        <w:t>Commission’s</w:t>
      </w:r>
      <w:r>
        <w:rPr>
          <w:rFonts w:ascii="Arial" w:hAnsi="Arial" w:cs="Arial"/>
          <w:noProof/>
          <w:lang w:val="en-GB"/>
        </w:rPr>
        <w:t xml:space="preserve"> decisions on remission of import duties, addressed to one or more Member States, are</w:t>
      </w:r>
      <w:r>
        <w:rPr>
          <w:rFonts w:ascii="Arial" w:hAnsi="Arial" w:cs="Arial"/>
          <w:bCs/>
          <w:noProof/>
          <w:lang w:val="en-GB"/>
        </w:rPr>
        <w:t xml:space="preserve"> not of direct and individual concern to the operators concerned; thus they are not </w:t>
      </w:r>
      <w:r>
        <w:rPr>
          <w:rFonts w:ascii="Arial" w:hAnsi="Arial" w:cs="Arial"/>
          <w:noProof/>
          <w:lang w:val="en-GB"/>
        </w:rPr>
        <w:t>challengeable by way of direct action under Article 263 TFEU,</w:t>
      </w:r>
      <w:r>
        <w:rPr>
          <w:rFonts w:ascii="Arial" w:hAnsi="Arial" w:cs="Arial"/>
          <w:bCs/>
          <w:noProof/>
          <w:lang w:val="en-GB"/>
        </w:rPr>
        <w:t xml:space="preserve"> fourth paragraph, but</w:t>
      </w:r>
      <w:r>
        <w:rPr>
          <w:rFonts w:ascii="Arial" w:hAnsi="Arial" w:cs="Arial"/>
          <w:noProof/>
          <w:lang w:val="en-GB"/>
        </w:rPr>
        <w:t xml:space="preserve"> by way of indirect action before a national court via the</w:t>
      </w:r>
      <w:r>
        <w:rPr>
          <w:rFonts w:ascii="Arial" w:hAnsi="Arial" w:cs="Arial"/>
          <w:bCs/>
          <w:noProof/>
          <w:lang w:val="en-GB"/>
        </w:rPr>
        <w:t xml:space="preserve"> </w:t>
      </w:r>
      <w:r>
        <w:rPr>
          <w:rFonts w:ascii="Arial" w:hAnsi="Arial" w:cs="Arial"/>
          <w:noProof/>
          <w:lang w:val="en-GB"/>
        </w:rPr>
        <w:t>preliminary ruling procedure set out in Article 267 TFEU.</w:t>
      </w:r>
      <w:r>
        <w:rPr>
          <w:rStyle w:val="FootnoteReference"/>
          <w:rFonts w:ascii="Arial" w:hAnsi="Arial" w:cs="Arial"/>
          <w:bCs/>
          <w:noProof/>
          <w:lang w:val="en-GB"/>
        </w:rPr>
        <w:footnoteReference w:id="241"/>
      </w:r>
    </w:p>
    <w:p>
      <w:pPr>
        <w:spacing w:after="120"/>
        <w:contextualSpacing/>
        <w:rPr>
          <w:rFonts w:ascii="Verdana" w:eastAsia="Calibri" w:hAnsi="Verdana"/>
          <w:noProof/>
          <w:kern w:val="20"/>
          <w:sz w:val="20"/>
        </w:rPr>
      </w:pPr>
    </w:p>
    <w:p>
      <w:pPr>
        <w:spacing w:after="0"/>
        <w:jc w:val="left"/>
        <w:rPr>
          <w:noProof/>
        </w:rPr>
        <w:sectPr>
          <w:headerReference w:type="even" r:id="rId182"/>
          <w:headerReference w:type="default" r:id="rId183"/>
          <w:footerReference w:type="even" r:id="rId184"/>
          <w:footerReference w:type="default" r:id="rId185"/>
          <w:headerReference w:type="first" r:id="rId186"/>
          <w:footerReference w:type="first" r:id="rId187"/>
          <w:footnotePr>
            <w:numRestart w:val="eachSect"/>
          </w:footnotePr>
          <w:pgSz w:w="11906" w:h="16838"/>
          <w:pgMar w:top="1701" w:right="1417" w:bottom="1134" w:left="1417" w:header="567" w:footer="351" w:gutter="0"/>
          <w:cols w:space="708"/>
          <w:titlePg/>
          <w:docGrid w:linePitch="360"/>
        </w:sectPr>
      </w:pPr>
    </w:p>
    <w:p>
      <w:pPr>
        <w:pStyle w:val="Heading1"/>
        <w:rPr>
          <w:noProof/>
        </w:rPr>
      </w:pPr>
      <w:bookmarkStart w:id="76" w:name="_Toc477938592"/>
      <w:r>
        <w:rPr>
          <w:noProof/>
        </w:rPr>
        <w:t>France</w:t>
      </w:r>
      <w:bookmarkEnd w:id="65"/>
      <w:bookmarkEnd w:id="66"/>
      <w:bookmarkEnd w:id="67"/>
      <w:bookmarkEnd w:id="68"/>
      <w:bookmarkEnd w:id="69"/>
      <w:bookmarkEnd w:id="70"/>
      <w:bookmarkEnd w:id="71"/>
      <w:bookmarkEnd w:id="76"/>
    </w:p>
    <w:p>
      <w:pPr>
        <w:spacing w:after="120"/>
        <w:rPr>
          <w:rFonts w:ascii="Arial" w:hAnsi="Arial" w:cs="Arial"/>
          <w:i/>
          <w:noProof/>
          <w:sz w:val="22"/>
          <w:szCs w:val="22"/>
        </w:rPr>
      </w:pPr>
      <w:r>
        <w:rPr>
          <w:rFonts w:ascii="Arial" w:hAnsi="Arial" w:cs="Arial"/>
          <w:i/>
          <w:noProof/>
          <w:sz w:val="22"/>
          <w:szCs w:val="22"/>
        </w:rPr>
        <w:t xml:space="preserve">All the main indicators for France worsened in 2016. </w:t>
      </w:r>
      <w:r>
        <w:rPr>
          <w:rFonts w:ascii="Arial" w:hAnsi="Arial"/>
          <w:i/>
          <w:noProof/>
          <w:sz w:val="22"/>
        </w:rPr>
        <w:t>New complaints continued their upward trend, reaching their highest level in 5 years. The number of new EU Pilot files also rose, reversing a continuous fall since 2012. Continuing the trend seen since 2012, the number of open infringement cases rose slightly. New infringement cases for late transposition showed a more marked increase, hitting their highest level in 5 years.</w:t>
      </w:r>
    </w:p>
    <w:p>
      <w:pPr>
        <w:spacing w:after="120"/>
        <w:rPr>
          <w:rFonts w:ascii="Arial" w:hAnsi="Arial" w:cs="Arial"/>
          <w:i/>
          <w:noProof/>
          <w:sz w:val="22"/>
          <w:szCs w:val="22"/>
        </w:rPr>
      </w:pPr>
    </w:p>
    <w:p>
      <w:pPr>
        <w:pStyle w:val="kop2"/>
        <w:numPr>
          <w:ilvl w:val="0"/>
          <w:numId w:val="175"/>
        </w:numPr>
        <w:rPr>
          <w:noProof/>
        </w:rPr>
      </w:pPr>
      <w:r>
        <w:rPr>
          <w:noProof/>
        </w:rPr>
        <w:t>COMPLAINTS</w:t>
      </w:r>
    </w:p>
    <w:p>
      <w:pPr>
        <w:pStyle w:val="Subtitle"/>
        <w:numPr>
          <w:ilvl w:val="0"/>
          <w:numId w:val="176"/>
        </w:numPr>
        <w:rPr>
          <w:noProof/>
        </w:rPr>
      </w:pPr>
      <w:r>
        <w:rPr>
          <w:noProof/>
        </w:rPr>
        <w:t>New complaints made against France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66557" cy="2051957"/>
            <wp:effectExtent l="0" t="0" r="24765" b="24765"/>
            <wp:docPr id="115"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pPr>
        <w:pStyle w:val="Subtitle"/>
        <w:numPr>
          <w:ilvl w:val="0"/>
          <w:numId w:val="23"/>
        </w:numPr>
        <w:rPr>
          <w:noProof/>
        </w:rPr>
      </w:pPr>
      <w:r>
        <w:rPr>
          <w:noProof/>
        </w:rPr>
        <w:t>Public complaints against France open at year-end</w:t>
      </w:r>
    </w:p>
    <w:tbl>
      <w:tblPr>
        <w:tblStyle w:val="Style19"/>
        <w:tblW w:w="0" w:type="auto"/>
        <w:jc w:val="center"/>
        <w:tblInd w:w="421" w:type="dxa"/>
        <w:tblLook w:val="04A0" w:firstRow="1" w:lastRow="0" w:firstColumn="1" w:lastColumn="0" w:noHBand="0" w:noVBand="1"/>
      </w:tblPr>
      <w:tblGrid>
        <w:gridCol w:w="1697"/>
        <w:gridCol w:w="452"/>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260</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325</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319</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266</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numPr>
          <w:ilvl w:val="0"/>
          <w:numId w:val="23"/>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7720" cy="2324100"/>
            <wp:effectExtent l="0" t="0" r="11430" b="19050"/>
            <wp:docPr id="116"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pPr>
        <w:spacing w:after="200" w:line="276" w:lineRule="auto"/>
        <w:jc w:val="left"/>
        <w:rPr>
          <w:rFonts w:ascii="Arial" w:hAnsi="Arial" w:cs="Arial"/>
          <w:noProof/>
          <w:sz w:val="20"/>
        </w:rPr>
      </w:pPr>
      <w:r>
        <w:rPr>
          <w:noProof/>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177"/>
        </w:numPr>
        <w:rPr>
          <w:noProof/>
        </w:rPr>
      </w:pPr>
      <w:r>
        <w:rPr>
          <w:noProof/>
        </w:rPr>
        <w:t>New EU Pilot files opened against France (2012-2016)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604657" cy="2046514"/>
            <wp:effectExtent l="0" t="0" r="24765" b="11430"/>
            <wp:docPr id="117"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pPr>
        <w:pStyle w:val="Subtitle"/>
        <w:numPr>
          <w:ilvl w:val="0"/>
          <w:numId w:val="23"/>
        </w:numPr>
        <w:rPr>
          <w:noProof/>
        </w:rPr>
      </w:pPr>
      <w:r>
        <w:rPr>
          <w:noProof/>
        </w:rPr>
        <w:t>Files relating to France open in EU Pilot at year-end</w:t>
      </w:r>
    </w:p>
    <w:p>
      <w:pPr>
        <w:spacing w:after="120"/>
        <w:ind w:firstLine="709"/>
        <w:rPr>
          <w:rFonts w:ascii="Arial" w:hAnsi="Arial" w:cs="Arial"/>
          <w:noProof/>
          <w:sz w:val="20"/>
        </w:rPr>
      </w:pPr>
      <w:r>
        <w:rPr>
          <w:rFonts w:ascii="Arial" w:hAnsi="Arial" w:cs="Arial"/>
          <w:noProof/>
          <w:sz w:val="20"/>
          <w:lang w:val="en-US"/>
        </w:rPr>
        <w:drawing>
          <wp:inline distT="0" distB="0" distL="0" distR="0">
            <wp:extent cx="4604657" cy="2046514"/>
            <wp:effectExtent l="0" t="0" r="24765" b="11430"/>
            <wp:docPr id="138"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pPr>
        <w:pStyle w:val="Subtitle"/>
        <w:numPr>
          <w:ilvl w:val="0"/>
          <w:numId w:val="23"/>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400300"/>
            <wp:effectExtent l="0" t="0" r="15240" b="19050"/>
            <wp:docPr id="118"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23"/>
        </w:numPr>
        <w:rPr>
          <w:noProof/>
        </w:rPr>
      </w:pPr>
      <w:r>
        <w:rPr>
          <w:noProof/>
        </w:rPr>
        <w:t>EU Pilot files: France’s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26428" cy="2024742"/>
            <wp:effectExtent l="0" t="0" r="22225" b="13970"/>
            <wp:docPr id="119"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pPr>
        <w:pStyle w:val="Subtitle"/>
        <w:numPr>
          <w:ilvl w:val="0"/>
          <w:numId w:val="23"/>
        </w:numPr>
        <w:rPr>
          <w:noProof/>
        </w:rPr>
      </w:pPr>
      <w:r>
        <w:rPr>
          <w:noProof/>
        </w:rPr>
        <w:t>EU Pilot files: France’s resolution rate in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93771" cy="2269671"/>
            <wp:effectExtent l="0" t="0" r="16510" b="16510"/>
            <wp:docPr id="12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178"/>
        </w:numPr>
        <w:rPr>
          <w:noProof/>
        </w:rPr>
      </w:pPr>
      <w:r>
        <w:rPr>
          <w:noProof/>
        </w:rPr>
        <w:t>Infringement cases against France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2886" cy="2220685"/>
            <wp:effectExtent l="0" t="0" r="27305" b="27305"/>
            <wp:docPr id="121"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pPr>
        <w:spacing w:after="200" w:line="276" w:lineRule="auto"/>
        <w:jc w:val="left"/>
        <w:rPr>
          <w:rFonts w:ascii="Arial" w:hAnsi="Arial"/>
          <w:noProof/>
          <w:color w:val="002060"/>
          <w:sz w:val="22"/>
          <w:szCs w:val="22"/>
        </w:rPr>
      </w:pPr>
      <w:r>
        <w:rPr>
          <w:noProof/>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324100"/>
            <wp:effectExtent l="0" t="0" r="13970" b="19050"/>
            <wp:docPr id="12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79"/>
        </w:numPr>
        <w:ind w:hanging="426"/>
        <w:rPr>
          <w:rFonts w:ascii="Arial" w:hAnsi="Arial" w:cs="Arial"/>
          <w:noProof/>
          <w:lang w:val="en-GB"/>
        </w:rPr>
      </w:pPr>
      <w:r>
        <w:rPr>
          <w:rFonts w:ascii="Arial" w:hAnsi="Arial" w:cs="Arial"/>
          <w:noProof/>
          <w:lang w:val="en-GB"/>
        </w:rPr>
        <w:t>The Commission opened 39 new infringement cases against France in 2016. These, and other major ongoing infringement cases, include:</w:t>
      </w:r>
    </w:p>
    <w:p>
      <w:pPr>
        <w:pStyle w:val="Lijstje2"/>
        <w:spacing w:after="200"/>
        <w:ind w:left="1843" w:hanging="426"/>
        <w:rPr>
          <w:rFonts w:ascii="Arial" w:hAnsi="Arial" w:cs="Arial"/>
          <w:noProof/>
          <w:lang w:val="en-GB"/>
        </w:rPr>
      </w:pPr>
      <w:r>
        <w:rPr>
          <w:rFonts w:ascii="Arial" w:hAnsi="Arial" w:cs="Arial"/>
          <w:noProof/>
          <w:lang w:val="en-GB" w:eastAsia="en-GB"/>
        </w:rPr>
        <w:t>non-compliance with the Regulation on the marketing and use of explosives precursors;</w:t>
      </w:r>
      <w:r>
        <w:rPr>
          <w:rStyle w:val="FootnoteReference"/>
          <w:rFonts w:ascii="Arial" w:hAnsi="Arial" w:cs="Arial"/>
          <w:noProof/>
          <w:lang w:val="en-GB" w:eastAsia="en-GB"/>
        </w:rPr>
        <w:footnoteReference w:id="242"/>
      </w:r>
    </w:p>
    <w:p>
      <w:pPr>
        <w:pStyle w:val="Lijstje2"/>
        <w:spacing w:after="200"/>
        <w:ind w:left="1843" w:hanging="426"/>
        <w:rPr>
          <w:rFonts w:ascii="Arial" w:hAnsi="Arial" w:cs="Arial"/>
          <w:noProof/>
          <w:lang w:val="en-GB"/>
        </w:rPr>
      </w:pPr>
      <w:r>
        <w:rPr>
          <w:rFonts w:ascii="Arial" w:eastAsia="Times New Roman" w:hAnsi="Arial" w:cs="Arial"/>
          <w:noProof/>
          <w:kern w:val="0"/>
          <w:lang w:val="en-GB"/>
        </w:rPr>
        <w:t>lack of waste management plans and waste prevention programmes required under the Waste Framework Directive;</w:t>
      </w:r>
      <w:r>
        <w:rPr>
          <w:rStyle w:val="FootnoteReference"/>
          <w:noProof/>
        </w:rPr>
        <w:footnoteReference w:id="243"/>
      </w:r>
    </w:p>
    <w:p>
      <w:pPr>
        <w:pStyle w:val="Lijstje2"/>
        <w:spacing w:after="200"/>
        <w:ind w:left="1843" w:hanging="426"/>
        <w:rPr>
          <w:rFonts w:ascii="Arial" w:hAnsi="Arial" w:cs="Arial"/>
          <w:noProof/>
          <w:lang w:val="en-GB"/>
        </w:rPr>
      </w:pPr>
      <w:r>
        <w:rPr>
          <w:rFonts w:ascii="Arial" w:hAnsi="Arial" w:cs="Arial"/>
          <w:noProof/>
          <w:lang w:val="en-GB"/>
        </w:rPr>
        <w:t>illegal poaching and killing of ortolan buntings;</w:t>
      </w:r>
      <w:r>
        <w:rPr>
          <w:rStyle w:val="FootnoteReference"/>
          <w:rFonts w:ascii="Arial" w:hAnsi="Arial" w:cs="Arial"/>
          <w:noProof/>
          <w:lang w:val="en-GB"/>
        </w:rPr>
        <w:footnoteReference w:id="244"/>
      </w:r>
    </w:p>
    <w:p>
      <w:pPr>
        <w:pStyle w:val="Lijstje2"/>
        <w:spacing w:after="200"/>
        <w:ind w:left="1843"/>
        <w:rPr>
          <w:rFonts w:ascii="Arial" w:hAnsi="Arial" w:cs="Arial"/>
          <w:noProof/>
          <w:lang w:val="en-GB"/>
        </w:rPr>
      </w:pPr>
      <w:r>
        <w:rPr>
          <w:rFonts w:ascii="Arial" w:hAnsi="Arial" w:cs="Arial"/>
          <w:noProof/>
          <w:lang w:val="en-GB"/>
        </w:rPr>
        <w:t>non-compliant transposition of the Mining Waste Directive;</w:t>
      </w:r>
      <w:r>
        <w:rPr>
          <w:rStyle w:val="FootnoteReference"/>
          <w:noProof/>
        </w:rPr>
        <w:footnoteReference w:id="245"/>
      </w:r>
    </w:p>
    <w:p>
      <w:pPr>
        <w:pStyle w:val="Lijstje2"/>
        <w:spacing w:after="200"/>
        <w:ind w:left="1843"/>
        <w:rPr>
          <w:rFonts w:ascii="Arial" w:hAnsi="Arial" w:cs="Arial"/>
          <w:noProof/>
          <w:lang w:val="en-GB"/>
        </w:rPr>
      </w:pPr>
      <w:r>
        <w:rPr>
          <w:rFonts w:ascii="Arial" w:hAnsi="Arial" w:cs="Arial"/>
          <w:noProof/>
          <w:lang w:val="en-GB"/>
        </w:rPr>
        <w:t>failure to comply with the Third Internal Energy Market Package;</w:t>
      </w:r>
      <w:r>
        <w:rPr>
          <w:rStyle w:val="FootnoteReference"/>
          <w:noProof/>
        </w:rPr>
        <w:footnoteReference w:id="246"/>
      </w:r>
      <w:r>
        <w:rPr>
          <w:rFonts w:ascii="Arial" w:hAnsi="Arial" w:cs="Arial"/>
          <w:noProof/>
          <w:lang w:val="en-GB"/>
        </w:rPr>
        <w:t xml:space="preserve"> </w:t>
      </w:r>
    </w:p>
    <w:p>
      <w:pPr>
        <w:pStyle w:val="Lijstje2"/>
        <w:ind w:left="1843" w:hanging="426"/>
        <w:rPr>
          <w:rFonts w:ascii="Arial" w:hAnsi="Arial"/>
          <w:noProof/>
          <w:lang w:val="en-GB"/>
        </w:rPr>
      </w:pPr>
      <w:r>
        <w:rPr>
          <w:rFonts w:ascii="Arial" w:eastAsia="Times New Roman" w:hAnsi="Arial" w:cs="Arial"/>
          <w:noProof/>
          <w:kern w:val="0"/>
          <w:lang w:val="en-GB"/>
        </w:rPr>
        <w:t>breach of the rules</w:t>
      </w:r>
      <w:r>
        <w:rPr>
          <w:rFonts w:ascii="Arial" w:eastAsia="Times New Roman" w:hAnsi="Arial" w:cs="Arial"/>
          <w:i/>
          <w:noProof/>
          <w:kern w:val="0"/>
          <w:lang w:val="en-GB"/>
        </w:rPr>
        <w:t xml:space="preserve"> </w:t>
      </w:r>
      <w:r>
        <w:rPr>
          <w:rFonts w:ascii="Arial" w:eastAsia="Times New Roman" w:hAnsi="Arial"/>
          <w:noProof/>
          <w:kern w:val="0"/>
          <w:lang w:val="en-GB"/>
        </w:rPr>
        <w:t>o</w:t>
      </w:r>
      <w:r>
        <w:rPr>
          <w:rFonts w:ascii="Arial" w:eastAsia="Times New Roman" w:hAnsi="Arial" w:cs="Arial"/>
          <w:noProof/>
          <w:kern w:val="0"/>
          <w:lang w:val="en-GB"/>
        </w:rPr>
        <w:t xml:space="preserve">n the separation of accounts under the </w:t>
      </w:r>
      <w:r>
        <w:rPr>
          <w:rFonts w:ascii="Arial" w:hAnsi="Arial" w:cs="Arial"/>
          <w:noProof/>
          <w:lang w:val="en-GB"/>
        </w:rPr>
        <w:t>Directive establishing a single European railway area</w:t>
      </w:r>
      <w:r>
        <w:rPr>
          <w:rFonts w:ascii="Arial" w:eastAsia="Times New Roman" w:hAnsi="Arial" w:cs="Arial"/>
          <w:noProof/>
          <w:kern w:val="0"/>
          <w:lang w:val="en-GB"/>
        </w:rPr>
        <w:t>;</w:t>
      </w:r>
      <w:r>
        <w:rPr>
          <w:rStyle w:val="FootnoteReference"/>
          <w:noProof/>
        </w:rPr>
        <w:footnoteReference w:id="247"/>
      </w:r>
    </w:p>
    <w:p>
      <w:pPr>
        <w:pStyle w:val="Lijstje2"/>
        <w:spacing w:after="200"/>
        <w:ind w:left="1843" w:hanging="426"/>
        <w:rPr>
          <w:rFonts w:ascii="Arial" w:hAnsi="Arial" w:cs="Arial"/>
          <w:noProof/>
          <w:lang w:val="en-GB"/>
        </w:rPr>
      </w:pPr>
      <w:r>
        <w:rPr>
          <w:rFonts w:ascii="Arial" w:eastAsia="Times New Roman" w:hAnsi="Arial" w:cs="Arial"/>
          <w:noProof/>
          <w:kern w:val="0"/>
          <w:lang w:val="en-GB"/>
        </w:rPr>
        <w:t>restrictions on the provision of transport services and free movement of goods;</w:t>
      </w:r>
      <w:r>
        <w:rPr>
          <w:rStyle w:val="FootnoteReference"/>
          <w:noProof/>
        </w:rPr>
        <w:footnoteReference w:id="248"/>
      </w:r>
    </w:p>
    <w:p>
      <w:pPr>
        <w:pStyle w:val="Lijstje2"/>
        <w:spacing w:after="200"/>
        <w:ind w:left="1843"/>
        <w:rPr>
          <w:rFonts w:ascii="Arial" w:hAnsi="Arial" w:cs="Arial"/>
          <w:noProof/>
          <w:lang w:val="en-GB"/>
        </w:rPr>
      </w:pPr>
      <w:r>
        <w:rPr>
          <w:rFonts w:ascii="Arial" w:hAnsi="Arial" w:cs="Arial"/>
          <w:noProof/>
          <w:lang w:val="en-GB"/>
        </w:rPr>
        <w:t>non-communication of national measures transposing the Maritime Spatial Planning Directive;</w:t>
      </w:r>
      <w:r>
        <w:rPr>
          <w:rStyle w:val="FootnoteReference"/>
          <w:noProof/>
        </w:rPr>
        <w:footnoteReference w:id="249"/>
      </w:r>
      <w:r>
        <w:rPr>
          <w:rFonts w:ascii="Arial" w:hAnsi="Arial" w:cs="Arial"/>
          <w:noProof/>
          <w:lang w:val="en-GB"/>
        </w:rPr>
        <w:t xml:space="preserve"> </w:t>
      </w:r>
    </w:p>
    <w:p>
      <w:pPr>
        <w:pStyle w:val="Lijstje2"/>
        <w:spacing w:after="200"/>
        <w:ind w:left="1843"/>
        <w:rPr>
          <w:rFonts w:ascii="Arial" w:hAnsi="Arial" w:cs="Arial"/>
          <w:noProof/>
          <w:lang w:val="en-GB"/>
        </w:rPr>
      </w:pPr>
      <w:r>
        <w:rPr>
          <w:rFonts w:ascii="Arial" w:hAnsi="Arial" w:cs="Arial"/>
          <w:noProof/>
          <w:lang w:val="en-GB"/>
        </w:rPr>
        <w:t>non-communication of national measures transposing the Directive on priority substances in the field of water policy;</w:t>
      </w:r>
      <w:r>
        <w:rPr>
          <w:rStyle w:val="FootnoteReference"/>
          <w:rFonts w:ascii="Arial" w:hAnsi="Arial" w:cs="Arial"/>
          <w:noProof/>
          <w:lang w:val="en-GB"/>
        </w:rPr>
        <w:footnoteReference w:id="250"/>
      </w:r>
    </w:p>
    <w:p>
      <w:pPr>
        <w:pStyle w:val="Lijstje2"/>
        <w:spacing w:after="200"/>
        <w:ind w:left="1843" w:hanging="425"/>
        <w:rPr>
          <w:rFonts w:ascii="Arial" w:hAnsi="Arial" w:cs="Arial"/>
          <w:noProof/>
          <w:lang w:val="en-GB" w:eastAsia="en-GB"/>
        </w:rPr>
      </w:pPr>
      <w:r>
        <w:rPr>
          <w:rFonts w:ascii="Arial" w:hAnsi="Arial" w:cs="Arial"/>
          <w:i/>
          <w:noProof/>
          <w:lang w:val="en-GB"/>
        </w:rPr>
        <w:t>e</w:t>
      </w:r>
      <w:r>
        <w:rPr>
          <w:rFonts w:ascii="Arial" w:hAnsi="Arial" w:cs="Arial"/>
          <w:noProof/>
          <w:lang w:val="en-GB"/>
        </w:rPr>
        <w:t>xcessive and unjustified obstacles in the area of professional services that run counter to the Professional Qualifications Directive;</w:t>
      </w:r>
      <w:r>
        <w:rPr>
          <w:rStyle w:val="FootnoteReference"/>
          <w:noProof/>
        </w:rPr>
        <w:footnoteReference w:id="251"/>
      </w:r>
      <w:r>
        <w:rPr>
          <w:rFonts w:ascii="Arial" w:hAnsi="Arial" w:cs="Arial"/>
          <w:noProof/>
          <w:vertAlign w:val="superscript"/>
          <w:lang w:val="en-GB"/>
        </w:rPr>
        <w:t xml:space="preserve"> </w:t>
      </w:r>
    </w:p>
    <w:p>
      <w:pPr>
        <w:pStyle w:val="Lijstje2"/>
        <w:ind w:left="1843" w:hanging="425"/>
        <w:rPr>
          <w:rFonts w:ascii="Arial" w:hAnsi="Arial" w:cs="Arial"/>
          <w:noProof/>
          <w:lang w:val="en-GB"/>
        </w:rPr>
      </w:pPr>
      <w:r>
        <w:rPr>
          <w:rFonts w:ascii="Arial" w:hAnsi="Arial" w:cs="Arial"/>
          <w:noProof/>
          <w:lang w:val="en-GB"/>
        </w:rPr>
        <w:t xml:space="preserve">failure </w:t>
      </w:r>
      <w:r>
        <w:rPr>
          <w:rFonts w:ascii="Arial" w:hAnsi="Arial"/>
          <w:noProof/>
          <w:lang w:val="en-GB"/>
        </w:rPr>
        <w:t>to transpose in full the Directive amending EU legislation on the recognition of professional qualifications and the Internal Market Information System.</w:t>
      </w:r>
      <w:r>
        <w:rPr>
          <w:rStyle w:val="FootnoteReference"/>
          <w:rFonts w:ascii="Arial" w:hAnsi="Arial"/>
          <w:noProof/>
          <w:lang w:val="en-GB"/>
        </w:rPr>
        <w:footnoteReference w:id="252"/>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260(2)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180"/>
        </w:numPr>
        <w:rPr>
          <w:noProof/>
        </w:rPr>
      </w:pPr>
      <w:r>
        <w:rPr>
          <w:noProof/>
        </w:rPr>
        <w:t>Late transposition infringement cases against France open on 31 December (2012-2016)</w:t>
      </w:r>
    </w:p>
    <w:p>
      <w:pPr>
        <w:ind w:left="426" w:firstLine="283"/>
        <w:rPr>
          <w:noProof/>
        </w:rPr>
      </w:pPr>
      <w:r>
        <w:rPr>
          <w:noProof/>
          <w:lang w:val="en-US"/>
        </w:rPr>
        <w:drawing>
          <wp:inline distT="0" distB="0" distL="0" distR="0">
            <wp:extent cx="4579620" cy="2087880"/>
            <wp:effectExtent l="0" t="0" r="11430" b="26670"/>
            <wp:docPr id="12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pPr>
        <w:pStyle w:val="Subtitle"/>
        <w:numPr>
          <w:ilvl w:val="0"/>
          <w:numId w:val="23"/>
        </w:numPr>
        <w:rPr>
          <w:noProof/>
        </w:rPr>
      </w:pPr>
      <w:r>
        <w:rPr>
          <w:noProof/>
        </w:rPr>
        <w:t>New late transposition infringement cases against France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2886" cy="2242457"/>
            <wp:effectExtent l="0" t="0" r="27305" b="24765"/>
            <wp:docPr id="124"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468880"/>
            <wp:effectExtent l="0" t="0" r="22860" b="26670"/>
            <wp:docPr id="125"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These concerned:</w:t>
      </w:r>
    </w:p>
    <w:p>
      <w:pPr>
        <w:numPr>
          <w:ilvl w:val="0"/>
          <w:numId w:val="4"/>
        </w:numPr>
        <w:spacing w:after="200"/>
        <w:ind w:left="1276" w:hanging="425"/>
        <w:contextualSpacing/>
        <w:rPr>
          <w:rFonts w:ascii="Arial" w:eastAsia="Calibri" w:hAnsi="Arial" w:cs="Arial"/>
          <w:noProof/>
          <w:kern w:val="20"/>
          <w:sz w:val="20"/>
        </w:rPr>
      </w:pPr>
      <w:r>
        <w:rPr>
          <w:rFonts w:ascii="Arial" w:eastAsia="Calibri" w:hAnsi="Arial" w:cs="Arial"/>
          <w:noProof/>
          <w:kern w:val="20"/>
          <w:sz w:val="20"/>
        </w:rPr>
        <w:t>completing the notification of all national measures necessary to transpose:</w:t>
      </w:r>
    </w:p>
    <w:p>
      <w:pPr>
        <w:numPr>
          <w:ilvl w:val="0"/>
          <w:numId w:val="232"/>
        </w:numPr>
        <w:spacing w:after="200"/>
        <w:contextualSpacing/>
        <w:rPr>
          <w:rFonts w:ascii="Arial" w:eastAsia="Calibri" w:hAnsi="Arial" w:cs="Arial"/>
          <w:noProof/>
          <w:kern w:val="20"/>
          <w:sz w:val="20"/>
        </w:rPr>
      </w:pPr>
      <w:r>
        <w:rPr>
          <w:rFonts w:ascii="Arial" w:eastAsia="Calibri" w:hAnsi="Arial" w:cs="Arial"/>
          <w:noProof/>
          <w:kern w:val="20"/>
          <w:sz w:val="20"/>
        </w:rPr>
        <w:t>the Capital Requirements Directive;</w:t>
      </w:r>
      <w:r>
        <w:rPr>
          <w:rStyle w:val="FootnoteReference"/>
          <w:rFonts w:ascii="Arial" w:hAnsi="Arial" w:cs="Arial"/>
          <w:noProof/>
          <w:sz w:val="20"/>
        </w:rPr>
        <w:footnoteReference w:id="253"/>
      </w:r>
    </w:p>
    <w:p>
      <w:pPr>
        <w:numPr>
          <w:ilvl w:val="0"/>
          <w:numId w:val="232"/>
        </w:numPr>
        <w:spacing w:after="200"/>
        <w:contextualSpacing/>
        <w:rPr>
          <w:rFonts w:ascii="Arial" w:eastAsia="Calibri" w:hAnsi="Arial" w:cs="Arial"/>
          <w:noProof/>
          <w:kern w:val="20"/>
          <w:sz w:val="20"/>
        </w:rPr>
      </w:pPr>
      <w:r>
        <w:rPr>
          <w:rFonts w:ascii="Arial" w:eastAsia="Calibri" w:hAnsi="Arial" w:cs="Arial"/>
          <w:noProof/>
          <w:kern w:val="20"/>
          <w:sz w:val="20"/>
        </w:rPr>
        <w:t xml:space="preserve">the Bank Resolution and Recovery Directive; </w:t>
      </w:r>
      <w:r>
        <w:rPr>
          <w:rStyle w:val="FootnoteReference"/>
          <w:rFonts w:ascii="Arial" w:hAnsi="Arial" w:cs="Arial"/>
          <w:noProof/>
          <w:sz w:val="20"/>
        </w:rPr>
        <w:footnoteReference w:id="254"/>
      </w:r>
    </w:p>
    <w:p>
      <w:pPr>
        <w:numPr>
          <w:ilvl w:val="0"/>
          <w:numId w:val="232"/>
        </w:numPr>
        <w:spacing w:after="120"/>
        <w:contextualSpacing/>
        <w:rPr>
          <w:rFonts w:ascii="Arial" w:eastAsia="Calibri" w:hAnsi="Arial" w:cs="Arial"/>
          <w:noProof/>
          <w:kern w:val="20"/>
          <w:sz w:val="20"/>
        </w:rPr>
      </w:pPr>
      <w:r>
        <w:rPr>
          <w:rFonts w:ascii="Arial" w:eastAsia="Calibri" w:hAnsi="Arial" w:cs="Arial"/>
          <w:noProof/>
          <w:kern w:val="20"/>
          <w:sz w:val="20"/>
        </w:rPr>
        <w:t>the Deposit Guarantee Schemes Directive;</w:t>
      </w:r>
      <w:r>
        <w:rPr>
          <w:rStyle w:val="FootnoteReference"/>
          <w:rFonts w:ascii="Arial" w:hAnsi="Arial" w:cs="Arial"/>
          <w:noProof/>
          <w:sz w:val="20"/>
        </w:rPr>
        <w:footnoteReference w:id="255"/>
      </w:r>
    </w:p>
    <w:p>
      <w:pPr>
        <w:numPr>
          <w:ilvl w:val="0"/>
          <w:numId w:val="4"/>
        </w:numPr>
        <w:spacing w:after="120"/>
        <w:ind w:left="1276" w:hanging="425"/>
        <w:contextualSpacing/>
        <w:rPr>
          <w:rFonts w:ascii="Arial" w:eastAsia="Calibri" w:hAnsi="Arial" w:cs="Arial"/>
          <w:noProof/>
          <w:kern w:val="20"/>
          <w:sz w:val="20"/>
        </w:rPr>
      </w:pPr>
      <w:r>
        <w:rPr>
          <w:rFonts w:ascii="Arial" w:eastAsia="Calibri" w:hAnsi="Arial"/>
          <w:noProof/>
          <w:kern w:val="20"/>
          <w:sz w:val="20"/>
        </w:rPr>
        <w:t xml:space="preserve">failure to </w:t>
      </w:r>
      <w:r>
        <w:rPr>
          <w:rFonts w:ascii="Arial" w:eastAsia="Calibri" w:hAnsi="Arial" w:cs="Arial"/>
          <w:noProof/>
          <w:kern w:val="20"/>
          <w:sz w:val="20"/>
        </w:rPr>
        <w:t>fulfil obligations under</w:t>
      </w:r>
      <w:r>
        <w:rPr>
          <w:rFonts w:ascii="Arial" w:eastAsia="Calibri" w:hAnsi="Arial"/>
          <w:noProof/>
          <w:kern w:val="20"/>
          <w:sz w:val="20"/>
        </w:rPr>
        <w:t xml:space="preserve"> the Directive on driving licences</w:t>
      </w:r>
      <w:r>
        <w:rPr>
          <w:rFonts w:ascii="Arial" w:hAnsi="Arial"/>
          <w:noProof/>
          <w:sz w:val="20"/>
        </w:rPr>
        <w:t>;</w:t>
      </w:r>
      <w:r>
        <w:rPr>
          <w:rStyle w:val="FootnoteReference"/>
          <w:noProof/>
        </w:rPr>
        <w:footnoteReference w:id="256"/>
      </w:r>
    </w:p>
    <w:p>
      <w:pPr>
        <w:numPr>
          <w:ilvl w:val="0"/>
          <w:numId w:val="4"/>
        </w:numPr>
        <w:spacing w:after="120"/>
        <w:ind w:left="1276" w:hanging="425"/>
        <w:contextualSpacing/>
        <w:rPr>
          <w:rFonts w:ascii="Arial" w:eastAsia="Calibri" w:hAnsi="Arial"/>
          <w:noProof/>
          <w:sz w:val="20"/>
        </w:rPr>
      </w:pPr>
      <w:r>
        <w:rPr>
          <w:rFonts w:ascii="Arial" w:eastAsia="Calibri" w:hAnsi="Arial"/>
          <w:noProof/>
          <w:kern w:val="20"/>
          <w:sz w:val="20"/>
        </w:rPr>
        <w:t>non-compliance with the First Railway Package;</w:t>
      </w:r>
    </w:p>
    <w:p>
      <w:pPr>
        <w:numPr>
          <w:ilvl w:val="0"/>
          <w:numId w:val="4"/>
        </w:numPr>
        <w:spacing w:after="120"/>
        <w:ind w:left="1276" w:hanging="425"/>
        <w:contextualSpacing/>
        <w:rPr>
          <w:rFonts w:ascii="Arial" w:eastAsia="Calibri" w:hAnsi="Arial" w:cs="Arial"/>
          <w:noProof/>
          <w:sz w:val="20"/>
        </w:rPr>
      </w:pPr>
      <w:r>
        <w:rPr>
          <w:rFonts w:ascii="Arial" w:eastAsia="Calibri" w:hAnsi="Arial" w:cs="Arial"/>
          <w:noProof/>
          <w:sz w:val="20"/>
        </w:rPr>
        <w:t>enactment of administrative provisions respecting the proportionality requirements as regards the 3 % tax on properties in France owned by foreign companies.</w:t>
      </w:r>
    </w:p>
    <w:p>
      <w:pPr>
        <w:spacing w:after="120"/>
        <w:ind w:left="1276"/>
        <w:contextualSpacing/>
        <w:rPr>
          <w:rFonts w:ascii="Arial" w:eastAsia="Calibri" w:hAnsi="Arial" w:cs="Arial"/>
          <w:noProof/>
          <w:kern w:val="20"/>
          <w:sz w:val="20"/>
        </w:rPr>
      </w:pP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181"/>
        </w:numPr>
        <w:rPr>
          <w:noProof/>
        </w:rPr>
      </w:pPr>
      <w:r>
        <w:rPr>
          <w:noProof/>
        </w:rPr>
        <w:t>Court rulings</w:t>
      </w:r>
      <w:r>
        <w:rPr>
          <w:rStyle w:val="FootnoteReference"/>
          <w:noProof/>
        </w:rPr>
        <w:footnoteReference w:id="257"/>
      </w:r>
    </w:p>
    <w:p>
      <w:pPr>
        <w:pStyle w:val="Body"/>
        <w:rPr>
          <w:noProof/>
          <w:lang w:val="en-GB"/>
        </w:rPr>
      </w:pPr>
      <w:r>
        <w:rPr>
          <w:noProof/>
          <w:lang w:val="en-GB"/>
        </w:rPr>
        <w:t>The Court ruled that:</w:t>
      </w:r>
    </w:p>
    <w:p>
      <w:pPr>
        <w:pStyle w:val="Lijstje2"/>
        <w:ind w:left="1276"/>
        <w:rPr>
          <w:rFonts w:ascii="Arial" w:hAnsi="Arial" w:cs="Arial"/>
          <w:noProof/>
          <w:lang w:val="en-GB"/>
        </w:rPr>
      </w:pPr>
      <w:r>
        <w:rPr>
          <w:rFonts w:ascii="Arial" w:hAnsi="Arial"/>
          <w:noProof/>
          <w:lang w:val="en-GB"/>
        </w:rPr>
        <w:t>France</w:t>
      </w:r>
      <w:r>
        <w:rPr>
          <w:rFonts w:ascii="Arial" w:hAnsi="Arial" w:cs="Arial"/>
          <w:noProof/>
          <w:lang w:val="en-GB"/>
        </w:rPr>
        <w:t xml:space="preserve"> has failed to provide adequate treatment of urban waste water in several smaller agglomerations.</w:t>
      </w:r>
      <w:r>
        <w:rPr>
          <w:rStyle w:val="FootnoteReference"/>
          <w:rFonts w:ascii="Arial" w:hAnsi="Arial" w:cs="Arial"/>
          <w:bCs/>
          <w:noProof/>
          <w:lang w:val="en-GB"/>
        </w:rPr>
        <w:footnoteReference w:id="258"/>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ind w:left="786" w:firstLine="0"/>
        <w:rPr>
          <w:noProof/>
          <w:lang w:val="en-GB"/>
        </w:rPr>
      </w:pPr>
      <w:r>
        <w:rPr>
          <w:noProof/>
          <w:lang w:val="en-GB"/>
        </w:rPr>
        <w:t>In preliminary rulings addressed to the French judiciary, the Court held that:</w:t>
      </w:r>
    </w:p>
    <w:p>
      <w:pPr>
        <w:pStyle w:val="Lijstje2"/>
        <w:ind w:left="1276"/>
        <w:rPr>
          <w:rFonts w:ascii="Arial" w:hAnsi="Arial" w:cs="Arial"/>
          <w:i/>
          <w:noProof/>
          <w:lang w:val="en-GB"/>
        </w:rPr>
      </w:pPr>
      <w:r>
        <w:rPr>
          <w:rFonts w:ascii="Arial" w:hAnsi="Arial" w:cs="Arial"/>
          <w:noProof/>
          <w:lang w:val="en-GB"/>
        </w:rPr>
        <w:t>security of supply and territorial cohesion might be objectives in the general economic interest which may justify state intervention in fixing the price of supply of natural gas to household customers. However, such intervention would be compatible with the Gas Directive</w:t>
      </w:r>
      <w:r>
        <w:rPr>
          <w:rStyle w:val="FootnoteReference"/>
          <w:noProof/>
        </w:rPr>
        <w:footnoteReference w:id="259"/>
      </w:r>
      <w:r>
        <w:rPr>
          <w:rFonts w:ascii="Arial" w:hAnsi="Arial" w:cs="Arial"/>
          <w:noProof/>
          <w:lang w:val="en-GB"/>
        </w:rPr>
        <w:t xml:space="preserve"> only if strict requirements were met, including proportionality and non-discrimination;</w:t>
      </w:r>
      <w:r>
        <w:rPr>
          <w:rStyle w:val="FootnoteReference"/>
          <w:noProof/>
        </w:rPr>
        <w:footnoteReference w:id="260"/>
      </w:r>
    </w:p>
    <w:p>
      <w:pPr>
        <w:pStyle w:val="Lijstje2"/>
        <w:ind w:left="1276"/>
        <w:rPr>
          <w:rFonts w:ascii="Arial" w:hAnsi="Arial" w:cs="Arial"/>
          <w:i/>
          <w:noProof/>
          <w:lang w:val="en-GB"/>
        </w:rPr>
      </w:pPr>
      <w:r>
        <w:rPr>
          <w:rFonts w:ascii="Arial" w:hAnsi="Arial" w:cs="Arial"/>
          <w:noProof/>
          <w:lang w:val="en-GB"/>
        </w:rPr>
        <w:t>roll cores in the form of rolls, tubes or cylinders, around which flexible material is wound and sold to consumers, constitute ‘packaging’ under the Packaging Directive;</w:t>
      </w:r>
      <w:r>
        <w:rPr>
          <w:rStyle w:val="FootnoteReference"/>
          <w:rFonts w:ascii="Arial" w:hAnsi="Arial" w:cs="Arial"/>
          <w:noProof/>
          <w:lang w:val="en-GB"/>
        </w:rPr>
        <w:footnoteReference w:id="261"/>
      </w:r>
    </w:p>
    <w:p>
      <w:pPr>
        <w:pStyle w:val="Lijstje2"/>
        <w:ind w:left="1276"/>
        <w:rPr>
          <w:rFonts w:ascii="Arial" w:hAnsi="Arial" w:cs="Arial"/>
          <w:i/>
          <w:noProof/>
          <w:lang w:val="en-GB"/>
        </w:rPr>
      </w:pPr>
      <w:r>
        <w:rPr>
          <w:rFonts w:ascii="Arial" w:hAnsi="Arial" w:cs="Arial"/>
          <w:noProof/>
          <w:lang w:val="en-GB"/>
        </w:rPr>
        <w:t xml:space="preserve">a national court may, exceptionally and on a case-by-case basis, limit in time the effects of a declaration of the illegality of a national provision adopted in disregard of the </w:t>
      </w:r>
      <w:r>
        <w:rPr>
          <w:rFonts w:ascii="Arial" w:hAnsi="Arial" w:cs="Arial"/>
          <w:bCs/>
          <w:noProof/>
          <w:lang w:val="en-GB"/>
        </w:rPr>
        <w:t>Strategic Environmental Assessment Directive,</w:t>
      </w:r>
      <w:r>
        <w:rPr>
          <w:rFonts w:ascii="Arial" w:hAnsi="Arial" w:cs="Arial"/>
          <w:noProof/>
          <w:lang w:val="en-GB"/>
        </w:rPr>
        <w:t xml:space="preserve"> provided that such a limitation is dictated by an overriding consideration linked to environmental protection and having regard to the specific circumstances of the case. However, this power may be exercised only if the following conditions are </w:t>
      </w:r>
      <w:r>
        <w:rPr>
          <w:rFonts w:ascii="Arial" w:hAnsi="Arial" w:cs="Arial"/>
          <w:bCs/>
          <w:noProof/>
          <w:lang w:val="en-GB"/>
        </w:rPr>
        <w:t xml:space="preserve">satisfied: </w:t>
      </w:r>
    </w:p>
    <w:p>
      <w:pPr>
        <w:pStyle w:val="Lijstje2"/>
        <w:numPr>
          <w:ilvl w:val="0"/>
          <w:numId w:val="233"/>
        </w:numPr>
        <w:rPr>
          <w:rFonts w:ascii="Arial" w:hAnsi="Arial" w:cs="Arial"/>
          <w:i/>
          <w:noProof/>
          <w:lang w:val="en-GB"/>
        </w:rPr>
      </w:pPr>
      <w:r>
        <w:rPr>
          <w:rFonts w:ascii="Arial" w:hAnsi="Arial" w:cs="Arial"/>
          <w:bCs/>
          <w:noProof/>
          <w:lang w:val="en-GB"/>
        </w:rPr>
        <w:t xml:space="preserve">the contested national provision is a measure correctly transposing EU environmental law; </w:t>
      </w:r>
    </w:p>
    <w:p>
      <w:pPr>
        <w:pStyle w:val="Lijstje2"/>
        <w:numPr>
          <w:ilvl w:val="0"/>
          <w:numId w:val="233"/>
        </w:numPr>
        <w:rPr>
          <w:rFonts w:ascii="Arial" w:hAnsi="Arial" w:cs="Arial"/>
          <w:i/>
          <w:noProof/>
          <w:lang w:val="en-GB"/>
        </w:rPr>
      </w:pPr>
      <w:r>
        <w:rPr>
          <w:rFonts w:ascii="Arial" w:hAnsi="Arial" w:cs="Arial"/>
          <w:bCs/>
          <w:noProof/>
          <w:lang w:val="en-GB"/>
        </w:rPr>
        <w:t xml:space="preserve">a new national provision would not avoid damage to the environment arising from annulment of the contested provision; </w:t>
      </w:r>
    </w:p>
    <w:p>
      <w:pPr>
        <w:pStyle w:val="Lijstje2"/>
        <w:numPr>
          <w:ilvl w:val="0"/>
          <w:numId w:val="233"/>
        </w:numPr>
        <w:rPr>
          <w:rFonts w:ascii="Arial" w:hAnsi="Arial" w:cs="Arial"/>
          <w:i/>
          <w:noProof/>
          <w:lang w:val="en-GB"/>
        </w:rPr>
      </w:pPr>
      <w:r>
        <w:rPr>
          <w:rFonts w:ascii="Arial" w:hAnsi="Arial" w:cs="Arial"/>
          <w:bCs/>
          <w:noProof/>
          <w:lang w:val="en-GB"/>
        </w:rPr>
        <w:t>annulment of the contested provision would create a legal vacuum in the transposition of EU environmental law which would be more damaging to the environment; and</w:t>
      </w:r>
    </w:p>
    <w:p>
      <w:pPr>
        <w:pStyle w:val="Lijstje2"/>
        <w:numPr>
          <w:ilvl w:val="0"/>
          <w:numId w:val="233"/>
        </w:numPr>
        <w:rPr>
          <w:rFonts w:ascii="Arial" w:hAnsi="Arial" w:cs="Arial"/>
          <w:i/>
          <w:noProof/>
          <w:lang w:val="en-GB"/>
        </w:rPr>
      </w:pPr>
      <w:r>
        <w:rPr>
          <w:rFonts w:ascii="Arial" w:hAnsi="Arial" w:cs="Arial"/>
          <w:bCs/>
          <w:noProof/>
          <w:lang w:val="en-GB"/>
        </w:rPr>
        <w:t>the effects of the contested provision are maintained only for the period strictly necessary to adopt the measures remedying the irregularity.</w:t>
      </w:r>
      <w:r>
        <w:rPr>
          <w:rStyle w:val="FootnoteReference"/>
          <w:rFonts w:ascii="Arial" w:hAnsi="Arial" w:cs="Arial"/>
          <w:noProof/>
          <w:lang w:val="en-GB"/>
        </w:rPr>
        <w:footnoteReference w:id="262"/>
      </w:r>
    </w:p>
    <w:p>
      <w:pPr>
        <w:pStyle w:val="Lijstje2"/>
        <w:numPr>
          <w:ilvl w:val="0"/>
          <w:numId w:val="247"/>
        </w:numPr>
        <w:rPr>
          <w:rFonts w:ascii="Arial" w:hAnsi="Arial" w:cs="Arial"/>
          <w:b/>
          <w:bCs/>
          <w:noProof/>
          <w:lang w:val="en-GB"/>
        </w:rPr>
      </w:pPr>
      <w:r>
        <w:rPr>
          <w:rFonts w:ascii="Arial" w:hAnsi="Arial" w:cs="Arial"/>
          <w:bCs/>
          <w:noProof/>
          <w:lang w:val="en-GB"/>
        </w:rPr>
        <w:t>A commercial practice consisting of the sale of a computer equipped with pre-installed software without any option for the consumer to purchase the same model of computer not equipped with pre-installed software does not in itself constitute an unfair commercial practice within the meaning of Article 5(2) of the Unfair Commercial Practices Directive,</w:t>
      </w:r>
      <w:r>
        <w:rPr>
          <w:rFonts w:ascii="Arial" w:hAnsi="Arial" w:cs="Arial"/>
          <w:bCs/>
          <w:noProof/>
          <w:vertAlign w:val="superscript"/>
          <w:lang w:val="en-GB"/>
        </w:rPr>
        <w:footnoteReference w:id="263"/>
      </w:r>
      <w:r>
        <w:rPr>
          <w:rFonts w:ascii="Arial" w:hAnsi="Arial" w:cs="Arial"/>
          <w:bCs/>
          <w:noProof/>
          <w:lang w:val="en-GB"/>
        </w:rPr>
        <w:t xml:space="preserve"> unless such a practice is contrary to the requirements of professional diligence and materially distorts or is likely to materially distort the economic behaviour of the average consumer with regard to the product, a matter which is for the national court to determine by taking account of the specific circumstances of the case in the main proceedings. In the context of a combined offer consisting of the sale of a computer equipped with pre-installed software, the failure to indicate the price of each of those items of pre-installed software does not constitute a misleading commercial practice within the meaning of </w:t>
      </w:r>
      <w:r>
        <w:rPr>
          <w:rFonts w:ascii="Arial" w:hAnsi="Arial" w:cs="Arial"/>
          <w:noProof/>
          <w:lang w:val="en-GB"/>
        </w:rPr>
        <w:t>the Unfair Commercial Practices Directive</w:t>
      </w:r>
      <w:r>
        <w:rPr>
          <w:rFonts w:ascii="Arial" w:hAnsi="Arial" w:cs="Arial"/>
          <w:bCs/>
          <w:noProof/>
          <w:lang w:val="en-GB"/>
        </w:rPr>
        <w:t>.</w:t>
      </w:r>
      <w:r>
        <w:rPr>
          <w:rStyle w:val="FootnoteReference"/>
          <w:rFonts w:ascii="Arial" w:hAnsi="Arial" w:cs="Arial"/>
          <w:bCs/>
          <w:noProof/>
        </w:rPr>
        <w:footnoteReference w:id="264"/>
      </w:r>
      <w:r>
        <w:rPr>
          <w:rFonts w:ascii="Arial" w:hAnsi="Arial" w:cs="Arial"/>
          <w:bCs/>
          <w:noProof/>
          <w:lang w:val="en-GB"/>
        </w:rPr>
        <w:t xml:space="preserve"> </w:t>
      </w:r>
    </w:p>
    <w:p>
      <w:pPr>
        <w:pStyle w:val="Lijstje2"/>
        <w:numPr>
          <w:ilvl w:val="0"/>
          <w:numId w:val="0"/>
        </w:numPr>
        <w:rPr>
          <w:rFonts w:ascii="Arial" w:hAnsi="Arial" w:cs="Arial"/>
          <w:i/>
          <w:noProof/>
          <w:lang w:val="en-GB"/>
        </w:rPr>
      </w:pPr>
    </w:p>
    <w:p>
      <w:pPr>
        <w:pStyle w:val="Lijstje2"/>
        <w:numPr>
          <w:ilvl w:val="0"/>
          <w:numId w:val="0"/>
        </w:numPr>
        <w:rPr>
          <w:rFonts w:ascii="Arial" w:hAnsi="Arial" w:cs="Arial"/>
          <w:noProof/>
          <w:lang w:val="en-GB"/>
        </w:rPr>
        <w:sectPr>
          <w:headerReference w:type="even" r:id="rId200"/>
          <w:headerReference w:type="default" r:id="rId201"/>
          <w:footerReference w:type="even" r:id="rId202"/>
          <w:footerReference w:type="default" r:id="rId203"/>
          <w:headerReference w:type="first" r:id="rId204"/>
          <w:footerReference w:type="first" r:id="rId205"/>
          <w:footnotePr>
            <w:numRestart w:val="eachSect"/>
          </w:footnotePr>
          <w:pgSz w:w="11906" w:h="16838"/>
          <w:pgMar w:top="1701" w:right="1417" w:bottom="1134" w:left="1417" w:header="567" w:footer="351" w:gutter="0"/>
          <w:cols w:space="708"/>
          <w:titlePg/>
          <w:docGrid w:linePitch="360"/>
        </w:sectPr>
      </w:pPr>
    </w:p>
    <w:p>
      <w:pPr>
        <w:pStyle w:val="Heading1"/>
        <w:rPr>
          <w:noProof/>
        </w:rPr>
      </w:pPr>
      <w:bookmarkStart w:id="77" w:name="_Toc444769587"/>
      <w:bookmarkStart w:id="78" w:name="_Toc444772043"/>
      <w:bookmarkStart w:id="79" w:name="_Toc444773362"/>
      <w:bookmarkStart w:id="80" w:name="_Toc444776734"/>
      <w:bookmarkStart w:id="81" w:name="_Toc475974641"/>
      <w:bookmarkStart w:id="82" w:name="_Toc475980137"/>
      <w:bookmarkStart w:id="83" w:name="_Toc475981386"/>
      <w:bookmarkStart w:id="84" w:name="_Toc477938593"/>
      <w:bookmarkStart w:id="85" w:name="_Toc444769594"/>
      <w:bookmarkStart w:id="86" w:name="_Toc444772050"/>
      <w:bookmarkStart w:id="87" w:name="_Toc444773369"/>
      <w:bookmarkStart w:id="88" w:name="_Toc444776741"/>
      <w:bookmarkStart w:id="89" w:name="_Toc475974648"/>
      <w:bookmarkStart w:id="90" w:name="_Toc475980144"/>
      <w:bookmarkStart w:id="91" w:name="_Toc475981393"/>
      <w:r>
        <w:rPr>
          <w:noProof/>
        </w:rPr>
        <w:t>Croatia</w:t>
      </w:r>
      <w:bookmarkEnd w:id="77"/>
      <w:bookmarkEnd w:id="78"/>
      <w:bookmarkEnd w:id="79"/>
      <w:bookmarkEnd w:id="80"/>
      <w:bookmarkEnd w:id="81"/>
      <w:bookmarkEnd w:id="82"/>
      <w:bookmarkEnd w:id="83"/>
      <w:bookmarkEnd w:id="84"/>
    </w:p>
    <w:p>
      <w:pPr>
        <w:spacing w:after="120"/>
        <w:rPr>
          <w:rFonts w:ascii="Arial" w:hAnsi="Arial" w:cs="Arial"/>
          <w:i/>
          <w:noProof/>
          <w:sz w:val="22"/>
          <w:szCs w:val="22"/>
        </w:rPr>
      </w:pPr>
      <w:r>
        <w:rPr>
          <w:rFonts w:ascii="Arial" w:hAnsi="Arial" w:cs="Arial"/>
          <w:i/>
          <w:noProof/>
          <w:sz w:val="22"/>
          <w:szCs w:val="22"/>
        </w:rPr>
        <w:t xml:space="preserve">New complaints against Croatia continued to drop in 2016, to less than half their 2014 peak. The number of new EU Pilot files also fell slightly. In contrast, infringement cases open at the end of the year doubled. New infringement cases for late transposition also reached a new peak.  </w:t>
      </w:r>
    </w:p>
    <w:p>
      <w:pPr>
        <w:spacing w:after="120"/>
        <w:rPr>
          <w:rFonts w:ascii="Arial" w:hAnsi="Arial" w:cs="Arial"/>
          <w:i/>
          <w:noProof/>
          <w:sz w:val="22"/>
          <w:szCs w:val="22"/>
        </w:rPr>
      </w:pPr>
    </w:p>
    <w:p>
      <w:pPr>
        <w:pStyle w:val="kop2"/>
        <w:numPr>
          <w:ilvl w:val="0"/>
          <w:numId w:val="132"/>
        </w:numPr>
        <w:rPr>
          <w:noProof/>
        </w:rPr>
      </w:pPr>
      <w:r>
        <w:rPr>
          <w:noProof/>
        </w:rPr>
        <w:t>COMPLAINTS</w:t>
      </w:r>
    </w:p>
    <w:p>
      <w:pPr>
        <w:pStyle w:val="Subtitle"/>
        <w:numPr>
          <w:ilvl w:val="0"/>
          <w:numId w:val="133"/>
        </w:numPr>
        <w:rPr>
          <w:noProof/>
        </w:rPr>
      </w:pPr>
      <w:r>
        <w:rPr>
          <w:noProof/>
        </w:rPr>
        <w:t>New complaints made against Croatia by members of the public (2013-2016)</w:t>
      </w:r>
      <w:r>
        <w:rPr>
          <w:rStyle w:val="FootnoteReference"/>
          <w:noProof/>
        </w:rPr>
        <w:footnoteReference w:id="265"/>
      </w:r>
    </w:p>
    <w:p>
      <w:pPr>
        <w:ind w:firstLine="709"/>
        <w:rPr>
          <w:rFonts w:ascii="Arial" w:hAnsi="Arial" w:cs="Arial"/>
          <w:noProof/>
          <w:sz w:val="20"/>
        </w:rPr>
      </w:pPr>
      <w:r>
        <w:rPr>
          <w:rFonts w:ascii="Arial" w:hAnsi="Arial" w:cs="Arial"/>
          <w:noProof/>
          <w:sz w:val="20"/>
          <w:lang w:val="en-US"/>
        </w:rPr>
        <w:drawing>
          <wp:inline distT="0" distB="0" distL="0" distR="0">
            <wp:extent cx="4604657" cy="2226129"/>
            <wp:effectExtent l="0" t="0" r="24765" b="22225"/>
            <wp:docPr id="371"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pPr>
        <w:pStyle w:val="Subtitle"/>
        <w:numPr>
          <w:ilvl w:val="0"/>
          <w:numId w:val="23"/>
        </w:numPr>
        <w:rPr>
          <w:noProof/>
        </w:rPr>
      </w:pPr>
      <w:r>
        <w:rPr>
          <w:noProof/>
        </w:rPr>
        <w:t>Public complaints against Croatia open at year-end</w:t>
      </w:r>
    </w:p>
    <w:tbl>
      <w:tblPr>
        <w:tblStyle w:val="Style13"/>
        <w:tblW w:w="0" w:type="auto"/>
        <w:jc w:val="center"/>
        <w:tblInd w:w="421" w:type="dxa"/>
        <w:tblLook w:val="04A0" w:firstRow="1" w:lastRow="0" w:firstColumn="1" w:lastColumn="0" w:noHBand="0" w:noVBand="1"/>
      </w:tblPr>
      <w:tblGrid>
        <w:gridCol w:w="1697"/>
        <w:gridCol w:w="355"/>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67</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50</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 xml:space="preserve"> 40</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77</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pStyle w:val="Subtitle"/>
        <w:numPr>
          <w:ilvl w:val="0"/>
          <w:numId w:val="23"/>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2000" cy="2362200"/>
            <wp:effectExtent l="0" t="0" r="19050" b="19050"/>
            <wp:docPr id="372"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134"/>
        </w:numPr>
        <w:rPr>
          <w:noProof/>
        </w:rPr>
      </w:pPr>
      <w:r>
        <w:rPr>
          <w:noProof/>
        </w:rPr>
        <w:t>New EU Pilot files opened against Croatia (2013-2016)</w:t>
      </w:r>
    </w:p>
    <w:p>
      <w:pPr>
        <w:tabs>
          <w:tab w:val="left" w:pos="0"/>
        </w:tabs>
        <w:spacing w:after="120"/>
        <w:ind w:firstLine="709"/>
        <w:rPr>
          <w:rFonts w:ascii="Arial" w:hAnsi="Arial" w:cs="Arial"/>
          <w:noProof/>
          <w:sz w:val="20"/>
        </w:rPr>
      </w:pPr>
      <w:r>
        <w:rPr>
          <w:rFonts w:ascii="Arial" w:hAnsi="Arial" w:cs="Arial"/>
          <w:noProof/>
          <w:sz w:val="20"/>
          <w:lang w:val="en-US"/>
        </w:rPr>
        <w:drawing>
          <wp:inline distT="0" distB="0" distL="0" distR="0">
            <wp:extent cx="4591050" cy="2238375"/>
            <wp:effectExtent l="0" t="0" r="19050" b="9525"/>
            <wp:docPr id="37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pPr>
        <w:pStyle w:val="Subtitle"/>
        <w:numPr>
          <w:ilvl w:val="0"/>
          <w:numId w:val="23"/>
        </w:numPr>
        <w:rPr>
          <w:noProof/>
        </w:rPr>
      </w:pPr>
      <w:r>
        <w:rPr>
          <w:noProof/>
        </w:rPr>
        <w:t>Files relating to Croatia open in EU Pilot at year-end</w:t>
      </w:r>
    </w:p>
    <w:p>
      <w:pPr>
        <w:spacing w:after="120"/>
        <w:ind w:firstLine="709"/>
        <w:rPr>
          <w:rFonts w:ascii="Arial" w:hAnsi="Arial" w:cs="Arial"/>
          <w:noProof/>
          <w:sz w:val="20"/>
        </w:rPr>
      </w:pPr>
      <w:r>
        <w:rPr>
          <w:rFonts w:ascii="Arial" w:hAnsi="Arial" w:cs="Arial"/>
          <w:noProof/>
          <w:sz w:val="20"/>
          <w:lang w:val="en-US"/>
        </w:rPr>
        <w:drawing>
          <wp:inline distT="0" distB="0" distL="0" distR="0">
            <wp:extent cx="4591050" cy="2238375"/>
            <wp:effectExtent l="0" t="0" r="19050" b="9525"/>
            <wp:docPr id="13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pPr>
        <w:pStyle w:val="Subtitle"/>
        <w:numPr>
          <w:ilvl w:val="0"/>
          <w:numId w:val="23"/>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415540"/>
            <wp:effectExtent l="0" t="0" r="15240" b="22860"/>
            <wp:docPr id="374"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23"/>
        </w:numPr>
        <w:rPr>
          <w:noProof/>
        </w:rPr>
      </w:pPr>
      <w:r>
        <w:rPr>
          <w:noProof/>
        </w:rPr>
        <w:t>EU Pilot files: Croatia’s average response time in 2013-2016 (in days)</w:t>
      </w:r>
      <w:r>
        <w:rPr>
          <w:rStyle w:val="FootnoteReference"/>
          <w:noProof/>
        </w:rPr>
        <w:footnoteReference w:id="266"/>
      </w:r>
    </w:p>
    <w:p>
      <w:pPr>
        <w:spacing w:after="120"/>
        <w:ind w:firstLine="709"/>
        <w:rPr>
          <w:rFonts w:ascii="Arial" w:hAnsi="Arial" w:cs="Arial"/>
          <w:noProof/>
          <w:sz w:val="20"/>
        </w:rPr>
      </w:pPr>
      <w:r>
        <w:rPr>
          <w:rFonts w:ascii="Arial" w:hAnsi="Arial" w:cs="Arial"/>
          <w:noProof/>
          <w:sz w:val="20"/>
          <w:lang w:val="en-US"/>
        </w:rPr>
        <w:drawing>
          <wp:inline distT="0" distB="0" distL="0" distR="0">
            <wp:extent cx="4579620" cy="2095500"/>
            <wp:effectExtent l="0" t="0" r="11430" b="19050"/>
            <wp:docPr id="375"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pPr>
        <w:pStyle w:val="Subtitle"/>
        <w:numPr>
          <w:ilvl w:val="0"/>
          <w:numId w:val="23"/>
        </w:numPr>
        <w:rPr>
          <w:noProof/>
        </w:rPr>
      </w:pPr>
      <w:r>
        <w:rPr>
          <w:noProof/>
        </w:rPr>
        <w:t>EU Pilot files: Croatia’s resolution rate in 2013-2016</w:t>
      </w:r>
      <w:r>
        <w:rPr>
          <w:rStyle w:val="FootnoteReference"/>
          <w:noProof/>
        </w:rPr>
        <w:footnoteReference w:id="267"/>
      </w:r>
    </w:p>
    <w:p>
      <w:pPr>
        <w:spacing w:after="120"/>
        <w:ind w:firstLine="709"/>
        <w:rPr>
          <w:rFonts w:ascii="Arial" w:hAnsi="Arial" w:cs="Arial"/>
          <w:noProof/>
          <w:sz w:val="20"/>
        </w:rPr>
      </w:pPr>
      <w:r>
        <w:rPr>
          <w:rFonts w:ascii="Arial" w:hAnsi="Arial" w:cs="Arial"/>
          <w:noProof/>
          <w:sz w:val="20"/>
          <w:lang w:val="en-US"/>
        </w:rPr>
        <w:drawing>
          <wp:inline distT="0" distB="0" distL="0" distR="0">
            <wp:extent cx="4579620" cy="2164080"/>
            <wp:effectExtent l="0" t="0" r="11430" b="26670"/>
            <wp:docPr id="376"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135"/>
        </w:numPr>
        <w:rPr>
          <w:noProof/>
        </w:rPr>
      </w:pPr>
      <w:r>
        <w:rPr>
          <w:noProof/>
        </w:rPr>
        <w:t>Infringement cases against Croatia open on 31 December (2014-2016)</w:t>
      </w:r>
    </w:p>
    <w:p>
      <w:pPr>
        <w:spacing w:after="120"/>
        <w:ind w:left="709"/>
        <w:rPr>
          <w:rFonts w:ascii="Arial" w:hAnsi="Arial" w:cs="Arial"/>
          <w:noProof/>
          <w:sz w:val="20"/>
        </w:rPr>
      </w:pPr>
      <w:r>
        <w:rPr>
          <w:rFonts w:ascii="Arial" w:hAnsi="Arial" w:cs="Arial"/>
          <w:noProof/>
          <w:sz w:val="20"/>
          <w:lang w:val="en-US"/>
        </w:rPr>
        <w:drawing>
          <wp:inline distT="0" distB="0" distL="0" distR="0">
            <wp:extent cx="4602480" cy="2141220"/>
            <wp:effectExtent l="0" t="0" r="26670" b="11430"/>
            <wp:docPr id="8"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pPr>
        <w:spacing w:after="200" w:line="276" w:lineRule="auto"/>
        <w:jc w:val="left"/>
        <w:rPr>
          <w:rFonts w:ascii="Arial" w:hAnsi="Arial"/>
          <w:noProof/>
          <w:color w:val="002060"/>
          <w:sz w:val="22"/>
          <w:szCs w:val="22"/>
        </w:rPr>
      </w:pPr>
      <w:r>
        <w:rPr>
          <w:rFonts w:ascii="Arial" w:hAnsi="Arial"/>
          <w:noProof/>
          <w:color w:val="002060"/>
          <w:sz w:val="22"/>
          <w:szCs w:val="22"/>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9620" cy="2240280"/>
            <wp:effectExtent l="0" t="0" r="11430" b="26670"/>
            <wp:docPr id="378"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58"/>
        </w:numPr>
        <w:ind w:hanging="426"/>
        <w:rPr>
          <w:rFonts w:ascii="Arial" w:hAnsi="Arial" w:cs="Arial"/>
          <w:noProof/>
          <w:lang w:val="en-GB"/>
        </w:rPr>
      </w:pPr>
      <w:r>
        <w:rPr>
          <w:rFonts w:ascii="Arial" w:hAnsi="Arial" w:cs="Arial"/>
          <w:noProof/>
          <w:lang w:val="en-GB"/>
        </w:rPr>
        <w:t>The Commission opened 32 new infringement cases against Croatia in 2016. These, and other major ongoing infringement cases, include:</w:t>
      </w:r>
    </w:p>
    <w:p>
      <w:pPr>
        <w:pStyle w:val="Lijstje2"/>
        <w:spacing w:after="200"/>
        <w:ind w:left="1843" w:hanging="426"/>
        <w:rPr>
          <w:rFonts w:ascii="Arial" w:hAnsi="Arial" w:cs="Arial"/>
          <w:noProof/>
          <w:lang w:val="en-GB"/>
        </w:rPr>
      </w:pPr>
      <w:r>
        <w:rPr>
          <w:rFonts w:ascii="Arial" w:hAnsi="Arial" w:cs="Arial"/>
          <w:noProof/>
          <w:lang w:val="en-GB"/>
        </w:rPr>
        <w:t>non-compliance with the Prüm Decisions on information-sharing to combat terrorism and serious crime;</w:t>
      </w:r>
      <w:r>
        <w:rPr>
          <w:rStyle w:val="FootnoteReference"/>
          <w:rFonts w:ascii="Arial" w:hAnsi="Arial" w:cs="Arial"/>
          <w:noProof/>
          <w:lang w:val="en-GB"/>
        </w:rPr>
        <w:footnoteReference w:id="268"/>
      </w:r>
    </w:p>
    <w:p>
      <w:pPr>
        <w:pStyle w:val="Lijstje2"/>
        <w:spacing w:after="200"/>
        <w:ind w:left="1843" w:hanging="426"/>
        <w:rPr>
          <w:rFonts w:ascii="Arial" w:hAnsi="Arial" w:cs="Arial"/>
          <w:noProof/>
          <w:lang w:val="en-GB"/>
        </w:rPr>
      </w:pPr>
      <w:r>
        <w:rPr>
          <w:rFonts w:ascii="Arial" w:hAnsi="Arial" w:cs="Arial"/>
          <w:noProof/>
          <w:lang w:val="en-GB"/>
        </w:rPr>
        <w:t>failure to notify transposition measures for the Tobacco Directive;</w:t>
      </w:r>
      <w:r>
        <w:rPr>
          <w:rStyle w:val="FootnoteReference"/>
          <w:rFonts w:ascii="Arial" w:hAnsi="Arial" w:cs="Arial"/>
          <w:noProof/>
          <w:lang w:val="en-GB"/>
        </w:rPr>
        <w:footnoteReference w:id="269"/>
      </w:r>
    </w:p>
    <w:p>
      <w:pPr>
        <w:pStyle w:val="Lijstje2"/>
        <w:spacing w:after="200"/>
        <w:ind w:left="1843" w:hanging="426"/>
        <w:rPr>
          <w:rFonts w:ascii="Arial" w:hAnsi="Arial" w:cs="Arial"/>
          <w:noProof/>
          <w:lang w:val="en-GB"/>
        </w:rPr>
      </w:pPr>
      <w:r>
        <w:rPr>
          <w:rFonts w:ascii="Arial" w:hAnsi="Arial" w:cs="Arial"/>
          <w:noProof/>
          <w:lang w:val="en-GB"/>
        </w:rPr>
        <w:t>lack of waste management plans and waste prevention programmes required under the Waste Framework Directive;</w:t>
      </w:r>
      <w:r>
        <w:rPr>
          <w:rStyle w:val="FootnoteReference"/>
          <w:noProof/>
        </w:rPr>
        <w:footnoteReference w:id="270"/>
      </w:r>
    </w:p>
    <w:p>
      <w:pPr>
        <w:pStyle w:val="Lijstje2"/>
        <w:spacing w:after="200"/>
        <w:ind w:left="1843" w:hanging="426"/>
        <w:rPr>
          <w:rFonts w:ascii="Arial" w:hAnsi="Arial" w:cs="Arial"/>
          <w:noProof/>
          <w:lang w:val="en-GB"/>
        </w:rPr>
      </w:pPr>
      <w:r>
        <w:rPr>
          <w:rFonts w:ascii="Arial" w:hAnsi="Arial" w:cs="Arial"/>
          <w:noProof/>
          <w:lang w:val="en-GB"/>
        </w:rPr>
        <w:t>non-compliant transposition of the Waste Framework Directive;</w:t>
      </w:r>
      <w:r>
        <w:rPr>
          <w:rStyle w:val="FootnoteReference"/>
          <w:noProof/>
        </w:rPr>
        <w:footnoteReference w:id="271"/>
      </w:r>
    </w:p>
    <w:p>
      <w:pPr>
        <w:pStyle w:val="Lijstje2"/>
        <w:spacing w:after="200"/>
        <w:ind w:left="1843" w:hanging="426"/>
        <w:rPr>
          <w:rFonts w:ascii="Arial" w:hAnsi="Arial" w:cs="Arial"/>
          <w:noProof/>
          <w:lang w:val="en-GB"/>
        </w:rPr>
      </w:pPr>
      <w:r>
        <w:rPr>
          <w:rFonts w:ascii="Arial" w:hAnsi="Arial" w:cs="Arial"/>
          <w:noProof/>
          <w:lang w:val="en-GB"/>
        </w:rPr>
        <w:t>non-compliant transposition of the Environmental Impact Assessment Directive;</w:t>
      </w:r>
      <w:r>
        <w:rPr>
          <w:rStyle w:val="FootnoteReference"/>
          <w:rFonts w:ascii="Arial" w:hAnsi="Arial" w:cs="Arial"/>
          <w:noProof/>
          <w:lang w:val="en-GB"/>
        </w:rPr>
        <w:footnoteReference w:id="272"/>
      </w:r>
    </w:p>
    <w:p>
      <w:pPr>
        <w:pStyle w:val="Lijstje2"/>
        <w:spacing w:after="200"/>
        <w:ind w:left="1843" w:hanging="426"/>
        <w:rPr>
          <w:rFonts w:ascii="Arial" w:hAnsi="Arial" w:cs="Arial"/>
          <w:noProof/>
          <w:lang w:val="en-GB"/>
        </w:rPr>
      </w:pPr>
      <w:r>
        <w:rPr>
          <w:rFonts w:ascii="Arial" w:hAnsi="Arial" w:cs="Arial"/>
          <w:noProof/>
          <w:lang w:val="en-GB"/>
        </w:rPr>
        <w:t>inadequate waste management in Biljane Donje;</w:t>
      </w:r>
      <w:r>
        <w:rPr>
          <w:rStyle w:val="FootnoteReference"/>
          <w:rFonts w:ascii="Arial" w:hAnsi="Arial" w:cs="Arial"/>
          <w:noProof/>
          <w:lang w:val="en-GB"/>
        </w:rPr>
        <w:footnoteReference w:id="273"/>
      </w:r>
    </w:p>
    <w:p>
      <w:pPr>
        <w:pStyle w:val="Lijstje2"/>
        <w:spacing w:after="200"/>
        <w:ind w:left="1843" w:hanging="426"/>
        <w:rPr>
          <w:rFonts w:ascii="Arial" w:hAnsi="Arial" w:cs="Arial"/>
          <w:noProof/>
          <w:lang w:val="en-GB"/>
        </w:rPr>
      </w:pPr>
      <w:r>
        <w:rPr>
          <w:rFonts w:ascii="Arial" w:hAnsi="Arial" w:cs="Arial"/>
          <w:noProof/>
          <w:lang w:val="en-GB"/>
        </w:rPr>
        <w:t>failure to comply with the</w:t>
      </w:r>
      <w:r>
        <w:rPr>
          <w:rFonts w:ascii="Arial" w:eastAsia="Times New Roman" w:hAnsi="Arial" w:cs="Arial"/>
          <w:noProof/>
          <w:kern w:val="0"/>
          <w:lang w:val="en-GB"/>
        </w:rPr>
        <w:t xml:space="preserve"> </w:t>
      </w:r>
      <w:r>
        <w:rPr>
          <w:rFonts w:ascii="Arial" w:hAnsi="Arial" w:cs="Arial"/>
          <w:noProof/>
          <w:lang w:val="en-GB"/>
        </w:rPr>
        <w:t>free movement of goods and the EU internal energy market rules;</w:t>
      </w:r>
      <w:r>
        <w:rPr>
          <w:rStyle w:val="FootnoteReference"/>
          <w:noProof/>
        </w:rPr>
        <w:footnoteReference w:id="274"/>
      </w:r>
      <w:r>
        <w:rPr>
          <w:rFonts w:ascii="Arial" w:hAnsi="Arial" w:cs="Arial"/>
          <w:noProof/>
          <w:lang w:val="en-GB"/>
        </w:rPr>
        <w:t xml:space="preserve"> </w:t>
      </w:r>
    </w:p>
    <w:p>
      <w:pPr>
        <w:pStyle w:val="Lijstje2"/>
        <w:spacing w:after="200"/>
        <w:ind w:left="1843" w:hanging="425"/>
        <w:rPr>
          <w:rFonts w:ascii="Arial" w:hAnsi="Arial" w:cs="Arial"/>
          <w:noProof/>
          <w:lang w:val="en-GB"/>
        </w:rPr>
      </w:pPr>
      <w:r>
        <w:rPr>
          <w:rFonts w:ascii="Arial" w:hAnsi="Arial" w:cs="Arial"/>
          <w:noProof/>
          <w:lang w:val="en-GB"/>
        </w:rPr>
        <w:t>failure to communicate all national measures transposing the Mortgage Credit Directive;</w:t>
      </w:r>
      <w:r>
        <w:rPr>
          <w:rStyle w:val="FootnoteReference"/>
          <w:rFonts w:ascii="Arial" w:hAnsi="Arial" w:cs="Arial"/>
          <w:noProof/>
          <w:lang w:val="en-GB"/>
        </w:rPr>
        <w:footnoteReference w:id="275"/>
      </w:r>
    </w:p>
    <w:p>
      <w:pPr>
        <w:pStyle w:val="Lijstje2"/>
        <w:spacing w:after="200"/>
        <w:ind w:left="1843" w:hanging="425"/>
        <w:rPr>
          <w:rFonts w:ascii="Arial" w:hAnsi="Arial" w:cs="Arial"/>
          <w:noProof/>
          <w:lang w:val="en-GB"/>
        </w:rPr>
      </w:pPr>
      <w:r>
        <w:rPr>
          <w:rFonts w:ascii="Arial" w:hAnsi="Arial" w:cs="Arial"/>
          <w:noProof/>
          <w:lang w:val="en-GB"/>
        </w:rPr>
        <w:t>the special powers reserved for the state in the main energy company, INA (Industrija Nafte d.d.), following its privatisation. These may restrict the free movement of capital and freedom of establishment under the TFEU;</w:t>
      </w:r>
      <w:r>
        <w:rPr>
          <w:rStyle w:val="FootnoteReference"/>
          <w:rFonts w:ascii="Arial" w:hAnsi="Arial" w:cs="Arial"/>
          <w:noProof/>
          <w:lang w:val="en-GB"/>
        </w:rPr>
        <w:footnoteReference w:id="276"/>
      </w:r>
    </w:p>
    <w:p>
      <w:pPr>
        <w:pStyle w:val="Lijstje2"/>
        <w:spacing w:after="200"/>
        <w:ind w:left="1843" w:hanging="425"/>
        <w:rPr>
          <w:rFonts w:ascii="Arial" w:hAnsi="Arial" w:cs="Arial"/>
          <w:noProof/>
          <w:lang w:val="en-GB"/>
        </w:rPr>
      </w:pPr>
      <w:r>
        <w:rPr>
          <w:rFonts w:ascii="Arial" w:hAnsi="Arial" w:cs="Arial"/>
          <w:noProof/>
          <w:lang w:val="en-GB"/>
        </w:rPr>
        <w:t>non-communication of national measures transposing the Maritime Spatial Planning Directive;</w:t>
      </w:r>
      <w:r>
        <w:rPr>
          <w:rStyle w:val="FootnoteReference"/>
          <w:noProof/>
        </w:rPr>
        <w:footnoteReference w:id="277"/>
      </w:r>
      <w:r>
        <w:rPr>
          <w:rFonts w:ascii="Arial" w:hAnsi="Arial" w:cs="Arial"/>
          <w:noProof/>
          <w:lang w:val="en-GB"/>
        </w:rPr>
        <w:t xml:space="preserve"> </w:t>
      </w:r>
    </w:p>
    <w:p>
      <w:pPr>
        <w:pStyle w:val="Lijstje2"/>
        <w:ind w:left="1843" w:hanging="425"/>
        <w:rPr>
          <w:rFonts w:ascii="Arial" w:hAnsi="Arial" w:cs="Arial"/>
          <w:noProof/>
          <w:lang w:val="en-GB"/>
        </w:rPr>
      </w:pPr>
      <w:r>
        <w:rPr>
          <w:rFonts w:ascii="Arial" w:hAnsi="Arial" w:cs="Arial"/>
          <w:noProof/>
          <w:lang w:val="en-GB"/>
        </w:rPr>
        <w:t>the reduced excise duty rate for small producers of ethyl alcohol. This seems to be incompatible with the Excise Duty Directive on alcohol and alcoholic beverages;</w:t>
      </w:r>
      <w:r>
        <w:rPr>
          <w:rStyle w:val="FootnoteReference"/>
          <w:rFonts w:ascii="Arial" w:hAnsi="Arial" w:cs="Arial"/>
          <w:noProof/>
          <w:lang w:val="en-GB"/>
        </w:rPr>
        <w:footnoteReference w:id="278"/>
      </w:r>
    </w:p>
    <w:p>
      <w:pPr>
        <w:pStyle w:val="Lijstje2"/>
        <w:ind w:left="1843" w:hanging="425"/>
        <w:rPr>
          <w:rFonts w:ascii="Arial" w:hAnsi="Arial" w:cs="Arial"/>
          <w:noProof/>
          <w:lang w:val="en-GB"/>
        </w:rPr>
      </w:pPr>
      <w:r>
        <w:rPr>
          <w:rFonts w:ascii="Arial" w:hAnsi="Arial" w:cs="Arial"/>
          <w:noProof/>
          <w:lang w:val="en-GB"/>
        </w:rPr>
        <w:t>failure to transpose in full the three Directives on public procurement and concessions;</w:t>
      </w:r>
      <w:r>
        <w:rPr>
          <w:rStyle w:val="FootnoteReference"/>
          <w:rFonts w:ascii="Arial" w:hAnsi="Arial" w:cs="Arial"/>
          <w:noProof/>
          <w:lang w:val="en-GB"/>
        </w:rPr>
        <w:footnoteReference w:id="279"/>
      </w:r>
    </w:p>
    <w:p>
      <w:pPr>
        <w:pStyle w:val="Lijstje2"/>
        <w:ind w:left="1843" w:hanging="425"/>
        <w:rPr>
          <w:rFonts w:ascii="Arial" w:hAnsi="Arial" w:cs="Arial"/>
          <w:noProof/>
          <w:lang w:val="en-GB"/>
        </w:rPr>
      </w:pPr>
      <w:r>
        <w:rPr>
          <w:rFonts w:ascii="Arial" w:hAnsi="Arial" w:cs="Arial"/>
          <w:noProof/>
          <w:lang w:val="en-GB"/>
        </w:rPr>
        <w:t>the discriminatory framework for the purchase of sport fishing licences to the disadvantage of non-residents, in breach of the Services Directive;</w:t>
      </w:r>
      <w:r>
        <w:rPr>
          <w:rStyle w:val="FootnoteReference"/>
          <w:rFonts w:ascii="Arial" w:hAnsi="Arial" w:cs="Arial"/>
          <w:noProof/>
          <w:lang w:val="en-GB"/>
        </w:rPr>
        <w:footnoteReference w:id="280"/>
      </w:r>
    </w:p>
    <w:p>
      <w:pPr>
        <w:pStyle w:val="Lijstje2"/>
        <w:ind w:left="1843" w:hanging="425"/>
        <w:rPr>
          <w:rFonts w:ascii="Arial" w:hAnsi="Arial" w:cs="Arial"/>
          <w:noProof/>
          <w:lang w:val="en-GB"/>
        </w:rPr>
      </w:pPr>
      <w:r>
        <w:rPr>
          <w:rFonts w:ascii="Arial" w:hAnsi="Arial" w:cs="Arial"/>
          <w:noProof/>
          <w:lang w:val="en-GB"/>
        </w:rPr>
        <w:t>failure to correctly transpose and implement the EU rules on driving licences;</w:t>
      </w:r>
      <w:r>
        <w:rPr>
          <w:rStyle w:val="FootnoteReference"/>
          <w:rFonts w:ascii="Arial" w:hAnsi="Arial" w:cs="Arial"/>
          <w:noProof/>
          <w:lang w:val="en-GB"/>
        </w:rPr>
        <w:footnoteReference w:id="281"/>
      </w:r>
    </w:p>
    <w:p>
      <w:pPr>
        <w:pStyle w:val="Lijstje2"/>
        <w:ind w:left="1843" w:hanging="425"/>
        <w:rPr>
          <w:rFonts w:ascii="Arial" w:hAnsi="Arial" w:cs="Arial"/>
          <w:noProof/>
          <w:lang w:val="en-GB"/>
        </w:rPr>
      </w:pPr>
      <w:r>
        <w:rPr>
          <w:rFonts w:ascii="Arial" w:hAnsi="Arial" w:cs="Arial"/>
          <w:noProof/>
          <w:lang w:val="en-GB"/>
        </w:rPr>
        <w:t>non-ratification of the Protocol of Accession to the Eurocontrol International Convention.</w:t>
      </w:r>
      <w:r>
        <w:rPr>
          <w:rStyle w:val="FootnoteReference"/>
          <w:rFonts w:ascii="Arial" w:hAnsi="Arial" w:cs="Arial"/>
          <w:noProof/>
          <w:lang w:val="en-GB"/>
        </w:rPr>
        <w:footnoteReference w:id="282"/>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2"/>
        </w:numPr>
        <w:spacing w:after="240"/>
        <w:ind w:left="1417" w:hanging="425"/>
        <w:rPr>
          <w:rFonts w:ascii="Arial" w:hAnsi="Arial" w:cs="Arial"/>
          <w:noProof/>
          <w:lang w:val="en-GB"/>
        </w:rPr>
      </w:pPr>
      <w:r>
        <w:rPr>
          <w:rFonts w:ascii="Arial" w:hAnsi="Arial" w:cs="Arial"/>
          <w:noProof/>
          <w:lang w:val="en-GB"/>
        </w:rPr>
        <w:t>The Commission did not refer any cases to the Court under Article 260(2)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136"/>
        </w:numPr>
        <w:rPr>
          <w:noProof/>
        </w:rPr>
      </w:pPr>
      <w:r>
        <w:rPr>
          <w:noProof/>
        </w:rPr>
        <w:t>Late transposition infringement cases against Croatia open on 31 December (2013-2016)</w:t>
      </w:r>
    </w:p>
    <w:p>
      <w:pPr>
        <w:ind w:left="426" w:firstLine="283"/>
        <w:rPr>
          <w:rFonts w:ascii="Arial" w:hAnsi="Arial"/>
          <w:noProof/>
          <w:color w:val="002060"/>
          <w:sz w:val="22"/>
          <w:szCs w:val="22"/>
        </w:rPr>
      </w:pPr>
      <w:r>
        <w:rPr>
          <w:noProof/>
          <w:lang w:val="en-US"/>
        </w:rPr>
        <w:drawing>
          <wp:inline distT="0" distB="0" distL="0" distR="0">
            <wp:extent cx="4602480" cy="2057400"/>
            <wp:effectExtent l="0" t="0" r="26670" b="19050"/>
            <wp:docPr id="379"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pPr>
        <w:pStyle w:val="Subtitle"/>
        <w:numPr>
          <w:ilvl w:val="0"/>
          <w:numId w:val="23"/>
        </w:numPr>
        <w:rPr>
          <w:noProof/>
        </w:rPr>
      </w:pPr>
      <w:r>
        <w:rPr>
          <w:noProof/>
        </w:rPr>
        <w:t>New late transposition infringement cases against Croatia (2013-2016)</w:t>
      </w:r>
    </w:p>
    <w:p>
      <w:pPr>
        <w:spacing w:after="120"/>
        <w:ind w:left="709"/>
        <w:rPr>
          <w:rFonts w:ascii="Arial" w:hAnsi="Arial" w:cs="Arial"/>
          <w:noProof/>
          <w:sz w:val="20"/>
        </w:rPr>
      </w:pPr>
      <w:r>
        <w:rPr>
          <w:noProof/>
          <w:lang w:val="en-US"/>
        </w:rPr>
        <w:drawing>
          <wp:inline distT="0" distB="0" distL="0" distR="0">
            <wp:extent cx="4602480" cy="2232660"/>
            <wp:effectExtent l="0" t="0" r="26670" b="15240"/>
            <wp:docPr id="9"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pPr>
        <w:spacing w:after="200" w:line="276" w:lineRule="auto"/>
        <w:jc w:val="left"/>
        <w:rPr>
          <w:rFonts w:ascii="Arial" w:hAnsi="Arial"/>
          <w:noProof/>
          <w:color w:val="002060"/>
          <w:sz w:val="22"/>
          <w:szCs w:val="22"/>
        </w:rPr>
      </w:pPr>
      <w:r>
        <w:rPr>
          <w:rFonts w:ascii="Arial" w:hAnsi="Arial"/>
          <w:noProof/>
          <w:color w:val="002060"/>
          <w:sz w:val="22"/>
          <w:szCs w:val="22"/>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301240"/>
            <wp:effectExtent l="0" t="0" r="22860" b="22860"/>
            <wp:docPr id="381"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ab/>
        <w:t>These concerned:</w:t>
      </w:r>
    </w:p>
    <w:p>
      <w:pPr>
        <w:pStyle w:val="ListParagraph"/>
        <w:numPr>
          <w:ilvl w:val="1"/>
          <w:numId w:val="250"/>
        </w:numPr>
        <w:rPr>
          <w:rFonts w:ascii="Arial" w:eastAsia="Calibri" w:hAnsi="Arial" w:cs="Arial"/>
          <w:noProof/>
          <w:sz w:val="20"/>
        </w:rPr>
      </w:pPr>
      <w:r>
        <w:rPr>
          <w:rFonts w:ascii="Arial" w:eastAsia="Calibri" w:hAnsi="Arial" w:cs="Arial"/>
          <w:noProof/>
          <w:sz w:val="20"/>
        </w:rPr>
        <w:t>completing the notification of all national measures necessary to transpose the Bank Resolution and Recovery Directive</w:t>
      </w:r>
      <w:r>
        <w:rPr>
          <w:rStyle w:val="FootnoteReference"/>
          <w:rFonts w:ascii="Arial" w:hAnsi="Arial" w:cs="Arial"/>
          <w:noProof/>
          <w:sz w:val="20"/>
        </w:rPr>
        <w:footnoteReference w:id="283"/>
      </w:r>
      <w:r>
        <w:rPr>
          <w:rFonts w:ascii="Arial" w:eastAsia="Calibri" w:hAnsi="Arial" w:cs="Arial"/>
          <w:noProof/>
          <w:sz w:val="20"/>
        </w:rPr>
        <w:t xml:space="preserve"> and the Financial Conglomerates Directive;</w:t>
      </w:r>
      <w:r>
        <w:rPr>
          <w:rStyle w:val="FootnoteReference"/>
          <w:rFonts w:eastAsia="Calibri"/>
          <w:noProof/>
        </w:rPr>
        <w:footnoteReference w:id="284"/>
      </w:r>
    </w:p>
    <w:p>
      <w:pPr>
        <w:pStyle w:val="ListParagraph"/>
        <w:numPr>
          <w:ilvl w:val="1"/>
          <w:numId w:val="250"/>
        </w:numPr>
        <w:rPr>
          <w:rFonts w:ascii="Arial" w:eastAsia="Calibri" w:hAnsi="Arial" w:cs="Arial"/>
          <w:noProof/>
          <w:kern w:val="20"/>
          <w:sz w:val="20"/>
        </w:rPr>
      </w:pPr>
      <w:r>
        <w:rPr>
          <w:rFonts w:ascii="Arial" w:eastAsia="Calibri" w:hAnsi="Arial"/>
          <w:noProof/>
          <w:kern w:val="20"/>
          <w:sz w:val="20"/>
        </w:rPr>
        <w:t>non-compliance with the rules on maritime cabotage;</w:t>
      </w:r>
      <w:r>
        <w:rPr>
          <w:rStyle w:val="FootnoteReference"/>
          <w:rFonts w:eastAsia="Calibri"/>
          <w:noProof/>
        </w:rPr>
        <w:footnoteReference w:id="285"/>
      </w:r>
    </w:p>
    <w:p>
      <w:pPr>
        <w:pStyle w:val="ListParagraph"/>
        <w:numPr>
          <w:ilvl w:val="1"/>
          <w:numId w:val="250"/>
        </w:numPr>
        <w:rPr>
          <w:rFonts w:ascii="Arial" w:eastAsia="Calibri" w:hAnsi="Arial"/>
          <w:noProof/>
          <w:kern w:val="20"/>
          <w:sz w:val="20"/>
        </w:rPr>
      </w:pPr>
      <w:r>
        <w:rPr>
          <w:rFonts w:ascii="Arial" w:eastAsia="Calibri" w:hAnsi="Arial"/>
          <w:noProof/>
          <w:kern w:val="20"/>
          <w:sz w:val="20"/>
        </w:rPr>
        <w:t>non-compliance with the Railway Safety Directive.</w:t>
      </w:r>
      <w:r>
        <w:rPr>
          <w:rStyle w:val="FootnoteReference"/>
          <w:rFonts w:eastAsia="Calibri"/>
          <w:noProof/>
        </w:rPr>
        <w:footnoteReference w:id="286"/>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137"/>
        </w:numPr>
        <w:rPr>
          <w:noProof/>
        </w:rPr>
      </w:pPr>
      <w:r>
        <w:rPr>
          <w:noProof/>
        </w:rPr>
        <w:t>Court rulings</w:t>
      </w:r>
      <w:r>
        <w:rPr>
          <w:rStyle w:val="FootnoteReference"/>
          <w:noProof/>
        </w:rPr>
        <w:footnoteReference w:id="287"/>
      </w:r>
    </w:p>
    <w:p>
      <w:pPr>
        <w:pStyle w:val="Body"/>
        <w:rPr>
          <w:noProof/>
          <w:lang w:val="en-GB"/>
        </w:rPr>
      </w:pPr>
      <w:r>
        <w:rPr>
          <w:noProof/>
          <w:lang w:val="en-GB"/>
        </w:rPr>
        <w:t>There were no major Court rulings in 2016.</w:t>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ind w:left="786" w:firstLine="0"/>
        <w:rPr>
          <w:noProof/>
          <w:lang w:val="en-GB"/>
        </w:rPr>
      </w:pPr>
      <w:r>
        <w:rPr>
          <w:noProof/>
          <w:lang w:val="en-GB"/>
        </w:rPr>
        <w:t>In a preliminary ruling addressed to the Croatian judiciary, the Court held that:</w:t>
      </w:r>
    </w:p>
    <w:p>
      <w:pPr>
        <w:pStyle w:val="Lijstje2"/>
        <w:ind w:left="1843" w:hanging="425"/>
        <w:rPr>
          <w:rFonts w:ascii="Arial" w:hAnsi="Arial" w:cs="Arial"/>
          <w:noProof/>
          <w:lang w:val="en-GB"/>
        </w:rPr>
      </w:pPr>
      <w:r>
        <w:rPr>
          <w:rFonts w:ascii="Arial" w:hAnsi="Arial" w:cs="Arial"/>
          <w:noProof/>
          <w:lang w:val="en-GB"/>
        </w:rPr>
        <w:t>national legislation which provides that the price of water services invoiced to the consumer includes not only a variable component calculated according to the volume of water actually consumed by the person concerned, but also a fixed component not connected with that volume, is compatible with the Water Framework Directive.</w:t>
      </w:r>
      <w:r>
        <w:rPr>
          <w:rStyle w:val="FootnoteReference"/>
          <w:rFonts w:ascii="Arial" w:hAnsi="Arial" w:cs="Arial"/>
          <w:bCs/>
          <w:noProof/>
          <w:lang w:val="en-GB"/>
        </w:rPr>
        <w:footnoteReference w:id="288"/>
      </w:r>
    </w:p>
    <w:p>
      <w:pPr>
        <w:spacing w:after="120"/>
        <w:contextualSpacing/>
        <w:rPr>
          <w:rFonts w:ascii="Verdana" w:eastAsia="Calibri" w:hAnsi="Verdana"/>
          <w:noProof/>
          <w:kern w:val="20"/>
          <w:sz w:val="20"/>
        </w:rPr>
      </w:pPr>
    </w:p>
    <w:p>
      <w:pPr>
        <w:spacing w:after="0"/>
        <w:jc w:val="left"/>
        <w:rPr>
          <w:noProof/>
        </w:rPr>
        <w:sectPr>
          <w:headerReference w:type="even" r:id="rId218"/>
          <w:headerReference w:type="default" r:id="rId219"/>
          <w:footerReference w:type="even" r:id="rId220"/>
          <w:footerReference w:type="default" r:id="rId221"/>
          <w:headerReference w:type="first" r:id="rId222"/>
          <w:footerReference w:type="first" r:id="rId223"/>
          <w:footnotePr>
            <w:numRestart w:val="eachSect"/>
          </w:footnotePr>
          <w:pgSz w:w="11906" w:h="16838"/>
          <w:pgMar w:top="1701" w:right="1417" w:bottom="1134" w:left="1417" w:header="567" w:footer="351" w:gutter="0"/>
          <w:cols w:space="708"/>
          <w:titlePg/>
          <w:docGrid w:linePitch="360"/>
        </w:sectPr>
      </w:pPr>
    </w:p>
    <w:p>
      <w:pPr>
        <w:pStyle w:val="Heading1"/>
        <w:rPr>
          <w:noProof/>
        </w:rPr>
      </w:pPr>
      <w:bookmarkStart w:id="92" w:name="_Toc475974652"/>
      <w:bookmarkStart w:id="93" w:name="_Toc475980148"/>
      <w:bookmarkStart w:id="94" w:name="_Toc475981397"/>
      <w:bookmarkStart w:id="95" w:name="_Toc477938594"/>
      <w:bookmarkEnd w:id="85"/>
      <w:bookmarkEnd w:id="86"/>
      <w:bookmarkEnd w:id="87"/>
      <w:bookmarkEnd w:id="88"/>
      <w:bookmarkEnd w:id="89"/>
      <w:bookmarkEnd w:id="90"/>
      <w:bookmarkEnd w:id="91"/>
      <w:r>
        <w:rPr>
          <w:noProof/>
        </w:rPr>
        <w:t>Italy</w:t>
      </w:r>
      <w:bookmarkEnd w:id="92"/>
      <w:bookmarkEnd w:id="93"/>
      <w:bookmarkEnd w:id="94"/>
      <w:bookmarkEnd w:id="95"/>
    </w:p>
    <w:p>
      <w:pPr>
        <w:spacing w:after="120"/>
        <w:rPr>
          <w:rFonts w:ascii="Arial" w:hAnsi="Arial" w:cs="Arial"/>
          <w:i/>
          <w:noProof/>
          <w:sz w:val="22"/>
          <w:szCs w:val="22"/>
        </w:rPr>
      </w:pPr>
      <w:r>
        <w:rPr>
          <w:rFonts w:ascii="Arial" w:hAnsi="Arial" w:cs="Arial"/>
          <w:i/>
          <w:noProof/>
          <w:sz w:val="22"/>
          <w:szCs w:val="22"/>
        </w:rPr>
        <w:t>New complaints against Italy jumped again in 2016, by approximately 20 % from the 2015 level and by around 50 % from the 2012-2014 levels. By contrast, the numbers of new EU Pilot files and of open infringement cases at year-end were down. New infringement cases for late transposition fell again to a five-year low.</w:t>
      </w:r>
    </w:p>
    <w:p>
      <w:pPr>
        <w:spacing w:after="120"/>
        <w:rPr>
          <w:rFonts w:ascii="Arial" w:hAnsi="Arial" w:cs="Arial"/>
          <w:i/>
          <w:noProof/>
          <w:sz w:val="22"/>
          <w:szCs w:val="22"/>
        </w:rPr>
      </w:pPr>
    </w:p>
    <w:p>
      <w:pPr>
        <w:pStyle w:val="kop2"/>
        <w:numPr>
          <w:ilvl w:val="0"/>
          <w:numId w:val="8"/>
        </w:numPr>
        <w:rPr>
          <w:noProof/>
        </w:rPr>
      </w:pPr>
      <w:r>
        <w:rPr>
          <w:noProof/>
        </w:rPr>
        <w:t>COMPLAINTS</w:t>
      </w:r>
    </w:p>
    <w:p>
      <w:pPr>
        <w:pStyle w:val="Subtitle"/>
        <w:numPr>
          <w:ilvl w:val="0"/>
          <w:numId w:val="29"/>
        </w:numPr>
        <w:rPr>
          <w:noProof/>
        </w:rPr>
      </w:pPr>
      <w:r>
        <w:rPr>
          <w:noProof/>
        </w:rPr>
        <w:t>New complaints made against Italy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77443" cy="2362200"/>
            <wp:effectExtent l="0" t="0" r="13970" b="19050"/>
            <wp:docPr id="704"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pPr>
        <w:pStyle w:val="Subtitle"/>
        <w:numPr>
          <w:ilvl w:val="0"/>
          <w:numId w:val="29"/>
        </w:numPr>
        <w:rPr>
          <w:noProof/>
        </w:rPr>
      </w:pPr>
      <w:r>
        <w:rPr>
          <w:noProof/>
        </w:rPr>
        <w:t>Public complaints against Italy open at year-end</w:t>
      </w:r>
    </w:p>
    <w:tbl>
      <w:tblPr>
        <w:tblStyle w:val="Style114"/>
        <w:tblW w:w="0" w:type="auto"/>
        <w:jc w:val="center"/>
        <w:tblInd w:w="421" w:type="dxa"/>
        <w:tblLook w:val="04A0" w:firstRow="1" w:lastRow="0" w:firstColumn="1" w:lastColumn="0" w:noHBand="0" w:noVBand="1"/>
      </w:tblPr>
      <w:tblGrid>
        <w:gridCol w:w="1697"/>
        <w:gridCol w:w="452"/>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508</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753</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592</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669</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numPr>
          <w:ilvl w:val="0"/>
          <w:numId w:val="29"/>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7720" cy="2286000"/>
            <wp:effectExtent l="0" t="0" r="11430" b="19050"/>
            <wp:docPr id="705"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pPr>
        <w:spacing w:after="200" w:line="276" w:lineRule="auto"/>
        <w:jc w:val="left"/>
        <w:rPr>
          <w:rFonts w:ascii="Arial" w:hAnsi="Arial" w:cs="Arial"/>
          <w:noProof/>
          <w:sz w:val="20"/>
        </w:rPr>
      </w:pPr>
      <w:r>
        <w:rPr>
          <w:noProof/>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30"/>
        </w:numPr>
        <w:rPr>
          <w:noProof/>
        </w:rPr>
      </w:pPr>
      <w:r>
        <w:rPr>
          <w:noProof/>
        </w:rPr>
        <w:t>New EU Pilot files opened against Italy (2012-2016)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588328" cy="2209800"/>
            <wp:effectExtent l="0" t="0" r="22225" b="19050"/>
            <wp:docPr id="706"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pPr>
        <w:pStyle w:val="Subtitle"/>
        <w:numPr>
          <w:ilvl w:val="0"/>
          <w:numId w:val="30"/>
        </w:numPr>
        <w:rPr>
          <w:noProof/>
        </w:rPr>
      </w:pPr>
      <w:r>
        <w:rPr>
          <w:noProof/>
        </w:rPr>
        <w:t>Files relating to Italy open in EU Pilot at year-end</w:t>
      </w:r>
    </w:p>
    <w:p>
      <w:pPr>
        <w:spacing w:after="0"/>
        <w:ind w:firstLine="709"/>
        <w:rPr>
          <w:rFonts w:ascii="Arial" w:hAnsi="Arial" w:cs="Arial"/>
          <w:noProof/>
          <w:sz w:val="20"/>
        </w:rPr>
      </w:pPr>
      <w:r>
        <w:rPr>
          <w:rFonts w:ascii="Arial" w:hAnsi="Arial" w:cs="Arial"/>
          <w:noProof/>
          <w:sz w:val="20"/>
          <w:lang w:val="en-US"/>
        </w:rPr>
        <w:drawing>
          <wp:inline distT="0" distB="0" distL="0" distR="0">
            <wp:extent cx="4588328" cy="2209800"/>
            <wp:effectExtent l="0" t="0" r="22225" b="19050"/>
            <wp:docPr id="161"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pPr>
        <w:pStyle w:val="Subtitle"/>
        <w:numPr>
          <w:ilvl w:val="0"/>
          <w:numId w:val="30"/>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453640"/>
            <wp:effectExtent l="0" t="0" r="15240" b="22860"/>
            <wp:docPr id="707"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30"/>
        </w:numPr>
        <w:rPr>
          <w:noProof/>
        </w:rPr>
      </w:pPr>
      <w:r>
        <w:rPr>
          <w:noProof/>
        </w:rPr>
        <w:t>EU Pilot files: Italy’s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046514"/>
            <wp:effectExtent l="0" t="0" r="13970" b="11430"/>
            <wp:docPr id="708"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pPr>
        <w:pStyle w:val="Subtitle"/>
        <w:numPr>
          <w:ilvl w:val="0"/>
          <w:numId w:val="30"/>
        </w:numPr>
        <w:rPr>
          <w:noProof/>
        </w:rPr>
      </w:pPr>
      <w:r>
        <w:rPr>
          <w:noProof/>
        </w:rPr>
        <w:t>EU Pilot files: Italy’s resolution rate in 2012-2016</w:t>
      </w:r>
    </w:p>
    <w:p>
      <w:pPr>
        <w:keepNext/>
        <w:keepLines/>
        <w:spacing w:after="120"/>
        <w:ind w:left="1069"/>
        <w:outlineLvl w:val="1"/>
        <w:rPr>
          <w:rFonts w:ascii="Arial" w:eastAsia="MS Gothic" w:hAnsi="Arial" w:cs="Arial"/>
          <w:caps/>
          <w:noProof/>
          <w:color w:val="4F81BD"/>
          <w:kern w:val="20"/>
          <w:szCs w:val="24"/>
        </w:rPr>
      </w:pPr>
      <w:r>
        <w:rPr>
          <w:rFonts w:ascii="Arial" w:hAnsi="Arial" w:cs="Arial"/>
          <w:noProof/>
          <w:sz w:val="20"/>
          <w:lang w:val="en-US"/>
        </w:rPr>
        <w:drawing>
          <wp:inline distT="0" distB="0" distL="0" distR="0">
            <wp:extent cx="4577443" cy="2443842"/>
            <wp:effectExtent l="0" t="0" r="13970" b="13970"/>
            <wp:docPr id="709"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31"/>
        </w:numPr>
        <w:rPr>
          <w:noProof/>
        </w:rPr>
      </w:pPr>
      <w:r>
        <w:rPr>
          <w:noProof/>
        </w:rPr>
        <w:t>Infringement cases against Italy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9620" cy="1920240"/>
            <wp:effectExtent l="0" t="0" r="11430" b="22860"/>
            <wp:docPr id="710"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pPr>
        <w:spacing w:after="200" w:line="276" w:lineRule="auto"/>
        <w:jc w:val="left"/>
        <w:rPr>
          <w:rFonts w:ascii="Arial" w:hAnsi="Arial"/>
          <w:noProof/>
          <w:color w:val="002060"/>
          <w:sz w:val="22"/>
          <w:szCs w:val="22"/>
        </w:rPr>
      </w:pPr>
      <w:r>
        <w:rPr>
          <w:noProof/>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324100"/>
            <wp:effectExtent l="0" t="0" r="13970" b="19050"/>
            <wp:docPr id="711"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02"/>
        </w:numPr>
        <w:ind w:hanging="426"/>
        <w:rPr>
          <w:rFonts w:ascii="Arial" w:hAnsi="Arial" w:cs="Arial"/>
          <w:noProof/>
          <w:lang w:val="en-GB"/>
        </w:rPr>
      </w:pPr>
      <w:r>
        <w:rPr>
          <w:rFonts w:ascii="Arial" w:hAnsi="Arial" w:cs="Arial"/>
          <w:noProof/>
          <w:lang w:val="en-GB"/>
        </w:rPr>
        <w:t>The Commission opened 19 new infringement cases against Italy in 2016. These, and other major ongoing infringement cases, include:</w:t>
      </w:r>
    </w:p>
    <w:p>
      <w:pPr>
        <w:pStyle w:val="Lijstje2"/>
        <w:spacing w:after="200"/>
        <w:ind w:left="1843" w:hanging="426"/>
        <w:rPr>
          <w:rFonts w:ascii="Arial" w:hAnsi="Arial" w:cs="Arial"/>
          <w:noProof/>
          <w:lang w:val="en-GB"/>
        </w:rPr>
      </w:pPr>
      <w:r>
        <w:rPr>
          <w:rFonts w:ascii="Arial" w:hAnsi="Arial" w:cs="Arial"/>
          <w:noProof/>
          <w:lang w:val="en-GB"/>
        </w:rPr>
        <w:t xml:space="preserve">non-compliance with the </w:t>
      </w:r>
      <w:r>
        <w:rPr>
          <w:rFonts w:ascii="Arial" w:hAnsi="Arial"/>
          <w:noProof/>
          <w:lang w:val="en-GB"/>
        </w:rPr>
        <w:t xml:space="preserve">Commission’s </w:t>
      </w:r>
      <w:r>
        <w:rPr>
          <w:rFonts w:ascii="Arial" w:hAnsi="Arial" w:cs="Arial"/>
          <w:noProof/>
          <w:lang w:val="en-GB"/>
        </w:rPr>
        <w:t>Decision</w:t>
      </w:r>
      <w:r>
        <w:rPr>
          <w:rStyle w:val="FootnoteReference"/>
          <w:rFonts w:ascii="Arial" w:hAnsi="Arial" w:cs="Arial"/>
          <w:noProof/>
          <w:lang w:val="en-GB"/>
        </w:rPr>
        <w:footnoteReference w:id="289"/>
      </w:r>
      <w:r>
        <w:rPr>
          <w:rFonts w:ascii="Arial" w:hAnsi="Arial" w:cs="Arial"/>
          <w:noProof/>
          <w:lang w:val="en-GB"/>
        </w:rPr>
        <w:t xml:space="preserve"> </w:t>
      </w:r>
      <w:r>
        <w:rPr>
          <w:rFonts w:ascii="Arial" w:hAnsi="Arial"/>
          <w:noProof/>
          <w:lang w:val="en-GB"/>
        </w:rPr>
        <w:t xml:space="preserve">on </w:t>
      </w:r>
      <w:r>
        <w:rPr>
          <w:rFonts w:ascii="Arial" w:hAnsi="Arial" w:cs="Arial"/>
          <w:noProof/>
          <w:lang w:val="en-GB"/>
        </w:rPr>
        <w:t xml:space="preserve">measures to prevent the introduction into and the spread within the EU of the plant bacterium </w:t>
      </w:r>
      <w:r>
        <w:rPr>
          <w:rFonts w:ascii="Arial" w:hAnsi="Arial" w:cs="Arial"/>
          <w:i/>
          <w:noProof/>
          <w:lang w:val="en-GB"/>
        </w:rPr>
        <w:t>Xylella fastidiosa</w:t>
      </w:r>
      <w:r>
        <w:rPr>
          <w:rFonts w:ascii="Arial" w:hAnsi="Arial" w:cs="Arial"/>
          <w:noProof/>
          <w:lang w:val="en-GB"/>
        </w:rPr>
        <w:t>;</w:t>
      </w:r>
      <w:r>
        <w:rPr>
          <w:rStyle w:val="FootnoteReference"/>
          <w:rFonts w:ascii="Arial" w:hAnsi="Arial" w:cs="Arial"/>
          <w:noProof/>
          <w:lang w:val="en-GB"/>
        </w:rPr>
        <w:footnoteReference w:id="290"/>
      </w:r>
    </w:p>
    <w:p>
      <w:pPr>
        <w:pStyle w:val="Lijstje2"/>
        <w:spacing w:after="200"/>
        <w:ind w:left="1843" w:hanging="426"/>
        <w:rPr>
          <w:rFonts w:ascii="Arial" w:hAnsi="Arial" w:cs="Arial"/>
          <w:noProof/>
          <w:lang w:val="en-GB"/>
        </w:rPr>
      </w:pPr>
      <w:r>
        <w:rPr>
          <w:rFonts w:ascii="Arial" w:hAnsi="Arial" w:cs="Arial"/>
          <w:noProof/>
          <w:lang w:val="en-GB"/>
        </w:rPr>
        <w:t>non-compliance with the Prüm Decisions on information-sharing to combat terrorism and serious crime;</w:t>
      </w:r>
      <w:r>
        <w:rPr>
          <w:rStyle w:val="FootnoteReference"/>
          <w:rFonts w:ascii="Arial" w:hAnsi="Arial" w:cs="Arial"/>
          <w:noProof/>
          <w:lang w:val="en-GB"/>
        </w:rPr>
        <w:footnoteReference w:id="291"/>
      </w:r>
    </w:p>
    <w:p>
      <w:pPr>
        <w:pStyle w:val="Lijstje2"/>
        <w:ind w:left="1843" w:hanging="426"/>
        <w:rPr>
          <w:rFonts w:ascii="Arial" w:hAnsi="Arial"/>
          <w:noProof/>
          <w:lang w:val="en-GB"/>
        </w:rPr>
      </w:pPr>
      <w:r>
        <w:rPr>
          <w:rFonts w:ascii="Arial" w:hAnsi="Arial" w:cs="Arial"/>
          <w:noProof/>
          <w:lang w:val="en-GB"/>
        </w:rPr>
        <w:t>non-conformity of national legislation with the Return Directive;</w:t>
      </w:r>
      <w:r>
        <w:rPr>
          <w:rStyle w:val="FootnoteReference"/>
          <w:rFonts w:ascii="Arial" w:hAnsi="Arial" w:cs="Arial"/>
          <w:noProof/>
          <w:lang w:val="en-GB"/>
        </w:rPr>
        <w:footnoteReference w:id="292"/>
      </w:r>
    </w:p>
    <w:p>
      <w:pPr>
        <w:pStyle w:val="Lijstje2"/>
        <w:spacing w:after="200"/>
        <w:ind w:left="1843" w:hanging="426"/>
        <w:rPr>
          <w:rFonts w:ascii="Arial" w:hAnsi="Arial" w:cs="Arial"/>
          <w:noProof/>
          <w:lang w:val="en-GB"/>
        </w:rPr>
      </w:pPr>
      <w:r>
        <w:rPr>
          <w:rFonts w:ascii="Arial" w:hAnsi="Arial" w:cs="Arial"/>
          <w:noProof/>
          <w:lang w:val="en-GB"/>
        </w:rPr>
        <w:t>non-communication of national measures transposing the Long-Term Residents Directive;</w:t>
      </w:r>
      <w:r>
        <w:rPr>
          <w:rStyle w:val="FootnoteReference"/>
          <w:rFonts w:ascii="Arial" w:hAnsi="Arial" w:cs="Arial"/>
          <w:noProof/>
          <w:lang w:val="en-GB"/>
        </w:rPr>
        <w:footnoteReference w:id="293"/>
      </w:r>
    </w:p>
    <w:p>
      <w:pPr>
        <w:pStyle w:val="Lijstje2"/>
        <w:spacing w:after="200"/>
        <w:ind w:left="1843"/>
        <w:rPr>
          <w:rFonts w:ascii="Arial" w:hAnsi="Arial" w:cs="Arial"/>
          <w:noProof/>
          <w:lang w:val="en-GB"/>
        </w:rPr>
      </w:pPr>
      <w:r>
        <w:rPr>
          <w:rFonts w:ascii="Arial" w:hAnsi="Arial" w:cs="Arial"/>
          <w:noProof/>
          <w:lang w:val="en-GB"/>
        </w:rPr>
        <w:t>non-respect of the PM</w:t>
      </w:r>
      <w:r>
        <w:rPr>
          <w:rFonts w:ascii="Arial" w:hAnsi="Arial" w:cs="Arial"/>
          <w:noProof/>
          <w:vertAlign w:val="subscript"/>
          <w:lang w:val="en-GB"/>
        </w:rPr>
        <w:t>10</w:t>
      </w:r>
      <w:r>
        <w:rPr>
          <w:rStyle w:val="FootnoteReference"/>
          <w:noProof/>
        </w:rPr>
        <w:footnoteReference w:id="294"/>
      </w:r>
      <w:r>
        <w:rPr>
          <w:rFonts w:ascii="Arial" w:hAnsi="Arial" w:cs="Arial"/>
          <w:noProof/>
          <w:lang w:val="en-GB"/>
        </w:rPr>
        <w:t xml:space="preserve"> limit values set by the Air Quality Directive;</w:t>
      </w:r>
      <w:r>
        <w:rPr>
          <w:rStyle w:val="FootnoteReference"/>
          <w:noProof/>
        </w:rPr>
        <w:footnoteReference w:id="295"/>
      </w:r>
    </w:p>
    <w:p>
      <w:pPr>
        <w:pStyle w:val="Lijstje2"/>
        <w:spacing w:after="200"/>
        <w:ind w:left="1843" w:hanging="426"/>
        <w:rPr>
          <w:rFonts w:ascii="Arial" w:hAnsi="Arial" w:cs="Arial"/>
          <w:noProof/>
          <w:lang w:val="en-GB"/>
        </w:rPr>
      </w:pPr>
      <w:r>
        <w:rPr>
          <w:rFonts w:ascii="Arial" w:eastAsia="Times New Roman" w:hAnsi="Arial" w:cs="Arial"/>
          <w:noProof/>
          <w:kern w:val="0"/>
          <w:lang w:val="en-GB"/>
        </w:rPr>
        <w:t>lack of strategic noise maps and/or action plans required by the Environmental Noise Directive;</w:t>
      </w:r>
      <w:r>
        <w:rPr>
          <w:rStyle w:val="FootnoteReference"/>
          <w:noProof/>
        </w:rPr>
        <w:footnoteReference w:id="296"/>
      </w:r>
    </w:p>
    <w:p>
      <w:pPr>
        <w:pStyle w:val="Lijstje2"/>
        <w:spacing w:after="200"/>
        <w:ind w:left="1843" w:hanging="426"/>
        <w:rPr>
          <w:rFonts w:ascii="Arial" w:hAnsi="Arial" w:cs="Arial"/>
          <w:noProof/>
          <w:lang w:val="en-GB"/>
        </w:rPr>
      </w:pPr>
      <w:r>
        <w:rPr>
          <w:rFonts w:ascii="Arial" w:eastAsia="Times New Roman" w:hAnsi="Arial" w:cs="Arial"/>
          <w:noProof/>
          <w:kern w:val="0"/>
          <w:lang w:val="en-GB"/>
        </w:rPr>
        <w:t>incorrect</w:t>
      </w:r>
      <w:r>
        <w:rPr>
          <w:rFonts w:ascii="Arial" w:hAnsi="Arial" w:cs="Arial"/>
          <w:noProof/>
          <w:lang w:val="en-GB"/>
        </w:rPr>
        <w:t xml:space="preserve"> transposition of the Directive on the protection of animals used for scientific purposes;</w:t>
      </w:r>
      <w:r>
        <w:rPr>
          <w:rStyle w:val="FootnoteReference"/>
          <w:rFonts w:ascii="Arial" w:hAnsi="Arial" w:cs="Arial"/>
          <w:noProof/>
          <w:lang w:val="en-GB"/>
        </w:rPr>
        <w:footnoteReference w:id="297"/>
      </w:r>
    </w:p>
    <w:p>
      <w:pPr>
        <w:pStyle w:val="Lijstje2"/>
        <w:spacing w:after="200"/>
        <w:ind w:left="1843"/>
        <w:rPr>
          <w:rFonts w:ascii="Arial" w:hAnsi="Arial" w:cs="Arial"/>
          <w:noProof/>
          <w:lang w:val="en-GB"/>
        </w:rPr>
      </w:pPr>
      <w:r>
        <w:rPr>
          <w:rFonts w:ascii="Arial" w:eastAsia="Times New Roman" w:hAnsi="Arial" w:cs="Arial"/>
          <w:noProof/>
          <w:kern w:val="0"/>
          <w:lang w:val="en-GB"/>
        </w:rPr>
        <w:t>breach of the rules</w:t>
      </w:r>
      <w:r>
        <w:rPr>
          <w:rFonts w:ascii="Arial" w:eastAsia="Times New Roman" w:hAnsi="Arial" w:cs="Arial"/>
          <w:i/>
          <w:noProof/>
          <w:kern w:val="0"/>
          <w:lang w:val="en-GB"/>
        </w:rPr>
        <w:t xml:space="preserve"> o</w:t>
      </w:r>
      <w:r>
        <w:rPr>
          <w:rFonts w:ascii="Arial" w:eastAsia="Times New Roman" w:hAnsi="Arial" w:cs="Arial"/>
          <w:noProof/>
          <w:kern w:val="0"/>
          <w:lang w:val="en-GB"/>
        </w:rPr>
        <w:t>n the separation of accounts under the First Railway Package;</w:t>
      </w:r>
      <w:r>
        <w:rPr>
          <w:rStyle w:val="FootnoteReference"/>
          <w:noProof/>
        </w:rPr>
        <w:footnoteReference w:id="298"/>
      </w:r>
    </w:p>
    <w:p>
      <w:pPr>
        <w:pStyle w:val="Lijstje2"/>
        <w:spacing w:after="200"/>
        <w:ind w:left="1843" w:hanging="425"/>
        <w:rPr>
          <w:rFonts w:ascii="Arial" w:hAnsi="Arial" w:cs="Arial"/>
          <w:i/>
          <w:noProof/>
          <w:lang w:val="en-GB"/>
        </w:rPr>
      </w:pPr>
      <w:r>
        <w:rPr>
          <w:rFonts w:ascii="Arial" w:hAnsi="Arial" w:cs="Arial"/>
          <w:noProof/>
          <w:lang w:val="en-GB"/>
        </w:rPr>
        <w:t>failure to correctly implement the Airport Charges Directive;</w:t>
      </w:r>
      <w:r>
        <w:rPr>
          <w:rStyle w:val="FootnoteReference"/>
          <w:rFonts w:ascii="Arial" w:hAnsi="Arial" w:cs="Arial"/>
          <w:noProof/>
          <w:lang w:val="en-GB"/>
        </w:rPr>
        <w:footnoteReference w:id="299"/>
      </w:r>
    </w:p>
    <w:p>
      <w:pPr>
        <w:pStyle w:val="Lijstje2"/>
        <w:spacing w:after="200"/>
        <w:ind w:left="1843" w:hanging="425"/>
        <w:rPr>
          <w:rFonts w:ascii="Arial" w:hAnsi="Arial"/>
          <w:noProof/>
          <w:lang w:val="en-GB" w:eastAsia="en-GB"/>
        </w:rPr>
      </w:pPr>
      <w:r>
        <w:rPr>
          <w:rFonts w:ascii="Arial" w:hAnsi="Arial" w:cs="Arial"/>
          <w:noProof/>
          <w:lang w:val="en-GB"/>
        </w:rPr>
        <w:t xml:space="preserve">fishing activities of Italian-flagged vessels in the waters under the jurisdiction of Guinea-Bissau and the Gambia </w:t>
      </w:r>
      <w:r>
        <w:rPr>
          <w:rFonts w:ascii="Arial" w:hAnsi="Arial"/>
          <w:noProof/>
          <w:lang w:val="en-GB"/>
        </w:rPr>
        <w:t>in violation of the EU provisions and the fisheries partnership agreements</w:t>
      </w:r>
      <w:r>
        <w:rPr>
          <w:rFonts w:ascii="Arial" w:hAnsi="Arial" w:cs="Arial"/>
          <w:noProof/>
          <w:lang w:val="en-GB"/>
        </w:rPr>
        <w:t>;</w:t>
      </w:r>
    </w:p>
    <w:p>
      <w:pPr>
        <w:pStyle w:val="Lijstje2"/>
        <w:spacing w:after="200"/>
        <w:ind w:left="1843" w:hanging="425"/>
        <w:rPr>
          <w:rFonts w:ascii="Arial" w:hAnsi="Arial" w:cs="Arial"/>
          <w:noProof/>
          <w:lang w:val="en-GB" w:eastAsia="en-GB"/>
        </w:rPr>
      </w:pPr>
      <w:r>
        <w:rPr>
          <w:rFonts w:ascii="Arial" w:hAnsi="Arial" w:cs="Arial"/>
          <w:noProof/>
          <w:lang w:val="en-GB"/>
        </w:rPr>
        <w:t>excessive and unjustified obstacles in the area of professional services that run counter to the Services Directive.</w:t>
      </w:r>
      <w:r>
        <w:rPr>
          <w:rStyle w:val="FootnoteReference"/>
          <w:noProof/>
        </w:rPr>
        <w:footnoteReference w:id="300"/>
      </w:r>
      <w:r>
        <w:rPr>
          <w:rFonts w:ascii="Arial" w:hAnsi="Arial" w:cs="Arial"/>
          <w:noProof/>
          <w:vertAlign w:val="superscript"/>
          <w:lang w:val="en-GB"/>
        </w:rPr>
        <w:t xml:space="preserve"> </w:t>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260(2)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32"/>
        </w:numPr>
        <w:rPr>
          <w:noProof/>
        </w:rPr>
      </w:pPr>
      <w:r>
        <w:rPr>
          <w:noProof/>
        </w:rPr>
        <w:t>Late transposition infringement cases against Italy open on 31 December (2012-2016)</w:t>
      </w:r>
    </w:p>
    <w:p>
      <w:pPr>
        <w:ind w:left="426" w:firstLine="283"/>
        <w:rPr>
          <w:noProof/>
        </w:rPr>
      </w:pPr>
      <w:r>
        <w:rPr>
          <w:noProof/>
          <w:lang w:val="en-US"/>
        </w:rPr>
        <w:drawing>
          <wp:inline distT="0" distB="0" distL="0" distR="0">
            <wp:extent cx="4572000" cy="2334985"/>
            <wp:effectExtent l="0" t="0" r="19050" b="27305"/>
            <wp:docPr id="712"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pPr>
        <w:pStyle w:val="Subtitle"/>
        <w:numPr>
          <w:ilvl w:val="0"/>
          <w:numId w:val="32"/>
        </w:numPr>
        <w:rPr>
          <w:noProof/>
        </w:rPr>
      </w:pPr>
      <w:r>
        <w:rPr>
          <w:noProof/>
        </w:rPr>
        <w:t>New late transposition infringement cases against Italy (2012-2016)</w:t>
      </w:r>
    </w:p>
    <w:p>
      <w:pPr>
        <w:pStyle w:val="Body"/>
        <w:rPr>
          <w:noProof/>
          <w:lang w:val="en-GB"/>
        </w:rPr>
      </w:pPr>
      <w:r>
        <w:rPr>
          <w:noProof/>
        </w:rPr>
        <w:drawing>
          <wp:inline distT="0" distB="0" distL="0" distR="0">
            <wp:extent cx="4572000" cy="2334985"/>
            <wp:effectExtent l="0" t="0" r="19050" b="27305"/>
            <wp:docPr id="71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377440"/>
            <wp:effectExtent l="0" t="0" r="22860" b="22860"/>
            <wp:docPr id="714"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These concerned:</w:t>
      </w:r>
    </w:p>
    <w:p>
      <w:pPr>
        <w:numPr>
          <w:ilvl w:val="0"/>
          <w:numId w:val="4"/>
        </w:numPr>
        <w:spacing w:after="200"/>
        <w:ind w:left="1418"/>
        <w:contextualSpacing/>
        <w:rPr>
          <w:rFonts w:ascii="Arial" w:eastAsia="Calibri" w:hAnsi="Arial" w:cs="Arial"/>
          <w:noProof/>
          <w:sz w:val="20"/>
        </w:rPr>
      </w:pPr>
      <w:r>
        <w:rPr>
          <w:rFonts w:ascii="Arial" w:eastAsia="Calibri" w:hAnsi="Arial" w:cs="Arial"/>
          <w:noProof/>
          <w:kern w:val="20"/>
          <w:sz w:val="20"/>
        </w:rPr>
        <w:t>failure to implement the Eurodac Regulation, which sets up an EU asylum fingerprint database</w:t>
      </w:r>
      <w:r>
        <w:rPr>
          <w:rFonts w:ascii="Arial" w:eastAsia="Calibri" w:hAnsi="Arial" w:cs="Arial"/>
          <w:noProof/>
          <w:sz w:val="20"/>
        </w:rPr>
        <w:t>;</w:t>
      </w:r>
      <w:r>
        <w:rPr>
          <w:rStyle w:val="FootnoteReference"/>
          <w:rFonts w:eastAsia="Calibri"/>
          <w:noProof/>
        </w:rPr>
        <w:footnoteReference w:id="301"/>
      </w:r>
    </w:p>
    <w:p>
      <w:pPr>
        <w:numPr>
          <w:ilvl w:val="0"/>
          <w:numId w:val="4"/>
        </w:numPr>
        <w:spacing w:after="200"/>
        <w:ind w:left="1418"/>
        <w:contextualSpacing/>
        <w:rPr>
          <w:rFonts w:ascii="Arial" w:eastAsia="Calibri" w:hAnsi="Arial" w:cs="Arial"/>
          <w:noProof/>
          <w:kern w:val="20"/>
          <w:sz w:val="20"/>
        </w:rPr>
      </w:pPr>
      <w:r>
        <w:rPr>
          <w:rFonts w:ascii="Arial" w:eastAsia="Calibri" w:hAnsi="Arial" w:cs="Arial"/>
          <w:noProof/>
          <w:kern w:val="20"/>
          <w:sz w:val="20"/>
        </w:rPr>
        <w:t>bad application of the Birds Directive in relation to the trapping of live decoys using nets;</w:t>
      </w:r>
      <w:r>
        <w:rPr>
          <w:rStyle w:val="FootnoteReference"/>
          <w:rFonts w:eastAsia="Calibri"/>
          <w:noProof/>
        </w:rPr>
        <w:footnoteReference w:id="302"/>
      </w:r>
    </w:p>
    <w:p>
      <w:pPr>
        <w:numPr>
          <w:ilvl w:val="0"/>
          <w:numId w:val="4"/>
        </w:numPr>
        <w:spacing w:after="200"/>
        <w:ind w:left="1418" w:hanging="425"/>
        <w:contextualSpacing/>
        <w:rPr>
          <w:rFonts w:ascii="Arial" w:hAnsi="Arial" w:cs="Arial"/>
          <w:noProof/>
          <w:sz w:val="20"/>
        </w:rPr>
      </w:pPr>
      <w:r>
        <w:rPr>
          <w:rFonts w:ascii="Arial" w:eastAsia="Calibri" w:hAnsi="Arial" w:cs="Arial"/>
          <w:noProof/>
          <w:kern w:val="20"/>
          <w:sz w:val="20"/>
        </w:rPr>
        <w:t>non-communication of national measures transposing the new Batteries Directive;</w:t>
      </w:r>
      <w:r>
        <w:rPr>
          <w:rStyle w:val="FootnoteReference"/>
          <w:rFonts w:eastAsia="Calibri"/>
          <w:noProof/>
        </w:rPr>
        <w:footnoteReference w:id="303"/>
      </w:r>
    </w:p>
    <w:p>
      <w:pPr>
        <w:numPr>
          <w:ilvl w:val="0"/>
          <w:numId w:val="4"/>
        </w:numPr>
        <w:spacing w:after="200"/>
        <w:ind w:left="1418" w:hanging="425"/>
        <w:contextualSpacing/>
        <w:rPr>
          <w:rFonts w:ascii="Arial" w:hAnsi="Arial" w:cs="Arial"/>
          <w:noProof/>
          <w:sz w:val="20"/>
        </w:rPr>
      </w:pPr>
      <w:r>
        <w:rPr>
          <w:rFonts w:ascii="Arial" w:eastAsia="Calibri" w:hAnsi="Arial" w:cs="Arial"/>
          <w:noProof/>
          <w:kern w:val="20"/>
          <w:sz w:val="20"/>
        </w:rPr>
        <w:t>completing the notification of all national measures necessary to transpose the Capital Requirements Directive</w:t>
      </w:r>
      <w:r>
        <w:rPr>
          <w:rStyle w:val="FootnoteReference"/>
          <w:rFonts w:ascii="Arial" w:hAnsi="Arial" w:cs="Arial"/>
          <w:noProof/>
          <w:sz w:val="20"/>
        </w:rPr>
        <w:footnoteReference w:id="304"/>
      </w:r>
      <w:r>
        <w:rPr>
          <w:rFonts w:ascii="Arial" w:eastAsia="Calibri" w:hAnsi="Arial" w:cs="Arial"/>
          <w:noProof/>
          <w:kern w:val="20"/>
          <w:sz w:val="20"/>
        </w:rPr>
        <w:t xml:space="preserve"> and </w:t>
      </w:r>
      <w:r>
        <w:rPr>
          <w:rFonts w:ascii="Arial" w:hAnsi="Arial" w:cs="Arial"/>
          <w:noProof/>
          <w:sz w:val="20"/>
        </w:rPr>
        <w:t>the Directive on alternative investment fund managers;</w:t>
      </w:r>
      <w:r>
        <w:rPr>
          <w:rStyle w:val="FootnoteReference"/>
          <w:noProof/>
        </w:rPr>
        <w:footnoteReference w:id="305"/>
      </w:r>
    </w:p>
    <w:p>
      <w:pPr>
        <w:numPr>
          <w:ilvl w:val="0"/>
          <w:numId w:val="4"/>
        </w:numPr>
        <w:spacing w:after="0"/>
        <w:ind w:left="1418" w:hanging="425"/>
        <w:contextualSpacing/>
        <w:rPr>
          <w:rFonts w:ascii="Arial" w:hAnsi="Arial" w:cs="Arial"/>
          <w:noProof/>
          <w:sz w:val="20"/>
        </w:rPr>
      </w:pPr>
      <w:r>
        <w:rPr>
          <w:rFonts w:ascii="Arial" w:eastAsia="Calibri" w:hAnsi="Arial"/>
          <w:noProof/>
          <w:kern w:val="20"/>
          <w:sz w:val="20"/>
        </w:rPr>
        <w:t xml:space="preserve">failure to </w:t>
      </w:r>
      <w:r>
        <w:rPr>
          <w:rFonts w:ascii="Arial" w:eastAsia="Calibri" w:hAnsi="Arial" w:cs="Arial"/>
          <w:noProof/>
          <w:kern w:val="20"/>
          <w:sz w:val="20"/>
        </w:rPr>
        <w:t>fulfil obligations under</w:t>
      </w:r>
      <w:r>
        <w:rPr>
          <w:rFonts w:ascii="Arial" w:eastAsia="Calibri" w:hAnsi="Arial"/>
          <w:noProof/>
          <w:kern w:val="20"/>
          <w:sz w:val="20"/>
        </w:rPr>
        <w:t xml:space="preserve"> the Directive on driving licences</w:t>
      </w:r>
      <w:r>
        <w:rPr>
          <w:rFonts w:ascii="Arial" w:hAnsi="Arial" w:cs="Arial"/>
          <w:noProof/>
          <w:sz w:val="20"/>
        </w:rPr>
        <w:t>;</w:t>
      </w:r>
      <w:r>
        <w:rPr>
          <w:rStyle w:val="FootnoteReference"/>
          <w:noProof/>
        </w:rPr>
        <w:footnoteReference w:id="306"/>
      </w:r>
    </w:p>
    <w:p>
      <w:pPr>
        <w:pStyle w:val="Lijstje2"/>
        <w:spacing w:after="200"/>
        <w:ind w:left="1418" w:hanging="425"/>
        <w:rPr>
          <w:rFonts w:ascii="Arial" w:hAnsi="Arial"/>
          <w:noProof/>
          <w:lang w:val="en-GB"/>
        </w:rPr>
      </w:pPr>
      <w:r>
        <w:rPr>
          <w:rFonts w:ascii="Arial" w:hAnsi="Arial"/>
          <w:noProof/>
          <w:lang w:val="en-GB"/>
        </w:rPr>
        <w:t>incorrect implementation of the principles governing the investigation of accidents in the maritime transport sector;</w:t>
      </w:r>
      <w:r>
        <w:rPr>
          <w:rStyle w:val="FootnoteReference"/>
          <w:rFonts w:ascii="Arial" w:hAnsi="Arial"/>
          <w:noProof/>
          <w:lang w:val="en-GB"/>
        </w:rPr>
        <w:footnoteReference w:id="307"/>
      </w:r>
    </w:p>
    <w:p>
      <w:pPr>
        <w:pStyle w:val="Lijstje2"/>
        <w:spacing w:after="200"/>
        <w:ind w:left="1418" w:hanging="425"/>
        <w:rPr>
          <w:rFonts w:ascii="Arial" w:hAnsi="Arial"/>
          <w:noProof/>
          <w:lang w:val="en-GB"/>
        </w:rPr>
      </w:pPr>
      <w:r>
        <w:rPr>
          <w:rFonts w:ascii="Arial" w:hAnsi="Arial"/>
          <w:noProof/>
          <w:lang w:val="en-GB"/>
        </w:rPr>
        <w:t>non-compliance with the rules on maritime cabotage.</w:t>
      </w:r>
      <w:r>
        <w:rPr>
          <w:rStyle w:val="FootnoteReference"/>
          <w:noProof/>
        </w:rPr>
        <w:footnoteReference w:id="308"/>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33"/>
        </w:numPr>
        <w:rPr>
          <w:noProof/>
        </w:rPr>
      </w:pPr>
      <w:r>
        <w:rPr>
          <w:noProof/>
        </w:rPr>
        <w:t>Court rulings</w:t>
      </w:r>
      <w:r>
        <w:rPr>
          <w:rStyle w:val="FootnoteReference"/>
          <w:noProof/>
        </w:rPr>
        <w:footnoteReference w:id="309"/>
      </w:r>
    </w:p>
    <w:p>
      <w:pPr>
        <w:pStyle w:val="Body"/>
        <w:rPr>
          <w:noProof/>
          <w:lang w:val="en-GB"/>
        </w:rPr>
      </w:pPr>
      <w:r>
        <w:rPr>
          <w:noProof/>
          <w:lang w:val="en-GB"/>
        </w:rPr>
        <w:t>The Court ruled that:</w:t>
      </w:r>
    </w:p>
    <w:p>
      <w:pPr>
        <w:pStyle w:val="Lijstje2"/>
        <w:ind w:left="1418"/>
        <w:rPr>
          <w:rFonts w:ascii="Arial" w:hAnsi="Arial" w:cs="Arial"/>
          <w:noProof/>
          <w:lang w:val="en-GB"/>
        </w:rPr>
      </w:pPr>
      <w:r>
        <w:rPr>
          <w:rFonts w:ascii="Arial" w:hAnsi="Arial"/>
          <w:noProof/>
          <w:lang w:val="en-GB"/>
        </w:rPr>
        <w:t>Italy</w:t>
      </w:r>
      <w:r>
        <w:rPr>
          <w:rFonts w:ascii="Arial" w:hAnsi="Arial" w:cs="Arial"/>
          <w:noProof/>
          <w:lang w:val="en-GB"/>
        </w:rPr>
        <w:t xml:space="preserve"> has failed to fulfil its obligations under EU law by failing to guarantee just and appropriate compensation for victims of all violent intentional crimes committed in cross-border situations. The Directive on compensation to victims of crime</w:t>
      </w:r>
      <w:r>
        <w:rPr>
          <w:rStyle w:val="FootnoteReference"/>
          <w:rFonts w:ascii="Arial" w:hAnsi="Arial" w:cs="Arial"/>
          <w:noProof/>
          <w:lang w:val="en-GB"/>
        </w:rPr>
        <w:footnoteReference w:id="310"/>
      </w:r>
      <w:r>
        <w:rPr>
          <w:rFonts w:ascii="Arial" w:hAnsi="Arial" w:cs="Arial"/>
          <w:noProof/>
          <w:lang w:val="en-GB"/>
        </w:rPr>
        <w:t xml:space="preserve"> requires that all violent intentional crimes, as defined in the national legislation of each Member State, should give access to compensation from the state. Member States may not limit the scope of the compensation scheme for victims to only certain violent intentional crimes. The Court also confirmed that the principle of the prohibition of discrimination on the basis of nationality should be observed as regards access to compensation for the victims of crime in cross-border situations.</w:t>
      </w:r>
      <w:r>
        <w:rPr>
          <w:rStyle w:val="FootnoteReference"/>
          <w:rFonts w:ascii="Arial" w:hAnsi="Arial" w:cs="Arial"/>
          <w:noProof/>
          <w:lang w:val="en-GB"/>
        </w:rPr>
        <w:footnoteReference w:id="311"/>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ind w:left="426" w:firstLine="294"/>
        <w:rPr>
          <w:noProof/>
          <w:lang w:val="en-GB"/>
        </w:rPr>
      </w:pPr>
      <w:r>
        <w:rPr>
          <w:noProof/>
          <w:lang w:val="en-GB"/>
        </w:rPr>
        <w:t>In preliminary rulings addressed to the Italian judiciary, the Court held that:</w:t>
      </w:r>
    </w:p>
    <w:p>
      <w:pPr>
        <w:pStyle w:val="Lijstje2"/>
        <w:ind w:left="1418"/>
        <w:rPr>
          <w:rFonts w:ascii="Arial" w:hAnsi="Arial" w:cs="Arial"/>
          <w:i/>
          <w:noProof/>
          <w:lang w:val="en-GB"/>
        </w:rPr>
      </w:pPr>
      <w:r>
        <w:rPr>
          <w:rFonts w:ascii="Arial" w:hAnsi="Arial" w:cs="Arial"/>
          <w:noProof/>
          <w:lang w:val="en-GB"/>
        </w:rPr>
        <w:t>the</w:t>
      </w:r>
      <w:r>
        <w:rPr>
          <w:noProof/>
          <w:lang w:val="en-GB"/>
        </w:rPr>
        <w:t xml:space="preserve"> </w:t>
      </w:r>
      <w:r>
        <w:rPr>
          <w:rFonts w:ascii="Arial" w:hAnsi="Arial" w:cs="Arial"/>
          <w:noProof/>
          <w:lang w:val="en-GB"/>
        </w:rPr>
        <w:t xml:space="preserve">Commission may require Member States to remove all plants capable of being infected by the </w:t>
      </w:r>
      <w:r>
        <w:rPr>
          <w:rFonts w:ascii="Arial" w:hAnsi="Arial" w:cs="Arial"/>
          <w:i/>
          <w:noProof/>
          <w:lang w:val="en-GB"/>
        </w:rPr>
        <w:t>Xylella fastidiosa</w:t>
      </w:r>
      <w:r>
        <w:rPr>
          <w:rFonts w:ascii="Arial" w:hAnsi="Arial" w:cs="Arial"/>
          <w:noProof/>
          <w:lang w:val="en-GB"/>
        </w:rPr>
        <w:t xml:space="preserve"> bacterium, even when there are no symptoms of infection, when such plants are in the vicinity of plants already affected by that bacterium. That measure is proportionate to the objective of protecting plant health in the European Union and is justified by the precautionary principle, taking into consideration the scientific evidence available to the Commission when the measure was adopted;</w:t>
      </w:r>
      <w:r>
        <w:rPr>
          <w:rStyle w:val="FootnoteReference"/>
          <w:rFonts w:ascii="Arial" w:hAnsi="Arial" w:cs="Arial"/>
          <w:noProof/>
          <w:lang w:val="en-GB"/>
        </w:rPr>
        <w:footnoteReference w:id="312"/>
      </w:r>
    </w:p>
    <w:p>
      <w:pPr>
        <w:pStyle w:val="Lijstje2"/>
        <w:ind w:left="1418"/>
        <w:rPr>
          <w:rFonts w:ascii="Arial" w:hAnsi="Arial" w:cs="Arial"/>
          <w:i/>
          <w:noProof/>
          <w:lang w:val="en-GB"/>
        </w:rPr>
      </w:pPr>
      <w:r>
        <w:rPr>
          <w:rFonts w:ascii="Arial" w:hAnsi="Arial" w:cs="Arial"/>
          <w:noProof/>
          <w:lang w:val="en-GB"/>
        </w:rPr>
        <w:t xml:space="preserve">the Mining Waste Directive does not have the effect of making subject to the requirements of the Landfill Directive an operation which entails the backfilling of a quarry with waste other than extractive waste, if </w:t>
      </w:r>
      <w:r>
        <w:rPr>
          <w:rFonts w:ascii="Arial" w:hAnsi="Arial" w:cs="Arial"/>
          <w:bCs/>
          <w:noProof/>
          <w:lang w:val="en-GB"/>
        </w:rPr>
        <w:t>that operation does not amount to a disposal but to a recovery of waste</w:t>
      </w:r>
      <w:r>
        <w:rPr>
          <w:rFonts w:ascii="Arial" w:hAnsi="Arial" w:cs="Arial"/>
          <w:noProof/>
          <w:lang w:val="en-GB"/>
        </w:rPr>
        <w:t>;</w:t>
      </w:r>
      <w:r>
        <w:rPr>
          <w:rStyle w:val="FootnoteReference"/>
          <w:rFonts w:ascii="Arial" w:hAnsi="Arial" w:cs="Arial"/>
          <w:noProof/>
          <w:lang w:val="en-GB"/>
        </w:rPr>
        <w:footnoteReference w:id="313"/>
      </w:r>
    </w:p>
    <w:p>
      <w:pPr>
        <w:pStyle w:val="Lijstje2"/>
        <w:ind w:left="1418" w:hanging="425"/>
        <w:rPr>
          <w:rFonts w:ascii="Arial" w:hAnsi="Arial"/>
          <w:noProof/>
          <w:lang w:val="en-GB"/>
        </w:rPr>
      </w:pPr>
      <w:r>
        <w:rPr>
          <w:rFonts w:ascii="Arial" w:hAnsi="Arial" w:cs="Arial"/>
          <w:noProof/>
          <w:lang w:val="en-GB"/>
        </w:rPr>
        <w:t xml:space="preserve">the term ‘small areas at local level’, under the </w:t>
      </w:r>
      <w:r>
        <w:rPr>
          <w:rFonts w:ascii="Arial" w:hAnsi="Arial" w:cs="Arial"/>
          <w:bCs/>
          <w:noProof/>
          <w:lang w:val="en-GB"/>
        </w:rPr>
        <w:t>Strategic Environmental Assessment Directive, refers to areas under</w:t>
      </w:r>
      <w:r>
        <w:rPr>
          <w:rFonts w:ascii="Arial" w:hAnsi="Arial" w:cs="Arial"/>
          <w:noProof/>
          <w:lang w:val="en-GB"/>
        </w:rPr>
        <w:t xml:space="preserve"> the territorial jurisdiction of the local authority preparing and/or adopting the plan or programme concerned, and which </w:t>
      </w:r>
      <w:r>
        <w:rPr>
          <w:rFonts w:ascii="Arial" w:hAnsi="Arial" w:cs="Arial"/>
          <w:bCs/>
          <w:noProof/>
          <w:lang w:val="en-GB"/>
        </w:rPr>
        <w:t>are small in size relative to that territorial jurisdiction</w:t>
      </w:r>
      <w:r>
        <w:rPr>
          <w:rFonts w:ascii="Arial" w:hAnsi="Arial" w:cs="Arial"/>
          <w:noProof/>
          <w:lang w:val="en-GB"/>
        </w:rPr>
        <w:t>;</w:t>
      </w:r>
      <w:r>
        <w:rPr>
          <w:rStyle w:val="FootnoteReference"/>
          <w:rFonts w:ascii="Arial" w:hAnsi="Arial" w:cs="Arial"/>
          <w:noProof/>
          <w:lang w:val="en-GB"/>
        </w:rPr>
        <w:footnoteReference w:id="314"/>
      </w:r>
    </w:p>
    <w:p>
      <w:pPr>
        <w:pStyle w:val="Lijstje2"/>
        <w:ind w:left="1418" w:hanging="425"/>
        <w:rPr>
          <w:rFonts w:ascii="Arial" w:hAnsi="Arial" w:cs="Arial"/>
          <w:noProof/>
          <w:lang w:val="en-GB"/>
        </w:rPr>
      </w:pPr>
      <w:r>
        <w:rPr>
          <w:rFonts w:ascii="Arial" w:hAnsi="Arial" w:cs="Arial"/>
          <w:noProof/>
          <w:lang w:val="en-GB"/>
        </w:rPr>
        <w:t>the Services Directive</w:t>
      </w:r>
      <w:r>
        <w:rPr>
          <w:rStyle w:val="FootnoteReference"/>
          <w:rFonts w:ascii="Arial" w:hAnsi="Arial" w:cs="Arial"/>
          <w:noProof/>
          <w:lang w:val="en-GB"/>
        </w:rPr>
        <w:footnoteReference w:id="315"/>
      </w:r>
      <w:r>
        <w:rPr>
          <w:rFonts w:ascii="Arial" w:hAnsi="Arial" w:cs="Arial"/>
          <w:noProof/>
          <w:lang w:val="en-GB"/>
        </w:rPr>
        <w:t xml:space="preserve"> is also applicable to maritime concessions.</w:t>
      </w:r>
      <w:r>
        <w:rPr>
          <w:rStyle w:val="FootnoteReference"/>
          <w:rFonts w:ascii="Arial" w:hAnsi="Arial" w:cs="Arial"/>
          <w:noProof/>
          <w:lang w:val="en-GB"/>
        </w:rPr>
        <w:footnoteReference w:id="316"/>
      </w:r>
    </w:p>
    <w:p>
      <w:pPr>
        <w:spacing w:after="0" w:line="276" w:lineRule="auto"/>
        <w:jc w:val="left"/>
        <w:rPr>
          <w:noProof/>
        </w:rPr>
      </w:pPr>
    </w:p>
    <w:p>
      <w:pPr>
        <w:pStyle w:val="ListParagraph"/>
        <w:spacing w:after="0"/>
        <w:ind w:left="1800"/>
        <w:rPr>
          <w:rFonts w:ascii="Arial" w:hAnsi="Arial" w:cs="Arial"/>
          <w:noProof/>
          <w:sz w:val="20"/>
        </w:rPr>
        <w:sectPr>
          <w:headerReference w:type="even" r:id="rId236"/>
          <w:headerReference w:type="default" r:id="rId237"/>
          <w:footerReference w:type="even" r:id="rId238"/>
          <w:footerReference w:type="default" r:id="rId239"/>
          <w:headerReference w:type="first" r:id="rId240"/>
          <w:footerReference w:type="first" r:id="rId241"/>
          <w:footnotePr>
            <w:numRestart w:val="eachSect"/>
          </w:footnotePr>
          <w:pgSz w:w="11906" w:h="16838"/>
          <w:pgMar w:top="1701" w:right="1417" w:bottom="1134" w:left="1417" w:header="567" w:footer="351" w:gutter="0"/>
          <w:cols w:space="708"/>
          <w:titlePg/>
          <w:docGrid w:linePitch="360"/>
        </w:sectPr>
      </w:pPr>
    </w:p>
    <w:p>
      <w:pPr>
        <w:pStyle w:val="Heading1"/>
        <w:rPr>
          <w:noProof/>
        </w:rPr>
      </w:pPr>
      <w:bookmarkStart w:id="96" w:name="_Toc444769588"/>
      <w:bookmarkStart w:id="97" w:name="_Toc444772044"/>
      <w:bookmarkStart w:id="98" w:name="_Toc444773363"/>
      <w:bookmarkStart w:id="99" w:name="_Toc444776735"/>
      <w:bookmarkStart w:id="100" w:name="_Toc475974642"/>
      <w:bookmarkStart w:id="101" w:name="_Toc475980138"/>
      <w:bookmarkStart w:id="102" w:name="_Toc475981387"/>
      <w:bookmarkStart w:id="103" w:name="_Toc477938595"/>
      <w:bookmarkStart w:id="104" w:name="_Toc475974653"/>
      <w:bookmarkStart w:id="105" w:name="_Toc475980149"/>
      <w:bookmarkStart w:id="106" w:name="_Toc475981398"/>
      <w:r>
        <w:rPr>
          <w:noProof/>
        </w:rPr>
        <w:t>Cyprus</w:t>
      </w:r>
      <w:bookmarkEnd w:id="96"/>
      <w:bookmarkEnd w:id="97"/>
      <w:bookmarkEnd w:id="98"/>
      <w:bookmarkEnd w:id="99"/>
      <w:bookmarkEnd w:id="100"/>
      <w:bookmarkEnd w:id="101"/>
      <w:bookmarkEnd w:id="102"/>
      <w:bookmarkEnd w:id="103"/>
    </w:p>
    <w:p>
      <w:pPr>
        <w:spacing w:after="120"/>
        <w:rPr>
          <w:rFonts w:ascii="Arial" w:hAnsi="Arial" w:cs="Arial"/>
          <w:i/>
          <w:noProof/>
          <w:sz w:val="22"/>
          <w:szCs w:val="22"/>
        </w:rPr>
      </w:pPr>
      <w:r>
        <w:rPr>
          <w:rFonts w:ascii="Arial" w:hAnsi="Arial" w:cs="Arial"/>
          <w:i/>
          <w:noProof/>
          <w:sz w:val="22"/>
          <w:szCs w:val="22"/>
        </w:rPr>
        <w:t>New complaints against Cyprus increased in 2016, equalling their 2014 level. The number of infringement cases open at the end of the year rose sharply to a new peak. The rising trend in new infringement cases for late transposition seen since 2012 continued, although the number remained below the 2011 level. In contrast, the number of new EU Pilot files against Cyprus dropped further.</w:t>
      </w:r>
    </w:p>
    <w:p>
      <w:pPr>
        <w:spacing w:after="120"/>
        <w:rPr>
          <w:rFonts w:ascii="Arial" w:hAnsi="Arial" w:cs="Arial"/>
          <w:i/>
          <w:noProof/>
          <w:sz w:val="22"/>
          <w:szCs w:val="22"/>
        </w:rPr>
      </w:pPr>
    </w:p>
    <w:p>
      <w:pPr>
        <w:pStyle w:val="kop2"/>
        <w:numPr>
          <w:ilvl w:val="0"/>
          <w:numId w:val="138"/>
        </w:numPr>
        <w:rPr>
          <w:noProof/>
        </w:rPr>
      </w:pPr>
      <w:r>
        <w:rPr>
          <w:noProof/>
        </w:rPr>
        <w:t>COMPLAINTS</w:t>
      </w:r>
    </w:p>
    <w:p>
      <w:pPr>
        <w:pStyle w:val="Subtitle"/>
        <w:numPr>
          <w:ilvl w:val="0"/>
          <w:numId w:val="139"/>
        </w:numPr>
        <w:rPr>
          <w:noProof/>
        </w:rPr>
      </w:pPr>
      <w:r>
        <w:rPr>
          <w:noProof/>
        </w:rPr>
        <w:t>New complaints made against Cyprus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604657" cy="2226129"/>
            <wp:effectExtent l="0" t="0" r="24765" b="22225"/>
            <wp:docPr id="414"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pPr>
        <w:pStyle w:val="Subtitle"/>
        <w:numPr>
          <w:ilvl w:val="0"/>
          <w:numId w:val="23"/>
        </w:numPr>
        <w:rPr>
          <w:noProof/>
        </w:rPr>
      </w:pPr>
      <w:r>
        <w:rPr>
          <w:noProof/>
        </w:rPr>
        <w:t>Public complaints against Cyprus open at year-end</w:t>
      </w:r>
    </w:p>
    <w:tbl>
      <w:tblPr>
        <w:tblStyle w:val="Style14"/>
        <w:tblW w:w="0" w:type="auto"/>
        <w:jc w:val="center"/>
        <w:tblInd w:w="421" w:type="dxa"/>
        <w:tblLook w:val="04A0" w:firstRow="1" w:lastRow="0" w:firstColumn="1" w:lastColumn="0" w:noHBand="0" w:noVBand="1"/>
      </w:tblPr>
      <w:tblGrid>
        <w:gridCol w:w="1697"/>
        <w:gridCol w:w="452"/>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45</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 xml:space="preserve"> 62</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 xml:space="preserve"> 70</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37</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numPr>
          <w:ilvl w:val="0"/>
          <w:numId w:val="23"/>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5543" cy="2416628"/>
            <wp:effectExtent l="0" t="0" r="13970" b="22225"/>
            <wp:docPr id="415"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pPr>
        <w:spacing w:after="200" w:line="276" w:lineRule="auto"/>
        <w:jc w:val="left"/>
        <w:rPr>
          <w:rFonts w:ascii="Arial" w:hAnsi="Arial" w:cs="Arial"/>
          <w:noProof/>
          <w:sz w:val="20"/>
        </w:rPr>
      </w:pPr>
      <w:r>
        <w:rPr>
          <w:noProof/>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140"/>
        </w:numPr>
        <w:rPr>
          <w:noProof/>
        </w:rPr>
      </w:pPr>
      <w:r>
        <w:rPr>
          <w:noProof/>
        </w:rPr>
        <w:t>New EU Pilot files opened against Cyprus (2012-2016)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591050" cy="2238375"/>
            <wp:effectExtent l="0" t="0" r="19050" b="9525"/>
            <wp:docPr id="44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pPr>
        <w:pStyle w:val="Subtitle"/>
        <w:numPr>
          <w:ilvl w:val="0"/>
          <w:numId w:val="23"/>
        </w:numPr>
        <w:rPr>
          <w:noProof/>
        </w:rPr>
      </w:pPr>
      <w:r>
        <w:rPr>
          <w:noProof/>
        </w:rPr>
        <w:t>Files relating to Cyprus open in EU Pilot at year-end</w:t>
      </w:r>
    </w:p>
    <w:p>
      <w:pPr>
        <w:spacing w:after="120"/>
        <w:ind w:firstLine="709"/>
        <w:rPr>
          <w:rFonts w:ascii="Arial" w:hAnsi="Arial" w:cs="Arial"/>
          <w:noProof/>
          <w:sz w:val="20"/>
        </w:rPr>
      </w:pPr>
      <w:r>
        <w:rPr>
          <w:rFonts w:ascii="Arial" w:hAnsi="Arial" w:cs="Arial"/>
          <w:noProof/>
          <w:sz w:val="20"/>
          <w:lang w:val="en-US"/>
        </w:rPr>
        <w:drawing>
          <wp:inline distT="0" distB="0" distL="0" distR="0">
            <wp:extent cx="4591050" cy="2238375"/>
            <wp:effectExtent l="0" t="0" r="19050" b="9525"/>
            <wp:docPr id="13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pPr>
        <w:pStyle w:val="Subtitle"/>
        <w:numPr>
          <w:ilvl w:val="0"/>
          <w:numId w:val="23"/>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423160"/>
            <wp:effectExtent l="0" t="0" r="15240" b="15240"/>
            <wp:docPr id="449"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23"/>
        </w:numPr>
        <w:rPr>
          <w:noProof/>
        </w:rPr>
      </w:pPr>
      <w:r>
        <w:rPr>
          <w:noProof/>
        </w:rPr>
        <w:t>EU Pilot files: Cyprus’s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9620" cy="2209800"/>
            <wp:effectExtent l="0" t="0" r="11430" b="19050"/>
            <wp:docPr id="45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pPr>
        <w:pStyle w:val="Subtitle"/>
        <w:numPr>
          <w:ilvl w:val="0"/>
          <w:numId w:val="23"/>
        </w:numPr>
        <w:rPr>
          <w:noProof/>
        </w:rPr>
      </w:pPr>
      <w:r>
        <w:rPr>
          <w:noProof/>
        </w:rPr>
        <w:t>EU Pilot files: Cyprus’s resolution rate in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2886" cy="2302328"/>
            <wp:effectExtent l="0" t="0" r="27305" b="22225"/>
            <wp:docPr id="451"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141"/>
        </w:numPr>
        <w:rPr>
          <w:noProof/>
        </w:rPr>
      </w:pPr>
      <w:r>
        <w:rPr>
          <w:noProof/>
        </w:rPr>
        <w:t>Infringement cases against Cyprus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2886" cy="2286000"/>
            <wp:effectExtent l="0" t="0" r="27305" b="19050"/>
            <wp:docPr id="452"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pPr>
        <w:spacing w:after="200" w:line="276" w:lineRule="auto"/>
        <w:jc w:val="left"/>
        <w:rPr>
          <w:rFonts w:ascii="Arial" w:hAnsi="Arial"/>
          <w:noProof/>
          <w:color w:val="002060"/>
          <w:sz w:val="22"/>
          <w:szCs w:val="22"/>
        </w:rPr>
      </w:pPr>
      <w:r>
        <w:rPr>
          <w:noProof/>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324100"/>
            <wp:effectExtent l="0" t="0" r="13970" b="19050"/>
            <wp:docPr id="453"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57"/>
        </w:numPr>
        <w:ind w:hanging="426"/>
        <w:rPr>
          <w:rFonts w:ascii="Arial" w:hAnsi="Arial" w:cs="Arial"/>
          <w:noProof/>
          <w:lang w:val="en-GB"/>
        </w:rPr>
      </w:pPr>
      <w:r>
        <w:rPr>
          <w:rFonts w:ascii="Arial" w:hAnsi="Arial" w:cs="Arial"/>
          <w:noProof/>
          <w:lang w:val="en-GB"/>
        </w:rPr>
        <w:t>The Commission opened 45 new infringement cases against Cyprus in 2016. These, and other major ongoing infringement cases, include:</w:t>
      </w:r>
    </w:p>
    <w:p>
      <w:pPr>
        <w:pStyle w:val="Lijstje2"/>
        <w:spacing w:after="200"/>
        <w:ind w:left="1843" w:hanging="426"/>
        <w:rPr>
          <w:rFonts w:ascii="Arial" w:hAnsi="Arial" w:cs="Arial"/>
          <w:noProof/>
          <w:lang w:val="en-GB"/>
        </w:rPr>
      </w:pPr>
      <w:r>
        <w:rPr>
          <w:rFonts w:ascii="Arial" w:hAnsi="Arial" w:cs="Arial"/>
          <w:noProof/>
          <w:lang w:val="en-GB" w:eastAsia="en-GB"/>
        </w:rPr>
        <w:t>non-compliance with the Regulation on the marketing and use of explosives precursors;</w:t>
      </w:r>
      <w:r>
        <w:rPr>
          <w:rStyle w:val="FootnoteReference"/>
          <w:rFonts w:ascii="Arial" w:hAnsi="Arial" w:cs="Arial"/>
          <w:noProof/>
          <w:lang w:val="en-GB" w:eastAsia="en-GB"/>
        </w:rPr>
        <w:footnoteReference w:id="317"/>
      </w:r>
    </w:p>
    <w:p>
      <w:pPr>
        <w:pStyle w:val="Lijstje2"/>
        <w:spacing w:after="200"/>
        <w:ind w:left="1843" w:hanging="426"/>
        <w:rPr>
          <w:rFonts w:ascii="Arial" w:hAnsi="Arial" w:cs="Arial"/>
          <w:noProof/>
          <w:lang w:val="en-GB"/>
        </w:rPr>
      </w:pPr>
      <w:r>
        <w:rPr>
          <w:rFonts w:ascii="Arial" w:eastAsia="Times New Roman" w:hAnsi="Arial" w:cs="Arial"/>
          <w:noProof/>
          <w:kern w:val="0"/>
          <w:lang w:val="en-GB"/>
        </w:rPr>
        <w:t>lack of waste management plans and waste prevention programmes required under the Waste Framework Directive;</w:t>
      </w:r>
      <w:r>
        <w:rPr>
          <w:rStyle w:val="FootnoteReference"/>
          <w:noProof/>
        </w:rPr>
        <w:footnoteReference w:id="318"/>
      </w:r>
    </w:p>
    <w:p>
      <w:pPr>
        <w:pStyle w:val="Lijstje2"/>
        <w:spacing w:after="200"/>
        <w:ind w:left="1843" w:hanging="425"/>
        <w:rPr>
          <w:rFonts w:ascii="Arial" w:hAnsi="Arial" w:cs="Arial"/>
          <w:noProof/>
          <w:lang w:val="en-GB"/>
        </w:rPr>
      </w:pPr>
      <w:r>
        <w:rPr>
          <w:rFonts w:ascii="Arial" w:hAnsi="Arial" w:cs="Arial"/>
          <w:noProof/>
          <w:lang w:val="en-GB"/>
        </w:rPr>
        <w:t>failure to communicate all national measures transposing the Mortgage Credit Directive;</w:t>
      </w:r>
      <w:r>
        <w:rPr>
          <w:rStyle w:val="FootnoteReference"/>
          <w:rFonts w:ascii="Arial" w:hAnsi="Arial" w:cs="Arial"/>
          <w:noProof/>
          <w:lang w:val="en-GB"/>
        </w:rPr>
        <w:footnoteReference w:id="319"/>
      </w:r>
    </w:p>
    <w:p>
      <w:pPr>
        <w:pStyle w:val="Lijstje2"/>
        <w:spacing w:after="200"/>
        <w:ind w:left="1843" w:hanging="425"/>
        <w:rPr>
          <w:rFonts w:ascii="Arial" w:hAnsi="Arial" w:cs="Arial"/>
          <w:noProof/>
          <w:lang w:val="en-GB"/>
        </w:rPr>
      </w:pPr>
      <w:r>
        <w:rPr>
          <w:rFonts w:ascii="Arial" w:hAnsi="Arial" w:cs="Arial"/>
          <w:noProof/>
          <w:lang w:val="en-GB"/>
        </w:rPr>
        <w:t>failure to communicate all national measures transposing the Accounting Directive;</w:t>
      </w:r>
      <w:r>
        <w:rPr>
          <w:rStyle w:val="FootnoteReference"/>
          <w:rFonts w:ascii="Arial" w:hAnsi="Arial" w:cs="Arial"/>
          <w:noProof/>
          <w:lang w:val="en-GB"/>
        </w:rPr>
        <w:footnoteReference w:id="320"/>
      </w:r>
    </w:p>
    <w:p>
      <w:pPr>
        <w:pStyle w:val="Lijstje2"/>
        <w:spacing w:after="200"/>
        <w:ind w:left="1843" w:hanging="425"/>
        <w:rPr>
          <w:rFonts w:ascii="Arial" w:hAnsi="Arial" w:cs="Arial"/>
          <w:noProof/>
          <w:lang w:val="en-GB"/>
        </w:rPr>
      </w:pPr>
      <w:r>
        <w:rPr>
          <w:rFonts w:ascii="Arial" w:hAnsi="Arial" w:cs="Arial"/>
          <w:noProof/>
          <w:lang w:val="en-GB"/>
        </w:rPr>
        <w:t>incorrect implementation of the Directive on accident investigations;</w:t>
      </w:r>
      <w:r>
        <w:rPr>
          <w:rStyle w:val="FootnoteReference"/>
          <w:rFonts w:ascii="Arial" w:hAnsi="Arial" w:cs="Arial"/>
          <w:noProof/>
          <w:lang w:val="en-GB"/>
        </w:rPr>
        <w:footnoteReference w:id="321"/>
      </w:r>
    </w:p>
    <w:p>
      <w:pPr>
        <w:pStyle w:val="Lijstje2"/>
        <w:spacing w:after="200"/>
        <w:ind w:left="1843" w:hanging="425"/>
        <w:rPr>
          <w:rFonts w:ascii="Arial" w:hAnsi="Arial" w:cs="Arial"/>
          <w:noProof/>
          <w:lang w:val="en-GB"/>
        </w:rPr>
      </w:pPr>
      <w:r>
        <w:rPr>
          <w:rFonts w:ascii="Arial" w:hAnsi="Arial" w:cs="Arial"/>
          <w:noProof/>
          <w:lang w:val="en-GB"/>
        </w:rPr>
        <w:t>incorrect implementation of the Directive on port State control;</w:t>
      </w:r>
      <w:r>
        <w:rPr>
          <w:rStyle w:val="FootnoteReference"/>
          <w:rFonts w:ascii="Arial" w:hAnsi="Arial" w:cs="Arial"/>
          <w:noProof/>
          <w:lang w:val="en-GB"/>
        </w:rPr>
        <w:footnoteReference w:id="322"/>
      </w:r>
    </w:p>
    <w:p>
      <w:pPr>
        <w:pStyle w:val="Lijstje2"/>
        <w:spacing w:after="200"/>
        <w:ind w:left="1843" w:hanging="425"/>
        <w:rPr>
          <w:rFonts w:ascii="Arial" w:hAnsi="Arial" w:cs="Arial"/>
          <w:noProof/>
          <w:lang w:val="en-GB"/>
        </w:rPr>
      </w:pPr>
      <w:r>
        <w:rPr>
          <w:rFonts w:ascii="Arial" w:hAnsi="Arial" w:cs="Arial"/>
          <w:noProof/>
          <w:lang w:val="en-GB"/>
        </w:rPr>
        <w:t>failure to correctly transpose EU rules on driving licences;</w:t>
      </w:r>
      <w:r>
        <w:rPr>
          <w:rStyle w:val="FootnoteReference"/>
          <w:rFonts w:ascii="Arial" w:hAnsi="Arial" w:cs="Arial"/>
          <w:noProof/>
          <w:lang w:val="en-GB"/>
        </w:rPr>
        <w:footnoteReference w:id="323"/>
      </w:r>
    </w:p>
    <w:p>
      <w:pPr>
        <w:pStyle w:val="Lijstje2"/>
        <w:spacing w:after="200"/>
        <w:ind w:left="1843" w:hanging="425"/>
        <w:rPr>
          <w:rFonts w:ascii="Arial" w:hAnsi="Arial" w:cs="Arial"/>
          <w:noProof/>
          <w:lang w:val="en-GB" w:eastAsia="en-GB"/>
        </w:rPr>
      </w:pPr>
      <w:r>
        <w:rPr>
          <w:rFonts w:ascii="Arial" w:hAnsi="Arial" w:cs="Arial"/>
          <w:noProof/>
          <w:lang w:val="en-GB"/>
        </w:rPr>
        <w:t>non-communication of national measures transposing the Maritime Spatial Planning Directive;</w:t>
      </w:r>
      <w:r>
        <w:rPr>
          <w:rStyle w:val="FootnoteReference"/>
          <w:noProof/>
        </w:rPr>
        <w:footnoteReference w:id="324"/>
      </w:r>
      <w:r>
        <w:rPr>
          <w:rFonts w:ascii="Arial" w:hAnsi="Arial" w:cs="Arial"/>
          <w:noProof/>
          <w:lang w:val="en-GB"/>
        </w:rPr>
        <w:t xml:space="preserve"> </w:t>
      </w:r>
    </w:p>
    <w:p>
      <w:pPr>
        <w:pStyle w:val="Lijstje2"/>
        <w:spacing w:after="200"/>
        <w:ind w:left="1843" w:hanging="425"/>
        <w:rPr>
          <w:rFonts w:ascii="Arial" w:hAnsi="Arial" w:cs="Arial"/>
          <w:noProof/>
          <w:lang w:val="en-GB" w:eastAsia="en-GB"/>
        </w:rPr>
      </w:pPr>
      <w:r>
        <w:rPr>
          <w:rFonts w:ascii="Arial" w:hAnsi="Arial" w:cs="Arial"/>
          <w:noProof/>
          <w:lang w:val="en-GB"/>
        </w:rPr>
        <w:t>excessive and unjustified obstacles in the area of professional services that run counter to the Services Directive;</w:t>
      </w:r>
      <w:r>
        <w:rPr>
          <w:rStyle w:val="FootnoteReference"/>
          <w:noProof/>
        </w:rPr>
        <w:footnoteReference w:id="325"/>
      </w:r>
      <w:r>
        <w:rPr>
          <w:rFonts w:ascii="Arial" w:hAnsi="Arial" w:cs="Arial"/>
          <w:noProof/>
          <w:vertAlign w:val="superscript"/>
          <w:lang w:val="en-GB"/>
        </w:rPr>
        <w:t xml:space="preserve"> </w:t>
      </w:r>
    </w:p>
    <w:p>
      <w:pPr>
        <w:pStyle w:val="Lijstje2"/>
        <w:ind w:left="1843" w:hanging="425"/>
        <w:rPr>
          <w:rFonts w:ascii="Arial" w:hAnsi="Arial" w:cs="Arial"/>
          <w:noProof/>
          <w:lang w:val="en-GB"/>
        </w:rPr>
      </w:pPr>
      <w:r>
        <w:rPr>
          <w:rFonts w:ascii="Arial" w:hAnsi="Arial" w:cs="Arial"/>
          <w:noProof/>
          <w:lang w:val="en-GB"/>
        </w:rPr>
        <w:t>failure to transpose in full two Directives on public procurement and concessions;</w:t>
      </w:r>
      <w:r>
        <w:rPr>
          <w:rStyle w:val="FootnoteReference"/>
          <w:rFonts w:ascii="Arial" w:hAnsi="Arial" w:cs="Arial"/>
          <w:noProof/>
          <w:lang w:val="en-GB"/>
        </w:rPr>
        <w:footnoteReference w:id="326"/>
      </w:r>
    </w:p>
    <w:p>
      <w:pPr>
        <w:pStyle w:val="Lijstje2"/>
        <w:ind w:left="1843" w:hanging="425"/>
        <w:rPr>
          <w:rFonts w:ascii="Arial" w:hAnsi="Arial" w:cs="Arial"/>
          <w:noProof/>
          <w:lang w:val="en-GB"/>
        </w:rPr>
      </w:pPr>
      <w:r>
        <w:rPr>
          <w:rFonts w:ascii="Arial" w:hAnsi="Arial" w:cs="Arial"/>
          <w:noProof/>
          <w:lang w:val="en-GB"/>
        </w:rPr>
        <w:t xml:space="preserve">failure </w:t>
      </w:r>
      <w:r>
        <w:rPr>
          <w:rFonts w:ascii="Arial" w:hAnsi="Arial"/>
          <w:noProof/>
          <w:lang w:val="en-GB"/>
        </w:rPr>
        <w:t>to transpose in full the Directive amending EU legislation on the recognition of professional qualifications and the Internal Market Information System</w:t>
      </w:r>
      <w:r>
        <w:rPr>
          <w:rFonts w:ascii="Arial" w:hAnsi="Arial" w:cs="Arial"/>
          <w:noProof/>
          <w:lang w:val="en-GB"/>
        </w:rPr>
        <w:t>;</w:t>
      </w:r>
      <w:r>
        <w:rPr>
          <w:rStyle w:val="FootnoteReference"/>
          <w:rFonts w:ascii="Arial" w:hAnsi="Arial" w:cs="Arial"/>
          <w:noProof/>
          <w:lang w:val="en-GB"/>
        </w:rPr>
        <w:footnoteReference w:id="327"/>
      </w:r>
    </w:p>
    <w:p>
      <w:pPr>
        <w:pStyle w:val="Lijstje2"/>
        <w:ind w:left="1843" w:hanging="425"/>
        <w:rPr>
          <w:rFonts w:ascii="Arial" w:hAnsi="Arial" w:cs="Arial"/>
          <w:noProof/>
          <w:lang w:val="en-GB"/>
        </w:rPr>
      </w:pPr>
      <w:r>
        <w:rPr>
          <w:rFonts w:ascii="Arial" w:hAnsi="Arial" w:cs="Arial"/>
          <w:noProof/>
          <w:lang w:val="en-GB"/>
        </w:rPr>
        <w:t>failure to notify transposition measures for the Tobacco Directive.</w:t>
      </w:r>
      <w:r>
        <w:rPr>
          <w:rStyle w:val="FootnoteReference"/>
          <w:rFonts w:ascii="Arial" w:hAnsi="Arial" w:cs="Arial"/>
          <w:noProof/>
          <w:lang w:val="en-GB"/>
        </w:rPr>
        <w:footnoteReference w:id="328"/>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260(2)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142"/>
        </w:numPr>
        <w:rPr>
          <w:noProof/>
        </w:rPr>
      </w:pPr>
      <w:r>
        <w:rPr>
          <w:noProof/>
        </w:rPr>
        <w:t>Late transposition infringement cases against Cyprus open on 31 December (2012-2016)</w:t>
      </w:r>
    </w:p>
    <w:p>
      <w:pPr>
        <w:ind w:left="426" w:firstLine="283"/>
        <w:rPr>
          <w:noProof/>
        </w:rPr>
      </w:pPr>
      <w:r>
        <w:rPr>
          <w:noProof/>
          <w:lang w:val="en-US"/>
        </w:rPr>
        <w:drawing>
          <wp:inline distT="0" distB="0" distL="0" distR="0">
            <wp:extent cx="4593771" cy="1997529"/>
            <wp:effectExtent l="0" t="0" r="16510" b="22225"/>
            <wp:docPr id="454"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pPr>
        <w:pStyle w:val="Subtitle"/>
        <w:numPr>
          <w:ilvl w:val="0"/>
          <w:numId w:val="23"/>
        </w:numPr>
        <w:rPr>
          <w:noProof/>
        </w:rPr>
      </w:pPr>
      <w:r>
        <w:rPr>
          <w:noProof/>
        </w:rPr>
        <w:t>New late transposition infringement cases against Cyprus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93771" cy="1997529"/>
            <wp:effectExtent l="0" t="0" r="16510" b="22225"/>
            <wp:docPr id="455"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pPr>
        <w:pStyle w:val="Subtitle"/>
        <w:numPr>
          <w:ilvl w:val="0"/>
          <w:numId w:val="23"/>
        </w:numPr>
        <w:rPr>
          <w:noProof/>
        </w:rPr>
      </w:pPr>
      <w:r>
        <w:rPr>
          <w:noProof/>
        </w:rPr>
        <w:t>New late transposition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94860" cy="2385060"/>
            <wp:effectExtent l="0" t="0" r="15240" b="15240"/>
            <wp:docPr id="456"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These concerned:</w:t>
      </w:r>
    </w:p>
    <w:p>
      <w:pPr>
        <w:numPr>
          <w:ilvl w:val="0"/>
          <w:numId w:val="4"/>
        </w:numPr>
        <w:spacing w:after="120"/>
        <w:ind w:left="1276"/>
        <w:contextualSpacing/>
        <w:rPr>
          <w:rFonts w:ascii="Arial" w:eastAsia="Calibri" w:hAnsi="Arial"/>
          <w:noProof/>
          <w:kern w:val="20"/>
          <w:sz w:val="20"/>
        </w:rPr>
      </w:pPr>
      <w:r>
        <w:rPr>
          <w:rFonts w:ascii="Arial" w:eastAsia="Calibri" w:hAnsi="Arial" w:cs="Arial"/>
          <w:noProof/>
          <w:kern w:val="20"/>
          <w:sz w:val="20"/>
        </w:rPr>
        <w:t>failure to implement the Eurodac Regulation, which sets up an EU asylum fingerprint database;</w:t>
      </w:r>
      <w:r>
        <w:rPr>
          <w:rStyle w:val="FootnoteReference"/>
          <w:rFonts w:ascii="Arial" w:eastAsia="Calibri" w:hAnsi="Arial" w:cs="Arial"/>
          <w:noProof/>
          <w:kern w:val="20"/>
          <w:sz w:val="20"/>
        </w:rPr>
        <w:footnoteReference w:id="329"/>
      </w:r>
    </w:p>
    <w:p>
      <w:pPr>
        <w:numPr>
          <w:ilvl w:val="0"/>
          <w:numId w:val="4"/>
        </w:numPr>
        <w:spacing w:after="200"/>
        <w:ind w:left="1276"/>
        <w:contextualSpacing/>
        <w:rPr>
          <w:rFonts w:ascii="Arial" w:eastAsia="Calibri" w:hAnsi="Arial" w:cs="Arial"/>
          <w:noProof/>
          <w:kern w:val="20"/>
          <w:sz w:val="20"/>
        </w:rPr>
      </w:pPr>
      <w:r>
        <w:rPr>
          <w:rFonts w:ascii="Arial" w:eastAsia="Calibri" w:hAnsi="Arial" w:cs="Arial"/>
          <w:noProof/>
          <w:kern w:val="20"/>
          <w:sz w:val="20"/>
        </w:rPr>
        <w:t>non-communication of national measures transposing the new Batteries Directive;</w:t>
      </w:r>
      <w:r>
        <w:rPr>
          <w:rStyle w:val="FootnoteReference"/>
          <w:rFonts w:eastAsia="Calibri"/>
          <w:noProof/>
        </w:rPr>
        <w:footnoteReference w:id="330"/>
      </w:r>
    </w:p>
    <w:p>
      <w:pPr>
        <w:numPr>
          <w:ilvl w:val="0"/>
          <w:numId w:val="4"/>
        </w:numPr>
        <w:spacing w:after="200"/>
        <w:ind w:left="1276"/>
        <w:contextualSpacing/>
        <w:rPr>
          <w:rFonts w:ascii="Arial" w:eastAsia="Calibri" w:hAnsi="Arial" w:cs="Arial"/>
          <w:noProof/>
          <w:kern w:val="20"/>
          <w:sz w:val="20"/>
        </w:rPr>
      </w:pPr>
      <w:r>
        <w:rPr>
          <w:rFonts w:ascii="Arial" w:eastAsia="Calibri" w:hAnsi="Arial" w:cs="Arial"/>
          <w:noProof/>
          <w:kern w:val="20"/>
          <w:sz w:val="20"/>
        </w:rPr>
        <w:t>non-communication of national measures transposing the Directive on priority substances in the field of water policy;</w:t>
      </w:r>
      <w:r>
        <w:rPr>
          <w:rStyle w:val="FootnoteReference"/>
          <w:rFonts w:eastAsia="Calibri"/>
          <w:noProof/>
        </w:rPr>
        <w:footnoteReference w:id="331"/>
      </w:r>
    </w:p>
    <w:p>
      <w:pPr>
        <w:numPr>
          <w:ilvl w:val="0"/>
          <w:numId w:val="4"/>
        </w:numPr>
        <w:spacing w:after="200"/>
        <w:ind w:left="1276"/>
        <w:contextualSpacing/>
        <w:rPr>
          <w:rFonts w:ascii="Arial" w:eastAsia="Calibri" w:hAnsi="Arial" w:cs="Arial"/>
          <w:noProof/>
          <w:kern w:val="20"/>
          <w:sz w:val="20"/>
        </w:rPr>
      </w:pPr>
      <w:r>
        <w:rPr>
          <w:rFonts w:ascii="Arial" w:eastAsia="Calibri" w:hAnsi="Arial" w:cs="Arial"/>
          <w:noProof/>
          <w:kern w:val="20"/>
          <w:sz w:val="20"/>
        </w:rPr>
        <w:t>possible discrimination of nationals of other Member States regarding bus fares;</w:t>
      </w:r>
      <w:r>
        <w:rPr>
          <w:rStyle w:val="FootnoteReference"/>
          <w:rFonts w:eastAsia="Calibri"/>
          <w:noProof/>
        </w:rPr>
        <w:footnoteReference w:id="332"/>
      </w:r>
    </w:p>
    <w:p>
      <w:pPr>
        <w:numPr>
          <w:ilvl w:val="0"/>
          <w:numId w:val="4"/>
        </w:numPr>
        <w:spacing w:after="200"/>
        <w:ind w:left="1276" w:hanging="357"/>
        <w:rPr>
          <w:rFonts w:ascii="Arial" w:eastAsia="Calibri" w:hAnsi="Arial" w:cs="Arial"/>
          <w:noProof/>
          <w:kern w:val="20"/>
          <w:sz w:val="20"/>
        </w:rPr>
      </w:pPr>
      <w:r>
        <w:rPr>
          <w:rFonts w:ascii="Arial" w:eastAsia="Calibri" w:hAnsi="Arial" w:cs="Arial"/>
          <w:noProof/>
          <w:kern w:val="20"/>
          <w:sz w:val="20"/>
        </w:rPr>
        <w:t>completing the transposition of the Directive on over-reliance on credit ratings.</w:t>
      </w:r>
      <w:r>
        <w:rPr>
          <w:rStyle w:val="FootnoteReference"/>
          <w:rFonts w:ascii="Arial" w:eastAsia="Calibri" w:hAnsi="Arial" w:cs="Arial"/>
          <w:noProof/>
          <w:kern w:val="20"/>
          <w:sz w:val="20"/>
        </w:rPr>
        <w:footnoteReference w:id="333"/>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143"/>
        </w:numPr>
        <w:rPr>
          <w:noProof/>
        </w:rPr>
      </w:pPr>
      <w:r>
        <w:rPr>
          <w:noProof/>
        </w:rPr>
        <w:t>Court rulings</w:t>
      </w:r>
      <w:r>
        <w:rPr>
          <w:rStyle w:val="FootnoteReference"/>
          <w:noProof/>
        </w:rPr>
        <w:footnoteReference w:id="334"/>
      </w:r>
    </w:p>
    <w:p>
      <w:pPr>
        <w:pStyle w:val="Body"/>
        <w:rPr>
          <w:noProof/>
          <w:lang w:val="en-GB"/>
        </w:rPr>
      </w:pPr>
      <w:r>
        <w:rPr>
          <w:noProof/>
          <w:lang w:val="en-GB"/>
        </w:rPr>
        <w:t>The Court ruled that:</w:t>
      </w:r>
    </w:p>
    <w:p>
      <w:pPr>
        <w:pStyle w:val="Lijstje2"/>
        <w:ind w:left="1701" w:hanging="283"/>
        <w:rPr>
          <w:rFonts w:ascii="Arial" w:hAnsi="Arial" w:cs="Arial"/>
          <w:noProof/>
          <w:lang w:val="en-GB"/>
        </w:rPr>
      </w:pPr>
      <w:r>
        <w:rPr>
          <w:rFonts w:ascii="Arial" w:hAnsi="Arial" w:cs="Arial"/>
          <w:noProof/>
          <w:lang w:val="en-GB"/>
        </w:rPr>
        <w:t>Cyprus has treated migrant workers unequally by providing that those who left the national civil service to work within the EU institutions or within another international organisation lose their pension right and receive only a lump sum payment. By contrast, civil servants who remained in their position or took up another civil service position in Cyprus received the lump sum and retained their pension right.</w:t>
      </w:r>
      <w:r>
        <w:rPr>
          <w:rStyle w:val="FootnoteReference"/>
          <w:noProof/>
          <w:color w:val="002060"/>
          <w:szCs w:val="22"/>
          <w:lang w:val="en-GB"/>
        </w:rPr>
        <w:footnoteReference w:id="335"/>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spacing w:after="120"/>
        <w:ind w:left="698" w:firstLine="22"/>
        <w:rPr>
          <w:rFonts w:ascii="Arial" w:eastAsia="Calibri" w:hAnsi="Arial"/>
          <w:noProof/>
          <w:sz w:val="20"/>
        </w:rPr>
      </w:pPr>
      <w:r>
        <w:rPr>
          <w:rFonts w:ascii="Arial" w:hAnsi="Arial" w:cs="Arial"/>
          <w:noProof/>
          <w:sz w:val="20"/>
        </w:rPr>
        <w:t>No major preliminary rulings were addressed to the Cyprus judiciary in 2016.</w:t>
      </w:r>
    </w:p>
    <w:p>
      <w:pPr>
        <w:spacing w:after="0"/>
        <w:jc w:val="left"/>
        <w:rPr>
          <w:noProof/>
        </w:rPr>
        <w:sectPr>
          <w:headerReference w:type="even" r:id="rId254"/>
          <w:headerReference w:type="default" r:id="rId255"/>
          <w:footerReference w:type="even" r:id="rId256"/>
          <w:footerReference w:type="default" r:id="rId257"/>
          <w:headerReference w:type="first" r:id="rId258"/>
          <w:footerReference w:type="first" r:id="rId259"/>
          <w:footnotePr>
            <w:numRestart w:val="eachSect"/>
          </w:footnotePr>
          <w:pgSz w:w="11906" w:h="16838"/>
          <w:pgMar w:top="1701" w:right="1417" w:bottom="1134" w:left="1417" w:header="567" w:footer="351" w:gutter="0"/>
          <w:cols w:space="708"/>
          <w:titlePg/>
          <w:docGrid w:linePitch="360"/>
        </w:sectPr>
      </w:pPr>
    </w:p>
    <w:p>
      <w:pPr>
        <w:pStyle w:val="Heading1"/>
        <w:rPr>
          <w:noProof/>
        </w:rPr>
      </w:pPr>
      <w:bookmarkStart w:id="107" w:name="_Toc477938596"/>
      <w:r>
        <w:rPr>
          <w:noProof/>
        </w:rPr>
        <w:t>Latvia</w:t>
      </w:r>
      <w:bookmarkEnd w:id="104"/>
      <w:bookmarkEnd w:id="105"/>
      <w:bookmarkEnd w:id="106"/>
      <w:bookmarkEnd w:id="107"/>
    </w:p>
    <w:p>
      <w:pPr>
        <w:spacing w:after="120"/>
        <w:rPr>
          <w:rFonts w:ascii="Arial" w:hAnsi="Arial" w:cs="Arial"/>
          <w:i/>
          <w:noProof/>
          <w:sz w:val="22"/>
          <w:szCs w:val="22"/>
        </w:rPr>
      </w:pPr>
      <w:r>
        <w:rPr>
          <w:rFonts w:ascii="Arial" w:hAnsi="Arial" w:cs="Arial"/>
          <w:i/>
          <w:noProof/>
          <w:sz w:val="22"/>
          <w:szCs w:val="22"/>
        </w:rPr>
        <w:t xml:space="preserve">All the main indicators for Latvia worsened in 2016. </w:t>
      </w:r>
      <w:r>
        <w:rPr>
          <w:rFonts w:ascii="Arial" w:hAnsi="Arial"/>
          <w:i/>
          <w:noProof/>
          <w:sz w:val="22"/>
        </w:rPr>
        <w:t>New complaints doubled to their highest level since 2012 while the number of new EU Pilot files rose slightly after several years of steady decrease. Open infringement cases and new cases for late transposition both continued to increase.</w:t>
      </w:r>
    </w:p>
    <w:p>
      <w:pPr>
        <w:spacing w:after="120"/>
        <w:rPr>
          <w:rFonts w:ascii="Arial" w:hAnsi="Arial" w:cs="Arial"/>
          <w:i/>
          <w:noProof/>
          <w:sz w:val="22"/>
          <w:szCs w:val="22"/>
        </w:rPr>
      </w:pPr>
    </w:p>
    <w:p>
      <w:pPr>
        <w:pStyle w:val="kop2"/>
        <w:numPr>
          <w:ilvl w:val="0"/>
          <w:numId w:val="9"/>
        </w:numPr>
        <w:rPr>
          <w:noProof/>
        </w:rPr>
      </w:pPr>
      <w:r>
        <w:rPr>
          <w:noProof/>
        </w:rPr>
        <w:t>COMPLAINTS</w:t>
      </w:r>
    </w:p>
    <w:p>
      <w:pPr>
        <w:pStyle w:val="Subtitle"/>
        <w:numPr>
          <w:ilvl w:val="0"/>
          <w:numId w:val="34"/>
        </w:numPr>
        <w:rPr>
          <w:noProof/>
        </w:rPr>
      </w:pPr>
      <w:r>
        <w:rPr>
          <w:noProof/>
        </w:rPr>
        <w:t>New complaints made against Latvia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77443" cy="2062843"/>
            <wp:effectExtent l="0" t="0" r="13970" b="13970"/>
            <wp:docPr id="736"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pPr>
        <w:pStyle w:val="Subtitle"/>
        <w:numPr>
          <w:ilvl w:val="0"/>
          <w:numId w:val="34"/>
        </w:numPr>
        <w:rPr>
          <w:noProof/>
        </w:rPr>
      </w:pPr>
      <w:r>
        <w:rPr>
          <w:noProof/>
        </w:rPr>
        <w:t>Public complaints against Latvia open at year-end</w:t>
      </w:r>
    </w:p>
    <w:tbl>
      <w:tblPr>
        <w:tblStyle w:val="Style115"/>
        <w:tblW w:w="0" w:type="auto"/>
        <w:jc w:val="center"/>
        <w:tblInd w:w="421" w:type="dxa"/>
        <w:tblLook w:val="04A0" w:firstRow="1" w:lastRow="0" w:firstColumn="1" w:lastColumn="0" w:noHBand="0" w:noVBand="1"/>
      </w:tblPr>
      <w:tblGrid>
        <w:gridCol w:w="1697"/>
        <w:gridCol w:w="452"/>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18</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35</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27</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26</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pStyle w:val="Subtitle"/>
        <w:numPr>
          <w:ilvl w:val="0"/>
          <w:numId w:val="0"/>
        </w:numPr>
        <w:ind w:left="786"/>
        <w:rPr>
          <w:noProof/>
        </w:rPr>
      </w:pPr>
    </w:p>
    <w:p>
      <w:pPr>
        <w:pStyle w:val="Subtitle"/>
        <w:numPr>
          <w:ilvl w:val="0"/>
          <w:numId w:val="34"/>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7720" cy="2316480"/>
            <wp:effectExtent l="0" t="0" r="11430" b="26670"/>
            <wp:docPr id="737"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pPr>
        <w:spacing w:after="200" w:line="276" w:lineRule="auto"/>
        <w:jc w:val="left"/>
        <w:rPr>
          <w:rFonts w:ascii="Arial" w:hAnsi="Arial" w:cs="Arial"/>
          <w:noProof/>
          <w:sz w:val="20"/>
        </w:rPr>
      </w:pPr>
      <w:r>
        <w:rPr>
          <w:noProof/>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35"/>
        </w:numPr>
        <w:rPr>
          <w:noProof/>
        </w:rPr>
      </w:pPr>
      <w:r>
        <w:rPr>
          <w:noProof/>
        </w:rPr>
        <w:t>New EU Pilot files opened against Latvia (2012-2016)</w:t>
      </w:r>
    </w:p>
    <w:p>
      <w:pPr>
        <w:tabs>
          <w:tab w:val="left" w:pos="0"/>
        </w:tabs>
        <w:spacing w:after="120"/>
        <w:ind w:firstLine="709"/>
        <w:rPr>
          <w:rFonts w:ascii="Arial" w:hAnsi="Arial" w:cs="Arial"/>
          <w:noProof/>
          <w:sz w:val="20"/>
        </w:rPr>
      </w:pPr>
      <w:r>
        <w:rPr>
          <w:rFonts w:ascii="Arial" w:hAnsi="Arial" w:cs="Arial"/>
          <w:noProof/>
          <w:sz w:val="20"/>
          <w:lang w:val="en-US"/>
        </w:rPr>
        <w:drawing>
          <wp:inline distT="0" distB="0" distL="0" distR="0">
            <wp:extent cx="4588328" cy="2209800"/>
            <wp:effectExtent l="0" t="0" r="22225" b="19050"/>
            <wp:docPr id="738"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pPr>
        <w:pStyle w:val="Subtitle"/>
        <w:numPr>
          <w:ilvl w:val="0"/>
          <w:numId w:val="34"/>
        </w:numPr>
        <w:rPr>
          <w:noProof/>
        </w:rPr>
      </w:pPr>
      <w:r>
        <w:rPr>
          <w:noProof/>
        </w:rPr>
        <w:t>Files relating to Latvia open in EU Pilot at year-end</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8328" cy="2209800"/>
            <wp:effectExtent l="0" t="0" r="22225" b="19050"/>
            <wp:docPr id="162"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pPr>
        <w:pStyle w:val="Subtitle"/>
        <w:numPr>
          <w:ilvl w:val="0"/>
          <w:numId w:val="34"/>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392680"/>
            <wp:effectExtent l="0" t="0" r="15240" b="26670"/>
            <wp:docPr id="739"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34"/>
        </w:numPr>
        <w:rPr>
          <w:noProof/>
        </w:rPr>
      </w:pPr>
      <w:r>
        <w:rPr>
          <w:noProof/>
        </w:rPr>
        <w:t>EU Pilot files: Latvia’s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2000" cy="2415540"/>
            <wp:effectExtent l="0" t="0" r="19050" b="22860"/>
            <wp:docPr id="74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pPr>
        <w:pStyle w:val="Subtitle"/>
        <w:numPr>
          <w:ilvl w:val="0"/>
          <w:numId w:val="34"/>
        </w:numPr>
        <w:rPr>
          <w:noProof/>
        </w:rPr>
      </w:pPr>
      <w:r>
        <w:rPr>
          <w:noProof/>
        </w:rPr>
        <w:t>EU Pilot files: Latvia’s resolution rate in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2000" cy="2503714"/>
            <wp:effectExtent l="0" t="0" r="19050" b="11430"/>
            <wp:docPr id="741"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36"/>
        </w:numPr>
        <w:rPr>
          <w:noProof/>
        </w:rPr>
      </w:pPr>
      <w:r>
        <w:rPr>
          <w:noProof/>
        </w:rPr>
        <w:t>Infringement cases against Latvia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255520"/>
            <wp:effectExtent l="0" t="0" r="22860" b="11430"/>
            <wp:docPr id="742"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pPr>
        <w:spacing w:after="200" w:line="276" w:lineRule="auto"/>
        <w:jc w:val="left"/>
        <w:rPr>
          <w:rFonts w:ascii="Arial" w:hAnsi="Arial"/>
          <w:noProof/>
          <w:color w:val="002060"/>
          <w:sz w:val="22"/>
          <w:szCs w:val="22"/>
        </w:rPr>
      </w:pPr>
      <w:r>
        <w:rPr>
          <w:noProof/>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9620" cy="2217420"/>
            <wp:effectExtent l="0" t="0" r="11430" b="11430"/>
            <wp:docPr id="743"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03"/>
        </w:numPr>
        <w:ind w:hanging="426"/>
        <w:rPr>
          <w:rFonts w:ascii="Arial" w:hAnsi="Arial" w:cs="Arial"/>
          <w:noProof/>
          <w:lang w:val="en-GB"/>
        </w:rPr>
      </w:pPr>
      <w:r>
        <w:rPr>
          <w:rFonts w:ascii="Arial" w:hAnsi="Arial" w:cs="Arial"/>
          <w:noProof/>
          <w:lang w:val="en-GB"/>
        </w:rPr>
        <w:t>The Commission opened 23 new infringement cases against Latvia in 2016. These, and other major ongoing infringement cases, include:</w:t>
      </w:r>
    </w:p>
    <w:p>
      <w:pPr>
        <w:pStyle w:val="Lijstje2"/>
        <w:spacing w:after="200"/>
        <w:ind w:left="1843" w:hanging="426"/>
        <w:rPr>
          <w:rFonts w:ascii="Arial" w:hAnsi="Arial" w:cs="Arial"/>
          <w:noProof/>
          <w:lang w:val="en-GB"/>
        </w:rPr>
      </w:pPr>
      <w:r>
        <w:rPr>
          <w:rFonts w:ascii="Arial" w:eastAsia="Times New Roman" w:hAnsi="Arial" w:cs="Arial"/>
          <w:noProof/>
          <w:kern w:val="0"/>
          <w:lang w:val="en-GB"/>
        </w:rPr>
        <w:t>failure to fully transpose the Radioactive Waste Directive;</w:t>
      </w:r>
      <w:r>
        <w:rPr>
          <w:rStyle w:val="FootnoteReference"/>
          <w:noProof/>
        </w:rPr>
        <w:footnoteReference w:id="336"/>
      </w:r>
    </w:p>
    <w:p>
      <w:pPr>
        <w:pStyle w:val="Lijstje2"/>
        <w:spacing w:after="200"/>
        <w:ind w:left="1843" w:hanging="425"/>
        <w:rPr>
          <w:rFonts w:ascii="Arial" w:hAnsi="Arial" w:cs="Arial"/>
          <w:noProof/>
          <w:lang w:val="en-GB"/>
        </w:rPr>
      </w:pPr>
      <w:r>
        <w:rPr>
          <w:rFonts w:ascii="Arial" w:hAnsi="Arial" w:cs="Arial"/>
          <w:noProof/>
          <w:lang w:val="en-GB"/>
        </w:rPr>
        <w:t>failure to communicate all national measures transposing the Capital Requirements Directive</w:t>
      </w:r>
      <w:r>
        <w:rPr>
          <w:rStyle w:val="FootnoteReference"/>
          <w:noProof/>
          <w:lang w:val="en-GB"/>
        </w:rPr>
        <w:footnoteReference w:id="337"/>
      </w:r>
      <w:r>
        <w:rPr>
          <w:rFonts w:ascii="Arial" w:hAnsi="Arial" w:cs="Arial"/>
          <w:noProof/>
          <w:lang w:val="en-GB"/>
        </w:rPr>
        <w:t xml:space="preserve"> and the Directive amending the Transparency Directive;</w:t>
      </w:r>
      <w:r>
        <w:rPr>
          <w:rStyle w:val="FootnoteReference"/>
          <w:rFonts w:ascii="Arial" w:hAnsi="Arial"/>
          <w:noProof/>
          <w:lang w:val="en-GB"/>
        </w:rPr>
        <w:footnoteReference w:id="338"/>
      </w:r>
    </w:p>
    <w:p>
      <w:pPr>
        <w:pStyle w:val="Lijstje2"/>
        <w:spacing w:after="200"/>
        <w:ind w:left="1843" w:hanging="425"/>
        <w:rPr>
          <w:rFonts w:ascii="Arial" w:hAnsi="Arial" w:cs="Arial"/>
          <w:noProof/>
          <w:lang w:val="en-GB"/>
        </w:rPr>
      </w:pPr>
      <w:r>
        <w:rPr>
          <w:rFonts w:ascii="Arial" w:hAnsi="Arial" w:cs="Arial"/>
          <w:noProof/>
          <w:lang w:val="en-GB"/>
        </w:rPr>
        <w:t>national restrictions on the acquisition of agricultural land which limit the free movement of capital and freedom of establishment by being discriminatory and/or disproportionate;</w:t>
      </w:r>
      <w:r>
        <w:rPr>
          <w:rStyle w:val="FootnoteReference"/>
          <w:noProof/>
          <w:lang w:val="en-GB"/>
        </w:rPr>
        <w:footnoteReference w:id="339"/>
      </w:r>
    </w:p>
    <w:p>
      <w:pPr>
        <w:pStyle w:val="Lijstje2"/>
        <w:spacing w:after="200"/>
        <w:ind w:left="1843" w:hanging="426"/>
        <w:rPr>
          <w:rFonts w:ascii="Arial" w:hAnsi="Arial" w:cs="Arial"/>
          <w:noProof/>
          <w:lang w:val="en-GB"/>
        </w:rPr>
      </w:pPr>
      <w:r>
        <w:rPr>
          <w:rFonts w:ascii="Arial" w:hAnsi="Arial" w:cs="Arial"/>
          <w:noProof/>
          <w:lang w:val="en-GB"/>
        </w:rPr>
        <w:t>failure to transpose the Directive establishing a single European railway area;</w:t>
      </w:r>
      <w:r>
        <w:rPr>
          <w:rStyle w:val="FootnoteReference"/>
          <w:rFonts w:ascii="Arial" w:hAnsi="Arial" w:cs="Arial"/>
          <w:noProof/>
          <w:lang w:val="en-GB"/>
        </w:rPr>
        <w:footnoteReference w:id="340"/>
      </w:r>
    </w:p>
    <w:p>
      <w:pPr>
        <w:pStyle w:val="Lijstje2"/>
        <w:spacing w:after="200"/>
        <w:ind w:left="1843" w:hanging="426"/>
        <w:rPr>
          <w:rFonts w:ascii="Arial" w:hAnsi="Arial" w:cs="Arial"/>
          <w:noProof/>
          <w:lang w:val="en-GB"/>
        </w:rPr>
      </w:pPr>
      <w:r>
        <w:rPr>
          <w:rFonts w:ascii="Arial" w:hAnsi="Arial" w:cs="Arial"/>
          <w:noProof/>
          <w:lang w:val="en-GB"/>
        </w:rPr>
        <w:t>failure to transpose in full the Directive amending EU legislation on the recognition of professional qualifications and the Internal Market Information System;</w:t>
      </w:r>
    </w:p>
    <w:p>
      <w:pPr>
        <w:pStyle w:val="Lijstje2"/>
        <w:ind w:left="1843" w:hanging="425"/>
        <w:rPr>
          <w:rFonts w:ascii="Arial" w:hAnsi="Arial" w:cs="Arial"/>
          <w:noProof/>
          <w:lang w:val="en-GB"/>
        </w:rPr>
      </w:pPr>
      <w:r>
        <w:rPr>
          <w:rFonts w:ascii="Arial" w:hAnsi="Arial" w:cs="Arial"/>
          <w:noProof/>
          <w:lang w:val="en-GB"/>
        </w:rPr>
        <w:t>failure to transpose in full one or more of the three Directives on public procurement and concessions.</w:t>
      </w:r>
      <w:r>
        <w:rPr>
          <w:rStyle w:val="FootnoteReference"/>
          <w:rFonts w:ascii="Arial" w:hAnsi="Arial"/>
          <w:noProof/>
          <w:lang w:val="en-GB"/>
        </w:rPr>
        <w:footnoteReference w:id="341"/>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2"/>
        </w:numPr>
        <w:ind w:left="1417" w:hanging="425"/>
        <w:rPr>
          <w:rFonts w:ascii="Arial" w:hAnsi="Arial" w:cs="Arial"/>
          <w:noProof/>
          <w:lang w:val="en-GB"/>
        </w:rPr>
      </w:pPr>
      <w:r>
        <w:rPr>
          <w:rFonts w:ascii="Arial" w:hAnsi="Arial" w:cs="Arial"/>
          <w:noProof/>
          <w:lang w:val="en-GB"/>
        </w:rPr>
        <w:t>The Commission did not refer any cases to the Court under Article 260(2) TFEU.</w:t>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37"/>
        </w:numPr>
        <w:rPr>
          <w:noProof/>
        </w:rPr>
      </w:pPr>
      <w:r>
        <w:rPr>
          <w:noProof/>
        </w:rPr>
        <w:t>Late transposition infringement cases against Latvia open on 31 December (2012-2016)</w:t>
      </w:r>
    </w:p>
    <w:p>
      <w:pPr>
        <w:ind w:left="426" w:firstLine="283"/>
        <w:rPr>
          <w:noProof/>
        </w:rPr>
      </w:pPr>
      <w:r>
        <w:rPr>
          <w:noProof/>
          <w:lang w:val="en-US"/>
        </w:rPr>
        <w:drawing>
          <wp:inline distT="0" distB="0" distL="0" distR="0">
            <wp:extent cx="4594860" cy="2011680"/>
            <wp:effectExtent l="0" t="0" r="15240" b="26670"/>
            <wp:docPr id="744"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pPr>
        <w:pStyle w:val="Subtitle"/>
        <w:numPr>
          <w:ilvl w:val="0"/>
          <w:numId w:val="37"/>
        </w:numPr>
        <w:rPr>
          <w:noProof/>
        </w:rPr>
      </w:pPr>
      <w:r>
        <w:rPr>
          <w:noProof/>
        </w:rPr>
        <w:t>New late transposition infringement cases against Latvia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94860" cy="2247900"/>
            <wp:effectExtent l="0" t="0" r="15240" b="19050"/>
            <wp:docPr id="745"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430780"/>
            <wp:effectExtent l="0" t="0" r="22860" b="26670"/>
            <wp:docPr id="746"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These concerned:</w:t>
      </w:r>
    </w:p>
    <w:p>
      <w:pPr>
        <w:pStyle w:val="Lijstje2"/>
        <w:spacing w:after="0"/>
        <w:ind w:left="1276" w:hanging="425"/>
        <w:rPr>
          <w:rFonts w:ascii="Arial" w:hAnsi="Arial" w:cs="Arial"/>
          <w:noProof/>
          <w:lang w:val="en-GB"/>
        </w:rPr>
      </w:pPr>
      <w:r>
        <w:rPr>
          <w:rFonts w:ascii="Arial" w:hAnsi="Arial" w:cs="Arial"/>
          <w:noProof/>
          <w:lang w:val="en-GB"/>
        </w:rPr>
        <w:t>non-communication of national measures transposing the Seveso III Directive;</w:t>
      </w:r>
      <w:r>
        <w:rPr>
          <w:rStyle w:val="FootnoteReference"/>
          <w:noProof/>
        </w:rPr>
        <w:footnoteReference w:id="342"/>
      </w:r>
    </w:p>
    <w:p>
      <w:pPr>
        <w:pStyle w:val="ListParagraph"/>
        <w:numPr>
          <w:ilvl w:val="0"/>
          <w:numId w:val="252"/>
        </w:numPr>
        <w:spacing w:after="0"/>
        <w:jc w:val="left"/>
        <w:rPr>
          <w:rFonts w:ascii="Arial" w:eastAsia="Calibri" w:hAnsi="Arial" w:cs="Arial"/>
          <w:noProof/>
          <w:sz w:val="20"/>
        </w:rPr>
      </w:pPr>
      <w:r>
        <w:rPr>
          <w:rFonts w:ascii="Arial" w:eastAsia="Calibri" w:hAnsi="Arial" w:cs="Arial"/>
          <w:noProof/>
          <w:kern w:val="20"/>
          <w:sz w:val="20"/>
        </w:rPr>
        <w:t xml:space="preserve"> completing the notification of all national measures necessary to transpose the Bank Resolution and Recovery Directive</w:t>
      </w:r>
      <w:r>
        <w:rPr>
          <w:rStyle w:val="FootnoteReference"/>
          <w:rFonts w:ascii="Arial" w:hAnsi="Arial" w:cs="Arial"/>
          <w:noProof/>
          <w:sz w:val="20"/>
        </w:rPr>
        <w:footnoteReference w:id="343"/>
      </w:r>
      <w:r>
        <w:rPr>
          <w:rFonts w:ascii="Arial" w:eastAsia="Calibri" w:hAnsi="Arial" w:cs="Arial"/>
          <w:noProof/>
          <w:kern w:val="20"/>
          <w:sz w:val="20"/>
        </w:rPr>
        <w:t xml:space="preserve"> and </w:t>
      </w:r>
      <w:r>
        <w:rPr>
          <w:rFonts w:ascii="Arial" w:eastAsia="Calibri" w:hAnsi="Arial" w:cs="Arial"/>
          <w:noProof/>
          <w:sz w:val="20"/>
        </w:rPr>
        <w:t>the Directive on alternative investment fund managers;</w:t>
      </w:r>
      <w:r>
        <w:rPr>
          <w:rStyle w:val="FootnoteReference"/>
          <w:rFonts w:eastAsia="Calibri"/>
          <w:noProof/>
        </w:rPr>
        <w:footnoteReference w:id="344"/>
      </w:r>
    </w:p>
    <w:p>
      <w:pPr>
        <w:pStyle w:val="Lijstje2"/>
        <w:spacing w:after="0"/>
        <w:ind w:left="1276" w:hanging="425"/>
        <w:rPr>
          <w:rFonts w:ascii="Arial" w:hAnsi="Arial" w:cs="Arial"/>
          <w:noProof/>
          <w:lang w:val="en-GB"/>
        </w:rPr>
      </w:pPr>
      <w:r>
        <w:rPr>
          <w:rFonts w:ascii="Arial" w:hAnsi="Arial"/>
          <w:noProof/>
          <w:lang w:val="en-GB"/>
        </w:rPr>
        <w:t xml:space="preserve">failure to </w:t>
      </w:r>
      <w:r>
        <w:rPr>
          <w:rFonts w:ascii="Arial" w:hAnsi="Arial" w:cs="Arial"/>
          <w:noProof/>
          <w:lang w:val="en-GB"/>
        </w:rPr>
        <w:t>fulfil obligations under</w:t>
      </w:r>
      <w:r>
        <w:rPr>
          <w:rFonts w:ascii="Arial" w:hAnsi="Arial"/>
          <w:noProof/>
          <w:lang w:val="en-GB"/>
        </w:rPr>
        <w:t xml:space="preserve"> the Directive on driving licences</w:t>
      </w:r>
      <w:r>
        <w:rPr>
          <w:rFonts w:ascii="Arial" w:eastAsia="Times New Roman" w:hAnsi="Arial"/>
          <w:noProof/>
          <w:kern w:val="0"/>
          <w:lang w:val="en-GB"/>
        </w:rPr>
        <w:t>.</w:t>
      </w:r>
      <w:r>
        <w:rPr>
          <w:rStyle w:val="FootnoteReference"/>
          <w:noProof/>
        </w:rPr>
        <w:footnoteReference w:id="345"/>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38"/>
        </w:numPr>
        <w:rPr>
          <w:noProof/>
        </w:rPr>
      </w:pPr>
      <w:r>
        <w:rPr>
          <w:noProof/>
        </w:rPr>
        <w:t>Court ruling</w:t>
      </w:r>
      <w:r>
        <w:rPr>
          <w:rStyle w:val="FootnoteReference"/>
          <w:noProof/>
        </w:rPr>
        <w:footnoteReference w:id="346"/>
      </w:r>
    </w:p>
    <w:p>
      <w:pPr>
        <w:pStyle w:val="Body"/>
        <w:rPr>
          <w:noProof/>
          <w:lang w:val="en-GB"/>
        </w:rPr>
      </w:pPr>
      <w:r>
        <w:rPr>
          <w:noProof/>
          <w:lang w:val="en-GB"/>
        </w:rPr>
        <w:t>There were no major Court rulings in 2016.</w:t>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w:t>
      </w:r>
    </w:p>
    <w:p>
      <w:pPr>
        <w:pStyle w:val="Body"/>
        <w:ind w:left="426" w:firstLine="294"/>
        <w:rPr>
          <w:noProof/>
          <w:lang w:val="en-GB"/>
        </w:rPr>
      </w:pPr>
      <w:r>
        <w:rPr>
          <w:noProof/>
          <w:lang w:val="en-GB"/>
        </w:rPr>
        <w:t>In preliminary rulings addressed to the Latvian judiciary, the Court held that:</w:t>
      </w:r>
    </w:p>
    <w:p>
      <w:pPr>
        <w:pStyle w:val="Lijstje2"/>
        <w:ind w:left="1418"/>
        <w:rPr>
          <w:rFonts w:ascii="Arial" w:hAnsi="Arial" w:cs="Arial"/>
          <w:noProof/>
          <w:lang w:val="en-GB"/>
        </w:rPr>
      </w:pPr>
      <w:r>
        <w:rPr>
          <w:rFonts w:ascii="Arial" w:hAnsi="Arial" w:cs="Arial"/>
          <w:noProof/>
          <w:lang w:val="en-GB"/>
        </w:rPr>
        <w:t xml:space="preserve">a Member State is not required to grant every EU citizen who has moved within its territory the same protection against extradition as that granted to its own nationals. However, before extraditing the citizen, the Member State concerned must give priority to the exchange of information with the Member State of origin and allow that Member State to request the citizen’s surrender for the purposes of prosecution; </w:t>
      </w:r>
      <w:r>
        <w:rPr>
          <w:rStyle w:val="FootnoteReference"/>
          <w:rFonts w:ascii="Arial" w:hAnsi="Arial" w:cs="Arial"/>
          <w:noProof/>
          <w:lang w:val="en-GB"/>
        </w:rPr>
        <w:footnoteReference w:id="347"/>
      </w:r>
    </w:p>
    <w:p>
      <w:pPr>
        <w:numPr>
          <w:ilvl w:val="0"/>
          <w:numId w:val="4"/>
        </w:numPr>
        <w:spacing w:after="200"/>
        <w:ind w:left="1418"/>
        <w:contextualSpacing/>
        <w:rPr>
          <w:rFonts w:ascii="Arial" w:eastAsia="Calibri" w:hAnsi="Arial" w:cs="Arial"/>
          <w:i/>
          <w:noProof/>
          <w:kern w:val="20"/>
          <w:sz w:val="20"/>
        </w:rPr>
      </w:pPr>
      <w:r>
        <w:rPr>
          <w:rFonts w:ascii="Arial" w:eastAsia="Calibri" w:hAnsi="Arial" w:cs="Arial"/>
          <w:noProof/>
          <w:kern w:val="20"/>
          <w:sz w:val="20"/>
        </w:rPr>
        <w:t>monies deposited in the current account that are pledged to the bank as financial collateral to cover all the account holder’s debts fall within the scope of the Directive on financial collateral arrangements</w:t>
      </w:r>
      <w:r>
        <w:rPr>
          <w:rStyle w:val="FootnoteReference"/>
          <w:rFonts w:ascii="Arial" w:hAnsi="Arial" w:cs="Arial"/>
          <w:noProof/>
          <w:sz w:val="20"/>
        </w:rPr>
        <w:footnoteReference w:id="348"/>
      </w:r>
      <w:r>
        <w:rPr>
          <w:rFonts w:ascii="Arial" w:eastAsia="Calibri" w:hAnsi="Arial" w:cs="Arial"/>
          <w:noProof/>
          <w:kern w:val="20"/>
          <w:sz w:val="20"/>
        </w:rPr>
        <w:t xml:space="preserve"> if those monies have been ‘provided’ to the bank, that is, the collateral provider must be prevented from disposing of such monies lodged in the ordinary bank account. The Court also confirmed that the collateral does not normally fall within the scope of the Directive if it was provided after the launch of an insolvency procedure but can be enforceable in exceptional circumstances.</w:t>
      </w:r>
      <w:r>
        <w:rPr>
          <w:rStyle w:val="FootnoteReference"/>
          <w:rFonts w:ascii="Arial" w:hAnsi="Arial" w:cs="Arial"/>
          <w:noProof/>
          <w:sz w:val="20"/>
        </w:rPr>
        <w:footnoteReference w:id="349"/>
      </w:r>
    </w:p>
    <w:p>
      <w:pPr>
        <w:spacing w:after="200" w:line="276" w:lineRule="auto"/>
        <w:jc w:val="left"/>
        <w:rPr>
          <w:noProof/>
        </w:rPr>
      </w:pPr>
    </w:p>
    <w:sectPr>
      <w:headerReference w:type="even" r:id="rId272"/>
      <w:headerReference w:type="default" r:id="rId273"/>
      <w:footerReference w:type="even" r:id="rId274"/>
      <w:footerReference w:type="default" r:id="rId275"/>
      <w:headerReference w:type="first" r:id="rId276"/>
      <w:footerReference w:type="first" r:id="rId277"/>
      <w:footnotePr>
        <w:numRestart w:val="eachSect"/>
      </w:footnotePr>
      <w:pgSz w:w="11906" w:h="16838"/>
      <w:pgMar w:top="1843" w:right="1418" w:bottom="1134" w:left="1418" w:header="567" w:footer="3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885176"/>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18</w:t>
        </w:r>
        <w:r>
          <w:rPr>
            <w:rFonts w:ascii="Arial" w:hAnsi="Arial" w:cs="Arial"/>
            <w:sz w:val="18"/>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524301"/>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12</w:t>
        </w:r>
        <w:r>
          <w:rPr>
            <w:rFonts w:ascii="Arial" w:hAnsi="Arial" w:cs="Arial"/>
            <w:sz w:val="18"/>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661612"/>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26</w:t>
        </w:r>
        <w:r>
          <w:rPr>
            <w:rFonts w:ascii="Arial" w:hAnsi="Arial" w:cs="Arial"/>
            <w:sz w:val="18"/>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014481"/>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19</w:t>
        </w:r>
        <w:r>
          <w:rPr>
            <w:rFonts w:ascii="Arial" w:hAnsi="Arial" w:cs="Arial"/>
            <w:sz w:val="18"/>
          </w:rPr>
          <w:fldChar w:fldCharType="end"/>
        </w:r>
      </w:p>
    </w:sdtContent>
  </w:sdt>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866670"/>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32</w:t>
        </w:r>
        <w:r>
          <w:rPr>
            <w:rFonts w:ascii="Arial" w:hAnsi="Arial" w:cs="Arial"/>
            <w:sz w:val="18"/>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826236"/>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27</w:t>
        </w:r>
        <w:r>
          <w:rPr>
            <w:rFonts w:ascii="Arial" w:hAnsi="Arial" w:cs="Arial"/>
            <w:sz w:val="18"/>
          </w:rPr>
          <w:fldChar w:fldCharType="end"/>
        </w:r>
      </w:p>
    </w:sdtContent>
  </w:sdt>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110665"/>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43</w:t>
        </w:r>
        <w:r>
          <w:rPr>
            <w:rFonts w:ascii="Arial" w:hAnsi="Arial" w:cs="Arial"/>
            <w:sz w:val="18"/>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469352"/>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33</w:t>
        </w:r>
        <w:r>
          <w:rPr>
            <w:rFonts w:ascii="Arial" w:hAnsi="Arial" w:cs="Arial"/>
            <w:sz w:val="18"/>
          </w:rPr>
          <w:fldChar w:fldCharType="end"/>
        </w:r>
      </w:p>
    </w:sdtContent>
  </w:sdt>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550010"/>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49</w:t>
        </w:r>
        <w:r>
          <w:rPr>
            <w:rFonts w:ascii="Arial" w:hAnsi="Arial" w:cs="Arial"/>
            <w:sz w:val="18"/>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01357"/>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44</w:t>
        </w:r>
        <w:r>
          <w:rPr>
            <w:rFonts w:ascii="Arial" w:hAnsi="Arial" w:cs="Arial"/>
            <w:sz w:val="18"/>
          </w:rPr>
          <w:fldChar w:fldCharType="end"/>
        </w:r>
      </w:p>
    </w:sdtContent>
  </w:sdt>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3401"/>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56</w:t>
        </w:r>
        <w:r>
          <w:rPr>
            <w:rFonts w:ascii="Arial" w:hAnsi="Arial" w:cs="Arial"/>
            <w:sz w:val="18"/>
          </w:rPr>
          <w:fldChar w:fldCharType="end"/>
        </w:r>
      </w:p>
    </w:sdtContent>
  </w:sdt>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636487"/>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50</w:t>
        </w:r>
        <w:r>
          <w:rPr>
            <w:rFonts w:ascii="Arial" w:hAnsi="Arial" w:cs="Arial"/>
            <w:sz w:val="18"/>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976606"/>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65</w:t>
        </w:r>
        <w:r>
          <w:rPr>
            <w:rFonts w:ascii="Arial" w:hAnsi="Arial" w:cs="Arial"/>
            <w:sz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14572"/>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57</w:t>
        </w:r>
        <w:r>
          <w:rPr>
            <w:rFonts w:ascii="Arial" w:hAnsi="Arial" w:cs="Arial"/>
            <w:sz w:val="18"/>
          </w:rPr>
          <w:fldChar w:fldCharType="end"/>
        </w:r>
      </w:p>
    </w:sdtContent>
  </w:sdt>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165567"/>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75</w:t>
        </w:r>
        <w:r>
          <w:rPr>
            <w:rFonts w:ascii="Arial" w:hAnsi="Arial" w:cs="Arial"/>
            <w:sz w:val="18"/>
          </w:rPr>
          <w:fldChar w:fldCharType="end"/>
        </w:r>
      </w:p>
      <w:p>
        <w:pPr>
          <w:pStyle w:val="Footer"/>
          <w:jc w:val="center"/>
          <w:rPr>
            <w:rFonts w:ascii="Arial" w:hAnsi="Arial" w:cs="Arial"/>
            <w:sz w:val="18"/>
          </w:rPr>
        </w:pP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512793"/>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66</w:t>
        </w:r>
        <w:r>
          <w:rPr>
            <w:rFonts w:ascii="Arial" w:hAnsi="Arial" w:cs="Arial"/>
            <w:sz w:val="18"/>
          </w:rPr>
          <w:fldChar w:fldCharType="end"/>
        </w:r>
      </w:p>
    </w:sdtContent>
  </w:sdt>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763028"/>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82</w:t>
        </w:r>
        <w:r>
          <w:rPr>
            <w:rFonts w:ascii="Arial" w:hAnsi="Arial" w:cs="Arial"/>
            <w:sz w:val="18"/>
          </w:rPr>
          <w:fldChar w:fldCharType="end"/>
        </w:r>
      </w:p>
    </w:sdtContent>
  </w:sdt>
  <w:p>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842537"/>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76</w:t>
        </w:r>
        <w:r>
          <w:rPr>
            <w:rFonts w:ascii="Arial" w:hAnsi="Arial" w:cs="Arial"/>
            <w:sz w:val="18"/>
          </w:rPr>
          <w:fldChar w:fldCharType="end"/>
        </w: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321376"/>
      <w:docPartObj>
        <w:docPartGallery w:val="Page Numbers (Bottom of Page)"/>
        <w:docPartUnique/>
      </w:docPartObj>
    </w:sdtPr>
    <w:sdtEndPr>
      <w:rPr>
        <w:rFonts w:ascii="Arial" w:hAnsi="Arial" w:cs="Arial"/>
        <w:sz w:val="18"/>
      </w:rPr>
    </w:sdtEndPr>
    <w:sdtContent>
      <w:p>
        <w:pPr>
          <w:pStyle w:val="Footer"/>
          <w:jc w:val="center"/>
          <w:rPr>
            <w:rFonts w:ascii="Arial" w:hAnsi="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76</w:t>
        </w:r>
        <w:r>
          <w:rPr>
            <w:rFonts w:ascii="Arial" w:hAnsi="Arial" w:cs="Arial"/>
            <w:sz w:val="18"/>
          </w:rPr>
          <w:fldChar w:fldCharType="end"/>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133780"/>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71</w:t>
        </w:r>
        <w:r>
          <w:rPr>
            <w:rFonts w:ascii="Arial" w:hAnsi="Arial" w:cs="Arial"/>
            <w:sz w:val="18"/>
          </w:rPr>
          <w:fldChar w:fldCharType="end"/>
        </w:r>
      </w:p>
    </w:sdtContent>
  </w:sdt>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17388"/>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83</w:t>
        </w:r>
        <w:r>
          <w:rPr>
            <w:rFonts w:ascii="Arial" w:hAnsi="Arial" w:cs="Arial"/>
            <w:sz w:val="18"/>
          </w:rPr>
          <w:fldChar w:fldCharType="end"/>
        </w:r>
      </w:p>
    </w:sdtContent>
  </w:sdt>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628671"/>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77</w:t>
        </w:r>
        <w:r>
          <w:rPr>
            <w:rFonts w:ascii="Arial" w:hAnsi="Arial" w:cs="Arial"/>
            <w:sz w:val="18"/>
          </w:rPr>
          <w:fldChar w:fldCharType="end"/>
        </w:r>
      </w:p>
    </w:sdtContent>
  </w:sdt>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44955"/>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89</w:t>
        </w:r>
        <w:r>
          <w:rPr>
            <w:rFonts w:ascii="Arial" w:hAnsi="Arial" w:cs="Arial"/>
            <w:sz w:val="18"/>
          </w:rPr>
          <w:fldChar w:fldCharType="end"/>
        </w:r>
      </w:p>
    </w:sdtContent>
  </w:sdt>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442563"/>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84</w:t>
        </w:r>
        <w:r>
          <w:rPr>
            <w:rFonts w:ascii="Arial" w:hAnsi="Arial" w:cs="Arial"/>
            <w:sz w:val="18"/>
          </w:rPr>
          <w:fldChar w:fldCharType="end"/>
        </w:r>
      </w:p>
    </w:sdtContent>
  </w:sdt>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204121"/>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95</w:t>
        </w:r>
        <w:r>
          <w:rPr>
            <w:rFonts w:ascii="Arial" w:hAnsi="Arial" w:cs="Arial"/>
            <w:sz w:val="18"/>
          </w:rPr>
          <w:fldChar w:fldCharType="end"/>
        </w:r>
      </w:p>
    </w:sdtContent>
  </w:sdt>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39769"/>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90</w:t>
        </w:r>
        <w:r>
          <w:rPr>
            <w:rFonts w:ascii="Arial" w:hAnsi="Arial" w:cs="Arial"/>
            <w:sz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391351"/>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5</w:t>
        </w:r>
        <w:r>
          <w:rPr>
            <w:rFonts w:ascii="Arial" w:hAnsi="Arial" w:cs="Arial"/>
            <w:sz w:val="1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89126"/>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2</w:t>
        </w:r>
        <w:r>
          <w:rPr>
            <w:rFonts w:ascii="Arial" w:hAnsi="Arial" w:cs="Arial"/>
            <w:sz w:val="18"/>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820309"/>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11</w:t>
        </w:r>
        <w:r>
          <w:rPr>
            <w:rFonts w:ascii="Arial" w:hAnsi="Arial" w:cs="Arial"/>
            <w:sz w:val="18"/>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6622687"/>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3</w:t>
        </w:r>
        <w:r>
          <w:rPr>
            <w:rFonts w:ascii="Arial" w:hAnsi="Arial" w:cs="Arial"/>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rPr>
          <w:lang w:val="pt-PT"/>
        </w:rPr>
      </w:pPr>
      <w:r>
        <w:rPr>
          <w:rStyle w:val="FootnoteReference"/>
        </w:rPr>
        <w:footnoteRef/>
      </w:r>
      <w:r>
        <w:rPr>
          <w:lang w:val="pt-PT"/>
        </w:rPr>
        <w:t xml:space="preserve"> </w:t>
      </w:r>
      <w:r>
        <w:rPr>
          <w:lang w:val="pt-PT"/>
        </w:rPr>
        <w:tab/>
        <w:t xml:space="preserve">Directive </w:t>
      </w:r>
      <w:hyperlink r:id="rId1" w:history="1">
        <w:r>
          <w:rPr>
            <w:rStyle w:val="Hyperlink"/>
            <w:lang w:val="pt-PT"/>
          </w:rPr>
          <w:t>2013/40/EU</w:t>
        </w:r>
      </w:hyperlink>
      <w:r>
        <w:rPr>
          <w:lang w:val="pt-PT"/>
        </w:rPr>
        <w:t xml:space="preserve">; </w:t>
      </w:r>
      <w:hyperlink r:id="rId2" w:history="1">
        <w:r>
          <w:rPr>
            <w:rStyle w:val="Hyperlink"/>
            <w:lang w:val="pt-PT"/>
          </w:rPr>
          <w:t>MEMO/16/4211</w:t>
        </w:r>
      </w:hyperlink>
      <w:r>
        <w:rPr>
          <w:lang w:val="pt-PT"/>
        </w:rPr>
        <w:t>.</w:t>
      </w:r>
    </w:p>
  </w:footnote>
  <w:footnote w:id="3">
    <w:p>
      <w:pPr>
        <w:pStyle w:val="FootnoteText"/>
        <w:rPr>
          <w:lang w:val="pt-PT"/>
        </w:rPr>
      </w:pPr>
      <w:r>
        <w:rPr>
          <w:rStyle w:val="FootnoteReference"/>
        </w:rPr>
        <w:footnoteRef/>
      </w:r>
      <w:r>
        <w:rPr>
          <w:lang w:val="pt-PT"/>
        </w:rPr>
        <w:t xml:space="preserve"> </w:t>
      </w:r>
      <w:r>
        <w:rPr>
          <w:lang w:val="pt-PT"/>
        </w:rPr>
        <w:tab/>
        <w:t xml:space="preserve">Directive </w:t>
      </w:r>
      <w:hyperlink r:id="rId3" w:history="1">
        <w:r>
          <w:rPr>
            <w:rStyle w:val="Hyperlink"/>
            <w:lang w:val="pt-PT"/>
          </w:rPr>
          <w:t>2011/99/EU</w:t>
        </w:r>
      </w:hyperlink>
      <w:r>
        <w:rPr>
          <w:lang w:val="pt-PT"/>
        </w:rPr>
        <w:t xml:space="preserve">; </w:t>
      </w:r>
      <w:hyperlink r:id="rId4" w:history="1">
        <w:r>
          <w:rPr>
            <w:rStyle w:val="Hyperlink"/>
            <w:lang w:val="pt-PT"/>
          </w:rPr>
          <w:t>MEMO/16/2490</w:t>
        </w:r>
      </w:hyperlink>
      <w:r>
        <w:rPr>
          <w:lang w:val="pt-PT"/>
        </w:rPr>
        <w:t>.</w:t>
      </w:r>
    </w:p>
  </w:footnote>
  <w:footnote w:id="4">
    <w:p>
      <w:pPr>
        <w:pStyle w:val="FootnoteText"/>
        <w:rPr>
          <w:lang w:val="pt-PT"/>
        </w:rPr>
      </w:pPr>
      <w:r>
        <w:rPr>
          <w:rStyle w:val="FootnoteReference"/>
        </w:rPr>
        <w:footnoteRef/>
      </w:r>
      <w:r>
        <w:rPr>
          <w:lang w:val="pt-PT"/>
        </w:rPr>
        <w:t xml:space="preserve"> </w:t>
      </w:r>
      <w:r>
        <w:rPr>
          <w:lang w:val="pt-PT"/>
        </w:rPr>
        <w:tab/>
        <w:t xml:space="preserve">Directive </w:t>
      </w:r>
      <w:hyperlink r:id="rId5" w:history="1">
        <w:r>
          <w:rPr>
            <w:rStyle w:val="Hyperlink"/>
            <w:lang w:val="pt-PT"/>
          </w:rPr>
          <w:t>2008/98/EC</w:t>
        </w:r>
      </w:hyperlink>
      <w:r>
        <w:rPr>
          <w:lang w:val="pt-PT"/>
        </w:rPr>
        <w:t>.</w:t>
      </w:r>
    </w:p>
  </w:footnote>
  <w:footnote w:id="5">
    <w:p>
      <w:pPr>
        <w:pStyle w:val="FootnoteText"/>
        <w:rPr>
          <w:lang w:val="pt-PT"/>
        </w:rPr>
      </w:pPr>
      <w:r>
        <w:rPr>
          <w:rStyle w:val="FootnoteReference"/>
        </w:rPr>
        <w:footnoteRef/>
      </w:r>
      <w:r>
        <w:rPr>
          <w:lang w:val="pt-PT"/>
        </w:rPr>
        <w:t xml:space="preserve"> </w:t>
      </w:r>
      <w:r>
        <w:rPr>
          <w:lang w:val="pt-PT"/>
        </w:rPr>
        <w:tab/>
        <w:t xml:space="preserve">Directive </w:t>
      </w:r>
      <w:hyperlink r:id="rId6" w:history="1">
        <w:r>
          <w:rPr>
            <w:rStyle w:val="Hyperlink"/>
            <w:lang w:val="pt-PT"/>
          </w:rPr>
          <w:t>2008/50/EC</w:t>
        </w:r>
      </w:hyperlink>
      <w:r>
        <w:rPr>
          <w:lang w:val="pt-PT"/>
        </w:rPr>
        <w:t>.</w:t>
      </w:r>
    </w:p>
  </w:footnote>
  <w:footnote w:id="6">
    <w:p>
      <w:pPr>
        <w:pStyle w:val="FootnoteText"/>
        <w:rPr>
          <w:lang w:val="pt-PT"/>
        </w:rPr>
      </w:pPr>
      <w:r>
        <w:rPr>
          <w:rStyle w:val="FootnoteReference"/>
        </w:rPr>
        <w:footnoteRef/>
      </w:r>
      <w:r>
        <w:rPr>
          <w:lang w:val="pt-PT"/>
        </w:rPr>
        <w:t xml:space="preserve"> </w:t>
      </w:r>
      <w:r>
        <w:rPr>
          <w:lang w:val="pt-PT"/>
        </w:rPr>
        <w:tab/>
        <w:t xml:space="preserve">Directive </w:t>
      </w:r>
      <w:hyperlink r:id="rId7" w:history="1">
        <w:r>
          <w:rPr>
            <w:rStyle w:val="Hyperlink"/>
            <w:lang w:val="pt-PT"/>
          </w:rPr>
          <w:t>2004/35/EC</w:t>
        </w:r>
      </w:hyperlink>
      <w:r>
        <w:rPr>
          <w:lang w:val="pt-PT"/>
        </w:rPr>
        <w:t>.</w:t>
      </w:r>
    </w:p>
  </w:footnote>
  <w:footnote w:id="7">
    <w:p>
      <w:pPr>
        <w:pStyle w:val="FootnoteText"/>
        <w:rPr>
          <w:lang w:val="pt-PT"/>
        </w:rPr>
      </w:pPr>
      <w:r>
        <w:rPr>
          <w:rStyle w:val="FootnoteReference"/>
        </w:rPr>
        <w:footnoteRef/>
      </w:r>
      <w:r>
        <w:rPr>
          <w:lang w:val="pt-PT"/>
        </w:rPr>
        <w:t xml:space="preserve"> </w:t>
      </w:r>
      <w:r>
        <w:rPr>
          <w:lang w:val="pt-PT"/>
        </w:rPr>
        <w:tab/>
        <w:t xml:space="preserve">Directives </w:t>
      </w:r>
      <w:hyperlink r:id="rId8" w:history="1">
        <w:r>
          <w:rPr>
            <w:rStyle w:val="Hyperlink"/>
            <w:lang w:val="pt-PT"/>
          </w:rPr>
          <w:t>2009/72/EC</w:t>
        </w:r>
      </w:hyperlink>
      <w:r>
        <w:rPr>
          <w:lang w:val="pt-PT"/>
        </w:rPr>
        <w:t xml:space="preserve"> and </w:t>
      </w:r>
      <w:hyperlink r:id="rId9" w:history="1">
        <w:r>
          <w:rPr>
            <w:rStyle w:val="Hyperlink"/>
            <w:lang w:val="pt-PT"/>
          </w:rPr>
          <w:t>2009/73/EC</w:t>
        </w:r>
      </w:hyperlink>
      <w:r>
        <w:rPr>
          <w:lang w:val="pt-PT"/>
        </w:rPr>
        <w:t>.</w:t>
      </w:r>
    </w:p>
  </w:footnote>
  <w:footnote w:id="8">
    <w:p>
      <w:pPr>
        <w:pStyle w:val="FootnoteText"/>
        <w:rPr>
          <w:lang w:val="pt-PT"/>
        </w:rPr>
      </w:pPr>
      <w:r>
        <w:rPr>
          <w:rStyle w:val="FootnoteReference"/>
        </w:rPr>
        <w:footnoteRef/>
      </w:r>
      <w:r>
        <w:rPr>
          <w:lang w:val="pt-PT"/>
        </w:rPr>
        <w:t xml:space="preserve"> </w:t>
      </w:r>
      <w:r>
        <w:rPr>
          <w:lang w:val="pt-PT"/>
        </w:rPr>
        <w:tab/>
        <w:t xml:space="preserve">Directive </w:t>
      </w:r>
      <w:hyperlink r:id="rId10" w:history="1">
        <w:r>
          <w:rPr>
            <w:rStyle w:val="Hyperlink"/>
            <w:lang w:val="pt-PT"/>
          </w:rPr>
          <w:t>2013/55/EU</w:t>
        </w:r>
      </w:hyperlink>
      <w:r>
        <w:rPr>
          <w:lang w:val="pt-PT"/>
        </w:rPr>
        <w:t xml:space="preserve">; </w:t>
      </w:r>
      <w:hyperlink r:id="rId11" w:history="1">
        <w:r>
          <w:rPr>
            <w:rStyle w:val="Hyperlink"/>
            <w:lang w:val="pt-PT"/>
          </w:rPr>
          <w:t>MEMO/16/3125</w:t>
        </w:r>
      </w:hyperlink>
      <w:r>
        <w:rPr>
          <w:lang w:val="pt-PT"/>
        </w:rPr>
        <w:t>.</w:t>
      </w:r>
    </w:p>
  </w:footnote>
  <w:footnote w:id="9">
    <w:p>
      <w:pPr>
        <w:pStyle w:val="FootnoteText"/>
        <w:rPr>
          <w:lang w:val="pt-PT"/>
        </w:rPr>
      </w:pPr>
      <w:r>
        <w:rPr>
          <w:rStyle w:val="FootnoteReference"/>
        </w:rPr>
        <w:footnoteRef/>
      </w:r>
      <w:r>
        <w:rPr>
          <w:lang w:val="pt-PT"/>
        </w:rPr>
        <w:t xml:space="preserve"> </w:t>
      </w:r>
      <w:r>
        <w:rPr>
          <w:lang w:val="pt-PT"/>
        </w:rPr>
        <w:tab/>
        <w:t xml:space="preserve">Directive </w:t>
      </w:r>
      <w:hyperlink r:id="rId12" w:history="1">
        <w:r>
          <w:rPr>
            <w:rStyle w:val="Hyperlink"/>
            <w:lang w:val="pt-PT"/>
          </w:rPr>
          <w:t>2014/59/EU</w:t>
        </w:r>
      </w:hyperlink>
      <w:r>
        <w:rPr>
          <w:lang w:val="pt-PT"/>
        </w:rPr>
        <w:t xml:space="preserve">; </w:t>
      </w:r>
      <w:hyperlink r:id="rId13" w:history="1">
        <w:r>
          <w:rPr>
            <w:rStyle w:val="Hyperlink"/>
            <w:lang w:val="pt-PT"/>
          </w:rPr>
          <w:t>MEMO/16/1452</w:t>
        </w:r>
      </w:hyperlink>
      <w:r>
        <w:rPr>
          <w:lang w:val="pt-PT"/>
        </w:rPr>
        <w:t>.</w:t>
      </w:r>
    </w:p>
  </w:footnote>
  <w:footnote w:id="10">
    <w:p>
      <w:pPr>
        <w:pStyle w:val="FootnoteText"/>
        <w:rPr>
          <w:lang w:val="pt-PT"/>
        </w:rPr>
      </w:pPr>
      <w:r>
        <w:rPr>
          <w:rStyle w:val="FootnoteReference"/>
        </w:rPr>
        <w:footnoteRef/>
      </w:r>
      <w:r>
        <w:rPr>
          <w:lang w:val="pt-PT"/>
        </w:rPr>
        <w:t xml:space="preserve"> </w:t>
      </w:r>
      <w:r>
        <w:rPr>
          <w:lang w:val="pt-PT"/>
        </w:rPr>
        <w:tab/>
        <w:t xml:space="preserve">Directive </w:t>
      </w:r>
      <w:hyperlink r:id="rId14" w:history="1">
        <w:r>
          <w:rPr>
            <w:rStyle w:val="Hyperlink"/>
            <w:lang w:val="pt-PT"/>
          </w:rPr>
          <w:t>2013/36/EU</w:t>
        </w:r>
      </w:hyperlink>
      <w:r>
        <w:rPr>
          <w:lang w:val="pt-PT"/>
        </w:rPr>
        <w:t xml:space="preserve">; </w:t>
      </w:r>
      <w:hyperlink r:id="rId15" w:history="1">
        <w:r>
          <w:rPr>
            <w:rStyle w:val="Hyperlink"/>
            <w:lang w:val="pt-PT"/>
          </w:rPr>
          <w:t>MEMO/16/1452</w:t>
        </w:r>
      </w:hyperlink>
      <w:r>
        <w:rPr>
          <w:lang w:val="pt-PT"/>
        </w:rPr>
        <w:t>.</w:t>
      </w:r>
    </w:p>
  </w:footnote>
  <w:footnote w:id="11">
    <w:p>
      <w:pPr>
        <w:pStyle w:val="FootnoteText"/>
        <w:rPr>
          <w:lang w:val="pt-PT"/>
        </w:rPr>
      </w:pPr>
      <w:r>
        <w:rPr>
          <w:rStyle w:val="FootnoteReference"/>
        </w:rPr>
        <w:footnoteRef/>
      </w:r>
      <w:r>
        <w:rPr>
          <w:lang w:val="pt-PT"/>
        </w:rPr>
        <w:t xml:space="preserve"> </w:t>
      </w:r>
      <w:r>
        <w:rPr>
          <w:lang w:val="pt-PT"/>
        </w:rPr>
        <w:tab/>
      </w:r>
      <w:hyperlink r:id="rId16" w:history="1">
        <w:r>
          <w:rPr>
            <w:rStyle w:val="Hyperlink"/>
            <w:lang w:val="pt-PT"/>
          </w:rPr>
          <w:t>IP/16/1827</w:t>
        </w:r>
      </w:hyperlink>
      <w:r>
        <w:rPr>
          <w:lang w:val="pt-PT"/>
        </w:rPr>
        <w:t xml:space="preserve"> and </w:t>
      </w:r>
      <w:hyperlink r:id="rId17" w:history="1">
        <w:r>
          <w:rPr>
            <w:rStyle w:val="Hyperlink"/>
            <w:lang w:val="pt-PT"/>
          </w:rPr>
          <w:t>MEMO/16/1823</w:t>
        </w:r>
      </w:hyperlink>
      <w:r>
        <w:rPr>
          <w:lang w:val="pt-PT"/>
        </w:rPr>
        <w:t>.</w:t>
      </w:r>
    </w:p>
  </w:footnote>
  <w:footnote w:id="12">
    <w:p>
      <w:pPr>
        <w:pStyle w:val="FootnoteText"/>
        <w:rPr>
          <w:lang w:val="pt-PT"/>
        </w:rPr>
      </w:pPr>
      <w:r>
        <w:rPr>
          <w:rStyle w:val="FootnoteReference"/>
        </w:rPr>
        <w:footnoteRef/>
      </w:r>
      <w:r>
        <w:rPr>
          <w:lang w:val="pt-PT"/>
        </w:rPr>
        <w:t xml:space="preserve"> </w:t>
      </w:r>
      <w:r>
        <w:rPr>
          <w:lang w:val="pt-PT"/>
        </w:rPr>
        <w:tab/>
        <w:t xml:space="preserve">Directive </w:t>
      </w:r>
      <w:hyperlink r:id="rId18" w:history="1">
        <w:r>
          <w:rPr>
            <w:rStyle w:val="Hyperlink"/>
            <w:lang w:val="pt-PT"/>
          </w:rPr>
          <w:t>2009/12/EC</w:t>
        </w:r>
      </w:hyperlink>
      <w:r>
        <w:rPr>
          <w:rStyle w:val="Hyperlink"/>
          <w:lang w:val="pt-PT"/>
        </w:rPr>
        <w:t>;</w:t>
      </w:r>
      <w:r>
        <w:rPr>
          <w:lang w:val="pt-PT"/>
        </w:rPr>
        <w:t xml:space="preserve"> </w:t>
      </w:r>
      <w:hyperlink r:id="rId19" w:history="1">
        <w:r>
          <w:rPr>
            <w:rStyle w:val="Hyperlink"/>
            <w:lang w:val="pt-PT"/>
          </w:rPr>
          <w:t>MEMO/16/319</w:t>
        </w:r>
      </w:hyperlink>
      <w:r>
        <w:rPr>
          <w:lang w:val="pt-PT"/>
        </w:rPr>
        <w:t>.</w:t>
      </w:r>
    </w:p>
  </w:footnote>
  <w:footnote w:id="13">
    <w:p>
      <w:pPr>
        <w:pStyle w:val="FootnoteText"/>
        <w:rPr>
          <w:lang w:val="pt-PT"/>
        </w:rPr>
      </w:pPr>
      <w:r>
        <w:rPr>
          <w:rStyle w:val="FootnoteReference"/>
        </w:rPr>
        <w:footnoteRef/>
      </w:r>
      <w:r>
        <w:rPr>
          <w:lang w:val="pt-PT"/>
        </w:rPr>
        <w:t xml:space="preserve"> </w:t>
      </w:r>
      <w:r>
        <w:rPr>
          <w:lang w:val="pt-PT"/>
        </w:rPr>
        <w:tab/>
        <w:t xml:space="preserve">Directive </w:t>
      </w:r>
      <w:hyperlink r:id="rId20" w:history="1">
        <w:r>
          <w:rPr>
            <w:rStyle w:val="Hyperlink"/>
            <w:lang w:val="pt-PT"/>
          </w:rPr>
          <w:t>2009/18/EC</w:t>
        </w:r>
      </w:hyperlink>
      <w:r>
        <w:rPr>
          <w:lang w:val="pt-PT"/>
        </w:rPr>
        <w:t>.</w:t>
      </w:r>
    </w:p>
  </w:footnote>
  <w:footnote w:id="14">
    <w:p>
      <w:pPr>
        <w:pStyle w:val="FootnoteText"/>
        <w:rPr>
          <w:lang w:val="pt-PT"/>
        </w:rPr>
      </w:pPr>
      <w:r>
        <w:rPr>
          <w:rStyle w:val="FootnoteReference"/>
        </w:rPr>
        <w:footnoteRef/>
      </w:r>
      <w:r>
        <w:rPr>
          <w:lang w:val="pt-PT"/>
        </w:rPr>
        <w:t xml:space="preserve"> </w:t>
      </w:r>
      <w:r>
        <w:rPr>
          <w:lang w:val="pt-PT"/>
        </w:rPr>
        <w:tab/>
        <w:t>Regulation (EU) No </w:t>
      </w:r>
      <w:hyperlink r:id="rId21" w:history="1">
        <w:r>
          <w:rPr>
            <w:rStyle w:val="Hyperlink"/>
            <w:lang w:val="pt-PT"/>
          </w:rPr>
          <w:t>1177/2010</w:t>
        </w:r>
      </w:hyperlink>
      <w:r>
        <w:rPr>
          <w:lang w:val="pt-PT"/>
        </w:rPr>
        <w:t xml:space="preserve">; </w:t>
      </w:r>
      <w:hyperlink r:id="rId22" w:history="1">
        <w:r>
          <w:rPr>
            <w:rStyle w:val="Hyperlink"/>
            <w:lang w:val="pt-PT"/>
          </w:rPr>
          <w:t>MEMO/16/1452</w:t>
        </w:r>
      </w:hyperlink>
      <w:r>
        <w:rPr>
          <w:lang w:val="pt-PT"/>
        </w:rPr>
        <w:t>.</w:t>
      </w:r>
    </w:p>
  </w:footnote>
  <w:footnote w:id="15">
    <w:p>
      <w:pPr>
        <w:pStyle w:val="FootnoteText"/>
        <w:rPr>
          <w:lang w:val="pt-PT"/>
        </w:rPr>
      </w:pPr>
      <w:r>
        <w:rPr>
          <w:rStyle w:val="FootnoteReference"/>
        </w:rPr>
        <w:footnoteRef/>
      </w:r>
      <w:r>
        <w:rPr>
          <w:lang w:val="pt-PT"/>
        </w:rPr>
        <w:t xml:space="preserve"> </w:t>
      </w:r>
      <w:r>
        <w:rPr>
          <w:lang w:val="pt-PT"/>
        </w:rPr>
        <w:tab/>
        <w:t xml:space="preserve">Directive </w:t>
      </w:r>
      <w:hyperlink r:id="rId23" w:history="1">
        <w:r>
          <w:rPr>
            <w:rStyle w:val="Hyperlink"/>
            <w:lang w:val="pt-PT"/>
          </w:rPr>
          <w:t>2006/123/EC</w:t>
        </w:r>
      </w:hyperlink>
      <w:r>
        <w:rPr>
          <w:lang w:val="pt-PT"/>
        </w:rPr>
        <w:t>.</w:t>
      </w:r>
    </w:p>
  </w:footnote>
  <w:footnote w:id="16">
    <w:p>
      <w:pPr>
        <w:pStyle w:val="FootnoteText"/>
        <w:rPr>
          <w:rFonts w:cs="Arial"/>
          <w:lang w:val="pt-PT"/>
        </w:rPr>
      </w:pPr>
      <w:r>
        <w:rPr>
          <w:rStyle w:val="FootnoteReference"/>
          <w:rFonts w:eastAsia="MS Gothic"/>
        </w:rPr>
        <w:footnoteRef/>
      </w:r>
      <w:r>
        <w:rPr>
          <w:lang w:val="pt-PT"/>
        </w:rPr>
        <w:t xml:space="preserve"> </w:t>
      </w:r>
      <w:r>
        <w:rPr>
          <w:lang w:val="pt-PT"/>
        </w:rPr>
        <w:tab/>
        <w:t xml:space="preserve">Directives </w:t>
      </w:r>
      <w:hyperlink r:id="rId24" w:history="1">
        <w:r>
          <w:rPr>
            <w:rStyle w:val="Hyperlink"/>
            <w:lang w:val="pt-PT"/>
          </w:rPr>
          <w:t>2014/23/EU</w:t>
        </w:r>
      </w:hyperlink>
      <w:r>
        <w:rPr>
          <w:lang w:val="pt-PT"/>
        </w:rPr>
        <w:t xml:space="preserve">, </w:t>
      </w:r>
      <w:hyperlink r:id="rId25" w:history="1">
        <w:r>
          <w:rPr>
            <w:rStyle w:val="Hyperlink"/>
            <w:lang w:val="pt-PT"/>
          </w:rPr>
          <w:t>2014/24/EU</w:t>
        </w:r>
      </w:hyperlink>
      <w:r>
        <w:rPr>
          <w:lang w:val="pt-PT"/>
        </w:rPr>
        <w:t xml:space="preserve"> and </w:t>
      </w:r>
      <w:hyperlink r:id="rId26" w:history="1">
        <w:r>
          <w:rPr>
            <w:rStyle w:val="Hyperlink"/>
            <w:lang w:val="pt-PT"/>
          </w:rPr>
          <w:t>2014/25/EU</w:t>
        </w:r>
      </w:hyperlink>
      <w:r>
        <w:rPr>
          <w:lang w:val="pt-PT"/>
        </w:rPr>
        <w:t xml:space="preserve">; </w:t>
      </w:r>
      <w:hyperlink r:id="rId27" w:history="1">
        <w:r>
          <w:rPr>
            <w:rStyle w:val="Hyperlink"/>
            <w:lang w:val="pt-PT"/>
          </w:rPr>
          <w:t>MEMO/16/1823</w:t>
        </w:r>
      </w:hyperlink>
      <w:r>
        <w:rPr>
          <w:lang w:val="pt-PT"/>
        </w:rPr>
        <w:t>.</w:t>
      </w:r>
    </w:p>
  </w:footnote>
  <w:footnote w:id="17">
    <w:p>
      <w:pPr>
        <w:pStyle w:val="FootnoteText"/>
        <w:rPr>
          <w:lang w:val="pt-PT"/>
        </w:rPr>
      </w:pPr>
      <w:r>
        <w:rPr>
          <w:rStyle w:val="FootnoteReference"/>
        </w:rPr>
        <w:footnoteRef/>
      </w:r>
      <w:r>
        <w:rPr>
          <w:lang w:val="pt-PT"/>
        </w:rPr>
        <w:t xml:space="preserve"> </w:t>
      </w:r>
      <w:r>
        <w:rPr>
          <w:lang w:val="pt-PT"/>
        </w:rPr>
        <w:tab/>
        <w:t xml:space="preserve">Directive </w:t>
      </w:r>
      <w:hyperlink r:id="rId28" w:history="1">
        <w:r>
          <w:rPr>
            <w:rStyle w:val="Hyperlink"/>
            <w:lang w:val="pt-PT"/>
          </w:rPr>
          <w:t>2012/18/EU</w:t>
        </w:r>
      </w:hyperlink>
      <w:r>
        <w:rPr>
          <w:lang w:val="pt-PT"/>
        </w:rPr>
        <w:t>.</w:t>
      </w:r>
    </w:p>
  </w:footnote>
  <w:footnote w:id="18">
    <w:p>
      <w:pPr>
        <w:pStyle w:val="FootnoteText"/>
        <w:rPr>
          <w:lang w:val="pt-PT"/>
        </w:rPr>
      </w:pPr>
      <w:r>
        <w:rPr>
          <w:rStyle w:val="FootnoteReference"/>
        </w:rPr>
        <w:footnoteRef/>
      </w:r>
      <w:r>
        <w:rPr>
          <w:lang w:val="pt-PT"/>
        </w:rPr>
        <w:t xml:space="preserve"> </w:t>
      </w:r>
      <w:r>
        <w:rPr>
          <w:lang w:val="pt-PT"/>
        </w:rPr>
        <w:tab/>
        <w:t>Regulation (EU) No </w:t>
      </w:r>
      <w:hyperlink r:id="rId29" w:history="1">
        <w:r>
          <w:rPr>
            <w:rStyle w:val="Hyperlink"/>
            <w:lang w:val="pt-PT"/>
          </w:rPr>
          <w:t>1177/2010</w:t>
        </w:r>
      </w:hyperlink>
      <w:r>
        <w:rPr>
          <w:lang w:val="pt-PT"/>
        </w:rPr>
        <w:t xml:space="preserve">, </w:t>
      </w:r>
      <w:hyperlink r:id="rId30" w:history="1">
        <w:r>
          <w:rPr>
            <w:rStyle w:val="Hyperlink"/>
            <w:lang w:val="pt-PT"/>
          </w:rPr>
          <w:t>MEMO/16/1452</w:t>
        </w:r>
      </w:hyperlink>
      <w:r>
        <w:rPr>
          <w:lang w:val="pt-PT"/>
        </w:rPr>
        <w:t>.</w:t>
      </w:r>
    </w:p>
  </w:footnote>
  <w:footnote w:id="19">
    <w:p>
      <w:pPr>
        <w:pStyle w:val="FootnoteText"/>
      </w:pPr>
      <w:r>
        <w:rPr>
          <w:rStyle w:val="FootnoteReference"/>
        </w:rPr>
        <w:footnoteRef/>
      </w:r>
      <w:r>
        <w:t xml:space="preserve"> </w:t>
      </w:r>
      <w:r>
        <w:tab/>
      </w:r>
      <w:r>
        <w:rPr>
          <w:rFonts w:cs="Arial"/>
          <w:szCs w:val="18"/>
        </w:rPr>
        <w:t>These rulings are almost exclusively handed down on infringement procedures.</w:t>
      </w:r>
    </w:p>
  </w:footnote>
  <w:footnote w:id="20">
    <w:p>
      <w:pPr>
        <w:pStyle w:val="FootnoteText"/>
      </w:pPr>
      <w:r>
        <w:rPr>
          <w:rStyle w:val="FootnoteReference"/>
        </w:rPr>
        <w:footnoteRef/>
      </w:r>
      <w:r>
        <w:t xml:space="preserve"> </w:t>
      </w:r>
      <w:r>
        <w:tab/>
        <w:t xml:space="preserve">Commission v Belgium, </w:t>
      </w:r>
      <w:hyperlink r:id="rId31" w:history="1">
        <w:r>
          <w:rPr>
            <w:rStyle w:val="Hyperlink"/>
          </w:rPr>
          <w:t>C-163/14</w:t>
        </w:r>
      </w:hyperlink>
      <w:r>
        <w:t>.</w:t>
      </w:r>
    </w:p>
  </w:footnote>
  <w:footnote w:id="21">
    <w:p>
      <w:pPr>
        <w:pStyle w:val="FootnoteText"/>
      </w:pPr>
      <w:r>
        <w:rPr>
          <w:rStyle w:val="FootnoteReference"/>
        </w:rPr>
        <w:footnoteRef/>
      </w:r>
      <w:r>
        <w:t xml:space="preserve"> </w:t>
      </w:r>
      <w:r>
        <w:tab/>
        <w:t xml:space="preserve">Directive </w:t>
      </w:r>
      <w:hyperlink r:id="rId32" w:history="1">
        <w:r>
          <w:rPr>
            <w:rStyle w:val="Hyperlink"/>
          </w:rPr>
          <w:t>1999/44/EC</w:t>
        </w:r>
      </w:hyperlink>
      <w:r>
        <w:t>.</w:t>
      </w:r>
    </w:p>
  </w:footnote>
  <w:footnote w:id="22">
    <w:p>
      <w:pPr>
        <w:pStyle w:val="FootnoteText"/>
      </w:pPr>
      <w:r>
        <w:rPr>
          <w:rStyle w:val="FootnoteReference"/>
        </w:rPr>
        <w:footnoteRef/>
      </w:r>
      <w:r>
        <w:t xml:space="preserve"> </w:t>
      </w:r>
      <w:r>
        <w:tab/>
      </w:r>
      <w:r>
        <w:rPr>
          <w:rFonts w:cs="Arial"/>
          <w:szCs w:val="18"/>
        </w:rPr>
        <w:t xml:space="preserve">Wathelet, </w:t>
      </w:r>
      <w:hyperlink r:id="rId33" w:history="1">
        <w:r>
          <w:rPr>
            <w:rStyle w:val="Hyperlink"/>
          </w:rPr>
          <w:t>C-149/15</w:t>
        </w:r>
      </w:hyperlink>
      <w:r>
        <w:rPr>
          <w:rFonts w:cs="Arial"/>
          <w:szCs w:val="18"/>
        </w:rPr>
        <w:t>.</w:t>
      </w:r>
    </w:p>
  </w:footnote>
  <w:footnote w:id="23">
    <w:p>
      <w:pPr>
        <w:pStyle w:val="FootnoteText"/>
      </w:pPr>
      <w:r>
        <w:rPr>
          <w:rStyle w:val="FootnoteReference"/>
        </w:rPr>
        <w:footnoteRef/>
      </w:r>
      <w:r>
        <w:t xml:space="preserve"> </w:t>
      </w:r>
      <w:r>
        <w:tab/>
        <w:t xml:space="preserve">Essent Belgium NV v Vlaams Gewest and Others, </w:t>
      </w:r>
      <w:hyperlink r:id="rId34" w:history="1">
        <w:r>
          <w:rPr>
            <w:rStyle w:val="Hyperlink"/>
          </w:rPr>
          <w:t>C-492/14.</w:t>
        </w:r>
      </w:hyperlink>
    </w:p>
  </w:footnote>
  <w:footnote w:id="24">
    <w:p>
      <w:pPr>
        <w:pStyle w:val="FootnoteText"/>
        <w:rPr>
          <w:rFonts w:cs="Arial"/>
          <w:lang w:val="nl-NL"/>
        </w:rPr>
      </w:pPr>
      <w:r>
        <w:rPr>
          <w:rStyle w:val="FootnoteReference"/>
        </w:rPr>
        <w:footnoteRef/>
      </w:r>
      <w:r>
        <w:rPr>
          <w:lang w:val="nl-NL"/>
        </w:rPr>
        <w:t xml:space="preserve"> </w:t>
      </w:r>
      <w:r>
        <w:rPr>
          <w:lang w:val="nl-NL"/>
        </w:rPr>
        <w:tab/>
        <w:t xml:space="preserve">Nationale Maatschappij der Belgische Spoorwegen NV v Gregory Demey, </w:t>
      </w:r>
      <w:hyperlink r:id="rId35" w:history="1">
        <w:r>
          <w:rPr>
            <w:rStyle w:val="Hyperlink"/>
            <w:lang w:val="nl-NL"/>
          </w:rPr>
          <w:t>C-261/15</w:t>
        </w:r>
      </w:hyperlink>
      <w:r>
        <w:rPr>
          <w:lang w:val="nl-NL"/>
        </w:rPr>
        <w:t>.</w:t>
      </w:r>
    </w:p>
  </w:footnote>
  <w:footnote w:id="25">
    <w:p>
      <w:pPr>
        <w:pStyle w:val="FootnoteText"/>
        <w:rPr>
          <w:lang w:val="nl-NL"/>
        </w:rPr>
      </w:pPr>
      <w:r>
        <w:rPr>
          <w:rStyle w:val="FootnoteReference"/>
        </w:rPr>
        <w:footnoteRef/>
      </w:r>
      <w:r>
        <w:rPr>
          <w:lang w:val="nl-NL"/>
        </w:rPr>
        <w:t xml:space="preserve"> </w:t>
      </w:r>
      <w:r>
        <w:rPr>
          <w:lang w:val="nl-NL"/>
        </w:rPr>
        <w:tab/>
        <w:t xml:space="preserve">Directive </w:t>
      </w:r>
      <w:hyperlink r:id="rId36" w:history="1">
        <w:r>
          <w:rPr>
            <w:rStyle w:val="Hyperlink"/>
            <w:lang w:val="nl-NL"/>
          </w:rPr>
          <w:t>96/75/EC</w:t>
        </w:r>
      </w:hyperlink>
      <w:r>
        <w:rPr>
          <w:lang w:val="nl-NL"/>
        </w:rPr>
        <w:t>.</w:t>
      </w:r>
    </w:p>
  </w:footnote>
  <w:footnote w:id="26">
    <w:p>
      <w:pPr>
        <w:pStyle w:val="FootnoteText"/>
      </w:pPr>
      <w:r>
        <w:rPr>
          <w:rStyle w:val="FootnoteReference"/>
        </w:rPr>
        <w:footnoteRef/>
      </w:r>
      <w:r>
        <w:t xml:space="preserve"> </w:t>
      </w:r>
      <w:r>
        <w:tab/>
        <w:t xml:space="preserve">Sven Mathys v De Grave Antverpia NV, </w:t>
      </w:r>
      <w:hyperlink r:id="rId37" w:history="1">
        <w:r>
          <w:rPr>
            <w:rStyle w:val="Hyperlink"/>
          </w:rPr>
          <w:t>C-92/15</w:t>
        </w:r>
      </w:hyperlink>
      <w:r>
        <w:t>.</w:t>
      </w:r>
    </w:p>
  </w:footnote>
  <w:footnote w:id="27">
    <w:p>
      <w:pPr>
        <w:pStyle w:val="FootnoteText"/>
        <w:rPr>
          <w:rFonts w:cs="Arial"/>
        </w:rPr>
      </w:pPr>
      <w:r>
        <w:rPr>
          <w:rStyle w:val="FootnoteReference"/>
        </w:rPr>
        <w:footnoteRef/>
      </w:r>
      <w:r>
        <w:t xml:space="preserve"> </w:t>
      </w:r>
      <w:r>
        <w:tab/>
      </w:r>
      <w:r>
        <w:rPr>
          <w:bCs/>
        </w:rPr>
        <w:t xml:space="preserve">Directive </w:t>
      </w:r>
      <w:hyperlink r:id="rId38" w:history="1">
        <w:r>
          <w:rPr>
            <w:rStyle w:val="Hyperlink"/>
            <w:bCs/>
          </w:rPr>
          <w:t>92/43/EEC</w:t>
        </w:r>
      </w:hyperlink>
      <w:r>
        <w:rPr>
          <w:bCs/>
        </w:rPr>
        <w:t xml:space="preserve">, Orleans and Others, joined cases </w:t>
      </w:r>
      <w:hyperlink r:id="rId39" w:history="1">
        <w:r>
          <w:rPr>
            <w:rStyle w:val="Hyperlink"/>
            <w:bCs/>
          </w:rPr>
          <w:t>C-387/15</w:t>
        </w:r>
      </w:hyperlink>
      <w:r>
        <w:rPr>
          <w:bCs/>
        </w:rPr>
        <w:t xml:space="preserve"> and </w:t>
      </w:r>
      <w:hyperlink r:id="rId40" w:history="1">
        <w:r>
          <w:rPr>
            <w:rStyle w:val="Hyperlink"/>
            <w:bCs/>
          </w:rPr>
          <w:t>C-388/15</w:t>
        </w:r>
      </w:hyperlink>
      <w:r>
        <w:rPr>
          <w:bCs/>
        </w:rPr>
        <w:t>.</w:t>
      </w:r>
    </w:p>
  </w:footnote>
  <w:footnote w:id="28">
    <w:p>
      <w:pPr>
        <w:pStyle w:val="FootnoteText"/>
        <w:rPr>
          <w:rFonts w:cs="Arial"/>
        </w:rPr>
      </w:pPr>
      <w:r>
        <w:rPr>
          <w:rStyle w:val="FootnoteReference"/>
        </w:rPr>
        <w:footnoteRef/>
      </w:r>
      <w:r>
        <w:t xml:space="preserve"> </w:t>
      </w:r>
      <w:r>
        <w:tab/>
        <w:t>Directive</w:t>
      </w:r>
      <w:r>
        <w:rPr>
          <w:b/>
          <w:bCs/>
          <w:sz w:val="22"/>
        </w:rPr>
        <w:t xml:space="preserve"> </w:t>
      </w:r>
      <w:hyperlink r:id="rId41" w:history="1">
        <w:r>
          <w:rPr>
            <w:rStyle w:val="Hyperlink"/>
            <w:bCs/>
          </w:rPr>
          <w:t>2001/42/EC</w:t>
        </w:r>
      </w:hyperlink>
      <w:r>
        <w:rPr>
          <w:bCs/>
        </w:rPr>
        <w:t>,</w:t>
      </w:r>
      <w:r>
        <w:t xml:space="preserve"> D’Oultremont and Others, </w:t>
      </w:r>
      <w:hyperlink r:id="rId42" w:history="1">
        <w:r>
          <w:rPr>
            <w:rStyle w:val="Hyperlink"/>
          </w:rPr>
          <w:t>C-290/15</w:t>
        </w:r>
      </w:hyperlink>
      <w:r>
        <w:t>.</w:t>
      </w:r>
    </w:p>
  </w:footnote>
  <w:footnote w:id="29">
    <w:p>
      <w:pPr>
        <w:pStyle w:val="FootnoteText"/>
        <w:rPr>
          <w:szCs w:val="18"/>
        </w:rPr>
      </w:pPr>
      <w:r>
        <w:rPr>
          <w:rStyle w:val="FootnoteReference"/>
        </w:rPr>
        <w:footnoteRef/>
      </w:r>
      <w:r>
        <w:t xml:space="preserve"> </w:t>
      </w:r>
      <w:r>
        <w:tab/>
      </w:r>
      <w:r>
        <w:rPr>
          <w:rStyle w:val="affairetitle"/>
        </w:rPr>
        <w:t>Etablissements Fr. Colruyt</w:t>
      </w:r>
      <w:r>
        <w:t xml:space="preserve">, </w:t>
      </w:r>
      <w:hyperlink r:id="rId43" w:history="1">
        <w:r>
          <w:rPr>
            <w:rStyle w:val="Hyperlink"/>
          </w:rPr>
          <w:t>C-221/15</w:t>
        </w:r>
      </w:hyperlink>
      <w:r>
        <w:t>.</w:t>
      </w:r>
    </w:p>
  </w:footnote>
  <w:footnote w:id="30">
    <w:p>
      <w:pPr>
        <w:pStyle w:val="FootnoteText"/>
        <w:rPr>
          <w:rFonts w:cs="Arial"/>
        </w:rPr>
      </w:pPr>
      <w:r>
        <w:rPr>
          <w:rStyle w:val="FootnoteReference"/>
        </w:rPr>
        <w:footnoteRef/>
      </w:r>
      <w:r>
        <w:t xml:space="preserve"> </w:t>
      </w:r>
      <w:r>
        <w:tab/>
      </w:r>
      <w:hyperlink r:id="rId44" w:history="1">
        <w:r>
          <w:rPr>
            <w:rStyle w:val="Hyperlink"/>
          </w:rPr>
          <w:t>C-15/15</w:t>
        </w:r>
      </w:hyperlink>
      <w:r>
        <w:t>, New Valmar BVBA, Court press release No </w:t>
      </w:r>
      <w:hyperlink r:id="rId45" w:history="1">
        <w:r>
          <w:rPr>
            <w:rStyle w:val="Hyperlink"/>
          </w:rPr>
          <w:t>66/2016</w:t>
        </w:r>
      </w:hyperlink>
      <w:r>
        <w:t>.</w:t>
      </w:r>
    </w:p>
  </w:footnote>
  <w:footnote w:id="31">
    <w:p>
      <w:pPr>
        <w:pStyle w:val="FootnoteText"/>
        <w:rPr>
          <w:lang w:val="pt-PT"/>
        </w:rPr>
      </w:pPr>
      <w:r>
        <w:rPr>
          <w:rStyle w:val="FootnoteReference"/>
        </w:rPr>
        <w:footnoteRef/>
      </w:r>
      <w:r>
        <w:rPr>
          <w:lang w:val="pt-PT"/>
        </w:rPr>
        <w:t xml:space="preserve"> </w:t>
      </w:r>
      <w:r>
        <w:rPr>
          <w:lang w:val="pt-PT"/>
        </w:rPr>
        <w:tab/>
        <w:t xml:space="preserve">Directive </w:t>
      </w:r>
      <w:hyperlink r:id="rId46" w:history="1">
        <w:r>
          <w:rPr>
            <w:rStyle w:val="Hyperlink"/>
            <w:lang w:val="pt-PT"/>
          </w:rPr>
          <w:t>2013/40/EU</w:t>
        </w:r>
      </w:hyperlink>
      <w:r>
        <w:rPr>
          <w:lang w:val="pt-PT"/>
        </w:rPr>
        <w:t xml:space="preserve">; </w:t>
      </w:r>
      <w:hyperlink r:id="rId47" w:history="1">
        <w:r>
          <w:rPr>
            <w:rStyle w:val="Hyperlink"/>
            <w:lang w:val="pt-PT"/>
          </w:rPr>
          <w:t>MEMO/16/4211</w:t>
        </w:r>
      </w:hyperlink>
      <w:r>
        <w:rPr>
          <w:lang w:val="pt-PT"/>
        </w:rPr>
        <w:t>.</w:t>
      </w:r>
    </w:p>
  </w:footnote>
  <w:footnote w:id="32">
    <w:p>
      <w:pPr>
        <w:pStyle w:val="FootnoteText"/>
        <w:rPr>
          <w:lang w:val="pt-PT"/>
        </w:rPr>
      </w:pPr>
      <w:r>
        <w:rPr>
          <w:rStyle w:val="FootnoteReference"/>
        </w:rPr>
        <w:footnoteRef/>
      </w:r>
      <w:r>
        <w:rPr>
          <w:lang w:val="pt-PT"/>
        </w:rPr>
        <w:t xml:space="preserve"> </w:t>
      </w:r>
      <w:r>
        <w:rPr>
          <w:lang w:val="pt-PT"/>
        </w:rPr>
        <w:tab/>
        <w:t xml:space="preserve">Directive </w:t>
      </w:r>
      <w:hyperlink r:id="rId48" w:history="1">
        <w:r>
          <w:rPr>
            <w:rStyle w:val="Hyperlink"/>
            <w:lang w:val="pt-PT"/>
          </w:rPr>
          <w:t>2003/109/EC</w:t>
        </w:r>
      </w:hyperlink>
      <w:r>
        <w:rPr>
          <w:lang w:val="pt-PT"/>
        </w:rPr>
        <w:t>.</w:t>
      </w:r>
    </w:p>
  </w:footnote>
  <w:footnote w:id="33">
    <w:p>
      <w:pPr>
        <w:pStyle w:val="FootnoteText"/>
        <w:rPr>
          <w:lang w:val="pt-PT"/>
        </w:rPr>
      </w:pPr>
      <w:r>
        <w:rPr>
          <w:rStyle w:val="FootnoteReference"/>
        </w:rPr>
        <w:footnoteRef/>
      </w:r>
      <w:r>
        <w:rPr>
          <w:lang w:val="pt-PT"/>
        </w:rPr>
        <w:t xml:space="preserve"> </w:t>
      </w:r>
      <w:r>
        <w:rPr>
          <w:lang w:val="pt-PT"/>
        </w:rPr>
        <w:tab/>
        <w:t xml:space="preserve">Directive </w:t>
      </w:r>
      <w:hyperlink r:id="rId49" w:history="1">
        <w:r>
          <w:rPr>
            <w:rStyle w:val="Hyperlink"/>
            <w:lang w:val="pt-PT"/>
          </w:rPr>
          <w:t>2013/30/EU</w:t>
        </w:r>
      </w:hyperlink>
      <w:r>
        <w:rPr>
          <w:lang w:val="pt-PT"/>
        </w:rPr>
        <w:t xml:space="preserve">, </w:t>
      </w:r>
      <w:hyperlink r:id="rId50" w:history="1">
        <w:r>
          <w:rPr>
            <w:rStyle w:val="Hyperlink"/>
            <w:lang w:val="pt-PT"/>
          </w:rPr>
          <w:t>MEMO/16/319</w:t>
        </w:r>
      </w:hyperlink>
      <w:r>
        <w:rPr>
          <w:lang w:val="pt-PT"/>
        </w:rPr>
        <w:t xml:space="preserve">, </w:t>
      </w:r>
      <w:hyperlink r:id="rId51" w:history="1">
        <w:r>
          <w:rPr>
            <w:rStyle w:val="Hyperlink"/>
            <w:lang w:val="pt-PT"/>
          </w:rPr>
          <w:t>MEMO/16/1452</w:t>
        </w:r>
      </w:hyperlink>
      <w:r>
        <w:rPr>
          <w:lang w:val="pt-PT"/>
        </w:rPr>
        <w:t xml:space="preserve"> and </w:t>
      </w:r>
      <w:hyperlink r:id="rId52" w:history="1">
        <w:r>
          <w:rPr>
            <w:rStyle w:val="Hyperlink"/>
            <w:lang w:val="pt-PT"/>
          </w:rPr>
          <w:t>MEMO/16/3644</w:t>
        </w:r>
      </w:hyperlink>
      <w:r>
        <w:rPr>
          <w:lang w:val="pt-PT"/>
        </w:rPr>
        <w:t>.</w:t>
      </w:r>
    </w:p>
  </w:footnote>
  <w:footnote w:id="34">
    <w:p>
      <w:pPr>
        <w:pStyle w:val="FootnoteText"/>
      </w:pPr>
      <w:r>
        <w:rPr>
          <w:rStyle w:val="FootnoteReference"/>
        </w:rPr>
        <w:footnoteRef/>
      </w:r>
      <w:r>
        <w:t xml:space="preserve"> </w:t>
      </w:r>
      <w:r>
        <w:tab/>
        <w:t xml:space="preserve">Directive </w:t>
      </w:r>
      <w:hyperlink r:id="rId53" w:history="1">
        <w:r>
          <w:rPr>
            <w:rStyle w:val="Hyperlink"/>
          </w:rPr>
          <w:t>2010/31/EU</w:t>
        </w:r>
      </w:hyperlink>
      <w:r>
        <w:rPr>
          <w:rStyle w:val="Hyperlink"/>
        </w:rPr>
        <w:t xml:space="preserve"> </w:t>
      </w:r>
      <w:r>
        <w:t xml:space="preserve">and </w:t>
      </w:r>
      <w:hyperlink r:id="rId54" w:history="1">
        <w:r>
          <w:rPr>
            <w:rStyle w:val="Hyperlink"/>
          </w:rPr>
          <w:t>MEMO/16/3644</w:t>
        </w:r>
      </w:hyperlink>
      <w:r>
        <w:t xml:space="preserve">, </w:t>
      </w:r>
      <w:hyperlink r:id="rId55" w:history="1">
        <w:r>
          <w:rPr>
            <w:rStyle w:val="Hyperlink"/>
          </w:rPr>
          <w:t>MEMO/16/319</w:t>
        </w:r>
      </w:hyperlink>
      <w:r>
        <w:rPr>
          <w:rStyle w:val="Hyperlink"/>
        </w:rPr>
        <w:t xml:space="preserve"> </w:t>
      </w:r>
      <w:r>
        <w:t xml:space="preserve">and </w:t>
      </w:r>
      <w:hyperlink r:id="rId56" w:history="1">
        <w:r>
          <w:rPr>
            <w:rStyle w:val="Hyperlink"/>
          </w:rPr>
          <w:t>MEMO/16/2490</w:t>
        </w:r>
      </w:hyperlink>
      <w:r>
        <w:t>.</w:t>
      </w:r>
    </w:p>
  </w:footnote>
  <w:footnote w:id="35">
    <w:p>
      <w:pPr>
        <w:pStyle w:val="FootnoteText"/>
      </w:pPr>
      <w:r>
        <w:rPr>
          <w:rStyle w:val="FootnoteReference"/>
        </w:rPr>
        <w:footnoteRef/>
      </w:r>
      <w:r>
        <w:t xml:space="preserve"> </w:t>
      </w:r>
      <w:r>
        <w:tab/>
        <w:t xml:space="preserve">Directive </w:t>
      </w:r>
      <w:hyperlink r:id="rId57" w:history="1">
        <w:r>
          <w:rPr>
            <w:rStyle w:val="Hyperlink"/>
          </w:rPr>
          <w:t>91/676/EEC</w:t>
        </w:r>
      </w:hyperlink>
      <w:r>
        <w:t xml:space="preserve">and </w:t>
      </w:r>
      <w:hyperlink r:id="rId58" w:history="1">
        <w:r>
          <w:rPr>
            <w:rStyle w:val="Hyperlink"/>
          </w:rPr>
          <w:t>MEMO/16/3125</w:t>
        </w:r>
      </w:hyperlink>
      <w:r>
        <w:t>.</w:t>
      </w:r>
    </w:p>
  </w:footnote>
  <w:footnote w:id="36">
    <w:p>
      <w:pPr>
        <w:pStyle w:val="FootnoteText"/>
      </w:pPr>
      <w:r>
        <w:rPr>
          <w:rStyle w:val="FootnoteReference"/>
        </w:rPr>
        <w:footnoteRef/>
      </w:r>
      <w:r>
        <w:t xml:space="preserve"> </w:t>
      </w:r>
      <w:r>
        <w:tab/>
        <w:t xml:space="preserve">Directive </w:t>
      </w:r>
      <w:hyperlink r:id="rId59" w:history="1">
        <w:r>
          <w:rPr>
            <w:rStyle w:val="Hyperlink"/>
          </w:rPr>
          <w:t>2013/34/EU</w:t>
        </w:r>
      </w:hyperlink>
      <w:r>
        <w:t xml:space="preserve">, and press releases </w:t>
      </w:r>
      <w:hyperlink r:id="rId60" w:history="1">
        <w:r>
          <w:rPr>
            <w:rStyle w:val="Hyperlink"/>
          </w:rPr>
          <w:t>MEMO/16/2097</w:t>
        </w:r>
      </w:hyperlink>
      <w:r>
        <w:t xml:space="preserve">and </w:t>
      </w:r>
      <w:hyperlink r:id="rId61" w:history="1">
        <w:r>
          <w:rPr>
            <w:rStyle w:val="Hyperlink"/>
          </w:rPr>
          <w:t>MEMO/16/3644</w:t>
        </w:r>
      </w:hyperlink>
      <w:r>
        <w:t>.</w:t>
      </w:r>
    </w:p>
  </w:footnote>
  <w:footnote w:id="37">
    <w:p>
      <w:pPr>
        <w:pStyle w:val="FootnoteText"/>
        <w:rPr>
          <w:lang w:val="pt-PT"/>
        </w:rPr>
      </w:pPr>
      <w:r>
        <w:rPr>
          <w:rStyle w:val="FootnoteReference"/>
        </w:rPr>
        <w:footnoteRef/>
      </w:r>
      <w:r>
        <w:rPr>
          <w:lang w:val="pt-PT"/>
        </w:rPr>
        <w:t xml:space="preserve"> </w:t>
      </w:r>
      <w:r>
        <w:rPr>
          <w:lang w:val="pt-PT"/>
        </w:rPr>
        <w:tab/>
        <w:t xml:space="preserve">Directive </w:t>
      </w:r>
      <w:hyperlink r:id="rId62" w:history="1">
        <w:r>
          <w:rPr>
            <w:rStyle w:val="Hyperlink"/>
            <w:lang w:val="pt-PT"/>
          </w:rPr>
          <w:t>2009/12/EC</w:t>
        </w:r>
      </w:hyperlink>
      <w:r>
        <w:rPr>
          <w:lang w:val="pt-PT"/>
        </w:rPr>
        <w:t xml:space="preserve">, </w:t>
      </w:r>
      <w:hyperlink r:id="rId63" w:history="1">
        <w:r>
          <w:rPr>
            <w:rStyle w:val="Hyperlink"/>
            <w:lang w:val="pt-PT"/>
          </w:rPr>
          <w:t>MEMO/16/319</w:t>
        </w:r>
      </w:hyperlink>
      <w:r>
        <w:rPr>
          <w:lang w:val="pt-PT"/>
        </w:rPr>
        <w:t>.</w:t>
      </w:r>
    </w:p>
  </w:footnote>
  <w:footnote w:id="38">
    <w:p>
      <w:pPr>
        <w:pStyle w:val="FootnoteText"/>
        <w:rPr>
          <w:lang w:val="pt-PT"/>
        </w:rPr>
      </w:pPr>
      <w:r>
        <w:rPr>
          <w:rStyle w:val="FootnoteReference"/>
        </w:rPr>
        <w:footnoteRef/>
      </w:r>
      <w:r>
        <w:rPr>
          <w:lang w:val="pt-PT"/>
        </w:rPr>
        <w:t xml:space="preserve"> </w:t>
      </w:r>
      <w:r>
        <w:rPr>
          <w:lang w:val="pt-PT"/>
        </w:rPr>
        <w:tab/>
        <w:t xml:space="preserve">Directive </w:t>
      </w:r>
      <w:hyperlink r:id="rId64" w:history="1">
        <w:r>
          <w:rPr>
            <w:rStyle w:val="Hyperlink"/>
            <w:lang w:val="pt-PT"/>
          </w:rPr>
          <w:t>2014/89/EU</w:t>
        </w:r>
      </w:hyperlink>
      <w:r>
        <w:rPr>
          <w:lang w:val="pt-PT"/>
        </w:rPr>
        <w:t>.</w:t>
      </w:r>
    </w:p>
  </w:footnote>
  <w:footnote w:id="39">
    <w:p>
      <w:pPr>
        <w:pStyle w:val="FootnoteText"/>
        <w:rPr>
          <w:lang w:val="pt-PT"/>
        </w:rPr>
      </w:pPr>
      <w:r>
        <w:rPr>
          <w:rStyle w:val="FootnoteReference"/>
          <w:rFonts w:eastAsia="MS Gothic"/>
        </w:rPr>
        <w:footnoteRef/>
      </w:r>
      <w:r>
        <w:rPr>
          <w:lang w:val="pt-PT"/>
        </w:rPr>
        <w:t xml:space="preserve"> </w:t>
      </w:r>
      <w:r>
        <w:rPr>
          <w:lang w:val="pt-PT"/>
        </w:rPr>
        <w:tab/>
        <w:t xml:space="preserve">Directives </w:t>
      </w:r>
      <w:hyperlink r:id="rId65" w:history="1">
        <w:r>
          <w:rPr>
            <w:rStyle w:val="Hyperlink"/>
            <w:lang w:val="pt-PT"/>
          </w:rPr>
          <w:t>2014/23/EU</w:t>
        </w:r>
      </w:hyperlink>
      <w:r>
        <w:rPr>
          <w:lang w:val="pt-PT"/>
        </w:rPr>
        <w:t xml:space="preserve">, </w:t>
      </w:r>
      <w:hyperlink r:id="rId66" w:history="1">
        <w:r>
          <w:rPr>
            <w:rStyle w:val="Hyperlink"/>
            <w:lang w:val="pt-PT"/>
          </w:rPr>
          <w:t>2014/24/EU</w:t>
        </w:r>
      </w:hyperlink>
      <w:r>
        <w:rPr>
          <w:lang w:val="pt-PT"/>
        </w:rPr>
        <w:t xml:space="preserve">, </w:t>
      </w:r>
      <w:hyperlink r:id="rId67" w:history="1">
        <w:r>
          <w:rPr>
            <w:rStyle w:val="Hyperlink"/>
            <w:lang w:val="pt-PT"/>
          </w:rPr>
          <w:t>2014/25/E</w:t>
        </w:r>
      </w:hyperlink>
      <w:r>
        <w:rPr>
          <w:rStyle w:val="Hyperlink"/>
          <w:lang w:val="pt-PT"/>
        </w:rPr>
        <w:t>U</w:t>
      </w:r>
      <w:r>
        <w:rPr>
          <w:lang w:val="pt-PT"/>
        </w:rPr>
        <w:t xml:space="preserve">, </w:t>
      </w:r>
      <w:hyperlink r:id="rId68" w:history="1">
        <w:r>
          <w:rPr>
            <w:rStyle w:val="Hyperlink"/>
            <w:lang w:val="pt-PT"/>
          </w:rPr>
          <w:t>MEMO/16/1823</w:t>
        </w:r>
      </w:hyperlink>
      <w:r>
        <w:rPr>
          <w:lang w:val="pt-PT"/>
        </w:rPr>
        <w:t>.</w:t>
      </w:r>
    </w:p>
  </w:footnote>
  <w:footnote w:id="40">
    <w:p>
      <w:pPr>
        <w:pStyle w:val="FootnoteText"/>
      </w:pPr>
      <w:r>
        <w:rPr>
          <w:rStyle w:val="FootnoteReference"/>
        </w:rPr>
        <w:footnoteRef/>
      </w:r>
      <w:r>
        <w:t xml:space="preserve"> </w:t>
      </w:r>
      <w:r>
        <w:tab/>
        <w:t xml:space="preserve">Press releases </w:t>
      </w:r>
      <w:hyperlink r:id="rId69" w:history="1">
        <w:r>
          <w:rPr>
            <w:rStyle w:val="Hyperlink"/>
          </w:rPr>
          <w:t>IP/16/1827</w:t>
        </w:r>
      </w:hyperlink>
      <w:r>
        <w:t xml:space="preserve"> and </w:t>
      </w:r>
      <w:hyperlink r:id="rId70" w:history="1">
        <w:r>
          <w:rPr>
            <w:rStyle w:val="Hyperlink"/>
          </w:rPr>
          <w:t>MEMO/16/1823</w:t>
        </w:r>
      </w:hyperlink>
      <w:r>
        <w:t>.</w:t>
      </w:r>
    </w:p>
  </w:footnote>
  <w:footnote w:id="41">
    <w:p>
      <w:pPr>
        <w:pStyle w:val="FootnoteText"/>
      </w:pPr>
      <w:r>
        <w:rPr>
          <w:rStyle w:val="FootnoteReference"/>
        </w:rPr>
        <w:footnoteRef/>
      </w:r>
      <w:r>
        <w:t xml:space="preserve"> </w:t>
      </w:r>
      <w:r>
        <w:tab/>
        <w:t xml:space="preserve">Directive </w:t>
      </w:r>
      <w:hyperlink r:id="rId71" w:history="1">
        <w:r>
          <w:rPr>
            <w:rStyle w:val="Hyperlink"/>
          </w:rPr>
          <w:t>2012/18/EU</w:t>
        </w:r>
      </w:hyperlink>
      <w:r>
        <w:t>.</w:t>
      </w:r>
    </w:p>
  </w:footnote>
  <w:footnote w:id="42">
    <w:p>
      <w:pPr>
        <w:pStyle w:val="FootnoteText"/>
      </w:pPr>
      <w:r>
        <w:rPr>
          <w:rStyle w:val="FootnoteReference"/>
        </w:rPr>
        <w:footnoteRef/>
      </w:r>
      <w:r>
        <w:t xml:space="preserve"> </w:t>
      </w:r>
      <w:r>
        <w:tab/>
        <w:t xml:space="preserve">Directive </w:t>
      </w:r>
      <w:hyperlink r:id="rId72" w:history="1">
        <w:r>
          <w:rPr>
            <w:rStyle w:val="Hyperlink"/>
          </w:rPr>
          <w:t>2013/36/EU</w:t>
        </w:r>
      </w:hyperlink>
      <w:r>
        <w:t>.</w:t>
      </w:r>
    </w:p>
  </w:footnote>
  <w:footnote w:id="43">
    <w:p>
      <w:pPr>
        <w:pStyle w:val="FootnoteText"/>
      </w:pPr>
      <w:r>
        <w:rPr>
          <w:rStyle w:val="FootnoteReference"/>
        </w:rPr>
        <w:footnoteRef/>
      </w:r>
      <w:r>
        <w:t xml:space="preserve"> </w:t>
      </w:r>
      <w:r>
        <w:tab/>
        <w:t xml:space="preserve">Directive </w:t>
      </w:r>
      <w:hyperlink r:id="rId73" w:history="1">
        <w:r>
          <w:rPr>
            <w:rStyle w:val="Hyperlink"/>
          </w:rPr>
          <w:t>2014/59/EU</w:t>
        </w:r>
      </w:hyperlink>
      <w:r>
        <w:t>.</w:t>
      </w:r>
    </w:p>
  </w:footnote>
  <w:footnote w:id="44">
    <w:p>
      <w:pPr>
        <w:pStyle w:val="FootnoteText"/>
      </w:pPr>
      <w:r>
        <w:rPr>
          <w:rStyle w:val="FootnoteReference"/>
        </w:rPr>
        <w:footnoteRef/>
      </w:r>
      <w:r>
        <w:t xml:space="preserve"> </w:t>
      </w:r>
      <w:r>
        <w:tab/>
      </w:r>
      <w:r>
        <w:rPr>
          <w:rFonts w:cs="Arial"/>
          <w:szCs w:val="18"/>
        </w:rPr>
        <w:t>These rulings are almost exclusively handed down in infringement procedures.</w:t>
      </w:r>
    </w:p>
  </w:footnote>
  <w:footnote w:id="45">
    <w:p>
      <w:pPr>
        <w:pStyle w:val="FootnoteText"/>
      </w:pPr>
      <w:r>
        <w:rPr>
          <w:rStyle w:val="FootnoteReference"/>
        </w:rPr>
        <w:footnoteRef/>
      </w:r>
      <w:r>
        <w:t xml:space="preserve"> </w:t>
      </w:r>
      <w:r>
        <w:tab/>
        <w:t xml:space="preserve">Directives </w:t>
      </w:r>
      <w:hyperlink r:id="rId74" w:history="1">
        <w:r>
          <w:rPr>
            <w:rStyle w:val="Hyperlink"/>
          </w:rPr>
          <w:t>2009/147/EC</w:t>
        </w:r>
      </w:hyperlink>
      <w:r>
        <w:rPr>
          <w:bCs/>
        </w:rPr>
        <w:t xml:space="preserve">, </w:t>
      </w:r>
      <w:hyperlink r:id="rId75" w:history="1">
        <w:r>
          <w:rPr>
            <w:rStyle w:val="Hyperlink"/>
            <w:bCs/>
          </w:rPr>
          <w:t>92/43/EEC</w:t>
        </w:r>
      </w:hyperlink>
      <w:r>
        <w:rPr>
          <w:bCs/>
        </w:rPr>
        <w:t xml:space="preserve">and </w:t>
      </w:r>
      <w:hyperlink r:id="rId76" w:history="1">
        <w:r>
          <w:rPr>
            <w:rStyle w:val="Hyperlink"/>
            <w:bCs/>
          </w:rPr>
          <w:t>2011/92/EU</w:t>
        </w:r>
      </w:hyperlink>
      <w:r>
        <w:t xml:space="preserve">, Commission v Bulgaria, </w:t>
      </w:r>
      <w:hyperlink r:id="rId77" w:history="1">
        <w:r>
          <w:rPr>
            <w:rStyle w:val="Hyperlink"/>
          </w:rPr>
          <w:t>C-141/14</w:t>
        </w:r>
      </w:hyperlink>
      <w:r>
        <w:rPr>
          <w:rStyle w:val="Hyperlink"/>
        </w:rPr>
        <w:t>.</w:t>
      </w:r>
    </w:p>
  </w:footnote>
  <w:footnote w:id="46">
    <w:p>
      <w:pPr>
        <w:pStyle w:val="FootnoteText"/>
      </w:pPr>
      <w:r>
        <w:rPr>
          <w:rStyle w:val="FootnoteReference"/>
        </w:rPr>
        <w:footnoteRef/>
      </w:r>
      <w:r>
        <w:t xml:space="preserve"> </w:t>
      </w:r>
      <w:r>
        <w:tab/>
        <w:t xml:space="preserve">Atanas Ognyanov v Sofiyska gradska prokuratura, </w:t>
      </w:r>
      <w:hyperlink r:id="rId78" w:history="1">
        <w:r>
          <w:rPr>
            <w:rStyle w:val="Hyperlink"/>
          </w:rPr>
          <w:t>C-554/14</w:t>
        </w:r>
      </w:hyperlink>
      <w:r>
        <w:t xml:space="preserve"> and Court press release No </w:t>
      </w:r>
      <w:hyperlink r:id="rId79" w:history="1">
        <w:r>
          <w:rPr>
            <w:rStyle w:val="Hyperlink"/>
          </w:rPr>
          <w:t>117/16</w:t>
        </w:r>
      </w:hyperlink>
      <w:r>
        <w:t>.</w:t>
      </w:r>
    </w:p>
  </w:footnote>
  <w:footnote w:id="47">
    <w:p>
      <w:pPr>
        <w:pStyle w:val="FootnoteText"/>
        <w:rPr>
          <w:lang w:val="pt-PT"/>
        </w:rPr>
      </w:pPr>
      <w:r>
        <w:rPr>
          <w:rStyle w:val="FootnoteReference"/>
        </w:rPr>
        <w:footnoteRef/>
      </w:r>
      <w:r>
        <w:rPr>
          <w:lang w:val="pt-PT"/>
        </w:rPr>
        <w:t xml:space="preserve"> </w:t>
      </w:r>
      <w:r>
        <w:rPr>
          <w:lang w:val="pt-PT"/>
        </w:rPr>
        <w:tab/>
        <w:t xml:space="preserve">Directive </w:t>
      </w:r>
      <w:hyperlink r:id="rId80" w:history="1">
        <w:r>
          <w:rPr>
            <w:rStyle w:val="Hyperlink"/>
            <w:lang w:val="pt-PT"/>
          </w:rPr>
          <w:t>2008/50/EC</w:t>
        </w:r>
      </w:hyperlink>
      <w:r>
        <w:rPr>
          <w:lang w:val="pt-PT"/>
        </w:rPr>
        <w:t>.</w:t>
      </w:r>
    </w:p>
  </w:footnote>
  <w:footnote w:id="48">
    <w:p>
      <w:pPr>
        <w:pStyle w:val="FootnoteText"/>
        <w:rPr>
          <w:lang w:val="pt-PT"/>
        </w:rPr>
      </w:pPr>
      <w:r>
        <w:rPr>
          <w:rStyle w:val="FootnoteReference"/>
        </w:rPr>
        <w:footnoteRef/>
      </w:r>
      <w:r>
        <w:rPr>
          <w:lang w:val="pt-PT"/>
        </w:rPr>
        <w:t xml:space="preserve"> </w:t>
      </w:r>
      <w:r>
        <w:rPr>
          <w:lang w:val="pt-PT"/>
        </w:rPr>
        <w:tab/>
        <w:t xml:space="preserve">Directive </w:t>
      </w:r>
      <w:hyperlink r:id="rId81" w:history="1">
        <w:r>
          <w:rPr>
            <w:rStyle w:val="Hyperlink"/>
            <w:lang w:val="pt-PT"/>
          </w:rPr>
          <w:t>2004/35/EC</w:t>
        </w:r>
      </w:hyperlink>
      <w:r>
        <w:rPr>
          <w:lang w:val="pt-PT"/>
        </w:rPr>
        <w:t>.</w:t>
      </w:r>
    </w:p>
  </w:footnote>
  <w:footnote w:id="49">
    <w:p>
      <w:pPr>
        <w:pStyle w:val="FootnoteText"/>
        <w:rPr>
          <w:lang w:val="pt-PT"/>
        </w:rPr>
      </w:pPr>
      <w:r>
        <w:rPr>
          <w:rStyle w:val="FootnoteReference"/>
        </w:rPr>
        <w:footnoteRef/>
      </w:r>
      <w:r>
        <w:rPr>
          <w:lang w:val="pt-PT"/>
        </w:rPr>
        <w:t xml:space="preserve"> </w:t>
      </w:r>
      <w:r>
        <w:rPr>
          <w:lang w:val="pt-PT"/>
        </w:rPr>
        <w:tab/>
        <w:t xml:space="preserve">Regulation </w:t>
      </w:r>
      <w:hyperlink r:id="rId82" w:history="1">
        <w:r>
          <w:rPr>
            <w:rStyle w:val="Hyperlink"/>
            <w:lang w:val="pt-PT"/>
          </w:rPr>
          <w:t>(EU) No 994/2010</w:t>
        </w:r>
      </w:hyperlink>
      <w:r>
        <w:rPr>
          <w:lang w:val="pt-PT"/>
        </w:rPr>
        <w:t>.</w:t>
      </w:r>
    </w:p>
  </w:footnote>
  <w:footnote w:id="50">
    <w:p>
      <w:pPr>
        <w:pStyle w:val="FootnoteText"/>
        <w:rPr>
          <w:lang w:val="pt-PT"/>
        </w:rPr>
      </w:pPr>
      <w:r>
        <w:rPr>
          <w:rStyle w:val="FootnoteReference"/>
        </w:rPr>
        <w:footnoteRef/>
      </w:r>
      <w:r>
        <w:rPr>
          <w:lang w:val="pt-PT"/>
        </w:rPr>
        <w:t xml:space="preserve"> </w:t>
      </w:r>
      <w:r>
        <w:rPr>
          <w:lang w:val="pt-PT"/>
        </w:rPr>
        <w:tab/>
        <w:t xml:space="preserve">Directive </w:t>
      </w:r>
      <w:hyperlink r:id="rId83" w:history="1">
        <w:r>
          <w:rPr>
            <w:rStyle w:val="Hyperlink"/>
            <w:lang w:val="pt-PT"/>
          </w:rPr>
          <w:t>92/43/EEC</w:t>
        </w:r>
      </w:hyperlink>
      <w:r>
        <w:rPr>
          <w:lang w:val="pt-PT"/>
        </w:rPr>
        <w:t>.</w:t>
      </w:r>
    </w:p>
  </w:footnote>
  <w:footnote w:id="51">
    <w:p>
      <w:pPr>
        <w:pStyle w:val="FootnoteText"/>
        <w:rPr>
          <w:lang w:val="pt-PT"/>
        </w:rPr>
      </w:pPr>
      <w:r>
        <w:rPr>
          <w:rStyle w:val="FootnoteReference"/>
        </w:rPr>
        <w:footnoteRef/>
      </w:r>
      <w:r>
        <w:rPr>
          <w:lang w:val="pt-PT"/>
        </w:rPr>
        <w:t xml:space="preserve"> </w:t>
      </w:r>
      <w:r>
        <w:rPr>
          <w:lang w:val="pt-PT"/>
        </w:rPr>
        <w:tab/>
        <w:t xml:space="preserve">Directive </w:t>
      </w:r>
      <w:hyperlink r:id="rId84" w:history="1">
        <w:r>
          <w:rPr>
            <w:rStyle w:val="Hyperlink"/>
            <w:lang w:val="pt-PT"/>
          </w:rPr>
          <w:t>2012/34/EU</w:t>
        </w:r>
      </w:hyperlink>
      <w:r>
        <w:rPr>
          <w:lang w:val="pt-PT"/>
        </w:rPr>
        <w:t>.</w:t>
      </w:r>
    </w:p>
  </w:footnote>
  <w:footnote w:id="52">
    <w:p>
      <w:pPr>
        <w:pStyle w:val="FootnoteText"/>
        <w:rPr>
          <w:lang w:val="pt-PT"/>
        </w:rPr>
      </w:pPr>
      <w:r>
        <w:rPr>
          <w:rStyle w:val="FootnoteReference"/>
        </w:rPr>
        <w:footnoteRef/>
      </w:r>
      <w:r>
        <w:rPr>
          <w:lang w:val="pt-PT"/>
        </w:rPr>
        <w:t xml:space="preserve"> </w:t>
      </w:r>
      <w:r>
        <w:rPr>
          <w:lang w:val="pt-PT"/>
        </w:rPr>
        <w:tab/>
        <w:t xml:space="preserve">Directive </w:t>
      </w:r>
      <w:hyperlink r:id="rId85" w:history="1">
        <w:r>
          <w:rPr>
            <w:rStyle w:val="Hyperlink"/>
            <w:lang w:val="pt-PT"/>
          </w:rPr>
          <w:t>2008/57/EC</w:t>
        </w:r>
      </w:hyperlink>
      <w:r>
        <w:rPr>
          <w:lang w:val="pt-PT"/>
        </w:rPr>
        <w:t xml:space="preserve">; </w:t>
      </w:r>
      <w:hyperlink r:id="rId86" w:history="1">
        <w:r>
          <w:rPr>
            <w:rStyle w:val="Hyperlink"/>
            <w:lang w:val="pt-PT"/>
          </w:rPr>
          <w:t>MEMO/16/319</w:t>
        </w:r>
      </w:hyperlink>
      <w:r>
        <w:rPr>
          <w:lang w:val="pt-PT"/>
        </w:rPr>
        <w:t>.</w:t>
      </w:r>
    </w:p>
  </w:footnote>
  <w:footnote w:id="53">
    <w:p>
      <w:pPr>
        <w:pStyle w:val="FootnoteText"/>
        <w:rPr>
          <w:rFonts w:cs="Arial"/>
          <w:lang w:val="pt-PT"/>
        </w:rPr>
      </w:pPr>
      <w:r>
        <w:rPr>
          <w:rStyle w:val="FootnoteReference"/>
          <w:rFonts w:eastAsia="MS Gothic"/>
        </w:rPr>
        <w:footnoteRef/>
      </w:r>
      <w:r>
        <w:rPr>
          <w:lang w:val="pt-PT"/>
        </w:rPr>
        <w:t xml:space="preserve"> </w:t>
      </w:r>
      <w:r>
        <w:rPr>
          <w:lang w:val="pt-PT"/>
        </w:rPr>
        <w:tab/>
        <w:t xml:space="preserve">Directives </w:t>
      </w:r>
      <w:hyperlink r:id="rId87" w:history="1">
        <w:r>
          <w:rPr>
            <w:rStyle w:val="Hyperlink"/>
            <w:lang w:val="pt-PT"/>
          </w:rPr>
          <w:t>2014/23/EU</w:t>
        </w:r>
      </w:hyperlink>
      <w:r>
        <w:rPr>
          <w:lang w:val="pt-PT"/>
        </w:rPr>
        <w:t xml:space="preserve">, </w:t>
      </w:r>
      <w:hyperlink r:id="rId88" w:history="1">
        <w:r>
          <w:rPr>
            <w:rStyle w:val="Hyperlink"/>
            <w:lang w:val="pt-PT"/>
          </w:rPr>
          <w:t>2014/24/EU</w:t>
        </w:r>
      </w:hyperlink>
      <w:r>
        <w:rPr>
          <w:lang w:val="pt-PT"/>
        </w:rPr>
        <w:t xml:space="preserve"> and </w:t>
      </w:r>
      <w:hyperlink r:id="rId89" w:history="1">
        <w:r>
          <w:rPr>
            <w:rStyle w:val="Hyperlink"/>
            <w:lang w:val="pt-PT"/>
          </w:rPr>
          <w:t>2014/25/EU</w:t>
        </w:r>
      </w:hyperlink>
      <w:r>
        <w:rPr>
          <w:lang w:val="pt-PT"/>
        </w:rPr>
        <w:t xml:space="preserve">; </w:t>
      </w:r>
      <w:hyperlink r:id="rId90" w:history="1">
        <w:r>
          <w:rPr>
            <w:rStyle w:val="Hyperlink"/>
            <w:lang w:val="pt-PT"/>
          </w:rPr>
          <w:t>MEMO/16/1823</w:t>
        </w:r>
      </w:hyperlink>
      <w:r>
        <w:rPr>
          <w:lang w:val="pt-PT"/>
        </w:rPr>
        <w:t>.</w:t>
      </w:r>
    </w:p>
  </w:footnote>
  <w:footnote w:id="54">
    <w:p>
      <w:pPr>
        <w:pStyle w:val="FootnoteText"/>
      </w:pPr>
      <w:r>
        <w:rPr>
          <w:rStyle w:val="FootnoteReference"/>
        </w:rPr>
        <w:footnoteRef/>
      </w:r>
      <w:r>
        <w:t xml:space="preserve"> </w:t>
      </w:r>
      <w:r>
        <w:tab/>
        <w:t xml:space="preserve">Directive </w:t>
      </w:r>
      <w:hyperlink r:id="rId91" w:history="1">
        <w:r>
          <w:rPr>
            <w:rStyle w:val="Hyperlink"/>
          </w:rPr>
          <w:t>2007/46/EC</w:t>
        </w:r>
      </w:hyperlink>
      <w:r>
        <w:t xml:space="preserve"> and Regulation </w:t>
      </w:r>
      <w:hyperlink r:id="rId92" w:history="1">
        <w:r>
          <w:rPr>
            <w:rStyle w:val="Hyperlink"/>
          </w:rPr>
          <w:t>2007/715/EC</w:t>
        </w:r>
      </w:hyperlink>
      <w:r>
        <w:t xml:space="preserve">; </w:t>
      </w:r>
      <w:hyperlink r:id="rId93" w:history="1">
        <w:r>
          <w:rPr>
            <w:rStyle w:val="Hyperlink"/>
          </w:rPr>
          <w:t>IP/16/4214</w:t>
        </w:r>
      </w:hyperlink>
      <w:r>
        <w:t>.</w:t>
      </w:r>
    </w:p>
  </w:footnote>
  <w:footnote w:id="55">
    <w:p>
      <w:pPr>
        <w:pStyle w:val="FootnoteText"/>
      </w:pPr>
      <w:r>
        <w:rPr>
          <w:rStyle w:val="FootnoteReference"/>
        </w:rPr>
        <w:footnoteRef/>
      </w:r>
      <w:r>
        <w:t xml:space="preserve"> </w:t>
      </w:r>
      <w:r>
        <w:tab/>
        <w:t xml:space="preserve">Directive </w:t>
      </w:r>
      <w:hyperlink r:id="rId94" w:history="1">
        <w:r>
          <w:rPr>
            <w:rStyle w:val="Hyperlink"/>
          </w:rPr>
          <w:t>2006/126/EC</w:t>
        </w:r>
      </w:hyperlink>
      <w:r>
        <w:t xml:space="preserve">, Commission v Czech Republic, </w:t>
      </w:r>
      <w:hyperlink r:id="rId95" w:history="1">
        <w:r>
          <w:rPr>
            <w:rStyle w:val="Hyperlink"/>
          </w:rPr>
          <w:t>C-314/16</w:t>
        </w:r>
      </w:hyperlink>
      <w:r>
        <w:t xml:space="preserve">; </w:t>
      </w:r>
      <w:hyperlink r:id="rId96" w:history="1">
        <w:r>
          <w:rPr>
            <w:rStyle w:val="Hyperlink"/>
          </w:rPr>
          <w:t>IP/15/6013</w:t>
        </w:r>
      </w:hyperlink>
      <w:r>
        <w:rPr>
          <w:rStyle w:val="Hyperlink"/>
        </w:rPr>
        <w:t>.</w:t>
      </w:r>
    </w:p>
  </w:footnote>
  <w:footnote w:id="56">
    <w:p>
      <w:pPr>
        <w:pStyle w:val="FootnoteText"/>
        <w:rPr>
          <w:rFonts w:cs="Arial"/>
        </w:rPr>
      </w:pPr>
      <w:r>
        <w:rPr>
          <w:rStyle w:val="FootnoteReference"/>
          <w:rFonts w:eastAsia="MS Gothic"/>
        </w:rPr>
        <w:footnoteRef/>
      </w:r>
      <w:r>
        <w:t xml:space="preserve"> </w:t>
      </w:r>
      <w:r>
        <w:tab/>
        <w:t xml:space="preserve">Commission v Czech Republic </w:t>
      </w:r>
      <w:hyperlink r:id="rId97" w:history="1">
        <w:r>
          <w:rPr>
            <w:rStyle w:val="Hyperlink"/>
          </w:rPr>
          <w:t>C-575/16</w:t>
        </w:r>
      </w:hyperlink>
      <w:r>
        <w:t xml:space="preserve">; </w:t>
      </w:r>
      <w:hyperlink r:id="rId98" w:history="1">
        <w:r>
          <w:rPr>
            <w:rStyle w:val="Hyperlink"/>
          </w:rPr>
          <w:t>IP/16/322</w:t>
        </w:r>
      </w:hyperlink>
      <w:r>
        <w:t xml:space="preserve"> and </w:t>
      </w:r>
      <w:hyperlink r:id="rId99" w:history="1">
        <w:r>
          <w:rPr>
            <w:rStyle w:val="Hyperlink"/>
          </w:rPr>
          <w:t>MEMO/16/319</w:t>
        </w:r>
      </w:hyperlink>
      <w:r>
        <w:rPr>
          <w:rStyle w:val="Hyperlink"/>
        </w:rPr>
        <w:t>.</w:t>
      </w:r>
    </w:p>
  </w:footnote>
  <w:footnote w:id="57">
    <w:p>
      <w:pPr>
        <w:pStyle w:val="FootnoteText"/>
      </w:pPr>
      <w:r>
        <w:rPr>
          <w:rStyle w:val="FootnoteReference"/>
        </w:rPr>
        <w:footnoteRef/>
      </w:r>
      <w:r>
        <w:t xml:space="preserve"> </w:t>
      </w:r>
      <w:r>
        <w:tab/>
        <w:t xml:space="preserve">Directive </w:t>
      </w:r>
      <w:hyperlink r:id="rId100" w:history="1">
        <w:r>
          <w:rPr>
            <w:rStyle w:val="Hyperlink"/>
          </w:rPr>
          <w:t>2008/98/EC</w:t>
        </w:r>
      </w:hyperlink>
      <w:r>
        <w:t>.</w:t>
      </w:r>
    </w:p>
  </w:footnote>
  <w:footnote w:id="58">
    <w:p>
      <w:pPr>
        <w:pStyle w:val="FootnoteText"/>
      </w:pPr>
      <w:r>
        <w:rPr>
          <w:rStyle w:val="FootnoteReference"/>
        </w:rPr>
        <w:footnoteRef/>
      </w:r>
      <w:r>
        <w:t xml:space="preserve"> </w:t>
      </w:r>
      <w:r>
        <w:tab/>
        <w:t xml:space="preserve">Directive </w:t>
      </w:r>
      <w:hyperlink r:id="rId101" w:history="1">
        <w:r>
          <w:rPr>
            <w:rStyle w:val="Hyperlink"/>
          </w:rPr>
          <w:t>2006/118/EC</w:t>
        </w:r>
      </w:hyperlink>
      <w:r>
        <w:t>.</w:t>
      </w:r>
    </w:p>
  </w:footnote>
  <w:footnote w:id="59">
    <w:p>
      <w:pPr>
        <w:pStyle w:val="FootnoteText"/>
      </w:pPr>
      <w:r>
        <w:rPr>
          <w:rStyle w:val="FootnoteReference"/>
        </w:rPr>
        <w:footnoteRef/>
      </w:r>
      <w:r>
        <w:t xml:space="preserve"> </w:t>
      </w:r>
      <w:r>
        <w:tab/>
        <w:t xml:space="preserve">Directive </w:t>
      </w:r>
      <w:hyperlink r:id="rId102" w:history="1">
        <w:r>
          <w:rPr>
            <w:rStyle w:val="Hyperlink"/>
          </w:rPr>
          <w:t>2008/105/EC</w:t>
        </w:r>
      </w:hyperlink>
      <w:r>
        <w:t>.</w:t>
      </w:r>
    </w:p>
  </w:footnote>
  <w:footnote w:id="60">
    <w:p>
      <w:pPr>
        <w:pStyle w:val="FootnoteText"/>
      </w:pPr>
      <w:r>
        <w:rPr>
          <w:rStyle w:val="FootnoteReference"/>
        </w:rPr>
        <w:footnoteRef/>
      </w:r>
      <w:r>
        <w:t xml:space="preserve"> </w:t>
      </w:r>
      <w:r>
        <w:tab/>
        <w:t xml:space="preserve">Directive </w:t>
      </w:r>
      <w:hyperlink r:id="rId103" w:history="1">
        <w:r>
          <w:rPr>
            <w:rStyle w:val="Hyperlink"/>
          </w:rPr>
          <w:t>2012/18/EU</w:t>
        </w:r>
      </w:hyperlink>
      <w:r>
        <w:t>.</w:t>
      </w:r>
    </w:p>
  </w:footnote>
  <w:footnote w:id="61">
    <w:p>
      <w:pPr>
        <w:pStyle w:val="FootnoteText"/>
      </w:pPr>
      <w:r>
        <w:rPr>
          <w:rStyle w:val="FootnoteReference"/>
        </w:rPr>
        <w:footnoteRef/>
      </w:r>
      <w:r>
        <w:t xml:space="preserve"> </w:t>
      </w:r>
      <w:r>
        <w:tab/>
        <w:t xml:space="preserve">Directive </w:t>
      </w:r>
      <w:hyperlink r:id="rId104" w:history="1">
        <w:r>
          <w:rPr>
            <w:rStyle w:val="Hyperlink"/>
          </w:rPr>
          <w:t>2014/59/EU</w:t>
        </w:r>
      </w:hyperlink>
      <w:r>
        <w:t>.</w:t>
      </w:r>
    </w:p>
  </w:footnote>
  <w:footnote w:id="62">
    <w:p>
      <w:pPr>
        <w:pStyle w:val="FootnoteText"/>
      </w:pPr>
      <w:r>
        <w:rPr>
          <w:rStyle w:val="FootnoteReference"/>
        </w:rPr>
        <w:footnoteRef/>
      </w:r>
      <w:r>
        <w:t xml:space="preserve"> </w:t>
      </w:r>
      <w:r>
        <w:tab/>
        <w:t xml:space="preserve">Directive </w:t>
      </w:r>
      <w:hyperlink r:id="rId105" w:history="1">
        <w:r>
          <w:rPr>
            <w:rStyle w:val="Hyperlink"/>
          </w:rPr>
          <w:t>2014/49/EU</w:t>
        </w:r>
      </w:hyperlink>
      <w:r>
        <w:t>.</w:t>
      </w:r>
    </w:p>
  </w:footnote>
  <w:footnote w:id="63">
    <w:p>
      <w:pPr>
        <w:pStyle w:val="FootnoteText"/>
      </w:pPr>
      <w:r>
        <w:rPr>
          <w:rStyle w:val="FootnoteReference"/>
        </w:rPr>
        <w:footnoteRef/>
      </w:r>
      <w:r>
        <w:t xml:space="preserve"> </w:t>
      </w:r>
      <w:r>
        <w:tab/>
        <w:t xml:space="preserve">Directive </w:t>
      </w:r>
      <w:hyperlink r:id="rId106" w:history="1">
        <w:r>
          <w:rPr>
            <w:rStyle w:val="Hyperlink"/>
          </w:rPr>
          <w:t>2011/89/EU</w:t>
        </w:r>
      </w:hyperlink>
      <w:r>
        <w:t>.</w:t>
      </w:r>
    </w:p>
  </w:footnote>
  <w:footnote w:id="64">
    <w:p>
      <w:pPr>
        <w:pStyle w:val="FootnoteText"/>
      </w:pPr>
      <w:r>
        <w:rPr>
          <w:rStyle w:val="FootnoteReference"/>
        </w:rPr>
        <w:footnoteRef/>
      </w:r>
      <w:r>
        <w:t xml:space="preserve"> </w:t>
      </w:r>
      <w:r>
        <w:tab/>
        <w:t xml:space="preserve">Regulation </w:t>
      </w:r>
      <w:hyperlink r:id="rId107" w:history="1">
        <w:r>
          <w:rPr>
            <w:rStyle w:val="Hyperlink"/>
          </w:rPr>
          <w:t>(EC) No 1071/2009</w:t>
        </w:r>
      </w:hyperlink>
      <w:r>
        <w:t>.</w:t>
      </w:r>
    </w:p>
  </w:footnote>
  <w:footnote w:id="65">
    <w:p>
      <w:pPr>
        <w:pStyle w:val="FootnoteText"/>
      </w:pPr>
      <w:r>
        <w:rPr>
          <w:rStyle w:val="FootnoteReference"/>
        </w:rPr>
        <w:footnoteRef/>
      </w:r>
      <w:r>
        <w:t xml:space="preserve"> </w:t>
      </w:r>
      <w:r>
        <w:tab/>
        <w:t xml:space="preserve">Directive </w:t>
      </w:r>
      <w:hyperlink r:id="rId108" w:history="1">
        <w:r>
          <w:rPr>
            <w:rStyle w:val="Hyperlink"/>
          </w:rPr>
          <w:t>2004/52/EC</w:t>
        </w:r>
      </w:hyperlink>
      <w:r>
        <w:t xml:space="preserve">. </w:t>
      </w:r>
    </w:p>
  </w:footnote>
  <w:footnote w:id="66">
    <w:p>
      <w:pPr>
        <w:pStyle w:val="FootnoteText"/>
      </w:pPr>
      <w:r>
        <w:rPr>
          <w:rStyle w:val="FootnoteReference"/>
        </w:rPr>
        <w:footnoteRef/>
      </w:r>
      <w:r>
        <w:t xml:space="preserve"> </w:t>
      </w:r>
      <w:r>
        <w:tab/>
        <w:t>These rulings are almost exclusively handed down in infringement procedures.</w:t>
      </w:r>
    </w:p>
  </w:footnote>
  <w:footnote w:id="67">
    <w:p>
      <w:pPr>
        <w:pStyle w:val="FootnoteText"/>
        <w:rPr>
          <w:rFonts w:cs="Arial"/>
        </w:rPr>
      </w:pPr>
      <w:r>
        <w:rPr>
          <w:rStyle w:val="FootnoteReference"/>
          <w:rFonts w:eastAsia="MS Gothic"/>
        </w:rPr>
        <w:footnoteRef/>
      </w:r>
      <w:r>
        <w:t xml:space="preserve"> </w:t>
      </w:r>
      <w:r>
        <w:tab/>
        <w:t xml:space="preserve">Commission v Czech Republic, </w:t>
      </w:r>
      <w:hyperlink r:id="rId109" w:history="1">
        <w:r>
          <w:rPr>
            <w:rStyle w:val="Hyperlink"/>
          </w:rPr>
          <w:t>C-525/14</w:t>
        </w:r>
      </w:hyperlink>
      <w:r>
        <w:rPr>
          <w:rStyle w:val="Hyperlink"/>
        </w:rPr>
        <w:t>.</w:t>
      </w:r>
    </w:p>
  </w:footnote>
  <w:footnote w:id="68">
    <w:p>
      <w:pPr>
        <w:pStyle w:val="FootnoteText"/>
        <w:rPr>
          <w:lang w:val="pt-PT"/>
        </w:rPr>
      </w:pPr>
      <w:r>
        <w:rPr>
          <w:rStyle w:val="FootnoteReference"/>
        </w:rPr>
        <w:footnoteRef/>
      </w:r>
      <w:r>
        <w:rPr>
          <w:lang w:val="pt-PT"/>
        </w:rPr>
        <w:t xml:space="preserve"> </w:t>
      </w:r>
      <w:r>
        <w:rPr>
          <w:lang w:val="pt-PT"/>
        </w:rPr>
        <w:tab/>
        <w:t xml:space="preserve">Directive </w:t>
      </w:r>
      <w:hyperlink r:id="rId110" w:history="1">
        <w:r>
          <w:rPr>
            <w:rStyle w:val="Hyperlink"/>
            <w:lang w:val="pt-PT"/>
          </w:rPr>
          <w:t>2008/50/EC</w:t>
        </w:r>
      </w:hyperlink>
      <w:r>
        <w:rPr>
          <w:lang w:val="pt-PT"/>
        </w:rPr>
        <w:t>.</w:t>
      </w:r>
    </w:p>
  </w:footnote>
  <w:footnote w:id="69">
    <w:p>
      <w:pPr>
        <w:pStyle w:val="FootnoteText"/>
        <w:rPr>
          <w:lang w:val="pt-PT"/>
        </w:rPr>
      </w:pPr>
      <w:r>
        <w:rPr>
          <w:rStyle w:val="FootnoteReference"/>
        </w:rPr>
        <w:footnoteRef/>
      </w:r>
      <w:r>
        <w:rPr>
          <w:lang w:val="pt-PT"/>
        </w:rPr>
        <w:t xml:space="preserve"> </w:t>
      </w:r>
      <w:r>
        <w:rPr>
          <w:lang w:val="pt-PT"/>
        </w:rPr>
        <w:tab/>
        <w:t xml:space="preserve">Directive </w:t>
      </w:r>
      <w:hyperlink r:id="rId111" w:history="1">
        <w:r>
          <w:rPr>
            <w:rStyle w:val="Hyperlink"/>
            <w:lang w:val="pt-PT"/>
          </w:rPr>
          <w:t>2004/35/EC</w:t>
        </w:r>
      </w:hyperlink>
      <w:r>
        <w:rPr>
          <w:lang w:val="pt-PT"/>
        </w:rPr>
        <w:t>.</w:t>
      </w:r>
    </w:p>
  </w:footnote>
  <w:footnote w:id="70">
    <w:p>
      <w:pPr>
        <w:pStyle w:val="FootnoteText"/>
        <w:rPr>
          <w:lang w:val="pt-PT"/>
        </w:rPr>
      </w:pPr>
      <w:r>
        <w:rPr>
          <w:rStyle w:val="FootnoteReference"/>
        </w:rPr>
        <w:footnoteRef/>
      </w:r>
      <w:r>
        <w:rPr>
          <w:lang w:val="pt-PT"/>
        </w:rPr>
        <w:t xml:space="preserve"> </w:t>
      </w:r>
      <w:r>
        <w:rPr>
          <w:lang w:val="pt-PT"/>
        </w:rPr>
        <w:tab/>
        <w:t xml:space="preserve">Directive </w:t>
      </w:r>
      <w:hyperlink r:id="rId112" w:history="1">
        <w:r>
          <w:rPr>
            <w:rStyle w:val="Hyperlink"/>
            <w:lang w:val="pt-PT"/>
          </w:rPr>
          <w:t>2012/27/EU</w:t>
        </w:r>
      </w:hyperlink>
      <w:r>
        <w:rPr>
          <w:lang w:val="pt-PT"/>
        </w:rPr>
        <w:t xml:space="preserve">, </w:t>
      </w:r>
      <w:hyperlink r:id="rId113" w:history="1">
        <w:r>
          <w:rPr>
            <w:rStyle w:val="Hyperlink"/>
            <w:lang w:val="pt-PT"/>
          </w:rPr>
          <w:t>MEMO/16/3125</w:t>
        </w:r>
      </w:hyperlink>
      <w:r>
        <w:rPr>
          <w:lang w:val="pt-PT"/>
        </w:rPr>
        <w:t xml:space="preserve"> and </w:t>
      </w:r>
      <w:hyperlink r:id="rId114" w:history="1">
        <w:r>
          <w:rPr>
            <w:rStyle w:val="Hyperlink"/>
            <w:lang w:val="pt-PT"/>
          </w:rPr>
          <w:t>MEMO/16/1452</w:t>
        </w:r>
      </w:hyperlink>
      <w:r>
        <w:rPr>
          <w:lang w:val="pt-PT"/>
        </w:rPr>
        <w:t>.</w:t>
      </w:r>
    </w:p>
  </w:footnote>
  <w:footnote w:id="71">
    <w:p>
      <w:pPr>
        <w:pStyle w:val="FootnoteText"/>
        <w:rPr>
          <w:lang w:val="pt-PT"/>
        </w:rPr>
      </w:pPr>
      <w:r>
        <w:rPr>
          <w:rStyle w:val="FootnoteReference"/>
        </w:rPr>
        <w:footnoteRef/>
      </w:r>
      <w:r>
        <w:rPr>
          <w:lang w:val="pt-PT"/>
        </w:rPr>
        <w:t xml:space="preserve"> </w:t>
      </w:r>
      <w:r>
        <w:rPr>
          <w:lang w:val="pt-PT"/>
        </w:rPr>
        <w:tab/>
        <w:t xml:space="preserve">Directive </w:t>
      </w:r>
      <w:hyperlink r:id="rId115" w:history="1">
        <w:r>
          <w:rPr>
            <w:rStyle w:val="Hyperlink"/>
            <w:lang w:val="pt-PT"/>
          </w:rPr>
          <w:t>2006/126/EC</w:t>
        </w:r>
      </w:hyperlink>
      <w:r>
        <w:rPr>
          <w:lang w:val="pt-PT"/>
        </w:rPr>
        <w:t xml:space="preserve">, </w:t>
      </w:r>
      <w:hyperlink r:id="rId116" w:history="1">
        <w:r>
          <w:rPr>
            <w:rStyle w:val="Hyperlink"/>
            <w:lang w:val="pt-PT"/>
          </w:rPr>
          <w:t>MEMO/16/2097</w:t>
        </w:r>
      </w:hyperlink>
      <w:r>
        <w:rPr>
          <w:lang w:val="pt-PT"/>
        </w:rPr>
        <w:t>.</w:t>
      </w:r>
    </w:p>
  </w:footnote>
  <w:footnote w:id="72">
    <w:p>
      <w:pPr>
        <w:pStyle w:val="FootnoteText"/>
        <w:rPr>
          <w:szCs w:val="18"/>
          <w:lang w:val="pt-PT"/>
        </w:rPr>
      </w:pPr>
      <w:r>
        <w:rPr>
          <w:rStyle w:val="FootnoteReference"/>
        </w:rPr>
        <w:footnoteRef/>
      </w:r>
      <w:r>
        <w:rPr>
          <w:lang w:val="pt-PT"/>
        </w:rPr>
        <w:t xml:space="preserve"> </w:t>
      </w:r>
      <w:r>
        <w:rPr>
          <w:lang w:val="pt-PT"/>
        </w:rPr>
        <w:tab/>
        <w:t xml:space="preserve">Directive </w:t>
      </w:r>
      <w:hyperlink r:id="rId117" w:history="1">
        <w:r>
          <w:rPr>
            <w:rStyle w:val="Hyperlink"/>
            <w:lang w:val="pt-PT"/>
          </w:rPr>
          <w:t>2006/123/EC</w:t>
        </w:r>
      </w:hyperlink>
      <w:r>
        <w:rPr>
          <w:lang w:val="pt-PT"/>
        </w:rPr>
        <w:t xml:space="preserve">, </w:t>
      </w:r>
      <w:hyperlink r:id="rId118" w:history="1">
        <w:r>
          <w:rPr>
            <w:rStyle w:val="Hyperlink"/>
            <w:lang w:val="pt-PT"/>
          </w:rPr>
          <w:t>IP/16/3646</w:t>
        </w:r>
      </w:hyperlink>
      <w:r>
        <w:rPr>
          <w:lang w:val="pt-PT"/>
        </w:rPr>
        <w:t xml:space="preserve">, </w:t>
      </w:r>
      <w:hyperlink r:id="rId119" w:history="1">
        <w:r>
          <w:rPr>
            <w:rStyle w:val="Hyperlink"/>
            <w:lang w:val="pt-PT"/>
          </w:rPr>
          <w:t>MEMO/16/3644</w:t>
        </w:r>
      </w:hyperlink>
      <w:r>
        <w:rPr>
          <w:lang w:val="pt-PT"/>
        </w:rPr>
        <w:t>.</w:t>
      </w:r>
    </w:p>
  </w:footnote>
  <w:footnote w:id="73">
    <w:p>
      <w:pPr>
        <w:pStyle w:val="FootnoteText"/>
      </w:pPr>
      <w:r>
        <w:rPr>
          <w:rStyle w:val="FootnoteReference"/>
        </w:rPr>
        <w:footnoteRef/>
      </w:r>
      <w:r>
        <w:t xml:space="preserve"> </w:t>
      </w:r>
      <w:r>
        <w:tab/>
        <w:t xml:space="preserve">Regulation (EC) </w:t>
      </w:r>
      <w:hyperlink r:id="rId120" w:history="1">
        <w:r>
          <w:rPr>
            <w:rStyle w:val="Hyperlink"/>
          </w:rPr>
          <w:t>1072/2009</w:t>
        </w:r>
      </w:hyperlink>
      <w:r>
        <w:t xml:space="preserve">, Commission v Denmark, </w:t>
      </w:r>
      <w:hyperlink r:id="rId121" w:history="1">
        <w:r>
          <w:rPr>
            <w:rStyle w:val="Hyperlink"/>
          </w:rPr>
          <w:t>C-541/16</w:t>
        </w:r>
      </w:hyperlink>
      <w:r>
        <w:t xml:space="preserve">, </w:t>
      </w:r>
      <w:hyperlink r:id="rId122" w:history="1">
        <w:r>
          <w:rPr>
            <w:rStyle w:val="Hyperlink"/>
          </w:rPr>
          <w:t>MEMO/16/2097</w:t>
        </w:r>
      </w:hyperlink>
      <w:r>
        <w:t>.</w:t>
      </w:r>
    </w:p>
  </w:footnote>
  <w:footnote w:id="74">
    <w:p>
      <w:pPr>
        <w:pStyle w:val="FootnoteText"/>
      </w:pPr>
      <w:r>
        <w:rPr>
          <w:rStyle w:val="FootnoteReference"/>
        </w:rPr>
        <w:footnoteRef/>
      </w:r>
      <w:r>
        <w:t xml:space="preserve"> </w:t>
      </w:r>
      <w:r>
        <w:tab/>
        <w:t xml:space="preserve">Directive </w:t>
      </w:r>
      <w:hyperlink r:id="rId123" w:history="1">
        <w:r>
          <w:rPr>
            <w:rStyle w:val="Hyperlink"/>
          </w:rPr>
          <w:t>2012/18/EU</w:t>
        </w:r>
      </w:hyperlink>
      <w:r>
        <w:t>.</w:t>
      </w:r>
    </w:p>
  </w:footnote>
  <w:footnote w:id="75">
    <w:p>
      <w:pPr>
        <w:pStyle w:val="FootnoteText"/>
      </w:pPr>
      <w:r>
        <w:rPr>
          <w:rStyle w:val="FootnoteReference"/>
        </w:rPr>
        <w:footnoteRef/>
      </w:r>
      <w:r>
        <w:t xml:space="preserve"> </w:t>
      </w:r>
      <w:r>
        <w:tab/>
      </w:r>
      <w:r>
        <w:rPr>
          <w:rFonts w:cs="Arial"/>
          <w:szCs w:val="18"/>
        </w:rPr>
        <w:t>These rulings are almost exclusively handed down on infringement procedures.</w:t>
      </w:r>
    </w:p>
  </w:footnote>
  <w:footnote w:id="76">
    <w:p>
      <w:pPr>
        <w:pStyle w:val="FootnoteText"/>
        <w:rPr>
          <w:lang w:val="da-DK"/>
        </w:rPr>
      </w:pPr>
      <w:r>
        <w:rPr>
          <w:rStyle w:val="FootnoteReference"/>
        </w:rPr>
        <w:footnoteRef/>
      </w:r>
      <w:r>
        <w:rPr>
          <w:lang w:val="da-DK"/>
        </w:rPr>
        <w:t xml:space="preserve"> </w:t>
      </w:r>
      <w:r>
        <w:rPr>
          <w:lang w:val="da-DK"/>
        </w:rPr>
        <w:tab/>
      </w:r>
      <w:r>
        <w:rPr>
          <w:rStyle w:val="st"/>
          <w:lang w:val="da-DK"/>
        </w:rPr>
        <w:t xml:space="preserve">Directive </w:t>
      </w:r>
      <w:hyperlink r:id="rId124" w:history="1">
        <w:r>
          <w:rPr>
            <w:rStyle w:val="Hyperlink"/>
            <w:lang w:val="da-DK"/>
          </w:rPr>
          <w:t>2002/22/EC</w:t>
        </w:r>
      </w:hyperlink>
      <w:r>
        <w:rPr>
          <w:rStyle w:val="st"/>
          <w:lang w:val="da-DK"/>
        </w:rPr>
        <w:t>.</w:t>
      </w:r>
    </w:p>
  </w:footnote>
  <w:footnote w:id="77">
    <w:p>
      <w:pPr>
        <w:pStyle w:val="FootnoteText"/>
        <w:rPr>
          <w:lang w:val="da-DK"/>
        </w:rPr>
      </w:pPr>
      <w:r>
        <w:rPr>
          <w:rStyle w:val="FootnoteReference"/>
        </w:rPr>
        <w:footnoteRef/>
      </w:r>
      <w:r>
        <w:rPr>
          <w:lang w:val="da-DK"/>
        </w:rPr>
        <w:t xml:space="preserve"> </w:t>
      </w:r>
      <w:r>
        <w:rPr>
          <w:lang w:val="da-DK"/>
        </w:rPr>
        <w:tab/>
        <w:t xml:space="preserve">TDC A/S v Teleklagenævnet and Erhvervsog Vækstministeriet, </w:t>
      </w:r>
      <w:hyperlink r:id="rId125" w:history="1">
        <w:r>
          <w:rPr>
            <w:rStyle w:val="Hyperlink"/>
            <w:lang w:val="da-DK"/>
          </w:rPr>
          <w:t>C-327/15</w:t>
        </w:r>
      </w:hyperlink>
      <w:r>
        <w:rPr>
          <w:lang w:val="da-DK"/>
        </w:rPr>
        <w:t>.</w:t>
      </w:r>
    </w:p>
  </w:footnote>
  <w:footnote w:id="78">
    <w:p>
      <w:pPr>
        <w:pStyle w:val="FootnoteText"/>
        <w:rPr>
          <w:lang w:val="pt-PT"/>
        </w:rPr>
      </w:pPr>
      <w:r>
        <w:rPr>
          <w:rStyle w:val="FootnoteReference"/>
        </w:rPr>
        <w:footnoteRef/>
      </w:r>
      <w:r>
        <w:rPr>
          <w:lang w:val="pt-PT"/>
        </w:rPr>
        <w:t xml:space="preserve"> </w:t>
      </w:r>
      <w:r>
        <w:rPr>
          <w:lang w:val="pt-PT"/>
        </w:rPr>
        <w:tab/>
        <w:t xml:space="preserve">Genc, </w:t>
      </w:r>
      <w:hyperlink r:id="rId126" w:history="1">
        <w:r>
          <w:rPr>
            <w:rStyle w:val="Hyperlink"/>
            <w:lang w:val="pt-PT"/>
          </w:rPr>
          <w:t>C-561/14</w:t>
        </w:r>
      </w:hyperlink>
      <w:r>
        <w:rPr>
          <w:lang w:val="pt-PT"/>
        </w:rPr>
        <w:t>.</w:t>
      </w:r>
    </w:p>
  </w:footnote>
  <w:footnote w:id="79">
    <w:p>
      <w:pPr>
        <w:pStyle w:val="FootnoteText"/>
        <w:rPr>
          <w:lang w:val="pt-PT"/>
        </w:rPr>
      </w:pPr>
      <w:r>
        <w:rPr>
          <w:rStyle w:val="FootnoteReference"/>
        </w:rPr>
        <w:footnoteRef/>
      </w:r>
      <w:r>
        <w:rPr>
          <w:lang w:val="pt-PT"/>
        </w:rPr>
        <w:t xml:space="preserve"> </w:t>
      </w:r>
      <w:r>
        <w:rPr>
          <w:lang w:val="pt-PT"/>
        </w:rPr>
        <w:tab/>
        <w:t xml:space="preserve">Directives </w:t>
      </w:r>
      <w:hyperlink r:id="rId127" w:history="1">
        <w:r>
          <w:rPr>
            <w:rStyle w:val="Hyperlink"/>
            <w:lang w:val="pt-PT"/>
          </w:rPr>
          <w:t>2013/32/EU</w:t>
        </w:r>
      </w:hyperlink>
      <w:r>
        <w:rPr>
          <w:lang w:val="pt-PT"/>
        </w:rPr>
        <w:t xml:space="preserve"> and </w:t>
      </w:r>
      <w:hyperlink r:id="rId128" w:history="1">
        <w:r>
          <w:rPr>
            <w:rStyle w:val="Hyperlink"/>
            <w:lang w:val="pt-PT"/>
          </w:rPr>
          <w:t>2013/33/EU</w:t>
        </w:r>
      </w:hyperlink>
      <w:r>
        <w:rPr>
          <w:lang w:val="pt-PT"/>
        </w:rPr>
        <w:t>.</w:t>
      </w:r>
    </w:p>
  </w:footnote>
  <w:footnote w:id="80">
    <w:p>
      <w:pPr>
        <w:pStyle w:val="FootnoteText"/>
        <w:rPr>
          <w:lang w:val="pt-PT"/>
        </w:rPr>
      </w:pPr>
      <w:r>
        <w:rPr>
          <w:rStyle w:val="FootnoteReference"/>
        </w:rPr>
        <w:footnoteRef/>
      </w:r>
      <w:r>
        <w:rPr>
          <w:lang w:val="pt-PT"/>
        </w:rPr>
        <w:t xml:space="preserve"> </w:t>
      </w:r>
      <w:r>
        <w:rPr>
          <w:lang w:val="pt-PT"/>
        </w:rPr>
        <w:tab/>
        <w:t xml:space="preserve">Directive </w:t>
      </w:r>
      <w:hyperlink r:id="rId129" w:history="1">
        <w:r>
          <w:rPr>
            <w:rStyle w:val="Hyperlink"/>
            <w:lang w:val="pt-PT"/>
          </w:rPr>
          <w:t>2002/49/EC</w:t>
        </w:r>
      </w:hyperlink>
      <w:r>
        <w:rPr>
          <w:lang w:val="pt-PT"/>
        </w:rPr>
        <w:t>.</w:t>
      </w:r>
    </w:p>
  </w:footnote>
  <w:footnote w:id="81">
    <w:p>
      <w:pPr>
        <w:pStyle w:val="FootnoteText"/>
        <w:rPr>
          <w:lang w:val="pt-PT"/>
        </w:rPr>
      </w:pPr>
      <w:r>
        <w:rPr>
          <w:rStyle w:val="FootnoteReference"/>
        </w:rPr>
        <w:footnoteRef/>
      </w:r>
      <w:r>
        <w:rPr>
          <w:lang w:val="pt-PT"/>
        </w:rPr>
        <w:t xml:space="preserve"> </w:t>
      </w:r>
      <w:r>
        <w:rPr>
          <w:lang w:val="pt-PT"/>
        </w:rPr>
        <w:tab/>
        <w:t xml:space="preserve">Directive </w:t>
      </w:r>
      <w:hyperlink r:id="rId130" w:history="1">
        <w:r>
          <w:rPr>
            <w:rStyle w:val="Hyperlink"/>
            <w:lang w:val="pt-PT"/>
          </w:rPr>
          <w:t>2012/18/EU</w:t>
        </w:r>
      </w:hyperlink>
      <w:r>
        <w:rPr>
          <w:lang w:val="pt-PT"/>
        </w:rPr>
        <w:t xml:space="preserve"> and </w:t>
      </w:r>
      <w:hyperlink r:id="rId131" w:history="1">
        <w:r>
          <w:rPr>
            <w:rStyle w:val="Hyperlink"/>
            <w:lang w:val="pt-PT"/>
          </w:rPr>
          <w:t>MEMO/16/1452</w:t>
        </w:r>
      </w:hyperlink>
      <w:r>
        <w:rPr>
          <w:lang w:val="pt-PT"/>
        </w:rPr>
        <w:t>.</w:t>
      </w:r>
    </w:p>
  </w:footnote>
  <w:footnote w:id="82">
    <w:p>
      <w:pPr>
        <w:pStyle w:val="FootnoteText"/>
        <w:rPr>
          <w:lang w:val="pt-PT"/>
        </w:rPr>
      </w:pPr>
      <w:r>
        <w:rPr>
          <w:rStyle w:val="FootnoteReference"/>
        </w:rPr>
        <w:footnoteRef/>
      </w:r>
      <w:r>
        <w:rPr>
          <w:lang w:val="pt-PT"/>
        </w:rPr>
        <w:t xml:space="preserve"> </w:t>
      </w:r>
      <w:r>
        <w:rPr>
          <w:lang w:val="pt-PT"/>
        </w:rPr>
        <w:tab/>
        <w:t xml:space="preserve"> Directive </w:t>
      </w:r>
      <w:hyperlink r:id="rId132" w:history="1">
        <w:r>
          <w:rPr>
            <w:rStyle w:val="Hyperlink"/>
            <w:lang w:val="pt-PT"/>
          </w:rPr>
          <w:t>2014/27/EU</w:t>
        </w:r>
      </w:hyperlink>
      <w:r>
        <w:rPr>
          <w:lang w:val="pt-PT"/>
        </w:rPr>
        <w:t>.</w:t>
      </w:r>
    </w:p>
  </w:footnote>
  <w:footnote w:id="83">
    <w:p>
      <w:pPr>
        <w:pStyle w:val="FootnoteText"/>
        <w:rPr>
          <w:lang w:val="pt-PT"/>
        </w:rPr>
      </w:pPr>
      <w:r>
        <w:rPr>
          <w:rStyle w:val="FootnoteReference"/>
        </w:rPr>
        <w:footnoteRef/>
      </w:r>
      <w:r>
        <w:rPr>
          <w:lang w:val="pt-PT"/>
        </w:rPr>
        <w:t xml:space="preserve"> </w:t>
      </w:r>
      <w:r>
        <w:rPr>
          <w:lang w:val="pt-PT"/>
        </w:rPr>
        <w:tab/>
        <w:t>Regulation (EC) No </w:t>
      </w:r>
      <w:hyperlink r:id="rId133" w:history="1">
        <w:r>
          <w:rPr>
            <w:rStyle w:val="Hyperlink"/>
            <w:lang w:val="pt-PT"/>
          </w:rPr>
          <w:t>1272/2008</w:t>
        </w:r>
      </w:hyperlink>
      <w:r>
        <w:rPr>
          <w:lang w:val="pt-PT"/>
        </w:rPr>
        <w:t>.</w:t>
      </w:r>
    </w:p>
  </w:footnote>
  <w:footnote w:id="84">
    <w:p>
      <w:pPr>
        <w:pStyle w:val="FootnoteText"/>
        <w:rPr>
          <w:lang w:val="pt-PT"/>
        </w:rPr>
      </w:pPr>
      <w:r>
        <w:rPr>
          <w:rStyle w:val="FootnoteReference"/>
        </w:rPr>
        <w:footnoteRef/>
      </w:r>
      <w:r>
        <w:rPr>
          <w:lang w:val="pt-PT"/>
        </w:rPr>
        <w:t xml:space="preserve"> </w:t>
      </w:r>
      <w:r>
        <w:rPr>
          <w:lang w:val="pt-PT"/>
        </w:rPr>
        <w:tab/>
        <w:t xml:space="preserve">Directive </w:t>
      </w:r>
      <w:hyperlink r:id="rId134" w:history="1">
        <w:r>
          <w:rPr>
            <w:rStyle w:val="Hyperlink"/>
            <w:lang w:val="pt-PT"/>
          </w:rPr>
          <w:t>2013/30/EU</w:t>
        </w:r>
      </w:hyperlink>
      <w:r>
        <w:rPr>
          <w:lang w:val="pt-PT"/>
        </w:rPr>
        <w:t xml:space="preserve">, </w:t>
      </w:r>
      <w:hyperlink r:id="rId135" w:history="1">
        <w:r>
          <w:rPr>
            <w:rStyle w:val="Hyperlink"/>
            <w:lang w:val="pt-PT"/>
          </w:rPr>
          <w:t>MEMO/16/319</w:t>
        </w:r>
      </w:hyperlink>
      <w:r>
        <w:rPr>
          <w:lang w:val="pt-PT"/>
        </w:rPr>
        <w:t xml:space="preserve">, </w:t>
      </w:r>
      <w:hyperlink r:id="rId136" w:history="1">
        <w:r>
          <w:rPr>
            <w:rStyle w:val="Hyperlink"/>
            <w:lang w:val="pt-PT"/>
          </w:rPr>
          <w:t>MEMO/16/1452</w:t>
        </w:r>
      </w:hyperlink>
      <w:r>
        <w:rPr>
          <w:lang w:val="pt-PT"/>
        </w:rPr>
        <w:t xml:space="preserve"> and </w:t>
      </w:r>
      <w:hyperlink r:id="rId137" w:history="1">
        <w:r>
          <w:rPr>
            <w:rStyle w:val="Hyperlink"/>
            <w:lang w:val="pt-PT"/>
          </w:rPr>
          <w:t>MEMO/16/3644</w:t>
        </w:r>
      </w:hyperlink>
      <w:r>
        <w:rPr>
          <w:lang w:val="pt-PT"/>
        </w:rPr>
        <w:t>.</w:t>
      </w:r>
    </w:p>
  </w:footnote>
  <w:footnote w:id="85">
    <w:p>
      <w:pPr>
        <w:pStyle w:val="FootnoteText"/>
      </w:pPr>
      <w:r>
        <w:rPr>
          <w:rStyle w:val="FootnoteReference"/>
        </w:rPr>
        <w:footnoteRef/>
      </w:r>
      <w:r>
        <w:t xml:space="preserve"> </w:t>
      </w:r>
      <w:r>
        <w:tab/>
        <w:t xml:space="preserve">Directives </w:t>
      </w:r>
      <w:hyperlink r:id="rId138" w:history="1">
        <w:r>
          <w:rPr>
            <w:rStyle w:val="Hyperlink"/>
          </w:rPr>
          <w:t>2009/72/EC</w:t>
        </w:r>
      </w:hyperlink>
      <w:r>
        <w:t xml:space="preserve"> and </w:t>
      </w:r>
      <w:hyperlink r:id="rId139" w:history="1">
        <w:r>
          <w:rPr>
            <w:rStyle w:val="Hyperlink"/>
          </w:rPr>
          <w:t>2009/73/EC</w:t>
        </w:r>
      </w:hyperlink>
      <w:r>
        <w:t xml:space="preserve">, </w:t>
      </w:r>
      <w:hyperlink r:id="rId140" w:history="1">
        <w:r>
          <w:rPr>
            <w:rStyle w:val="Hyperlink"/>
          </w:rPr>
          <w:t>MEMO/16/1452</w:t>
        </w:r>
      </w:hyperlink>
      <w:r>
        <w:t>.</w:t>
      </w:r>
    </w:p>
  </w:footnote>
  <w:footnote w:id="86">
    <w:p>
      <w:pPr>
        <w:pStyle w:val="FootnoteText"/>
      </w:pPr>
      <w:r>
        <w:rPr>
          <w:rStyle w:val="FootnoteReference"/>
        </w:rPr>
        <w:footnoteRef/>
      </w:r>
      <w:r>
        <w:t xml:space="preserve"> </w:t>
      </w:r>
      <w:r>
        <w:tab/>
        <w:t>Regulation (EU) No</w:t>
      </w:r>
      <w:hyperlink r:id="rId141" w:history="1">
        <w:r>
          <w:rPr>
            <w:rStyle w:val="Hyperlink"/>
          </w:rPr>
          <w:t xml:space="preserve"> 748/2012</w:t>
        </w:r>
      </w:hyperlink>
      <w:r>
        <w:t xml:space="preserve"> and Regulation (EC) No </w:t>
      </w:r>
      <w:hyperlink r:id="rId142" w:history="1">
        <w:r>
          <w:rPr>
            <w:rStyle w:val="Hyperlink"/>
          </w:rPr>
          <w:t>1321/2014</w:t>
        </w:r>
      </w:hyperlink>
      <w:r>
        <w:rPr>
          <w:rStyle w:val="Hyperlink"/>
        </w:rPr>
        <w:t>.</w:t>
      </w:r>
    </w:p>
  </w:footnote>
  <w:footnote w:id="87">
    <w:p>
      <w:pPr>
        <w:pStyle w:val="FootnoteText"/>
      </w:pPr>
      <w:r>
        <w:rPr>
          <w:rStyle w:val="FootnoteReference"/>
        </w:rPr>
        <w:footnoteRef/>
      </w:r>
      <w:r>
        <w:t xml:space="preserve"> </w:t>
      </w:r>
      <w:r>
        <w:tab/>
      </w:r>
      <w:hyperlink r:id="rId143" w:history="1">
        <w:r>
          <w:rPr>
            <w:rStyle w:val="Hyperlink"/>
          </w:rPr>
          <w:t>IP/16/2101</w:t>
        </w:r>
      </w:hyperlink>
      <w:r>
        <w:t xml:space="preserve">, </w:t>
      </w:r>
      <w:hyperlink r:id="rId144" w:history="1">
        <w:r>
          <w:rPr>
            <w:rStyle w:val="Hyperlink"/>
          </w:rPr>
          <w:t>IP/16/1456</w:t>
        </w:r>
      </w:hyperlink>
      <w:r>
        <w:t>.</w:t>
      </w:r>
    </w:p>
  </w:footnote>
  <w:footnote w:id="88">
    <w:p>
      <w:pPr>
        <w:pStyle w:val="FootnoteText"/>
      </w:pPr>
      <w:r>
        <w:rPr>
          <w:rStyle w:val="FootnoteReference"/>
        </w:rPr>
        <w:footnoteRef/>
      </w:r>
      <w:r>
        <w:t xml:space="preserve"> </w:t>
      </w:r>
      <w:r>
        <w:tab/>
        <w:t xml:space="preserve">Directive </w:t>
      </w:r>
      <w:hyperlink r:id="rId145" w:history="1">
        <w:r>
          <w:rPr>
            <w:rStyle w:val="Hyperlink"/>
          </w:rPr>
          <w:t>2006/123/EC</w:t>
        </w:r>
      </w:hyperlink>
      <w:r>
        <w:t xml:space="preserve">, </w:t>
      </w:r>
      <w:hyperlink r:id="rId146" w:history="1">
        <w:r>
          <w:rPr>
            <w:rStyle w:val="Hyperlink"/>
          </w:rPr>
          <w:t>IP/16/323</w:t>
        </w:r>
      </w:hyperlink>
      <w:r>
        <w:t xml:space="preserve"> and </w:t>
      </w:r>
      <w:hyperlink r:id="rId147" w:history="1">
        <w:r>
          <w:rPr>
            <w:rStyle w:val="Hyperlink"/>
          </w:rPr>
          <w:t>MEMO/16/319</w:t>
        </w:r>
      </w:hyperlink>
      <w:r>
        <w:t xml:space="preserve">, </w:t>
      </w:r>
      <w:hyperlink r:id="rId148" w:history="1">
        <w:r>
          <w:rPr>
            <w:rStyle w:val="Hyperlink"/>
          </w:rPr>
          <w:t>IP/16/3646</w:t>
        </w:r>
      </w:hyperlink>
      <w:r>
        <w:t xml:space="preserve">, </w:t>
      </w:r>
      <w:hyperlink r:id="rId149" w:history="1">
        <w:r>
          <w:rPr>
            <w:rStyle w:val="Hyperlink"/>
          </w:rPr>
          <w:t>MEMO/16/3644</w:t>
        </w:r>
      </w:hyperlink>
      <w:r>
        <w:t>.</w:t>
      </w:r>
    </w:p>
  </w:footnote>
  <w:footnote w:id="89">
    <w:p>
      <w:pPr>
        <w:pStyle w:val="FootnoteText"/>
      </w:pPr>
      <w:r>
        <w:rPr>
          <w:rStyle w:val="FootnoteReference"/>
          <w:rFonts w:eastAsia="MS Gothic"/>
        </w:rPr>
        <w:footnoteRef/>
      </w:r>
      <w:r>
        <w:t xml:space="preserve"> </w:t>
      </w:r>
      <w:r>
        <w:tab/>
        <w:t xml:space="preserve">Directive </w:t>
      </w:r>
      <w:hyperlink r:id="rId150" w:history="1">
        <w:r>
          <w:rPr>
            <w:rStyle w:val="Hyperlink"/>
          </w:rPr>
          <w:t>2006/123/EC</w:t>
        </w:r>
      </w:hyperlink>
      <w:r>
        <w:rPr>
          <w:rStyle w:val="Hyperlink"/>
        </w:rPr>
        <w:t>.</w:t>
      </w:r>
    </w:p>
  </w:footnote>
  <w:footnote w:id="90">
    <w:p>
      <w:pPr>
        <w:pStyle w:val="FootnoteText"/>
        <w:rPr>
          <w:rFonts w:cs="Arial"/>
        </w:rPr>
      </w:pPr>
      <w:r>
        <w:rPr>
          <w:rStyle w:val="FootnoteReference"/>
        </w:rPr>
        <w:footnoteRef/>
      </w:r>
      <w:r>
        <w:t xml:space="preserve"> </w:t>
      </w:r>
      <w:r>
        <w:tab/>
        <w:t xml:space="preserve">Directive </w:t>
      </w:r>
      <w:hyperlink r:id="rId151" w:history="1">
        <w:r>
          <w:rPr>
            <w:rStyle w:val="Hyperlink"/>
          </w:rPr>
          <w:t>2007/46/EC</w:t>
        </w:r>
      </w:hyperlink>
      <w:r>
        <w:t xml:space="preserve"> and Regulation </w:t>
      </w:r>
      <w:hyperlink r:id="rId152" w:history="1">
        <w:r>
          <w:rPr>
            <w:rStyle w:val="Hyperlink"/>
          </w:rPr>
          <w:t>2007/715/EC</w:t>
        </w:r>
      </w:hyperlink>
      <w:r>
        <w:t xml:space="preserve">, </w:t>
      </w:r>
      <w:hyperlink r:id="rId153" w:history="1">
        <w:r>
          <w:rPr>
            <w:rStyle w:val="Hyperlink"/>
          </w:rPr>
          <w:t>IP/16/4214</w:t>
        </w:r>
      </w:hyperlink>
      <w:r>
        <w:t>.</w:t>
      </w:r>
    </w:p>
  </w:footnote>
  <w:footnote w:id="91">
    <w:p>
      <w:pPr>
        <w:pStyle w:val="FootnoteText"/>
      </w:pPr>
      <w:r>
        <w:rPr>
          <w:rStyle w:val="FootnoteReference"/>
        </w:rPr>
        <w:footnoteRef/>
      </w:r>
      <w:r>
        <w:t xml:space="preserve"> </w:t>
      </w:r>
      <w:r>
        <w:tab/>
        <w:t xml:space="preserve">Directive </w:t>
      </w:r>
      <w:hyperlink r:id="rId154" w:history="1">
        <w:r>
          <w:rPr>
            <w:rStyle w:val="Hyperlink"/>
          </w:rPr>
          <w:t>92/43/EEC</w:t>
        </w:r>
      </w:hyperlink>
      <w:r>
        <w:t xml:space="preserve">, Commission v Germany, </w:t>
      </w:r>
      <w:hyperlink r:id="rId155" w:history="1">
        <w:r>
          <w:rPr>
            <w:rStyle w:val="Hyperlink"/>
          </w:rPr>
          <w:t>C-142/16</w:t>
        </w:r>
      </w:hyperlink>
      <w:r>
        <w:t xml:space="preserve">; </w:t>
      </w:r>
      <w:hyperlink r:id="rId156" w:history="1">
        <w:r>
          <w:rPr>
            <w:rStyle w:val="Hyperlink"/>
          </w:rPr>
          <w:t>IP/15/4669</w:t>
        </w:r>
      </w:hyperlink>
      <w:r>
        <w:t>.</w:t>
      </w:r>
    </w:p>
  </w:footnote>
  <w:footnote w:id="92">
    <w:p>
      <w:pPr>
        <w:pStyle w:val="FootnoteText"/>
      </w:pPr>
      <w:r>
        <w:rPr>
          <w:rStyle w:val="FootnoteReference"/>
        </w:rPr>
        <w:footnoteRef/>
      </w:r>
      <w:r>
        <w:t xml:space="preserve"> </w:t>
      </w:r>
      <w:r>
        <w:tab/>
        <w:t xml:space="preserve">Commission v Germany, </w:t>
      </w:r>
      <w:hyperlink r:id="rId157" w:history="1">
        <w:r>
          <w:rPr>
            <w:rStyle w:val="Hyperlink"/>
          </w:rPr>
          <w:t>C-543/16</w:t>
        </w:r>
      </w:hyperlink>
      <w:r>
        <w:t xml:space="preserve">; </w:t>
      </w:r>
      <w:hyperlink r:id="rId158" w:history="1">
        <w:r>
          <w:rPr>
            <w:rStyle w:val="Hyperlink"/>
          </w:rPr>
          <w:t>IP/16/1453</w:t>
        </w:r>
      </w:hyperlink>
      <w:r>
        <w:t>.</w:t>
      </w:r>
    </w:p>
  </w:footnote>
  <w:footnote w:id="93">
    <w:p>
      <w:pPr>
        <w:pStyle w:val="FootnoteText"/>
      </w:pPr>
      <w:r>
        <w:rPr>
          <w:rStyle w:val="FootnoteReference"/>
        </w:rPr>
        <w:footnoteRef/>
      </w:r>
      <w:r>
        <w:t xml:space="preserve"> </w:t>
      </w:r>
      <w:r>
        <w:tab/>
      </w:r>
      <w:hyperlink r:id="rId159" w:history="1">
        <w:r>
          <w:rPr>
            <w:rStyle w:val="Hyperlink"/>
          </w:rPr>
          <w:t>IP/16/2104</w:t>
        </w:r>
      </w:hyperlink>
      <w:r>
        <w:t xml:space="preserve"> and </w:t>
      </w:r>
      <w:hyperlink r:id="rId160" w:history="1">
        <w:r>
          <w:rPr>
            <w:rStyle w:val="Hyperlink"/>
          </w:rPr>
          <w:t>MEMO/16/2097</w:t>
        </w:r>
      </w:hyperlink>
      <w:r>
        <w:t>.</w:t>
      </w:r>
    </w:p>
  </w:footnote>
  <w:footnote w:id="94">
    <w:p>
      <w:pPr>
        <w:pStyle w:val="FootnoteText"/>
      </w:pPr>
      <w:r>
        <w:rPr>
          <w:rStyle w:val="FootnoteReference"/>
        </w:rPr>
        <w:footnoteRef/>
      </w:r>
      <w:r>
        <w:t xml:space="preserve"> </w:t>
      </w:r>
      <w:r>
        <w:tab/>
      </w:r>
      <w:r>
        <w:rPr>
          <w:szCs w:val="18"/>
        </w:rPr>
        <w:t xml:space="preserve">Directive </w:t>
      </w:r>
      <w:hyperlink r:id="rId161" w:history="1">
        <w:r>
          <w:rPr>
            <w:rStyle w:val="Hyperlink"/>
            <w:szCs w:val="18"/>
          </w:rPr>
          <w:t>2005/65/EC</w:t>
        </w:r>
      </w:hyperlink>
      <w:r>
        <w:rPr>
          <w:szCs w:val="18"/>
        </w:rPr>
        <w:t xml:space="preserve">, </w:t>
      </w:r>
      <w:r>
        <w:t xml:space="preserve">Commission v Germany, </w:t>
      </w:r>
      <w:hyperlink r:id="rId162" w:history="1">
        <w:r>
          <w:rPr>
            <w:rStyle w:val="Hyperlink"/>
          </w:rPr>
          <w:t>C-58/16</w:t>
        </w:r>
      </w:hyperlink>
      <w:r>
        <w:t>,</w:t>
      </w:r>
      <w:r>
        <w:rPr>
          <w:rStyle w:val="Hyperlink"/>
        </w:rPr>
        <w:t xml:space="preserve"> IP/15/5659, MEMO/15/5657.</w:t>
      </w:r>
    </w:p>
  </w:footnote>
  <w:footnote w:id="95">
    <w:p>
      <w:pPr>
        <w:pStyle w:val="FootnoteText"/>
      </w:pPr>
      <w:r>
        <w:rPr>
          <w:rStyle w:val="FootnoteReference"/>
        </w:rPr>
        <w:footnoteRef/>
      </w:r>
      <w:r>
        <w:t xml:space="preserve"> </w:t>
      </w:r>
      <w:r>
        <w:tab/>
        <w:t xml:space="preserve">Directive </w:t>
      </w:r>
      <w:hyperlink r:id="rId163" w:history="1">
        <w:r>
          <w:rPr>
            <w:rStyle w:val="Hyperlink"/>
          </w:rPr>
          <w:t>2006/126/EC</w:t>
        </w:r>
      </w:hyperlink>
      <w:r>
        <w:t xml:space="preserve">, Commission v Germany, </w:t>
      </w:r>
      <w:hyperlink r:id="rId164" w:history="1">
        <w:r>
          <w:rPr>
            <w:rStyle w:val="Hyperlink"/>
          </w:rPr>
          <w:t>C-30/16</w:t>
        </w:r>
      </w:hyperlink>
      <w:r>
        <w:t xml:space="preserve">, </w:t>
      </w:r>
      <w:hyperlink r:id="rId165" w:history="1">
        <w:r>
          <w:rPr>
            <w:rStyle w:val="Hyperlink"/>
          </w:rPr>
          <w:t>IP/15/6229</w:t>
        </w:r>
      </w:hyperlink>
      <w:r>
        <w:t xml:space="preserve">, </w:t>
      </w:r>
      <w:hyperlink r:id="rId166" w:history="1">
        <w:r>
          <w:rPr>
            <w:rStyle w:val="Hyperlink"/>
          </w:rPr>
          <w:t>MEMO/15/6223</w:t>
        </w:r>
      </w:hyperlink>
      <w:r>
        <w:t>.</w:t>
      </w:r>
    </w:p>
  </w:footnote>
  <w:footnote w:id="96">
    <w:p>
      <w:pPr>
        <w:pStyle w:val="FootnoteText"/>
        <w:rPr>
          <w:rFonts w:cs="Arial"/>
        </w:rPr>
      </w:pPr>
      <w:r>
        <w:rPr>
          <w:rStyle w:val="FootnoteReference"/>
          <w:rFonts w:eastAsia="MS Gothic"/>
        </w:rPr>
        <w:footnoteRef/>
      </w:r>
      <w:r>
        <w:t xml:space="preserve"> </w:t>
      </w:r>
      <w:r>
        <w:tab/>
        <w:t xml:space="preserve">Commission v Germany </w:t>
      </w:r>
      <w:hyperlink r:id="rId167" w:history="1">
        <w:r>
          <w:rPr>
            <w:rStyle w:val="Hyperlink"/>
          </w:rPr>
          <w:t>C-380/16</w:t>
        </w:r>
      </w:hyperlink>
      <w:r>
        <w:t xml:space="preserve"> </w:t>
      </w:r>
      <w:hyperlink r:id="rId168" w:history="1">
        <w:r>
          <w:rPr>
            <w:rStyle w:val="Hyperlink"/>
          </w:rPr>
          <w:t>IP/16/1461</w:t>
        </w:r>
      </w:hyperlink>
      <w:r>
        <w:rPr>
          <w:rStyle w:val="Hyperlink"/>
        </w:rPr>
        <w:t>.</w:t>
      </w:r>
    </w:p>
  </w:footnote>
  <w:footnote w:id="97">
    <w:p>
      <w:pPr>
        <w:pStyle w:val="FootnoteText"/>
      </w:pPr>
      <w:r>
        <w:rPr>
          <w:rStyle w:val="FootnoteReference"/>
        </w:rPr>
        <w:footnoteRef/>
      </w:r>
      <w:r>
        <w:t xml:space="preserve"> </w:t>
      </w:r>
      <w:r>
        <w:tab/>
        <w:t>Regulations (EC) No </w:t>
      </w:r>
      <w:hyperlink r:id="rId169" w:history="1">
        <w:r>
          <w:rPr>
            <w:rStyle w:val="Hyperlink"/>
          </w:rPr>
          <w:t>300/2008</w:t>
        </w:r>
      </w:hyperlink>
      <w:r>
        <w:t xml:space="preserve"> and (EU) No </w:t>
      </w:r>
      <w:hyperlink r:id="rId170" w:history="1">
        <w:r>
          <w:rPr>
            <w:rStyle w:val="Hyperlink"/>
          </w:rPr>
          <w:t>18/2010</w:t>
        </w:r>
      </w:hyperlink>
      <w:r>
        <w:t>.</w:t>
      </w:r>
    </w:p>
  </w:footnote>
  <w:footnote w:id="98">
    <w:p>
      <w:pPr>
        <w:pStyle w:val="FootnoteText"/>
      </w:pPr>
      <w:r>
        <w:rPr>
          <w:rStyle w:val="FootnoteReference"/>
        </w:rPr>
        <w:footnoteRef/>
      </w:r>
      <w:r>
        <w:t xml:space="preserve"> </w:t>
      </w:r>
      <w:r>
        <w:tab/>
      </w:r>
      <w:r>
        <w:rPr>
          <w:rFonts w:cs="Arial"/>
          <w:szCs w:val="18"/>
        </w:rPr>
        <w:t>These rulings are almost exclusively handed down in infringement procedures.</w:t>
      </w:r>
    </w:p>
  </w:footnote>
  <w:footnote w:id="99">
    <w:p>
      <w:pPr>
        <w:pStyle w:val="FootnoteText"/>
        <w:rPr>
          <w:rFonts w:cs="Arial"/>
          <w:lang w:val="it-IT"/>
        </w:rPr>
      </w:pPr>
      <w:r>
        <w:rPr>
          <w:rStyle w:val="FootnoteReference"/>
          <w:rFonts w:eastAsia="MS Gothic"/>
        </w:rPr>
        <w:footnoteRef/>
      </w:r>
      <w:r>
        <w:rPr>
          <w:lang w:val="it-IT"/>
        </w:rPr>
        <w:t xml:space="preserve"> </w:t>
      </w:r>
      <w:r>
        <w:rPr>
          <w:lang w:val="it-IT"/>
        </w:rPr>
        <w:tab/>
        <w:t xml:space="preserve">Directive </w:t>
      </w:r>
      <w:hyperlink r:id="rId171" w:history="1">
        <w:r>
          <w:rPr>
            <w:rStyle w:val="Hyperlink"/>
            <w:lang w:val="it-IT"/>
          </w:rPr>
          <w:t>2007/23/EC</w:t>
        </w:r>
      </w:hyperlink>
      <w:r>
        <w:rPr>
          <w:lang w:val="it-IT"/>
        </w:rPr>
        <w:t>.</w:t>
      </w:r>
    </w:p>
  </w:footnote>
  <w:footnote w:id="100">
    <w:p>
      <w:pPr>
        <w:pStyle w:val="FootnoteText"/>
        <w:rPr>
          <w:lang w:val="it-IT"/>
        </w:rPr>
      </w:pPr>
      <w:r>
        <w:rPr>
          <w:rStyle w:val="FootnoteReference"/>
          <w:rFonts w:eastAsia="MS Gothic"/>
        </w:rPr>
        <w:footnoteRef/>
      </w:r>
      <w:r>
        <w:rPr>
          <w:lang w:val="it-IT"/>
        </w:rPr>
        <w:t xml:space="preserve"> </w:t>
      </w:r>
      <w:r>
        <w:rPr>
          <w:lang w:val="it-IT"/>
        </w:rPr>
        <w:tab/>
        <w:t xml:space="preserve">Commission v Germany, </w:t>
      </w:r>
      <w:hyperlink r:id="rId172" w:history="1">
        <w:r>
          <w:rPr>
            <w:rStyle w:val="Hyperlink"/>
            <w:lang w:val="it-IT"/>
          </w:rPr>
          <w:t>C-220/15</w:t>
        </w:r>
      </w:hyperlink>
      <w:r>
        <w:rPr>
          <w:rStyle w:val="Hyperlink"/>
          <w:lang w:val="it-IT"/>
        </w:rPr>
        <w:t>.</w:t>
      </w:r>
    </w:p>
  </w:footnote>
  <w:footnote w:id="101">
    <w:p>
      <w:pPr>
        <w:pStyle w:val="FootnoteText"/>
        <w:rPr>
          <w:lang w:val="it-IT"/>
        </w:rPr>
      </w:pPr>
      <w:r>
        <w:rPr>
          <w:rStyle w:val="FootnoteReference"/>
        </w:rPr>
        <w:footnoteRef/>
      </w:r>
      <w:r>
        <w:rPr>
          <w:lang w:val="it-IT"/>
        </w:rPr>
        <w:t xml:space="preserve"> </w:t>
      </w:r>
      <w:r>
        <w:rPr>
          <w:lang w:val="it-IT"/>
        </w:rPr>
        <w:tab/>
        <w:t xml:space="preserve">Jovanna García-Nieto, </w:t>
      </w:r>
      <w:hyperlink r:id="rId173" w:history="1">
        <w:r>
          <w:rPr>
            <w:rStyle w:val="Hyperlink"/>
            <w:lang w:val="it-IT"/>
          </w:rPr>
          <w:t>C-299/14</w:t>
        </w:r>
      </w:hyperlink>
      <w:r>
        <w:rPr>
          <w:lang w:val="it-IT"/>
        </w:rPr>
        <w:t>.</w:t>
      </w:r>
    </w:p>
  </w:footnote>
  <w:footnote w:id="102">
    <w:p>
      <w:pPr>
        <w:pStyle w:val="FootnoteText"/>
      </w:pPr>
      <w:r>
        <w:rPr>
          <w:rStyle w:val="FootnoteReference"/>
        </w:rPr>
        <w:footnoteRef/>
      </w:r>
      <w:r>
        <w:t xml:space="preserve"> </w:t>
      </w:r>
      <w:r>
        <w:tab/>
        <w:t xml:space="preserve">Bogendorff von Wolffersdorff, </w:t>
      </w:r>
      <w:hyperlink r:id="rId174" w:history="1">
        <w:r>
          <w:rPr>
            <w:rStyle w:val="Hyperlink"/>
          </w:rPr>
          <w:t>C-438/14</w:t>
        </w:r>
      </w:hyperlink>
      <w:r>
        <w:t xml:space="preserve"> and Court press release No </w:t>
      </w:r>
      <w:hyperlink r:id="rId175" w:history="1">
        <w:r>
          <w:rPr>
            <w:rStyle w:val="Hyperlink"/>
          </w:rPr>
          <w:t>119/16.</w:t>
        </w:r>
      </w:hyperlink>
    </w:p>
  </w:footnote>
  <w:footnote w:id="103">
    <w:p>
      <w:pPr>
        <w:pStyle w:val="FootnoteText"/>
      </w:pPr>
      <w:r>
        <w:rPr>
          <w:rStyle w:val="FootnoteReference"/>
        </w:rPr>
        <w:footnoteRef/>
      </w:r>
      <w:r>
        <w:t xml:space="preserve"> </w:t>
      </w:r>
      <w:r>
        <w:tab/>
        <w:t xml:space="preserve">Aranyosi and Căldăraru, Joined Cases </w:t>
      </w:r>
      <w:hyperlink r:id="rId176" w:history="1">
        <w:r>
          <w:rPr>
            <w:rStyle w:val="Hyperlink"/>
          </w:rPr>
          <w:t>C-404/15</w:t>
        </w:r>
      </w:hyperlink>
      <w:r>
        <w:t xml:space="preserve"> and </w:t>
      </w:r>
      <w:hyperlink r:id="rId177" w:history="1">
        <w:r>
          <w:rPr>
            <w:rStyle w:val="Hyperlink"/>
          </w:rPr>
          <w:t>C-659/15</w:t>
        </w:r>
      </w:hyperlink>
      <w:r>
        <w:rPr>
          <w:rStyle w:val="Hyperlink"/>
        </w:rPr>
        <w:t> PPU</w:t>
      </w:r>
      <w:r>
        <w:t xml:space="preserve"> and Court press release No </w:t>
      </w:r>
      <w:hyperlink r:id="rId178" w:history="1">
        <w:r>
          <w:rPr>
            <w:rStyle w:val="Hyperlink"/>
          </w:rPr>
          <w:t>36/16</w:t>
        </w:r>
      </w:hyperlink>
      <w:r>
        <w:t>.</w:t>
      </w:r>
    </w:p>
  </w:footnote>
  <w:footnote w:id="104">
    <w:p>
      <w:pPr>
        <w:pStyle w:val="FootnoteText"/>
      </w:pPr>
      <w:r>
        <w:rPr>
          <w:rStyle w:val="FootnoteReference"/>
        </w:rPr>
        <w:footnoteRef/>
      </w:r>
      <w:r>
        <w:t xml:space="preserve"> </w:t>
      </w:r>
      <w:r>
        <w:tab/>
        <w:t xml:space="preserve">Directive </w:t>
      </w:r>
      <w:hyperlink r:id="rId179" w:history="1">
        <w:r>
          <w:rPr>
            <w:rStyle w:val="Hyperlink"/>
          </w:rPr>
          <w:t>2011/95/EU</w:t>
        </w:r>
      </w:hyperlink>
      <w:r>
        <w:t>.</w:t>
      </w:r>
    </w:p>
  </w:footnote>
  <w:footnote w:id="105">
    <w:p>
      <w:pPr>
        <w:pStyle w:val="FootnoteText"/>
      </w:pPr>
      <w:r>
        <w:rPr>
          <w:rStyle w:val="FootnoteReference"/>
        </w:rPr>
        <w:footnoteRef/>
      </w:r>
      <w:r>
        <w:t xml:space="preserve"> </w:t>
      </w:r>
      <w:r>
        <w:tab/>
        <w:t xml:space="preserve">Kreis Warendorf v. Ibrahim Alo and Amira Osso v. Hannover Region, Joined Cases </w:t>
      </w:r>
      <w:hyperlink r:id="rId180" w:history="1">
        <w:r>
          <w:rPr>
            <w:rStyle w:val="Hyperlink"/>
          </w:rPr>
          <w:t>C-443/14</w:t>
        </w:r>
      </w:hyperlink>
      <w:r>
        <w:t xml:space="preserve"> and </w:t>
      </w:r>
      <w:hyperlink r:id="rId181" w:history="1">
        <w:r>
          <w:rPr>
            <w:rStyle w:val="Hyperlink"/>
          </w:rPr>
          <w:t>C-444/14</w:t>
        </w:r>
      </w:hyperlink>
      <w:r>
        <w:t>.</w:t>
      </w:r>
    </w:p>
  </w:footnote>
  <w:footnote w:id="106">
    <w:p>
      <w:pPr>
        <w:pStyle w:val="FootnoteText"/>
      </w:pPr>
      <w:r>
        <w:rPr>
          <w:rStyle w:val="FootnoteReference"/>
        </w:rPr>
        <w:footnoteRef/>
      </w:r>
      <w:r>
        <w:t xml:space="preserve"> </w:t>
      </w:r>
      <w:r>
        <w:tab/>
        <w:t>Tobias Mc Fadden v Sony Music Entertainment Germany GmbH, Court press release No </w:t>
      </w:r>
      <w:hyperlink r:id="rId182" w:history="1">
        <w:r>
          <w:rPr>
            <w:rStyle w:val="Hyperlink"/>
          </w:rPr>
          <w:t>99/16</w:t>
        </w:r>
      </w:hyperlink>
      <w:r>
        <w:t xml:space="preserve">, </w:t>
      </w:r>
      <w:hyperlink r:id="rId183" w:history="1">
        <w:r>
          <w:rPr>
            <w:rStyle w:val="Hyperlink"/>
          </w:rPr>
          <w:t>C-484/14</w:t>
        </w:r>
      </w:hyperlink>
      <w:r>
        <w:t>.</w:t>
      </w:r>
    </w:p>
  </w:footnote>
  <w:footnote w:id="107">
    <w:p>
      <w:pPr>
        <w:pStyle w:val="FootnoteText"/>
      </w:pPr>
      <w:r>
        <w:rPr>
          <w:rStyle w:val="FootnoteReference"/>
        </w:rPr>
        <w:footnoteRef/>
      </w:r>
      <w:r>
        <w:t xml:space="preserve"> </w:t>
      </w:r>
      <w:r>
        <w:tab/>
        <w:t xml:space="preserve">Pöpperl, </w:t>
      </w:r>
      <w:hyperlink r:id="rId184" w:history="1">
        <w:r>
          <w:rPr>
            <w:rStyle w:val="Hyperlink"/>
          </w:rPr>
          <w:t>C-187/15</w:t>
        </w:r>
      </w:hyperlink>
      <w:r>
        <w:t>.</w:t>
      </w:r>
    </w:p>
  </w:footnote>
  <w:footnote w:id="108">
    <w:p>
      <w:pPr>
        <w:pStyle w:val="FootnoteText"/>
      </w:pPr>
      <w:r>
        <w:rPr>
          <w:rStyle w:val="FootnoteReference"/>
        </w:rPr>
        <w:footnoteRef/>
      </w:r>
      <w:r>
        <w:t xml:space="preserve"> </w:t>
      </w:r>
      <w:r>
        <w:tab/>
        <w:t xml:space="preserve">Regulation (EC) No </w:t>
      </w:r>
      <w:hyperlink r:id="rId185" w:history="1">
        <w:r>
          <w:rPr>
            <w:rStyle w:val="Hyperlink"/>
          </w:rPr>
          <w:t>543/2008</w:t>
        </w:r>
      </w:hyperlink>
      <w:r>
        <w:t xml:space="preserve">, Lidl, </w:t>
      </w:r>
      <w:hyperlink r:id="rId186" w:history="1">
        <w:r>
          <w:rPr>
            <w:rStyle w:val="Hyperlink"/>
          </w:rPr>
          <w:t>C-134/15</w:t>
        </w:r>
      </w:hyperlink>
      <w:r>
        <w:t>.</w:t>
      </w:r>
    </w:p>
  </w:footnote>
  <w:footnote w:id="109">
    <w:p>
      <w:pPr>
        <w:pStyle w:val="FootnoteText"/>
        <w:rPr>
          <w:lang w:val="hu-HU"/>
        </w:rPr>
      </w:pPr>
      <w:r>
        <w:rPr>
          <w:rStyle w:val="FootnoteReference"/>
        </w:rPr>
        <w:footnoteRef/>
      </w:r>
      <w:r>
        <w:t xml:space="preserve"> </w:t>
      </w:r>
      <w:r>
        <w:tab/>
        <w:t xml:space="preserve">Directive </w:t>
      </w:r>
      <w:hyperlink r:id="rId187" w:history="1">
        <w:r>
          <w:rPr>
            <w:rStyle w:val="Hyperlink"/>
          </w:rPr>
          <w:t>2000/13/EC</w:t>
        </w:r>
      </w:hyperlink>
      <w:r>
        <w:t>.</w:t>
      </w:r>
    </w:p>
  </w:footnote>
  <w:footnote w:id="110">
    <w:p>
      <w:pPr>
        <w:pStyle w:val="FootnoteText"/>
      </w:pPr>
      <w:r>
        <w:rPr>
          <w:rStyle w:val="FootnoteReference"/>
        </w:rPr>
        <w:footnoteRef/>
      </w:r>
      <w:r>
        <w:t xml:space="preserve"> </w:t>
      </w:r>
      <w:r>
        <w:tab/>
        <w:t xml:space="preserve">Breitsamer, </w:t>
      </w:r>
      <w:hyperlink r:id="rId188" w:history="1">
        <w:r>
          <w:rPr>
            <w:rStyle w:val="Hyperlink"/>
          </w:rPr>
          <w:t>C-113/15</w:t>
        </w:r>
      </w:hyperlink>
      <w:r>
        <w:t>.</w:t>
      </w:r>
    </w:p>
  </w:footnote>
  <w:footnote w:id="111">
    <w:p>
      <w:pPr>
        <w:pStyle w:val="FootnoteText"/>
      </w:pPr>
      <w:r>
        <w:rPr>
          <w:rStyle w:val="FootnoteReference"/>
        </w:rPr>
        <w:footnoteRef/>
      </w:r>
      <w:r>
        <w:t xml:space="preserve"> </w:t>
      </w:r>
      <w:r>
        <w:tab/>
        <w:t xml:space="preserve">Davitas, </w:t>
      </w:r>
      <w:hyperlink r:id="rId189" w:history="1">
        <w:r>
          <w:rPr>
            <w:rStyle w:val="Hyperlink"/>
          </w:rPr>
          <w:t>C-448/14</w:t>
        </w:r>
      </w:hyperlink>
      <w:r>
        <w:t>.</w:t>
      </w:r>
    </w:p>
  </w:footnote>
  <w:footnote w:id="112">
    <w:p>
      <w:pPr>
        <w:pStyle w:val="FootnoteText"/>
        <w:rPr>
          <w:lang w:val="de-DE"/>
        </w:rPr>
      </w:pPr>
      <w:r>
        <w:rPr>
          <w:rStyle w:val="FootnoteReference"/>
        </w:rPr>
        <w:footnoteRef/>
      </w:r>
      <w:r>
        <w:rPr>
          <w:lang w:val="de-DE"/>
        </w:rPr>
        <w:t xml:space="preserve"> </w:t>
      </w:r>
      <w:r>
        <w:rPr>
          <w:lang w:val="de-DE"/>
        </w:rPr>
        <w:tab/>
        <w:t>Regulation (EC) No </w:t>
      </w:r>
      <w:hyperlink r:id="rId190" w:history="1">
        <w:r>
          <w:rPr>
            <w:rStyle w:val="Hyperlink"/>
            <w:lang w:val="de-DE"/>
          </w:rPr>
          <w:t>1370/2007</w:t>
        </w:r>
      </w:hyperlink>
      <w:r>
        <w:rPr>
          <w:lang w:val="de-DE"/>
        </w:rPr>
        <w:t>.</w:t>
      </w:r>
    </w:p>
  </w:footnote>
  <w:footnote w:id="113">
    <w:p>
      <w:pPr>
        <w:pStyle w:val="FootnoteText"/>
        <w:rPr>
          <w:lang w:val="de-DE"/>
        </w:rPr>
      </w:pPr>
      <w:r>
        <w:rPr>
          <w:rStyle w:val="FootnoteReference"/>
        </w:rPr>
        <w:footnoteRef/>
      </w:r>
      <w:r>
        <w:rPr>
          <w:lang w:val="de-DE"/>
        </w:rPr>
        <w:t xml:space="preserve"> </w:t>
      </w:r>
      <w:r>
        <w:rPr>
          <w:lang w:val="de-DE"/>
        </w:rPr>
        <w:tab/>
        <w:t xml:space="preserve">Hörmann Reisen GmbH v Stadt Augsburg, Landkreis Augsburg, </w:t>
      </w:r>
      <w:hyperlink r:id="rId191" w:history="1">
        <w:r>
          <w:rPr>
            <w:rStyle w:val="Hyperlink"/>
            <w:lang w:val="de-DE"/>
          </w:rPr>
          <w:t>C-292/15</w:t>
        </w:r>
      </w:hyperlink>
      <w:r>
        <w:rPr>
          <w:lang w:val="de-DE"/>
        </w:rPr>
        <w:t>.</w:t>
      </w:r>
    </w:p>
  </w:footnote>
  <w:footnote w:id="114">
    <w:p>
      <w:pPr>
        <w:pStyle w:val="FootnoteText"/>
        <w:rPr>
          <w:rFonts w:cs="Arial"/>
          <w:lang w:val="de-DE"/>
        </w:rPr>
      </w:pPr>
      <w:r>
        <w:rPr>
          <w:rStyle w:val="FootnoteReference"/>
        </w:rPr>
        <w:footnoteRef/>
      </w:r>
      <w:r>
        <w:rPr>
          <w:lang w:val="de-DE"/>
        </w:rPr>
        <w:t xml:space="preserve"> </w:t>
      </w:r>
      <w:r>
        <w:rPr>
          <w:lang w:val="de-DE"/>
        </w:rPr>
        <w:tab/>
        <w:t xml:space="preserve">Regulation (EC) </w:t>
      </w:r>
      <w:hyperlink r:id="rId192" w:history="1">
        <w:r>
          <w:rPr>
            <w:rStyle w:val="Hyperlink"/>
            <w:lang w:val="de-DE"/>
          </w:rPr>
          <w:t>No 261/2004</w:t>
        </w:r>
      </w:hyperlink>
      <w:r>
        <w:rPr>
          <w:lang w:val="de-DE"/>
        </w:rPr>
        <w:t>.</w:t>
      </w:r>
    </w:p>
  </w:footnote>
  <w:footnote w:id="115">
    <w:p>
      <w:pPr>
        <w:pStyle w:val="FootnoteText"/>
        <w:rPr>
          <w:lang w:val="de-DE"/>
        </w:rPr>
      </w:pPr>
      <w:r>
        <w:rPr>
          <w:rStyle w:val="FootnoteReference"/>
        </w:rPr>
        <w:footnoteRef/>
      </w:r>
      <w:r>
        <w:rPr>
          <w:lang w:val="de-DE"/>
        </w:rPr>
        <w:t xml:space="preserve"> </w:t>
      </w:r>
      <w:r>
        <w:rPr>
          <w:lang w:val="de-DE"/>
        </w:rPr>
        <w:tab/>
        <w:t xml:space="preserve">Steef Mennens v Emirates Direktion für Deutschland, </w:t>
      </w:r>
      <w:hyperlink r:id="rId193" w:history="1">
        <w:r>
          <w:rPr>
            <w:rStyle w:val="Hyperlink"/>
            <w:lang w:val="de-DE"/>
          </w:rPr>
          <w:t>C-255/15</w:t>
        </w:r>
      </w:hyperlink>
      <w:r>
        <w:rPr>
          <w:lang w:val="de-DE"/>
        </w:rPr>
        <w:t xml:space="preserve">. </w:t>
      </w:r>
    </w:p>
  </w:footnote>
  <w:footnote w:id="116">
    <w:p>
      <w:pPr>
        <w:pStyle w:val="FootnoteText"/>
        <w:rPr>
          <w:rFonts w:cs="Arial"/>
          <w:lang w:val="sv-SE"/>
        </w:rPr>
      </w:pPr>
      <w:r>
        <w:rPr>
          <w:rStyle w:val="FootnoteReference"/>
        </w:rPr>
        <w:footnoteRef/>
      </w:r>
      <w:r>
        <w:rPr>
          <w:lang w:val="sv-SE"/>
        </w:rPr>
        <w:t xml:space="preserve"> </w:t>
      </w:r>
      <w:r>
        <w:rPr>
          <w:lang w:val="sv-SE"/>
        </w:rPr>
        <w:tab/>
        <w:t xml:space="preserve">Sparkasse Allgäu, </w:t>
      </w:r>
      <w:hyperlink r:id="rId194" w:history="1">
        <w:r>
          <w:rPr>
            <w:rStyle w:val="Hyperlink"/>
            <w:lang w:val="sv-SE"/>
          </w:rPr>
          <w:t>C-522/14</w:t>
        </w:r>
      </w:hyperlink>
      <w:r>
        <w:rPr>
          <w:lang w:val="sv-SE"/>
        </w:rPr>
        <w:t>.</w:t>
      </w:r>
    </w:p>
  </w:footnote>
  <w:footnote w:id="117">
    <w:p>
      <w:pPr>
        <w:pStyle w:val="FootnoteText"/>
        <w:rPr>
          <w:lang w:val="sv-SE"/>
        </w:rPr>
      </w:pPr>
      <w:r>
        <w:rPr>
          <w:rStyle w:val="FootnoteReference"/>
        </w:rPr>
        <w:footnoteRef/>
      </w:r>
      <w:r>
        <w:rPr>
          <w:lang w:val="sv-SE"/>
        </w:rPr>
        <w:t xml:space="preserve"> </w:t>
      </w:r>
      <w:r>
        <w:rPr>
          <w:lang w:val="sv-SE"/>
        </w:rPr>
        <w:tab/>
        <w:t xml:space="preserve">Radgen, </w:t>
      </w:r>
      <w:hyperlink r:id="rId195" w:history="1">
        <w:r>
          <w:rPr>
            <w:rStyle w:val="Hyperlink"/>
            <w:lang w:val="sv-SE"/>
          </w:rPr>
          <w:t>C-478/15</w:t>
        </w:r>
      </w:hyperlink>
      <w:r>
        <w:rPr>
          <w:lang w:val="sv-SE"/>
        </w:rPr>
        <w:t>.</w:t>
      </w:r>
    </w:p>
  </w:footnote>
  <w:footnote w:id="118">
    <w:p>
      <w:pPr>
        <w:pStyle w:val="FootnoteText"/>
      </w:pPr>
      <w:r>
        <w:rPr>
          <w:rStyle w:val="FootnoteReference"/>
        </w:rPr>
        <w:footnoteRef/>
      </w:r>
      <w:r>
        <w:t xml:space="preserve"> </w:t>
      </w:r>
      <w:r>
        <w:tab/>
        <w:t xml:space="preserve">Feilen, </w:t>
      </w:r>
      <w:hyperlink r:id="rId196" w:history="1">
        <w:r>
          <w:rPr>
            <w:rStyle w:val="Hyperlink"/>
          </w:rPr>
          <w:t>C-123/15</w:t>
        </w:r>
      </w:hyperlink>
      <w:r>
        <w:t>.</w:t>
      </w:r>
    </w:p>
  </w:footnote>
  <w:footnote w:id="119">
    <w:p>
      <w:pPr>
        <w:pStyle w:val="FootnoteText"/>
        <w:rPr>
          <w:szCs w:val="18"/>
        </w:rPr>
      </w:pPr>
      <w:r>
        <w:rPr>
          <w:rStyle w:val="FootnoteReference"/>
        </w:rPr>
        <w:footnoteRef/>
      </w:r>
      <w:r>
        <w:t xml:space="preserve"> </w:t>
      </w:r>
      <w:r>
        <w:tab/>
        <w:t xml:space="preserve">Commission Regulation (EEC) </w:t>
      </w:r>
      <w:hyperlink r:id="rId197" w:history="1">
        <w:r>
          <w:rPr>
            <w:rStyle w:val="Hyperlink"/>
          </w:rPr>
          <w:t>No 2454/93</w:t>
        </w:r>
      </w:hyperlink>
      <w:r>
        <w:t>.</w:t>
      </w:r>
    </w:p>
  </w:footnote>
  <w:footnote w:id="120">
    <w:p>
      <w:pPr>
        <w:pStyle w:val="FootnoteText"/>
      </w:pPr>
      <w:r>
        <w:rPr>
          <w:rStyle w:val="FootnoteReference"/>
        </w:rPr>
        <w:footnoteRef/>
      </w:r>
      <w:r>
        <w:t xml:space="preserve"> </w:t>
      </w:r>
      <w:r>
        <w:tab/>
        <w:t xml:space="preserve">Robert Fuchs, </w:t>
      </w:r>
      <w:hyperlink r:id="rId198" w:history="1">
        <w:r>
          <w:rPr>
            <w:rStyle w:val="Hyperlink"/>
          </w:rPr>
          <w:t>C-80/15</w:t>
        </w:r>
      </w:hyperlink>
      <w:r>
        <w:t>.</w:t>
      </w:r>
    </w:p>
  </w:footnote>
  <w:footnote w:id="121">
    <w:p>
      <w:pPr>
        <w:pStyle w:val="FootnoteText"/>
        <w:rPr>
          <w:rFonts w:cs="Arial"/>
        </w:rPr>
      </w:pPr>
      <w:r>
        <w:rPr>
          <w:rStyle w:val="FootnoteReference"/>
        </w:rPr>
        <w:footnoteRef/>
      </w:r>
      <w:r>
        <w:t xml:space="preserve"> </w:t>
      </w:r>
      <w:r>
        <w:tab/>
      </w:r>
      <w:r>
        <w:rPr>
          <w:bCs/>
        </w:rPr>
        <w:t xml:space="preserve">Directive </w:t>
      </w:r>
      <w:hyperlink r:id="rId199" w:history="1">
        <w:r>
          <w:rPr>
            <w:rStyle w:val="Hyperlink"/>
            <w:bCs/>
          </w:rPr>
          <w:t>92/43/EEC</w:t>
        </w:r>
      </w:hyperlink>
      <w:r>
        <w:rPr>
          <w:bCs/>
        </w:rPr>
        <w:t>,</w:t>
      </w:r>
      <w:r>
        <w:t xml:space="preserve"> Grüne Liga Sachsen and Others, </w:t>
      </w:r>
      <w:hyperlink r:id="rId200" w:history="1">
        <w:r>
          <w:rPr>
            <w:rStyle w:val="Hyperlink"/>
          </w:rPr>
          <w:t>C-399/14</w:t>
        </w:r>
      </w:hyperlink>
      <w:r>
        <w:t>.</w:t>
      </w:r>
    </w:p>
  </w:footnote>
  <w:footnote w:id="122">
    <w:p>
      <w:pPr>
        <w:pStyle w:val="FootnoteText"/>
        <w:rPr>
          <w:rFonts w:cs="Arial"/>
          <w:lang w:val="de-DE"/>
        </w:rPr>
      </w:pPr>
      <w:r>
        <w:rPr>
          <w:rStyle w:val="FootnoteReference"/>
        </w:rPr>
        <w:footnoteRef/>
      </w:r>
      <w:r>
        <w:rPr>
          <w:lang w:val="de-DE"/>
        </w:rPr>
        <w:t xml:space="preserve"> </w:t>
      </w:r>
      <w:r>
        <w:rPr>
          <w:lang w:val="de-DE"/>
        </w:rPr>
        <w:tab/>
        <w:t xml:space="preserve">Bund Naturschutz in Bayern, </w:t>
      </w:r>
      <w:hyperlink r:id="rId201" w:history="1">
        <w:r>
          <w:rPr>
            <w:rStyle w:val="Hyperlink"/>
            <w:lang w:val="de-DE"/>
          </w:rPr>
          <w:t>C-645/15</w:t>
        </w:r>
      </w:hyperlink>
      <w:r>
        <w:rPr>
          <w:lang w:val="de-DE"/>
        </w:rPr>
        <w:t>.</w:t>
      </w:r>
    </w:p>
  </w:footnote>
  <w:footnote w:id="123">
    <w:p>
      <w:pPr>
        <w:pStyle w:val="FootnoteText"/>
        <w:rPr>
          <w:lang w:val="de-DE"/>
        </w:rPr>
      </w:pPr>
      <w:r>
        <w:rPr>
          <w:rStyle w:val="FootnoteReference"/>
        </w:rPr>
        <w:footnoteRef/>
      </w:r>
      <w:r>
        <w:rPr>
          <w:lang w:val="de-DE"/>
        </w:rPr>
        <w:t xml:space="preserve"> </w:t>
      </w:r>
      <w:r>
        <w:rPr>
          <w:lang w:val="de-DE"/>
        </w:rPr>
        <w:tab/>
        <w:t xml:space="preserve">Directive </w:t>
      </w:r>
      <w:hyperlink r:id="rId202" w:history="1">
        <w:r>
          <w:rPr>
            <w:rStyle w:val="Hyperlink"/>
            <w:lang w:val="de-DE"/>
          </w:rPr>
          <w:t>2008/104/EC</w:t>
        </w:r>
      </w:hyperlink>
      <w:r>
        <w:rPr>
          <w:lang w:val="de-DE"/>
        </w:rPr>
        <w:t>.</w:t>
      </w:r>
    </w:p>
  </w:footnote>
  <w:footnote w:id="124">
    <w:p>
      <w:pPr>
        <w:pStyle w:val="FootnoteText"/>
        <w:rPr>
          <w:lang w:val="de-DE"/>
        </w:rPr>
      </w:pPr>
      <w:r>
        <w:rPr>
          <w:rStyle w:val="FootnoteReference"/>
        </w:rPr>
        <w:footnoteRef/>
      </w:r>
      <w:r>
        <w:rPr>
          <w:lang w:val="de-DE"/>
        </w:rPr>
        <w:t xml:space="preserve"> </w:t>
      </w:r>
      <w:r>
        <w:rPr>
          <w:lang w:val="de-DE"/>
        </w:rPr>
        <w:tab/>
        <w:t xml:space="preserve">Betriebsrat der Ruhrlandklinik, </w:t>
      </w:r>
      <w:hyperlink r:id="rId203" w:history="1">
        <w:r>
          <w:rPr>
            <w:rStyle w:val="Hyperlink"/>
            <w:lang w:val="de-DE"/>
          </w:rPr>
          <w:t>C-216/15</w:t>
        </w:r>
      </w:hyperlink>
      <w:r>
        <w:rPr>
          <w:lang w:val="de-DE"/>
        </w:rPr>
        <w:t>.</w:t>
      </w:r>
    </w:p>
  </w:footnote>
  <w:footnote w:id="125">
    <w:p>
      <w:pPr>
        <w:pStyle w:val="FootnoteText"/>
        <w:rPr>
          <w:rFonts w:cs="Arial"/>
        </w:rPr>
      </w:pPr>
      <w:r>
        <w:rPr>
          <w:rStyle w:val="FootnoteReference"/>
        </w:rPr>
        <w:footnoteRef/>
      </w:r>
      <w:r>
        <w:t xml:space="preserve"> </w:t>
      </w:r>
      <w:r>
        <w:tab/>
        <w:t xml:space="preserve">Deutsche Parkinson Vereinigung, </w:t>
      </w:r>
      <w:hyperlink r:id="rId204" w:history="1">
        <w:r>
          <w:rPr>
            <w:rStyle w:val="Hyperlink"/>
          </w:rPr>
          <w:t>C-148/15</w:t>
        </w:r>
      </w:hyperlink>
      <w:r>
        <w:t>, Court press release No </w:t>
      </w:r>
      <w:hyperlink r:id="rId205" w:history="1">
        <w:r>
          <w:rPr>
            <w:rStyle w:val="Hyperlink"/>
          </w:rPr>
          <w:t>113/2016</w:t>
        </w:r>
      </w:hyperlink>
      <w:r>
        <w:t>.</w:t>
      </w:r>
    </w:p>
  </w:footnote>
  <w:footnote w:id="126">
    <w:p>
      <w:pPr>
        <w:pStyle w:val="FootnoteText"/>
      </w:pPr>
      <w:r>
        <w:rPr>
          <w:rStyle w:val="FootnoteReference"/>
        </w:rPr>
        <w:footnoteRef/>
      </w:r>
      <w:r>
        <w:t xml:space="preserve"> </w:t>
      </w:r>
      <w:r>
        <w:tab/>
        <w:t xml:space="preserve">Directive </w:t>
      </w:r>
      <w:hyperlink r:id="rId206" w:history="1">
        <w:r>
          <w:rPr>
            <w:rStyle w:val="Hyperlink"/>
          </w:rPr>
          <w:t>91/676/EEC</w:t>
        </w:r>
      </w:hyperlink>
      <w:r>
        <w:t xml:space="preserve">, </w:t>
      </w:r>
      <w:hyperlink r:id="rId207" w:history="1">
        <w:r>
          <w:rPr>
            <w:rStyle w:val="Hyperlink"/>
          </w:rPr>
          <w:t>MEMO/16/319</w:t>
        </w:r>
      </w:hyperlink>
      <w:r>
        <w:t>..</w:t>
      </w:r>
    </w:p>
  </w:footnote>
  <w:footnote w:id="127">
    <w:p>
      <w:pPr>
        <w:pStyle w:val="FootnoteText"/>
        <w:rPr>
          <w:lang w:val="pt-PT"/>
        </w:rPr>
      </w:pPr>
      <w:r>
        <w:rPr>
          <w:rStyle w:val="FootnoteReference"/>
        </w:rPr>
        <w:footnoteRef/>
      </w:r>
      <w:r>
        <w:rPr>
          <w:lang w:val="pt-PT"/>
        </w:rPr>
        <w:t xml:space="preserve"> </w:t>
      </w:r>
      <w:r>
        <w:rPr>
          <w:lang w:val="pt-PT"/>
        </w:rPr>
        <w:tab/>
        <w:t xml:space="preserve">Directive </w:t>
      </w:r>
      <w:hyperlink r:id="rId208" w:history="1">
        <w:r>
          <w:rPr>
            <w:rStyle w:val="Hyperlink"/>
            <w:lang w:val="pt-PT"/>
          </w:rPr>
          <w:t>2012/27/EU</w:t>
        </w:r>
      </w:hyperlink>
      <w:r>
        <w:rPr>
          <w:lang w:val="pt-PT"/>
        </w:rPr>
        <w:t xml:space="preserve">, </w:t>
      </w:r>
      <w:hyperlink r:id="rId209" w:history="1">
        <w:r>
          <w:rPr>
            <w:rStyle w:val="Hyperlink"/>
            <w:lang w:val="pt-PT"/>
          </w:rPr>
          <w:t>MEMO/16/3125</w:t>
        </w:r>
      </w:hyperlink>
      <w:r>
        <w:rPr>
          <w:lang w:val="pt-PT"/>
        </w:rPr>
        <w:t xml:space="preserve"> and </w:t>
      </w:r>
      <w:hyperlink r:id="rId210" w:history="1">
        <w:r>
          <w:rPr>
            <w:rStyle w:val="Hyperlink"/>
            <w:lang w:val="pt-PT"/>
          </w:rPr>
          <w:t>MEMO/16/1452</w:t>
        </w:r>
      </w:hyperlink>
      <w:r>
        <w:rPr>
          <w:lang w:val="pt-PT"/>
        </w:rPr>
        <w:t>.</w:t>
      </w:r>
    </w:p>
  </w:footnote>
  <w:footnote w:id="128">
    <w:p>
      <w:pPr>
        <w:pStyle w:val="FootnoteText"/>
        <w:rPr>
          <w:lang w:val="pt-PT"/>
        </w:rPr>
      </w:pPr>
      <w:r>
        <w:rPr>
          <w:rStyle w:val="FootnoteReference"/>
        </w:rPr>
        <w:footnoteRef/>
      </w:r>
      <w:r>
        <w:rPr>
          <w:lang w:val="pt-PT"/>
        </w:rPr>
        <w:t xml:space="preserve"> </w:t>
      </w:r>
      <w:r>
        <w:rPr>
          <w:lang w:val="pt-PT"/>
        </w:rPr>
        <w:tab/>
        <w:t xml:space="preserve">Directive </w:t>
      </w:r>
      <w:hyperlink r:id="rId211" w:history="1">
        <w:r>
          <w:rPr>
            <w:rStyle w:val="Hyperlink"/>
            <w:lang w:val="pt-PT"/>
          </w:rPr>
          <w:t>2011/16/EU</w:t>
        </w:r>
      </w:hyperlink>
      <w:r>
        <w:rPr>
          <w:lang w:val="pt-PT"/>
        </w:rPr>
        <w:t>.</w:t>
      </w:r>
    </w:p>
  </w:footnote>
  <w:footnote w:id="129">
    <w:p>
      <w:pPr>
        <w:pStyle w:val="FootnoteText"/>
        <w:rPr>
          <w:rFonts w:cs="Arial"/>
          <w:lang w:val="pt-PT"/>
        </w:rPr>
      </w:pPr>
      <w:r>
        <w:rPr>
          <w:rStyle w:val="FootnoteReference"/>
        </w:rPr>
        <w:footnoteRef/>
      </w:r>
      <w:r>
        <w:rPr>
          <w:lang w:val="pt-PT"/>
        </w:rPr>
        <w:t xml:space="preserve"> </w:t>
      </w:r>
      <w:r>
        <w:rPr>
          <w:lang w:val="pt-PT"/>
        </w:rPr>
        <w:tab/>
        <w:t xml:space="preserve">Directives </w:t>
      </w:r>
      <w:hyperlink r:id="rId212" w:history="1">
        <w:r>
          <w:rPr>
            <w:rStyle w:val="Hyperlink"/>
            <w:lang w:val="pt-PT"/>
          </w:rPr>
          <w:t>2001/12/EC</w:t>
        </w:r>
      </w:hyperlink>
      <w:r>
        <w:rPr>
          <w:rStyle w:val="st"/>
          <w:lang w:val="pt-PT"/>
        </w:rPr>
        <w:t xml:space="preserve">, </w:t>
      </w:r>
      <w:hyperlink r:id="rId213" w:history="1">
        <w:r>
          <w:rPr>
            <w:rStyle w:val="Hyperlink"/>
            <w:lang w:val="pt-PT"/>
          </w:rPr>
          <w:t>2001/13/EC</w:t>
        </w:r>
      </w:hyperlink>
      <w:r>
        <w:rPr>
          <w:rStyle w:val="st"/>
          <w:lang w:val="pt-PT"/>
        </w:rPr>
        <w:t xml:space="preserve"> and </w:t>
      </w:r>
      <w:hyperlink r:id="rId214" w:history="1">
        <w:r>
          <w:rPr>
            <w:rStyle w:val="Hyperlink"/>
            <w:lang w:val="pt-PT"/>
          </w:rPr>
          <w:t>2001/14/EC</w:t>
        </w:r>
      </w:hyperlink>
      <w:r>
        <w:rPr>
          <w:rStyle w:val="st"/>
          <w:lang w:val="pt-PT"/>
        </w:rPr>
        <w:t>.</w:t>
      </w:r>
    </w:p>
  </w:footnote>
  <w:footnote w:id="130">
    <w:p>
      <w:pPr>
        <w:pStyle w:val="FootnoteText"/>
        <w:rPr>
          <w:rFonts w:cs="Arial"/>
          <w:lang w:val="pt-PT"/>
        </w:rPr>
      </w:pPr>
      <w:r>
        <w:rPr>
          <w:rStyle w:val="FootnoteReference"/>
          <w:rFonts w:eastAsia="MS Gothic"/>
        </w:rPr>
        <w:footnoteRef/>
      </w:r>
      <w:r>
        <w:rPr>
          <w:lang w:val="pt-PT"/>
        </w:rPr>
        <w:t xml:space="preserve"> </w:t>
      </w:r>
      <w:r>
        <w:rPr>
          <w:lang w:val="pt-PT"/>
        </w:rPr>
        <w:tab/>
        <w:t xml:space="preserve">Directives </w:t>
      </w:r>
      <w:hyperlink r:id="rId215" w:history="1">
        <w:r>
          <w:rPr>
            <w:rStyle w:val="Hyperlink"/>
            <w:lang w:val="pt-PT"/>
          </w:rPr>
          <w:t>2014/23/EU</w:t>
        </w:r>
      </w:hyperlink>
      <w:r>
        <w:rPr>
          <w:lang w:val="pt-PT"/>
        </w:rPr>
        <w:t xml:space="preserve">, </w:t>
      </w:r>
      <w:hyperlink r:id="rId216" w:history="1">
        <w:r>
          <w:rPr>
            <w:rStyle w:val="Hyperlink"/>
            <w:lang w:val="pt-PT"/>
          </w:rPr>
          <w:t>2014/24/EU</w:t>
        </w:r>
      </w:hyperlink>
      <w:r>
        <w:rPr>
          <w:lang w:val="pt-PT"/>
        </w:rPr>
        <w:t xml:space="preserve">, </w:t>
      </w:r>
      <w:hyperlink r:id="rId217" w:history="1">
        <w:r>
          <w:rPr>
            <w:rStyle w:val="Hyperlink"/>
            <w:lang w:val="pt-PT"/>
          </w:rPr>
          <w:t>2014/25/EU</w:t>
        </w:r>
      </w:hyperlink>
      <w:r>
        <w:rPr>
          <w:lang w:val="pt-PT"/>
        </w:rPr>
        <w:t xml:space="preserve">, </w:t>
      </w:r>
      <w:hyperlink r:id="rId218" w:history="1">
        <w:r>
          <w:rPr>
            <w:rStyle w:val="Hyperlink"/>
            <w:lang w:val="pt-PT"/>
          </w:rPr>
          <w:t>MEMO/16/1823</w:t>
        </w:r>
      </w:hyperlink>
      <w:r>
        <w:rPr>
          <w:lang w:val="pt-PT"/>
        </w:rPr>
        <w:t>.</w:t>
      </w:r>
    </w:p>
  </w:footnote>
  <w:footnote w:id="131">
    <w:p>
      <w:pPr>
        <w:pStyle w:val="FootnoteText"/>
        <w:rPr>
          <w:lang w:val="pt-PT"/>
        </w:rPr>
      </w:pPr>
      <w:r>
        <w:rPr>
          <w:rStyle w:val="FootnoteReference"/>
        </w:rPr>
        <w:footnoteRef/>
      </w:r>
      <w:r>
        <w:rPr>
          <w:lang w:val="pt-PT"/>
        </w:rPr>
        <w:t xml:space="preserve"> </w:t>
      </w:r>
      <w:r>
        <w:rPr>
          <w:lang w:val="pt-PT"/>
        </w:rPr>
        <w:tab/>
        <w:t xml:space="preserve">Directive </w:t>
      </w:r>
      <w:hyperlink r:id="rId219" w:history="1">
        <w:r>
          <w:rPr>
            <w:rStyle w:val="Hyperlink"/>
            <w:lang w:val="pt-PT"/>
          </w:rPr>
          <w:t>2012/18/EU</w:t>
        </w:r>
      </w:hyperlink>
      <w:r>
        <w:rPr>
          <w:lang w:val="pt-PT"/>
        </w:rPr>
        <w:t>.</w:t>
      </w:r>
    </w:p>
  </w:footnote>
  <w:footnote w:id="132">
    <w:p>
      <w:pPr>
        <w:pStyle w:val="FootnoteText"/>
        <w:rPr>
          <w:lang w:val="pt-PT"/>
        </w:rPr>
      </w:pPr>
      <w:r>
        <w:rPr>
          <w:rStyle w:val="FootnoteReference"/>
        </w:rPr>
        <w:footnoteRef/>
      </w:r>
      <w:r>
        <w:rPr>
          <w:lang w:val="pt-PT"/>
        </w:rPr>
        <w:t xml:space="preserve"> </w:t>
      </w:r>
      <w:r>
        <w:rPr>
          <w:lang w:val="pt-PT"/>
        </w:rPr>
        <w:tab/>
        <w:t xml:space="preserve">Directive </w:t>
      </w:r>
      <w:hyperlink r:id="rId220" w:history="1">
        <w:r>
          <w:rPr>
            <w:rStyle w:val="Hyperlink"/>
            <w:lang w:val="pt-PT"/>
          </w:rPr>
          <w:t>2013/36/EU</w:t>
        </w:r>
      </w:hyperlink>
      <w:r>
        <w:rPr>
          <w:lang w:val="pt-PT"/>
        </w:rPr>
        <w:t>.</w:t>
      </w:r>
    </w:p>
  </w:footnote>
  <w:footnote w:id="133">
    <w:p>
      <w:pPr>
        <w:pStyle w:val="FootnoteText"/>
        <w:rPr>
          <w:lang w:val="pt-PT"/>
        </w:rPr>
      </w:pPr>
      <w:r>
        <w:rPr>
          <w:rStyle w:val="FootnoteReference"/>
        </w:rPr>
        <w:footnoteRef/>
      </w:r>
      <w:r>
        <w:rPr>
          <w:lang w:val="pt-PT"/>
        </w:rPr>
        <w:t xml:space="preserve"> </w:t>
      </w:r>
      <w:r>
        <w:rPr>
          <w:lang w:val="pt-PT"/>
        </w:rPr>
        <w:tab/>
        <w:t xml:space="preserve">Directive </w:t>
      </w:r>
      <w:hyperlink r:id="rId221" w:history="1">
        <w:r>
          <w:rPr>
            <w:rStyle w:val="Hyperlink"/>
            <w:lang w:val="pt-PT"/>
          </w:rPr>
          <w:t>2014/59/EU</w:t>
        </w:r>
      </w:hyperlink>
      <w:r>
        <w:rPr>
          <w:lang w:val="pt-PT"/>
        </w:rPr>
        <w:t>.</w:t>
      </w:r>
    </w:p>
  </w:footnote>
  <w:footnote w:id="134">
    <w:p>
      <w:pPr>
        <w:pStyle w:val="FootnoteText"/>
        <w:rPr>
          <w:lang w:val="pt-PT"/>
        </w:rPr>
      </w:pPr>
      <w:r>
        <w:rPr>
          <w:rStyle w:val="FootnoteReference"/>
        </w:rPr>
        <w:footnoteRef/>
      </w:r>
      <w:r>
        <w:rPr>
          <w:lang w:val="pt-PT"/>
        </w:rPr>
        <w:t xml:space="preserve"> </w:t>
      </w:r>
      <w:r>
        <w:rPr>
          <w:lang w:val="pt-PT"/>
        </w:rPr>
        <w:tab/>
        <w:t xml:space="preserve">Directive </w:t>
      </w:r>
      <w:hyperlink r:id="rId222" w:history="1">
        <w:r>
          <w:rPr>
            <w:rStyle w:val="Hyperlink"/>
            <w:lang w:val="pt-PT"/>
          </w:rPr>
          <w:t>2014/49/EU</w:t>
        </w:r>
      </w:hyperlink>
      <w:r>
        <w:rPr>
          <w:lang w:val="pt-PT"/>
        </w:rPr>
        <w:t>.</w:t>
      </w:r>
    </w:p>
  </w:footnote>
  <w:footnote w:id="135">
    <w:p>
      <w:pPr>
        <w:pStyle w:val="FootnoteText"/>
      </w:pPr>
      <w:r>
        <w:rPr>
          <w:rStyle w:val="FootnoteReference"/>
        </w:rPr>
        <w:footnoteRef/>
      </w:r>
      <w:r>
        <w:t xml:space="preserve"> </w:t>
      </w:r>
      <w:r>
        <w:tab/>
        <w:t xml:space="preserve">Directive </w:t>
      </w:r>
      <w:hyperlink r:id="rId223" w:history="1">
        <w:r>
          <w:rPr>
            <w:rStyle w:val="Hyperlink"/>
          </w:rPr>
          <w:t>2013/14/EU</w:t>
        </w:r>
      </w:hyperlink>
      <w:r>
        <w:t>.</w:t>
      </w:r>
    </w:p>
  </w:footnote>
  <w:footnote w:id="136">
    <w:p>
      <w:pPr>
        <w:pStyle w:val="FootnoteText"/>
      </w:pPr>
      <w:r>
        <w:rPr>
          <w:rStyle w:val="FootnoteReference"/>
        </w:rPr>
        <w:footnoteRef/>
      </w:r>
      <w:r>
        <w:t xml:space="preserve"> </w:t>
      </w:r>
      <w:r>
        <w:tab/>
        <w:t xml:space="preserve">Directive </w:t>
      </w:r>
      <w:hyperlink r:id="rId224" w:history="1">
        <w:r>
          <w:rPr>
            <w:rStyle w:val="Hyperlink"/>
          </w:rPr>
          <w:t>2011/61/EU</w:t>
        </w:r>
      </w:hyperlink>
      <w:r>
        <w:t>.</w:t>
      </w:r>
    </w:p>
  </w:footnote>
  <w:footnote w:id="137">
    <w:p>
      <w:pPr>
        <w:pStyle w:val="FootnoteText"/>
      </w:pPr>
      <w:r>
        <w:rPr>
          <w:rStyle w:val="FootnoteReference"/>
        </w:rPr>
        <w:footnoteRef/>
      </w:r>
      <w:r>
        <w:t xml:space="preserve"> </w:t>
      </w:r>
      <w:r>
        <w:tab/>
        <w:t xml:space="preserve">Directive </w:t>
      </w:r>
      <w:hyperlink r:id="rId225" w:history="1">
        <w:r>
          <w:rPr>
            <w:rStyle w:val="Hyperlink"/>
          </w:rPr>
          <w:t>2006/126/EC</w:t>
        </w:r>
      </w:hyperlink>
      <w:r>
        <w:t xml:space="preserve">. </w:t>
      </w:r>
    </w:p>
  </w:footnote>
  <w:footnote w:id="138">
    <w:p>
      <w:pPr>
        <w:pStyle w:val="FootnoteText"/>
      </w:pPr>
      <w:r>
        <w:rPr>
          <w:rStyle w:val="FootnoteReference"/>
        </w:rPr>
        <w:footnoteRef/>
      </w:r>
      <w:r>
        <w:t xml:space="preserve"> </w:t>
      </w:r>
      <w:r>
        <w:tab/>
        <w:t>Regulation (EU) No </w:t>
      </w:r>
      <w:hyperlink r:id="rId226" w:history="1">
        <w:r>
          <w:rPr>
            <w:rStyle w:val="Hyperlink"/>
          </w:rPr>
          <w:t>996/2010</w:t>
        </w:r>
      </w:hyperlink>
      <w:r>
        <w:t>.</w:t>
      </w:r>
    </w:p>
  </w:footnote>
  <w:footnote w:id="139">
    <w:p>
      <w:pPr>
        <w:pStyle w:val="FootnoteText"/>
      </w:pPr>
      <w:r>
        <w:rPr>
          <w:rStyle w:val="FootnoteReference"/>
        </w:rPr>
        <w:footnoteRef/>
      </w:r>
      <w:r>
        <w:t xml:space="preserve"> </w:t>
      </w:r>
      <w:r>
        <w:tab/>
        <w:t xml:space="preserve">These rulings are almost exclusively handed down </w:t>
      </w:r>
      <w:r>
        <w:rPr>
          <w:rFonts w:cs="Arial"/>
          <w:szCs w:val="18"/>
        </w:rPr>
        <w:t>in</w:t>
      </w:r>
      <w:r>
        <w:t xml:space="preserve"> infringement procedures.</w:t>
      </w:r>
    </w:p>
  </w:footnote>
  <w:footnote w:id="140">
    <w:p>
      <w:pPr>
        <w:pStyle w:val="FootnoteText"/>
      </w:pPr>
      <w:r>
        <w:rPr>
          <w:rStyle w:val="FootnoteReference"/>
        </w:rPr>
        <w:footnoteRef/>
      </w:r>
      <w:r>
        <w:t xml:space="preserve"> </w:t>
      </w:r>
      <w:r>
        <w:tab/>
        <w:t>Regulation No </w:t>
      </w:r>
      <w:hyperlink r:id="rId227" w:history="1">
        <w:r>
          <w:rPr>
            <w:rStyle w:val="Hyperlink"/>
          </w:rPr>
          <w:t>853/2004</w:t>
        </w:r>
      </w:hyperlink>
      <w:r>
        <w:t xml:space="preserve"> and Regulation No </w:t>
      </w:r>
      <w:hyperlink r:id="rId228" w:history="1">
        <w:r>
          <w:rPr>
            <w:rStyle w:val="Hyperlink"/>
          </w:rPr>
          <w:t>854/2004</w:t>
        </w:r>
      </w:hyperlink>
      <w:r>
        <w:t>.</w:t>
      </w:r>
    </w:p>
  </w:footnote>
  <w:footnote w:id="141">
    <w:p>
      <w:pPr>
        <w:pStyle w:val="FootnoteText"/>
        <w:rPr>
          <w:lang w:val="pt-PT"/>
        </w:rPr>
      </w:pPr>
      <w:r>
        <w:rPr>
          <w:rStyle w:val="FootnoteReference"/>
        </w:rPr>
        <w:footnoteRef/>
      </w:r>
      <w:r>
        <w:rPr>
          <w:lang w:val="pt-PT"/>
        </w:rPr>
        <w:t xml:space="preserve"> </w:t>
      </w:r>
      <w:r>
        <w:rPr>
          <w:lang w:val="pt-PT"/>
        </w:rPr>
        <w:tab/>
        <w:t xml:space="preserve">Directive </w:t>
      </w:r>
      <w:hyperlink r:id="rId229" w:history="1">
        <w:r>
          <w:rPr>
            <w:rStyle w:val="Hyperlink"/>
            <w:lang w:val="pt-PT"/>
          </w:rPr>
          <w:t>2013/40</w:t>
        </w:r>
      </w:hyperlink>
      <w:r>
        <w:rPr>
          <w:lang w:val="pt-PT"/>
        </w:rPr>
        <w:t xml:space="preserve">/EU; </w:t>
      </w:r>
      <w:hyperlink r:id="rId230" w:history="1">
        <w:r>
          <w:rPr>
            <w:rStyle w:val="Hyperlink"/>
            <w:lang w:val="pt-PT"/>
          </w:rPr>
          <w:t>MEMO/16/4211</w:t>
        </w:r>
      </w:hyperlink>
      <w:r>
        <w:rPr>
          <w:lang w:val="pt-PT"/>
        </w:rPr>
        <w:t>.</w:t>
      </w:r>
    </w:p>
  </w:footnote>
  <w:footnote w:id="142">
    <w:p>
      <w:pPr>
        <w:pStyle w:val="FootnoteText"/>
        <w:rPr>
          <w:lang w:val="pt-PT"/>
        </w:rPr>
      </w:pPr>
      <w:r>
        <w:rPr>
          <w:rStyle w:val="FootnoteReference"/>
        </w:rPr>
        <w:footnoteRef/>
      </w:r>
      <w:r>
        <w:rPr>
          <w:lang w:val="pt-PT"/>
        </w:rPr>
        <w:t xml:space="preserve"> </w:t>
      </w:r>
      <w:r>
        <w:rPr>
          <w:lang w:val="pt-PT"/>
        </w:rPr>
        <w:tab/>
        <w:t xml:space="preserve">Council Decisions </w:t>
      </w:r>
      <w:hyperlink r:id="rId231" w:history="1">
        <w:r>
          <w:rPr>
            <w:rStyle w:val="Hyperlink"/>
            <w:lang w:val="pt-PT"/>
          </w:rPr>
          <w:t>2008/615/JHA</w:t>
        </w:r>
      </w:hyperlink>
      <w:r>
        <w:rPr>
          <w:lang w:val="pt-PT"/>
        </w:rPr>
        <w:t xml:space="preserve"> and </w:t>
      </w:r>
      <w:hyperlink r:id="rId232" w:history="1">
        <w:r>
          <w:rPr>
            <w:rStyle w:val="Hyperlink"/>
            <w:lang w:val="pt-PT"/>
          </w:rPr>
          <w:t>2008/616/JHA</w:t>
        </w:r>
      </w:hyperlink>
      <w:r>
        <w:rPr>
          <w:lang w:val="pt-PT"/>
        </w:rPr>
        <w:t xml:space="preserve">; </w:t>
      </w:r>
      <w:hyperlink r:id="rId233" w:history="1">
        <w:r>
          <w:rPr>
            <w:rStyle w:val="Hyperlink"/>
            <w:lang w:val="pt-PT"/>
          </w:rPr>
          <w:t>MEMO/16/3125</w:t>
        </w:r>
      </w:hyperlink>
      <w:r>
        <w:rPr>
          <w:lang w:val="pt-PT"/>
        </w:rPr>
        <w:t>.</w:t>
      </w:r>
    </w:p>
  </w:footnote>
  <w:footnote w:id="143">
    <w:p>
      <w:pPr>
        <w:pStyle w:val="FootnoteText"/>
        <w:rPr>
          <w:lang w:val="pt-PT"/>
        </w:rPr>
      </w:pPr>
      <w:r>
        <w:rPr>
          <w:rStyle w:val="FootnoteReference"/>
        </w:rPr>
        <w:footnoteRef/>
      </w:r>
      <w:r>
        <w:rPr>
          <w:lang w:val="pt-PT"/>
        </w:rPr>
        <w:t xml:space="preserve"> </w:t>
      </w:r>
      <w:r>
        <w:rPr>
          <w:lang w:val="pt-PT"/>
        </w:rPr>
        <w:tab/>
        <w:t xml:space="preserve">Directive </w:t>
      </w:r>
      <w:hyperlink r:id="rId234" w:history="1">
        <w:r>
          <w:rPr>
            <w:rStyle w:val="Hyperlink"/>
            <w:lang w:val="pt-PT"/>
          </w:rPr>
          <w:t>92/43/EEC</w:t>
        </w:r>
      </w:hyperlink>
      <w:r>
        <w:rPr>
          <w:lang w:val="pt-PT"/>
        </w:rPr>
        <w:t xml:space="preserve">, </w:t>
      </w:r>
      <w:hyperlink r:id="rId235" w:history="1">
        <w:r>
          <w:rPr>
            <w:rStyle w:val="Hyperlink"/>
            <w:lang w:val="pt-PT"/>
          </w:rPr>
          <w:t>MEMO/16/1452</w:t>
        </w:r>
      </w:hyperlink>
      <w:r>
        <w:rPr>
          <w:lang w:val="pt-PT"/>
        </w:rPr>
        <w:t>.</w:t>
      </w:r>
    </w:p>
  </w:footnote>
  <w:footnote w:id="144">
    <w:p>
      <w:pPr>
        <w:pStyle w:val="FootnoteText"/>
        <w:rPr>
          <w:lang w:val="pt-PT"/>
        </w:rPr>
      </w:pPr>
      <w:r>
        <w:rPr>
          <w:rStyle w:val="FootnoteReference"/>
        </w:rPr>
        <w:footnoteRef/>
      </w:r>
      <w:r>
        <w:rPr>
          <w:lang w:val="pt-PT"/>
        </w:rPr>
        <w:t xml:space="preserve"> </w:t>
      </w:r>
      <w:r>
        <w:rPr>
          <w:lang w:val="pt-PT"/>
        </w:rPr>
        <w:tab/>
      </w:r>
      <w:hyperlink r:id="rId236" w:history="1">
        <w:r>
          <w:rPr>
            <w:rStyle w:val="Hyperlink"/>
            <w:lang w:val="pt-PT"/>
          </w:rPr>
          <w:t>MEMO/16/3125</w:t>
        </w:r>
      </w:hyperlink>
      <w:r>
        <w:rPr>
          <w:lang w:val="pt-PT"/>
        </w:rPr>
        <w:t>.</w:t>
      </w:r>
    </w:p>
  </w:footnote>
  <w:footnote w:id="145">
    <w:p>
      <w:pPr>
        <w:pStyle w:val="FootnoteText"/>
        <w:rPr>
          <w:lang w:val="pt-PT"/>
        </w:rPr>
      </w:pPr>
      <w:r>
        <w:rPr>
          <w:rStyle w:val="FootnoteReference"/>
        </w:rPr>
        <w:footnoteRef/>
      </w:r>
      <w:r>
        <w:rPr>
          <w:lang w:val="pt-PT"/>
        </w:rPr>
        <w:t xml:space="preserve"> </w:t>
      </w:r>
      <w:r>
        <w:rPr>
          <w:lang w:val="pt-PT"/>
        </w:rPr>
        <w:tab/>
        <w:t xml:space="preserve">Directive </w:t>
      </w:r>
      <w:hyperlink r:id="rId237" w:history="1">
        <w:r>
          <w:rPr>
            <w:rStyle w:val="Hyperlink"/>
            <w:lang w:val="pt-PT"/>
          </w:rPr>
          <w:t>2013/50/EU</w:t>
        </w:r>
      </w:hyperlink>
      <w:r>
        <w:rPr>
          <w:lang w:val="pt-PT"/>
        </w:rPr>
        <w:t xml:space="preserve">; </w:t>
      </w:r>
      <w:hyperlink r:id="rId238" w:history="1">
        <w:r>
          <w:rPr>
            <w:rStyle w:val="Hyperlink"/>
            <w:lang w:val="pt-PT"/>
          </w:rPr>
          <w:t>MEMO/16/3644</w:t>
        </w:r>
      </w:hyperlink>
      <w:r>
        <w:rPr>
          <w:lang w:val="pt-PT"/>
        </w:rPr>
        <w:t>.</w:t>
      </w:r>
    </w:p>
  </w:footnote>
  <w:footnote w:id="146">
    <w:p>
      <w:pPr>
        <w:pStyle w:val="FootnoteText"/>
        <w:rPr>
          <w:lang w:val="pt-PT"/>
        </w:rPr>
      </w:pPr>
      <w:r>
        <w:rPr>
          <w:rStyle w:val="FootnoteReference"/>
        </w:rPr>
        <w:footnoteRef/>
      </w:r>
      <w:r>
        <w:rPr>
          <w:lang w:val="pt-PT"/>
        </w:rPr>
        <w:t xml:space="preserve"> </w:t>
      </w:r>
      <w:r>
        <w:rPr>
          <w:lang w:val="pt-PT"/>
        </w:rPr>
        <w:tab/>
        <w:t xml:space="preserve">Directive </w:t>
      </w:r>
      <w:hyperlink r:id="rId239" w:history="1">
        <w:r>
          <w:rPr>
            <w:rStyle w:val="Hyperlink"/>
            <w:lang w:val="pt-PT"/>
          </w:rPr>
          <w:t>2013/34/EU</w:t>
        </w:r>
      </w:hyperlink>
      <w:r>
        <w:rPr>
          <w:lang w:val="pt-PT"/>
        </w:rPr>
        <w:t xml:space="preserve">, and press releases </w:t>
      </w:r>
      <w:hyperlink r:id="rId240" w:history="1">
        <w:r>
          <w:rPr>
            <w:rStyle w:val="Hyperlink"/>
            <w:lang w:val="pt-PT"/>
          </w:rPr>
          <w:t>MEMO/16/2097</w:t>
        </w:r>
      </w:hyperlink>
      <w:r>
        <w:rPr>
          <w:lang w:val="pt-PT"/>
        </w:rPr>
        <w:t xml:space="preserve"> and </w:t>
      </w:r>
      <w:hyperlink r:id="rId241" w:history="1">
        <w:r>
          <w:rPr>
            <w:rStyle w:val="Hyperlink"/>
            <w:lang w:val="pt-PT"/>
          </w:rPr>
          <w:t>MEMO/16/3644</w:t>
        </w:r>
      </w:hyperlink>
      <w:r>
        <w:rPr>
          <w:lang w:val="pt-PT"/>
        </w:rPr>
        <w:t>.</w:t>
      </w:r>
    </w:p>
  </w:footnote>
  <w:footnote w:id="147">
    <w:p>
      <w:pPr>
        <w:pStyle w:val="FootnoteText"/>
        <w:rPr>
          <w:lang w:val="pt-PT"/>
        </w:rPr>
      </w:pPr>
      <w:r>
        <w:rPr>
          <w:rStyle w:val="FootnoteReference"/>
        </w:rPr>
        <w:footnoteRef/>
      </w:r>
      <w:r>
        <w:rPr>
          <w:lang w:val="pt-PT"/>
        </w:rPr>
        <w:t xml:space="preserve"> </w:t>
      </w:r>
      <w:r>
        <w:rPr>
          <w:lang w:val="pt-PT"/>
        </w:rPr>
        <w:tab/>
        <w:t xml:space="preserve">Directive </w:t>
      </w:r>
      <w:hyperlink r:id="rId242" w:history="1">
        <w:r>
          <w:rPr>
            <w:rStyle w:val="Hyperlink"/>
            <w:lang w:val="pt-PT"/>
          </w:rPr>
          <w:t>2009/18/EC</w:t>
        </w:r>
      </w:hyperlink>
      <w:r>
        <w:rPr>
          <w:lang w:val="pt-PT"/>
        </w:rPr>
        <w:t>.</w:t>
      </w:r>
    </w:p>
  </w:footnote>
  <w:footnote w:id="148">
    <w:p>
      <w:pPr>
        <w:pStyle w:val="FootnoteText"/>
        <w:rPr>
          <w:lang w:val="pt-PT"/>
        </w:rPr>
      </w:pPr>
      <w:r>
        <w:rPr>
          <w:rStyle w:val="FootnoteReference"/>
          <w:rFonts w:eastAsia="MS Gothic"/>
        </w:rPr>
        <w:footnoteRef/>
      </w:r>
      <w:r>
        <w:rPr>
          <w:lang w:val="pt-PT"/>
        </w:rPr>
        <w:t xml:space="preserve"> </w:t>
      </w:r>
      <w:r>
        <w:rPr>
          <w:lang w:val="pt-PT"/>
        </w:rPr>
        <w:tab/>
        <w:t xml:space="preserve">Directives </w:t>
      </w:r>
      <w:hyperlink r:id="rId243" w:history="1">
        <w:r>
          <w:rPr>
            <w:rStyle w:val="Hyperlink"/>
            <w:lang w:val="pt-PT"/>
          </w:rPr>
          <w:t>2014/24/EU</w:t>
        </w:r>
      </w:hyperlink>
      <w:r>
        <w:rPr>
          <w:lang w:val="pt-PT"/>
        </w:rPr>
        <w:t xml:space="preserve">, </w:t>
      </w:r>
      <w:hyperlink r:id="rId244" w:history="1">
        <w:r>
          <w:rPr>
            <w:rStyle w:val="Hyperlink"/>
            <w:lang w:val="pt-PT"/>
          </w:rPr>
          <w:t>2014/25/EU</w:t>
        </w:r>
      </w:hyperlink>
      <w:r>
        <w:rPr>
          <w:lang w:val="pt-PT"/>
        </w:rPr>
        <w:t>.</w:t>
      </w:r>
    </w:p>
  </w:footnote>
  <w:footnote w:id="149">
    <w:p>
      <w:pPr>
        <w:pStyle w:val="FootnoteText"/>
      </w:pPr>
      <w:r>
        <w:rPr>
          <w:rStyle w:val="FootnoteReference"/>
        </w:rPr>
        <w:footnoteRef/>
      </w:r>
      <w:r>
        <w:t xml:space="preserve"> </w:t>
      </w:r>
      <w:r>
        <w:tab/>
        <w:t xml:space="preserve">Directive </w:t>
      </w:r>
      <w:hyperlink r:id="rId245" w:history="1">
        <w:r>
          <w:rPr>
            <w:rStyle w:val="Hyperlink"/>
          </w:rPr>
          <w:t>2013/36/EU</w:t>
        </w:r>
      </w:hyperlink>
      <w:r>
        <w:t>.</w:t>
      </w:r>
    </w:p>
  </w:footnote>
  <w:footnote w:id="150">
    <w:p>
      <w:pPr>
        <w:pStyle w:val="FootnoteText"/>
      </w:pPr>
      <w:r>
        <w:rPr>
          <w:rStyle w:val="FootnoteReference"/>
        </w:rPr>
        <w:footnoteRef/>
      </w:r>
      <w:r>
        <w:t xml:space="preserve"> </w:t>
      </w:r>
      <w:r>
        <w:tab/>
        <w:t xml:space="preserve">Directive </w:t>
      </w:r>
      <w:hyperlink r:id="rId246" w:history="1">
        <w:r>
          <w:rPr>
            <w:rStyle w:val="Hyperlink"/>
          </w:rPr>
          <w:t>2014/59/EU</w:t>
        </w:r>
      </w:hyperlink>
      <w:r>
        <w:t>.</w:t>
      </w:r>
    </w:p>
  </w:footnote>
  <w:footnote w:id="151">
    <w:p>
      <w:pPr>
        <w:pStyle w:val="FootnoteText"/>
      </w:pPr>
      <w:r>
        <w:rPr>
          <w:rStyle w:val="FootnoteReference"/>
        </w:rPr>
        <w:footnoteRef/>
      </w:r>
      <w:r>
        <w:t xml:space="preserve"> </w:t>
      </w:r>
      <w:r>
        <w:tab/>
        <w:t xml:space="preserve">Directive </w:t>
      </w:r>
      <w:hyperlink r:id="rId247" w:history="1">
        <w:r>
          <w:rPr>
            <w:rStyle w:val="Hyperlink"/>
          </w:rPr>
          <w:t>2014/49/EU</w:t>
        </w:r>
      </w:hyperlink>
      <w:r>
        <w:t>.</w:t>
      </w:r>
    </w:p>
  </w:footnote>
  <w:footnote w:id="152">
    <w:p>
      <w:pPr>
        <w:pStyle w:val="FootnoteText"/>
      </w:pPr>
      <w:r>
        <w:rPr>
          <w:rStyle w:val="FootnoteReference"/>
        </w:rPr>
        <w:footnoteRef/>
      </w:r>
      <w:r>
        <w:t xml:space="preserve"> </w:t>
      </w:r>
      <w:r>
        <w:tab/>
      </w:r>
      <w:r>
        <w:rPr>
          <w:rFonts w:cs="Arial"/>
          <w:szCs w:val="18"/>
        </w:rPr>
        <w:t>These rulings are almost exclusively handed down in infringement procedures.</w:t>
      </w:r>
    </w:p>
  </w:footnote>
  <w:footnote w:id="153">
    <w:p>
      <w:pPr>
        <w:pStyle w:val="FootnoteText"/>
        <w:rPr>
          <w:lang w:val="pt-PT"/>
        </w:rPr>
      </w:pPr>
      <w:r>
        <w:rPr>
          <w:rStyle w:val="FootnoteReference"/>
        </w:rPr>
        <w:footnoteRef/>
      </w:r>
      <w:r>
        <w:rPr>
          <w:lang w:val="pt-PT"/>
        </w:rPr>
        <w:t xml:space="preserve"> </w:t>
      </w:r>
      <w:r>
        <w:rPr>
          <w:lang w:val="pt-PT"/>
        </w:rPr>
        <w:tab/>
        <w:t xml:space="preserve">Danqua, </w:t>
      </w:r>
      <w:hyperlink r:id="rId248" w:history="1">
        <w:r>
          <w:rPr>
            <w:rStyle w:val="Hyperlink"/>
            <w:lang w:val="pt-PT"/>
          </w:rPr>
          <w:t>C-429/15</w:t>
        </w:r>
      </w:hyperlink>
      <w:r>
        <w:rPr>
          <w:lang w:val="pt-PT"/>
        </w:rPr>
        <w:t>.</w:t>
      </w:r>
    </w:p>
  </w:footnote>
  <w:footnote w:id="154">
    <w:p>
      <w:pPr>
        <w:pStyle w:val="FootnoteText"/>
        <w:rPr>
          <w:lang w:val="pt-PT"/>
        </w:rPr>
      </w:pPr>
      <w:r>
        <w:rPr>
          <w:rStyle w:val="FootnoteReference"/>
        </w:rPr>
        <w:footnoteRef/>
      </w:r>
      <w:r>
        <w:rPr>
          <w:lang w:val="pt-PT"/>
        </w:rPr>
        <w:t xml:space="preserve"> </w:t>
      </w:r>
      <w:r>
        <w:rPr>
          <w:lang w:val="pt-PT"/>
        </w:rPr>
        <w:tab/>
        <w:t xml:space="preserve">Council Decisions </w:t>
      </w:r>
      <w:hyperlink r:id="rId249" w:history="1">
        <w:r>
          <w:rPr>
            <w:rStyle w:val="Hyperlink"/>
            <w:lang w:val="pt-PT"/>
          </w:rPr>
          <w:t>2008/615/JHA</w:t>
        </w:r>
      </w:hyperlink>
      <w:r>
        <w:rPr>
          <w:lang w:val="pt-PT"/>
        </w:rPr>
        <w:t xml:space="preserve"> and </w:t>
      </w:r>
      <w:hyperlink r:id="rId250" w:history="1">
        <w:r>
          <w:rPr>
            <w:rStyle w:val="Hyperlink"/>
            <w:lang w:val="pt-PT"/>
          </w:rPr>
          <w:t>2008/616/JHA</w:t>
        </w:r>
      </w:hyperlink>
      <w:r>
        <w:rPr>
          <w:lang w:val="pt-PT"/>
        </w:rPr>
        <w:t xml:space="preserve">; </w:t>
      </w:r>
      <w:hyperlink r:id="rId251" w:history="1">
        <w:r>
          <w:rPr>
            <w:rStyle w:val="Hyperlink"/>
            <w:lang w:val="pt-PT"/>
          </w:rPr>
          <w:t>MEMO/16/3125</w:t>
        </w:r>
      </w:hyperlink>
      <w:r>
        <w:rPr>
          <w:lang w:val="pt-PT"/>
        </w:rPr>
        <w:t>.</w:t>
      </w:r>
    </w:p>
  </w:footnote>
  <w:footnote w:id="155">
    <w:p>
      <w:pPr>
        <w:pStyle w:val="FootnoteText"/>
        <w:rPr>
          <w:lang w:val="pt-PT"/>
        </w:rPr>
      </w:pPr>
      <w:r>
        <w:rPr>
          <w:rStyle w:val="FootnoteReference"/>
        </w:rPr>
        <w:footnoteRef/>
      </w:r>
      <w:r>
        <w:rPr>
          <w:lang w:val="pt-PT"/>
        </w:rPr>
        <w:t xml:space="preserve"> </w:t>
      </w:r>
      <w:r>
        <w:rPr>
          <w:lang w:val="pt-PT"/>
        </w:rPr>
        <w:tab/>
        <w:t xml:space="preserve">Directives </w:t>
      </w:r>
      <w:hyperlink r:id="rId252" w:history="1">
        <w:r>
          <w:rPr>
            <w:rStyle w:val="Hyperlink"/>
            <w:lang w:val="pt-PT"/>
          </w:rPr>
          <w:t>2013/32/EU</w:t>
        </w:r>
      </w:hyperlink>
      <w:r>
        <w:rPr>
          <w:lang w:val="pt-PT"/>
        </w:rPr>
        <w:t xml:space="preserve"> and </w:t>
      </w:r>
      <w:hyperlink r:id="rId253" w:history="1">
        <w:r>
          <w:rPr>
            <w:rStyle w:val="Hyperlink"/>
            <w:lang w:val="pt-PT"/>
          </w:rPr>
          <w:t>2013/33/EU</w:t>
        </w:r>
      </w:hyperlink>
      <w:r>
        <w:rPr>
          <w:lang w:val="pt-PT"/>
        </w:rPr>
        <w:t>.</w:t>
      </w:r>
    </w:p>
  </w:footnote>
  <w:footnote w:id="156">
    <w:p>
      <w:pPr>
        <w:pStyle w:val="FootnoteText"/>
        <w:rPr>
          <w:lang w:val="pt-PT"/>
        </w:rPr>
      </w:pPr>
      <w:r>
        <w:rPr>
          <w:rStyle w:val="FootnoteReference"/>
        </w:rPr>
        <w:footnoteRef/>
      </w:r>
      <w:r>
        <w:rPr>
          <w:lang w:val="pt-PT"/>
        </w:rPr>
        <w:t xml:space="preserve"> </w:t>
      </w:r>
      <w:r>
        <w:rPr>
          <w:lang w:val="pt-PT"/>
        </w:rPr>
        <w:tab/>
        <w:t xml:space="preserve">Directive </w:t>
      </w:r>
      <w:hyperlink r:id="rId254" w:history="1">
        <w:r>
          <w:rPr>
            <w:rStyle w:val="Hyperlink"/>
            <w:lang w:val="pt-PT"/>
          </w:rPr>
          <w:t>2008/115/EC</w:t>
        </w:r>
      </w:hyperlink>
      <w:r>
        <w:rPr>
          <w:lang w:val="pt-PT"/>
        </w:rPr>
        <w:t>.</w:t>
      </w:r>
    </w:p>
  </w:footnote>
  <w:footnote w:id="157">
    <w:p>
      <w:pPr>
        <w:pStyle w:val="FootnoteText"/>
      </w:pPr>
      <w:r>
        <w:rPr>
          <w:rStyle w:val="FootnoteReference"/>
        </w:rPr>
        <w:footnoteRef/>
      </w:r>
      <w:r>
        <w:t xml:space="preserve"> </w:t>
      </w:r>
      <w:r>
        <w:tab/>
        <w:t xml:space="preserve">Directives </w:t>
      </w:r>
      <w:hyperlink r:id="rId255" w:history="1">
        <w:r>
          <w:rPr>
            <w:rStyle w:val="Hyperlink"/>
          </w:rPr>
          <w:t>2002/20/EC</w:t>
        </w:r>
      </w:hyperlink>
      <w:r>
        <w:t xml:space="preserve"> and </w:t>
      </w:r>
      <w:hyperlink r:id="rId256" w:history="1">
        <w:r>
          <w:rPr>
            <w:rStyle w:val="Hyperlink"/>
          </w:rPr>
          <w:t>2002/21/EC</w:t>
        </w:r>
      </w:hyperlink>
      <w:r>
        <w:t>.</w:t>
      </w:r>
    </w:p>
  </w:footnote>
  <w:footnote w:id="158">
    <w:p>
      <w:pPr>
        <w:pStyle w:val="FootnoteText"/>
      </w:pPr>
      <w:r>
        <w:rPr>
          <w:rStyle w:val="FootnoteReference"/>
        </w:rPr>
        <w:footnoteRef/>
      </w:r>
      <w:r>
        <w:t xml:space="preserve"> </w:t>
      </w:r>
      <w:r>
        <w:tab/>
        <w:t xml:space="preserve">Directive </w:t>
      </w:r>
      <w:hyperlink r:id="rId257" w:history="1">
        <w:r>
          <w:rPr>
            <w:rStyle w:val="Hyperlink"/>
          </w:rPr>
          <w:t>92/43/EEC</w:t>
        </w:r>
      </w:hyperlink>
      <w:r>
        <w:t xml:space="preserve">; </w:t>
      </w:r>
      <w:hyperlink r:id="rId258" w:history="1">
        <w:r>
          <w:rPr>
            <w:rStyle w:val="Hyperlink"/>
          </w:rPr>
          <w:t>MEMO/16/319</w:t>
        </w:r>
      </w:hyperlink>
      <w:r>
        <w:t>.</w:t>
      </w:r>
    </w:p>
  </w:footnote>
  <w:footnote w:id="159">
    <w:p>
      <w:pPr>
        <w:pStyle w:val="FootnoteText"/>
        <w:rPr>
          <w:lang w:val="pt-PT"/>
        </w:rPr>
      </w:pPr>
      <w:r>
        <w:rPr>
          <w:rStyle w:val="FootnoteReference"/>
        </w:rPr>
        <w:footnoteRef/>
      </w:r>
      <w:r>
        <w:rPr>
          <w:lang w:val="pt-PT"/>
        </w:rPr>
        <w:t xml:space="preserve"> </w:t>
      </w:r>
      <w:r>
        <w:rPr>
          <w:lang w:val="pt-PT"/>
        </w:rPr>
        <w:tab/>
        <w:t xml:space="preserve">Directive </w:t>
      </w:r>
      <w:hyperlink r:id="rId259" w:history="1">
        <w:r>
          <w:rPr>
            <w:rStyle w:val="Hyperlink"/>
            <w:lang w:val="pt-PT"/>
          </w:rPr>
          <w:t>2009/147/EC</w:t>
        </w:r>
      </w:hyperlink>
      <w:r>
        <w:rPr>
          <w:lang w:val="pt-PT"/>
        </w:rPr>
        <w:t xml:space="preserve">; </w:t>
      </w:r>
      <w:hyperlink r:id="rId260" w:history="1">
        <w:r>
          <w:rPr>
            <w:rStyle w:val="Hyperlink"/>
            <w:lang w:val="pt-PT"/>
          </w:rPr>
          <w:t>MEMO/16/3125</w:t>
        </w:r>
      </w:hyperlink>
      <w:r>
        <w:rPr>
          <w:lang w:val="pt-PT"/>
        </w:rPr>
        <w:t>.</w:t>
      </w:r>
    </w:p>
  </w:footnote>
  <w:footnote w:id="160">
    <w:p>
      <w:pPr>
        <w:pStyle w:val="FootnoteText"/>
        <w:rPr>
          <w:lang w:val="pt-PT"/>
        </w:rPr>
      </w:pPr>
      <w:r>
        <w:rPr>
          <w:rStyle w:val="FootnoteReference"/>
        </w:rPr>
        <w:footnoteRef/>
      </w:r>
      <w:r>
        <w:rPr>
          <w:lang w:val="pt-PT"/>
        </w:rPr>
        <w:t xml:space="preserve"> </w:t>
      </w:r>
      <w:r>
        <w:rPr>
          <w:lang w:val="pt-PT"/>
        </w:rPr>
        <w:tab/>
        <w:t xml:space="preserve">Directive </w:t>
      </w:r>
      <w:hyperlink r:id="rId261" w:history="1">
        <w:r>
          <w:rPr>
            <w:rStyle w:val="Hyperlink"/>
            <w:lang w:val="pt-PT"/>
          </w:rPr>
          <w:t>2007/60/EC</w:t>
        </w:r>
      </w:hyperlink>
      <w:r>
        <w:rPr>
          <w:lang w:val="pt-PT"/>
        </w:rPr>
        <w:t xml:space="preserve">; </w:t>
      </w:r>
      <w:hyperlink r:id="rId262" w:history="1">
        <w:r>
          <w:rPr>
            <w:rStyle w:val="Hyperlink"/>
            <w:lang w:val="pt-PT"/>
          </w:rPr>
          <w:t>MEMO/16/3644</w:t>
        </w:r>
      </w:hyperlink>
      <w:r>
        <w:rPr>
          <w:lang w:val="pt-PT"/>
        </w:rPr>
        <w:t>.</w:t>
      </w:r>
    </w:p>
  </w:footnote>
  <w:footnote w:id="161">
    <w:p>
      <w:pPr>
        <w:pStyle w:val="FootnoteText"/>
        <w:rPr>
          <w:lang w:val="pt-PT"/>
        </w:rPr>
      </w:pPr>
      <w:r>
        <w:rPr>
          <w:rStyle w:val="FootnoteReference"/>
        </w:rPr>
        <w:footnoteRef/>
      </w:r>
      <w:r>
        <w:rPr>
          <w:lang w:val="pt-PT"/>
        </w:rPr>
        <w:t xml:space="preserve"> </w:t>
      </w:r>
      <w:r>
        <w:rPr>
          <w:lang w:val="pt-PT"/>
        </w:rPr>
        <w:tab/>
        <w:t xml:space="preserve">Directive </w:t>
      </w:r>
      <w:hyperlink r:id="rId263" w:history="1">
        <w:r>
          <w:rPr>
            <w:rStyle w:val="Hyperlink"/>
            <w:lang w:val="pt-PT"/>
          </w:rPr>
          <w:t>2013/30/EU</w:t>
        </w:r>
      </w:hyperlink>
      <w:r>
        <w:rPr>
          <w:lang w:val="pt-PT"/>
        </w:rPr>
        <w:t xml:space="preserve">; </w:t>
      </w:r>
      <w:hyperlink r:id="rId264" w:history="1">
        <w:r>
          <w:rPr>
            <w:rStyle w:val="Hyperlink"/>
            <w:lang w:val="pt-PT"/>
          </w:rPr>
          <w:t>MEMO/16/319</w:t>
        </w:r>
      </w:hyperlink>
      <w:r>
        <w:rPr>
          <w:lang w:val="pt-PT"/>
        </w:rPr>
        <w:t>.</w:t>
      </w:r>
    </w:p>
  </w:footnote>
  <w:footnote w:id="162">
    <w:p>
      <w:pPr>
        <w:pStyle w:val="FootnoteText"/>
        <w:rPr>
          <w:lang w:val="pt-PT"/>
        </w:rPr>
      </w:pPr>
      <w:r>
        <w:rPr>
          <w:rStyle w:val="FootnoteReference"/>
        </w:rPr>
        <w:footnoteRef/>
      </w:r>
      <w:r>
        <w:rPr>
          <w:lang w:val="pt-PT"/>
        </w:rPr>
        <w:t xml:space="preserve"> </w:t>
      </w:r>
      <w:r>
        <w:rPr>
          <w:lang w:val="pt-PT"/>
        </w:rPr>
        <w:tab/>
        <w:t xml:space="preserve">Directive </w:t>
      </w:r>
      <w:hyperlink r:id="rId265" w:history="1">
        <w:r>
          <w:rPr>
            <w:rStyle w:val="Hyperlink"/>
            <w:lang w:val="pt-PT"/>
          </w:rPr>
          <w:t>2014/17/EU</w:t>
        </w:r>
      </w:hyperlink>
      <w:r>
        <w:rPr>
          <w:lang w:val="pt-PT"/>
        </w:rPr>
        <w:t xml:space="preserve">; </w:t>
      </w:r>
      <w:hyperlink r:id="rId266" w:history="1">
        <w:r>
          <w:rPr>
            <w:rStyle w:val="Hyperlink"/>
            <w:lang w:val="pt-PT"/>
          </w:rPr>
          <w:t>MEMO/16/3644</w:t>
        </w:r>
      </w:hyperlink>
      <w:r>
        <w:rPr>
          <w:lang w:val="pt-PT"/>
        </w:rPr>
        <w:t>.</w:t>
      </w:r>
    </w:p>
  </w:footnote>
  <w:footnote w:id="163">
    <w:p>
      <w:pPr>
        <w:pStyle w:val="FootnoteText"/>
        <w:rPr>
          <w:lang w:val="pt-PT"/>
        </w:rPr>
      </w:pPr>
      <w:r>
        <w:rPr>
          <w:rStyle w:val="FootnoteReference"/>
        </w:rPr>
        <w:footnoteRef/>
      </w:r>
      <w:r>
        <w:rPr>
          <w:lang w:val="pt-PT"/>
        </w:rPr>
        <w:t xml:space="preserve"> </w:t>
      </w:r>
      <w:r>
        <w:rPr>
          <w:lang w:val="pt-PT"/>
        </w:rPr>
        <w:tab/>
        <w:t xml:space="preserve">Directive </w:t>
      </w:r>
      <w:hyperlink r:id="rId267" w:history="1">
        <w:r>
          <w:rPr>
            <w:rStyle w:val="Hyperlink"/>
            <w:lang w:val="pt-PT"/>
          </w:rPr>
          <w:t>2014/56/EU</w:t>
        </w:r>
      </w:hyperlink>
      <w:r>
        <w:rPr>
          <w:lang w:val="pt-PT"/>
        </w:rPr>
        <w:t xml:space="preserve">; </w:t>
      </w:r>
      <w:hyperlink r:id="rId268" w:history="1">
        <w:r>
          <w:rPr>
            <w:rStyle w:val="Hyperlink"/>
            <w:lang w:val="pt-PT"/>
          </w:rPr>
          <w:t>MEMO/16/3644</w:t>
        </w:r>
      </w:hyperlink>
      <w:r>
        <w:rPr>
          <w:lang w:val="pt-PT"/>
        </w:rPr>
        <w:t>.</w:t>
      </w:r>
    </w:p>
  </w:footnote>
  <w:footnote w:id="164">
    <w:p>
      <w:pPr>
        <w:pStyle w:val="FootnoteText"/>
        <w:rPr>
          <w:lang w:val="pt-PT"/>
        </w:rPr>
      </w:pPr>
      <w:r>
        <w:rPr>
          <w:rStyle w:val="FootnoteReference"/>
        </w:rPr>
        <w:footnoteRef/>
      </w:r>
      <w:r>
        <w:rPr>
          <w:lang w:val="pt-PT"/>
        </w:rPr>
        <w:t xml:space="preserve"> </w:t>
      </w:r>
      <w:r>
        <w:rPr>
          <w:lang w:val="pt-PT"/>
        </w:rPr>
        <w:tab/>
      </w:r>
      <w:hyperlink r:id="rId269" w:history="1">
        <w:r>
          <w:rPr>
            <w:rStyle w:val="Hyperlink"/>
            <w:lang w:val="pt-PT"/>
          </w:rPr>
          <w:t>MEMO/16/2490</w:t>
        </w:r>
      </w:hyperlink>
      <w:r>
        <w:rPr>
          <w:lang w:val="pt-PT"/>
        </w:rPr>
        <w:t>.</w:t>
      </w:r>
    </w:p>
  </w:footnote>
  <w:footnote w:id="165">
    <w:p>
      <w:pPr>
        <w:pStyle w:val="FootnoteText"/>
        <w:rPr>
          <w:lang w:val="pt-PT"/>
        </w:rPr>
      </w:pPr>
      <w:r>
        <w:rPr>
          <w:rStyle w:val="FootnoteReference"/>
        </w:rPr>
        <w:footnoteRef/>
      </w:r>
      <w:r>
        <w:rPr>
          <w:lang w:val="pt-PT"/>
        </w:rPr>
        <w:t xml:space="preserve"> </w:t>
      </w:r>
      <w:r>
        <w:rPr>
          <w:lang w:val="pt-PT"/>
        </w:rPr>
        <w:tab/>
        <w:t xml:space="preserve">Directive </w:t>
      </w:r>
      <w:hyperlink r:id="rId270" w:history="1">
        <w:r>
          <w:rPr>
            <w:rStyle w:val="Hyperlink"/>
            <w:lang w:val="pt-PT"/>
          </w:rPr>
          <w:t>2014/89/EU</w:t>
        </w:r>
      </w:hyperlink>
      <w:r>
        <w:rPr>
          <w:lang w:val="pt-PT"/>
        </w:rPr>
        <w:t>.</w:t>
      </w:r>
    </w:p>
  </w:footnote>
  <w:footnote w:id="166">
    <w:p>
      <w:pPr>
        <w:pStyle w:val="FootnoteText"/>
        <w:rPr>
          <w:rFonts w:cs="Arial"/>
          <w:lang w:val="pt-PT"/>
        </w:rPr>
      </w:pPr>
      <w:r>
        <w:rPr>
          <w:rStyle w:val="FootnoteReference"/>
        </w:rPr>
        <w:footnoteRef/>
      </w:r>
      <w:r>
        <w:rPr>
          <w:lang w:val="pt-PT"/>
        </w:rPr>
        <w:t xml:space="preserve"> </w:t>
      </w:r>
      <w:r>
        <w:rPr>
          <w:lang w:val="pt-PT"/>
        </w:rPr>
        <w:tab/>
        <w:t>Regulation (EU) No </w:t>
      </w:r>
      <w:hyperlink r:id="rId271" w:history="1">
        <w:r>
          <w:rPr>
            <w:rStyle w:val="Hyperlink"/>
            <w:lang w:val="pt-PT"/>
          </w:rPr>
          <w:t>1177/2010</w:t>
        </w:r>
      </w:hyperlink>
      <w:r>
        <w:rPr>
          <w:lang w:val="pt-PT"/>
        </w:rPr>
        <w:t>.</w:t>
      </w:r>
    </w:p>
  </w:footnote>
  <w:footnote w:id="167">
    <w:p>
      <w:pPr>
        <w:pStyle w:val="FootnoteText"/>
        <w:rPr>
          <w:lang w:val="pt-PT"/>
        </w:rPr>
      </w:pPr>
      <w:r>
        <w:rPr>
          <w:rStyle w:val="FootnoteReference"/>
        </w:rPr>
        <w:footnoteRef/>
      </w:r>
      <w:r>
        <w:rPr>
          <w:lang w:val="pt-PT"/>
        </w:rPr>
        <w:t xml:space="preserve"> </w:t>
      </w:r>
      <w:r>
        <w:rPr>
          <w:lang w:val="pt-PT"/>
        </w:rPr>
        <w:tab/>
        <w:t xml:space="preserve">Directive </w:t>
      </w:r>
      <w:hyperlink r:id="rId272" w:history="1">
        <w:r>
          <w:rPr>
            <w:rStyle w:val="Hyperlink"/>
            <w:lang w:val="pt-PT"/>
          </w:rPr>
          <w:t>2006/123/EC</w:t>
        </w:r>
      </w:hyperlink>
      <w:r>
        <w:rPr>
          <w:lang w:val="pt-PT"/>
        </w:rPr>
        <w:t xml:space="preserve">; </w:t>
      </w:r>
      <w:hyperlink r:id="rId273" w:history="1">
        <w:r>
          <w:rPr>
            <w:rStyle w:val="Hyperlink"/>
            <w:lang w:val="pt-PT"/>
          </w:rPr>
          <w:t>IP/16/323</w:t>
        </w:r>
      </w:hyperlink>
      <w:r>
        <w:rPr>
          <w:rStyle w:val="Hyperlink"/>
          <w:color w:val="auto"/>
          <w:u w:val="none"/>
          <w:lang w:val="pt-PT"/>
        </w:rPr>
        <w:t xml:space="preserve"> and</w:t>
      </w:r>
      <w:r>
        <w:rPr>
          <w:lang w:val="pt-PT"/>
        </w:rPr>
        <w:t xml:space="preserve"> </w:t>
      </w:r>
      <w:hyperlink r:id="rId274" w:history="1">
        <w:r>
          <w:rPr>
            <w:rStyle w:val="Hyperlink"/>
            <w:lang w:val="pt-PT"/>
          </w:rPr>
          <w:t>MEMO/16/319</w:t>
        </w:r>
      </w:hyperlink>
      <w:r>
        <w:rPr>
          <w:lang w:val="pt-PT"/>
        </w:rPr>
        <w:t>.</w:t>
      </w:r>
    </w:p>
  </w:footnote>
  <w:footnote w:id="168">
    <w:p>
      <w:pPr>
        <w:pStyle w:val="FootnoteText"/>
        <w:rPr>
          <w:rFonts w:cs="Arial"/>
          <w:lang w:val="pt-PT"/>
        </w:rPr>
      </w:pPr>
      <w:r>
        <w:rPr>
          <w:rStyle w:val="FootnoteReference"/>
          <w:rFonts w:eastAsia="MS Gothic"/>
        </w:rPr>
        <w:footnoteRef/>
      </w:r>
      <w:r>
        <w:rPr>
          <w:lang w:val="pt-PT"/>
        </w:rPr>
        <w:t xml:space="preserve"> </w:t>
      </w:r>
      <w:r>
        <w:rPr>
          <w:lang w:val="pt-PT"/>
        </w:rPr>
        <w:tab/>
        <w:t xml:space="preserve">Directive </w:t>
      </w:r>
      <w:hyperlink r:id="rId275" w:history="1">
        <w:r>
          <w:rPr>
            <w:rStyle w:val="Hyperlink"/>
            <w:lang w:val="pt-PT"/>
          </w:rPr>
          <w:t>2005/36/EC</w:t>
        </w:r>
      </w:hyperlink>
      <w:r>
        <w:rPr>
          <w:rStyle w:val="Hyperlink"/>
          <w:lang w:val="pt-PT"/>
        </w:rPr>
        <w:t>.</w:t>
      </w:r>
    </w:p>
  </w:footnote>
  <w:footnote w:id="169">
    <w:p>
      <w:pPr>
        <w:pStyle w:val="FootnoteText"/>
        <w:rPr>
          <w:lang w:val="pt-PT"/>
        </w:rPr>
      </w:pPr>
      <w:r>
        <w:rPr>
          <w:rStyle w:val="FootnoteReference"/>
        </w:rPr>
        <w:footnoteRef/>
      </w:r>
      <w:r>
        <w:rPr>
          <w:lang w:val="pt-PT"/>
        </w:rPr>
        <w:t xml:space="preserve"> </w:t>
      </w:r>
      <w:r>
        <w:rPr>
          <w:lang w:val="pt-PT"/>
        </w:rPr>
        <w:tab/>
        <w:t xml:space="preserve">Directive </w:t>
      </w:r>
      <w:hyperlink r:id="rId276" w:history="1">
        <w:r>
          <w:rPr>
            <w:rStyle w:val="Hyperlink"/>
            <w:lang w:val="pt-PT"/>
          </w:rPr>
          <w:t>2013/55/EU</w:t>
        </w:r>
      </w:hyperlink>
      <w:r>
        <w:rPr>
          <w:lang w:val="pt-PT"/>
        </w:rPr>
        <w:t xml:space="preserve">; </w:t>
      </w:r>
      <w:hyperlink r:id="rId277" w:history="1">
        <w:r>
          <w:rPr>
            <w:rStyle w:val="Hyperlink"/>
            <w:lang w:val="pt-PT"/>
          </w:rPr>
          <w:t>MEMO/16/3125</w:t>
        </w:r>
      </w:hyperlink>
      <w:r>
        <w:rPr>
          <w:lang w:val="pt-PT"/>
        </w:rPr>
        <w:t>.</w:t>
      </w:r>
    </w:p>
  </w:footnote>
  <w:footnote w:id="170">
    <w:p>
      <w:pPr>
        <w:pStyle w:val="FootnoteText"/>
        <w:rPr>
          <w:rFonts w:cs="Arial"/>
        </w:rPr>
      </w:pPr>
      <w:r>
        <w:rPr>
          <w:rStyle w:val="FootnoteReference"/>
        </w:rPr>
        <w:footnoteRef/>
      </w:r>
      <w:r>
        <w:t xml:space="preserve"> </w:t>
      </w:r>
      <w:r>
        <w:tab/>
        <w:t xml:space="preserve">Directive </w:t>
      </w:r>
      <w:hyperlink r:id="rId278" w:history="1">
        <w:r>
          <w:rPr>
            <w:rStyle w:val="Hyperlink"/>
          </w:rPr>
          <w:t>2007/46/EC</w:t>
        </w:r>
      </w:hyperlink>
      <w:r>
        <w:t xml:space="preserve"> and Regulation </w:t>
      </w:r>
      <w:hyperlink r:id="rId279" w:history="1">
        <w:r>
          <w:rPr>
            <w:rStyle w:val="Hyperlink"/>
          </w:rPr>
          <w:t>2007/715/EC</w:t>
        </w:r>
      </w:hyperlink>
      <w:r>
        <w:t xml:space="preserve">; </w:t>
      </w:r>
      <w:hyperlink r:id="rId280" w:history="1">
        <w:r>
          <w:rPr>
            <w:rStyle w:val="Hyperlink"/>
          </w:rPr>
          <w:t>IP/16/4214</w:t>
        </w:r>
      </w:hyperlink>
      <w:r>
        <w:t>.</w:t>
      </w:r>
    </w:p>
  </w:footnote>
  <w:footnote w:id="171">
    <w:p>
      <w:pPr>
        <w:pStyle w:val="FootnoteText"/>
      </w:pPr>
      <w:r>
        <w:rPr>
          <w:rStyle w:val="FootnoteReference"/>
        </w:rPr>
        <w:footnoteRef/>
      </w:r>
      <w:r>
        <w:t xml:space="preserve"> </w:t>
      </w:r>
      <w:r>
        <w:tab/>
        <w:t xml:space="preserve">Directives </w:t>
      </w:r>
      <w:hyperlink r:id="rId281" w:history="1">
        <w:r>
          <w:rPr>
            <w:rStyle w:val="Hyperlink"/>
          </w:rPr>
          <w:t>92/43/EEC</w:t>
        </w:r>
      </w:hyperlink>
      <w:r>
        <w:t xml:space="preserve"> and </w:t>
      </w:r>
      <w:hyperlink r:id="rId282" w:history="1">
        <w:r>
          <w:rPr>
            <w:rStyle w:val="Hyperlink"/>
          </w:rPr>
          <w:t>91/271/EEC</w:t>
        </w:r>
      </w:hyperlink>
      <w:r>
        <w:t>.</w:t>
      </w:r>
    </w:p>
  </w:footnote>
  <w:footnote w:id="172">
    <w:p>
      <w:pPr>
        <w:pStyle w:val="FootnoteText"/>
      </w:pPr>
      <w:r>
        <w:rPr>
          <w:rStyle w:val="FootnoteReference"/>
        </w:rPr>
        <w:footnoteRef/>
      </w:r>
      <w:r>
        <w:t xml:space="preserve"> </w:t>
      </w:r>
      <w:r>
        <w:tab/>
        <w:t xml:space="preserve">Commission v Greece, </w:t>
      </w:r>
      <w:hyperlink r:id="rId283" w:history="1">
        <w:r>
          <w:rPr>
            <w:rStyle w:val="Hyperlink"/>
          </w:rPr>
          <w:t>C-202/16</w:t>
        </w:r>
      </w:hyperlink>
      <w:r>
        <w:t xml:space="preserve">; </w:t>
      </w:r>
      <w:hyperlink r:id="rId284" w:history="1">
        <w:r>
          <w:rPr>
            <w:rStyle w:val="Hyperlink"/>
          </w:rPr>
          <w:t>IP/15/6224</w:t>
        </w:r>
      </w:hyperlink>
      <w:r>
        <w:t>.</w:t>
      </w:r>
    </w:p>
  </w:footnote>
  <w:footnote w:id="173">
    <w:p>
      <w:pPr>
        <w:pStyle w:val="FootnoteText"/>
        <w:rPr>
          <w:lang w:val="fr-BE"/>
        </w:rPr>
      </w:pPr>
      <w:r>
        <w:rPr>
          <w:rStyle w:val="FootnoteReference"/>
        </w:rPr>
        <w:footnoteRef/>
      </w:r>
      <w:r>
        <w:rPr>
          <w:lang w:val="fr-BE"/>
        </w:rPr>
        <w:t xml:space="preserve"> </w:t>
      </w:r>
      <w:r>
        <w:rPr>
          <w:lang w:val="fr-BE"/>
        </w:rPr>
        <w:tab/>
        <w:t xml:space="preserve">Directive </w:t>
      </w:r>
      <w:hyperlink r:id="rId285" w:history="1">
        <w:r>
          <w:rPr>
            <w:rStyle w:val="Hyperlink"/>
            <w:szCs w:val="18"/>
            <w:lang w:val="fr-BE"/>
          </w:rPr>
          <w:t>2010/31/EU</w:t>
        </w:r>
      </w:hyperlink>
      <w:r>
        <w:rPr>
          <w:lang w:val="fr-BE"/>
        </w:rPr>
        <w:t xml:space="preserve">, Commission v Greece, </w:t>
      </w:r>
      <w:hyperlink r:id="rId286" w:history="1">
        <w:r>
          <w:rPr>
            <w:rStyle w:val="Hyperlink"/>
            <w:lang w:val="fr-BE"/>
          </w:rPr>
          <w:t>C-160/16</w:t>
        </w:r>
      </w:hyperlink>
      <w:r>
        <w:rPr>
          <w:lang w:val="fr-BE"/>
        </w:rPr>
        <w:t xml:space="preserve">; </w:t>
      </w:r>
      <w:hyperlink r:id="rId287" w:history="1">
        <w:r>
          <w:rPr>
            <w:rStyle w:val="Hyperlink"/>
            <w:lang w:val="fr-BE"/>
          </w:rPr>
          <w:t>IP/15/6007</w:t>
        </w:r>
      </w:hyperlink>
      <w:r>
        <w:rPr>
          <w:rStyle w:val="Hyperlink"/>
          <w:color w:val="auto"/>
          <w:u w:val="none"/>
          <w:lang w:val="fr-BE"/>
        </w:rPr>
        <w:t>.</w:t>
      </w:r>
    </w:p>
  </w:footnote>
  <w:footnote w:id="174">
    <w:p>
      <w:pPr>
        <w:pStyle w:val="FootnoteText"/>
        <w:rPr>
          <w:lang w:val="fr-BE"/>
        </w:rPr>
      </w:pPr>
      <w:r>
        <w:rPr>
          <w:rStyle w:val="FootnoteReference"/>
        </w:rPr>
        <w:footnoteRef/>
      </w:r>
      <w:r>
        <w:rPr>
          <w:lang w:val="fr-BE"/>
        </w:rPr>
        <w:t xml:space="preserve"> </w:t>
      </w:r>
      <w:r>
        <w:rPr>
          <w:lang w:val="fr-BE"/>
        </w:rPr>
        <w:tab/>
        <w:t xml:space="preserve">Directive </w:t>
      </w:r>
      <w:hyperlink r:id="rId288" w:history="1">
        <w:r>
          <w:rPr>
            <w:rStyle w:val="Hyperlink"/>
            <w:lang w:val="fr-BE"/>
          </w:rPr>
          <w:t>2008/118</w:t>
        </w:r>
      </w:hyperlink>
    </w:p>
  </w:footnote>
  <w:footnote w:id="175">
    <w:p>
      <w:pPr>
        <w:pStyle w:val="FootnoteText"/>
        <w:rPr>
          <w:lang w:val="fr-FR"/>
        </w:rPr>
      </w:pPr>
      <w:r>
        <w:rPr>
          <w:rStyle w:val="FootnoteReference"/>
        </w:rPr>
        <w:footnoteRef/>
      </w:r>
      <w:r>
        <w:rPr>
          <w:lang w:val="fr-FR"/>
        </w:rPr>
        <w:t xml:space="preserve"> </w:t>
      </w:r>
      <w:r>
        <w:rPr>
          <w:lang w:val="fr-FR"/>
        </w:rPr>
        <w:tab/>
        <w:t xml:space="preserve">Commission v Greece, </w:t>
      </w:r>
      <w:hyperlink r:id="rId289" w:history="1">
        <w:r>
          <w:rPr>
            <w:rStyle w:val="Hyperlink"/>
            <w:lang w:val="fr-FR"/>
          </w:rPr>
          <w:t>C-590/16</w:t>
        </w:r>
      </w:hyperlink>
      <w:r>
        <w:rPr>
          <w:lang w:val="fr-FR"/>
        </w:rPr>
        <w:t>.</w:t>
      </w:r>
    </w:p>
  </w:footnote>
  <w:footnote w:id="176">
    <w:p>
      <w:pPr>
        <w:pStyle w:val="FootnoteText"/>
        <w:rPr>
          <w:lang w:val="fr-BE"/>
        </w:rPr>
      </w:pPr>
      <w:r>
        <w:rPr>
          <w:rStyle w:val="FootnoteReference"/>
          <w:rFonts w:eastAsia="MS Gothic"/>
        </w:rPr>
        <w:footnoteRef/>
      </w:r>
      <w:r>
        <w:rPr>
          <w:lang w:val="fr-BE"/>
        </w:rPr>
        <w:t xml:space="preserve"> </w:t>
      </w:r>
      <w:r>
        <w:rPr>
          <w:lang w:val="fr-BE"/>
        </w:rPr>
        <w:tab/>
        <w:t xml:space="preserve">Commission v Greece, </w:t>
      </w:r>
      <w:hyperlink r:id="rId290" w:history="1">
        <w:r>
          <w:rPr>
            <w:rStyle w:val="Hyperlink"/>
            <w:lang w:val="fr-BE"/>
          </w:rPr>
          <w:t>C-98/16</w:t>
        </w:r>
      </w:hyperlink>
      <w:r>
        <w:rPr>
          <w:lang w:val="fr-BE"/>
        </w:rPr>
        <w:t xml:space="preserve">; </w:t>
      </w:r>
      <w:hyperlink r:id="rId291" w:history="1">
        <w:r>
          <w:rPr>
            <w:rStyle w:val="Hyperlink"/>
            <w:lang w:val="fr-BE"/>
          </w:rPr>
          <w:t>IP/15/4674</w:t>
        </w:r>
      </w:hyperlink>
      <w:r>
        <w:rPr>
          <w:rStyle w:val="Hyperlink"/>
          <w:color w:val="auto"/>
          <w:u w:val="none"/>
          <w:lang w:val="fr-BE"/>
        </w:rPr>
        <w:t>.</w:t>
      </w:r>
    </w:p>
  </w:footnote>
  <w:footnote w:id="177">
    <w:p>
      <w:pPr>
        <w:pStyle w:val="FootnoteText"/>
        <w:rPr>
          <w:lang w:val="fr-BE"/>
        </w:rPr>
      </w:pPr>
      <w:r>
        <w:rPr>
          <w:rStyle w:val="FootnoteReference"/>
        </w:rPr>
        <w:footnoteRef/>
      </w:r>
      <w:r>
        <w:rPr>
          <w:lang w:val="fr-BE"/>
        </w:rPr>
        <w:t xml:space="preserve"> </w:t>
      </w:r>
      <w:r>
        <w:rPr>
          <w:lang w:val="fr-BE"/>
        </w:rPr>
        <w:tab/>
        <w:t xml:space="preserve">Commission v Greece, </w:t>
      </w:r>
      <w:hyperlink r:id="rId292" w:history="1">
        <w:r>
          <w:rPr>
            <w:rStyle w:val="Hyperlink"/>
            <w:lang w:val="fr-BE"/>
          </w:rPr>
          <w:t>C-328/16</w:t>
        </w:r>
      </w:hyperlink>
      <w:r>
        <w:rPr>
          <w:lang w:val="fr-BE"/>
        </w:rPr>
        <w:t xml:space="preserve">; </w:t>
      </w:r>
      <w:hyperlink r:id="rId293" w:history="1">
        <w:r>
          <w:rPr>
            <w:rStyle w:val="Hyperlink"/>
            <w:lang w:val="fr-BE"/>
          </w:rPr>
          <w:t>IP/15/6009</w:t>
        </w:r>
      </w:hyperlink>
      <w:r>
        <w:rPr>
          <w:lang w:val="fr-BE"/>
        </w:rPr>
        <w:t>.</w:t>
      </w:r>
    </w:p>
  </w:footnote>
  <w:footnote w:id="178">
    <w:p>
      <w:pPr>
        <w:pStyle w:val="FootnoteText"/>
        <w:rPr>
          <w:lang w:val="fr-BE"/>
        </w:rPr>
      </w:pPr>
      <w:r>
        <w:rPr>
          <w:rStyle w:val="FootnoteReference"/>
        </w:rPr>
        <w:footnoteRef/>
      </w:r>
      <w:r>
        <w:rPr>
          <w:lang w:val="fr-BE"/>
        </w:rPr>
        <w:t xml:space="preserve"> </w:t>
      </w:r>
      <w:r>
        <w:rPr>
          <w:lang w:val="fr-BE"/>
        </w:rPr>
        <w:tab/>
        <w:t xml:space="preserve">Regulation (EU) </w:t>
      </w:r>
      <w:hyperlink r:id="rId294" w:history="1">
        <w:r>
          <w:rPr>
            <w:rStyle w:val="Hyperlink"/>
            <w:lang w:val="fr-BE"/>
          </w:rPr>
          <w:t>603/2013</w:t>
        </w:r>
      </w:hyperlink>
      <w:r>
        <w:rPr>
          <w:lang w:val="fr-BE"/>
        </w:rPr>
        <w:t xml:space="preserve">; </w:t>
      </w:r>
      <w:hyperlink r:id="rId295" w:history="1">
        <w:r>
          <w:rPr>
            <w:rStyle w:val="Hyperlink"/>
            <w:lang w:val="fr-BE"/>
          </w:rPr>
          <w:t>MEMO/16/4211</w:t>
        </w:r>
      </w:hyperlink>
      <w:r>
        <w:rPr>
          <w:lang w:val="fr-BE"/>
        </w:rPr>
        <w:t>.</w:t>
      </w:r>
    </w:p>
  </w:footnote>
  <w:footnote w:id="179">
    <w:p>
      <w:pPr>
        <w:pStyle w:val="FootnoteText"/>
        <w:rPr>
          <w:lang w:val="fr-BE"/>
        </w:rPr>
      </w:pPr>
      <w:r>
        <w:rPr>
          <w:rStyle w:val="FootnoteReference"/>
        </w:rPr>
        <w:footnoteRef/>
      </w:r>
      <w:r>
        <w:rPr>
          <w:lang w:val="fr-BE"/>
        </w:rPr>
        <w:t xml:space="preserve"> </w:t>
      </w:r>
      <w:r>
        <w:rPr>
          <w:lang w:val="fr-BE"/>
        </w:rPr>
        <w:tab/>
        <w:t xml:space="preserve">Directive </w:t>
      </w:r>
      <w:hyperlink r:id="rId296" w:history="1">
        <w:r>
          <w:rPr>
            <w:rStyle w:val="Hyperlink"/>
            <w:lang w:val="fr-BE"/>
          </w:rPr>
          <w:t>2013/40/EU</w:t>
        </w:r>
      </w:hyperlink>
      <w:r>
        <w:rPr>
          <w:lang w:val="fr-BE"/>
        </w:rPr>
        <w:t xml:space="preserve">; </w:t>
      </w:r>
      <w:hyperlink r:id="rId297" w:history="1">
        <w:r>
          <w:rPr>
            <w:rStyle w:val="Hyperlink"/>
            <w:lang w:val="fr-BE"/>
          </w:rPr>
          <w:t>MEMO/16/4211</w:t>
        </w:r>
      </w:hyperlink>
      <w:r>
        <w:rPr>
          <w:lang w:val="fr-BE"/>
        </w:rPr>
        <w:t>.</w:t>
      </w:r>
    </w:p>
  </w:footnote>
  <w:footnote w:id="180">
    <w:p>
      <w:pPr>
        <w:pStyle w:val="FootnoteText"/>
        <w:rPr>
          <w:lang w:val="fr-BE"/>
        </w:rPr>
      </w:pPr>
      <w:r>
        <w:rPr>
          <w:rStyle w:val="FootnoteReference"/>
        </w:rPr>
        <w:footnoteRef/>
      </w:r>
      <w:r>
        <w:rPr>
          <w:lang w:val="fr-BE"/>
        </w:rPr>
        <w:t xml:space="preserve"> </w:t>
      </w:r>
      <w:r>
        <w:rPr>
          <w:lang w:val="fr-BE"/>
        </w:rPr>
        <w:tab/>
        <w:t xml:space="preserve">Directives </w:t>
      </w:r>
      <w:hyperlink r:id="rId298" w:history="1">
        <w:r>
          <w:rPr>
            <w:rStyle w:val="Hyperlink"/>
            <w:lang w:val="fr-BE"/>
          </w:rPr>
          <w:t>1999/31/EC</w:t>
        </w:r>
      </w:hyperlink>
      <w:r>
        <w:rPr>
          <w:lang w:val="fr-BE"/>
        </w:rPr>
        <w:t xml:space="preserve"> and </w:t>
      </w:r>
      <w:hyperlink r:id="rId299" w:history="1">
        <w:r>
          <w:rPr>
            <w:rStyle w:val="Hyperlink"/>
            <w:lang w:val="fr-BE"/>
          </w:rPr>
          <w:t>2008/98/EC</w:t>
        </w:r>
      </w:hyperlink>
      <w:r>
        <w:rPr>
          <w:lang w:val="fr-BE"/>
        </w:rPr>
        <w:t>.</w:t>
      </w:r>
    </w:p>
  </w:footnote>
  <w:footnote w:id="181">
    <w:p>
      <w:pPr>
        <w:pStyle w:val="FootnoteText"/>
        <w:rPr>
          <w:lang w:val="fr-BE"/>
        </w:rPr>
      </w:pPr>
      <w:r>
        <w:rPr>
          <w:rStyle w:val="FootnoteReference"/>
        </w:rPr>
        <w:footnoteRef/>
      </w:r>
      <w:r>
        <w:rPr>
          <w:lang w:val="fr-BE"/>
        </w:rPr>
        <w:t xml:space="preserve"> </w:t>
      </w:r>
      <w:r>
        <w:rPr>
          <w:lang w:val="fr-BE"/>
        </w:rPr>
        <w:tab/>
        <w:t xml:space="preserve">Directive </w:t>
      </w:r>
      <w:hyperlink r:id="rId300" w:history="1">
        <w:r>
          <w:rPr>
            <w:rStyle w:val="Hyperlink"/>
            <w:lang w:val="fr-BE"/>
          </w:rPr>
          <w:t>2012/18/EU</w:t>
        </w:r>
      </w:hyperlink>
      <w:r>
        <w:rPr>
          <w:lang w:val="fr-BE"/>
        </w:rPr>
        <w:t>.</w:t>
      </w:r>
    </w:p>
  </w:footnote>
  <w:footnote w:id="182">
    <w:p>
      <w:pPr>
        <w:pStyle w:val="FootnoteText"/>
        <w:rPr>
          <w:lang w:val="fr-BE"/>
        </w:rPr>
      </w:pPr>
      <w:r>
        <w:rPr>
          <w:rStyle w:val="FootnoteReference"/>
        </w:rPr>
        <w:footnoteRef/>
      </w:r>
      <w:r>
        <w:rPr>
          <w:lang w:val="fr-BE"/>
        </w:rPr>
        <w:t xml:space="preserve"> </w:t>
      </w:r>
      <w:r>
        <w:rPr>
          <w:lang w:val="fr-BE"/>
        </w:rPr>
        <w:tab/>
        <w:t xml:space="preserve">Directive </w:t>
      </w:r>
      <w:hyperlink r:id="rId301" w:history="1">
        <w:r>
          <w:rPr>
            <w:rStyle w:val="Hyperlink"/>
            <w:lang w:val="fr-BE"/>
          </w:rPr>
          <w:t>2014/59/EU</w:t>
        </w:r>
      </w:hyperlink>
      <w:r>
        <w:rPr>
          <w:lang w:val="fr-BE"/>
        </w:rPr>
        <w:t>.</w:t>
      </w:r>
    </w:p>
  </w:footnote>
  <w:footnote w:id="183">
    <w:p>
      <w:pPr>
        <w:pStyle w:val="FootnoteText"/>
        <w:rPr>
          <w:lang w:val="fr-BE"/>
        </w:rPr>
      </w:pPr>
      <w:r>
        <w:rPr>
          <w:rStyle w:val="FootnoteReference"/>
        </w:rPr>
        <w:footnoteRef/>
      </w:r>
      <w:r>
        <w:rPr>
          <w:lang w:val="fr-BE"/>
        </w:rPr>
        <w:t xml:space="preserve"> </w:t>
      </w:r>
      <w:r>
        <w:rPr>
          <w:lang w:val="fr-BE"/>
        </w:rPr>
        <w:tab/>
        <w:t xml:space="preserve">Directive </w:t>
      </w:r>
      <w:hyperlink r:id="rId302" w:history="1">
        <w:r>
          <w:rPr>
            <w:rStyle w:val="Hyperlink"/>
            <w:lang w:val="fr-BE"/>
          </w:rPr>
          <w:t>2014/49/EU</w:t>
        </w:r>
      </w:hyperlink>
      <w:r>
        <w:rPr>
          <w:lang w:val="fr-BE"/>
        </w:rPr>
        <w:t>.</w:t>
      </w:r>
    </w:p>
  </w:footnote>
  <w:footnote w:id="184">
    <w:p>
      <w:pPr>
        <w:pStyle w:val="FootnoteText"/>
        <w:rPr>
          <w:lang w:val="fr-BE"/>
        </w:rPr>
      </w:pPr>
      <w:r>
        <w:rPr>
          <w:rStyle w:val="FootnoteReference"/>
        </w:rPr>
        <w:footnoteRef/>
      </w:r>
      <w:r>
        <w:rPr>
          <w:lang w:val="fr-BE"/>
        </w:rPr>
        <w:t xml:space="preserve"> </w:t>
      </w:r>
      <w:r>
        <w:rPr>
          <w:lang w:val="fr-BE"/>
        </w:rPr>
        <w:tab/>
        <w:t xml:space="preserve">Directive </w:t>
      </w:r>
      <w:hyperlink r:id="rId303" w:history="1">
        <w:r>
          <w:rPr>
            <w:rStyle w:val="Hyperlink"/>
            <w:lang w:val="fr-BE"/>
          </w:rPr>
          <w:t>2013/14/EU</w:t>
        </w:r>
      </w:hyperlink>
      <w:r>
        <w:rPr>
          <w:lang w:val="fr-BE"/>
        </w:rPr>
        <w:t>.</w:t>
      </w:r>
    </w:p>
  </w:footnote>
  <w:footnote w:id="185">
    <w:p>
      <w:pPr>
        <w:pStyle w:val="FootnoteText"/>
        <w:rPr>
          <w:lang w:val="fr-BE"/>
        </w:rPr>
      </w:pPr>
      <w:r>
        <w:rPr>
          <w:rStyle w:val="FootnoteReference"/>
        </w:rPr>
        <w:footnoteRef/>
      </w:r>
      <w:r>
        <w:rPr>
          <w:lang w:val="fr-BE"/>
        </w:rPr>
        <w:t xml:space="preserve"> </w:t>
      </w:r>
      <w:r>
        <w:rPr>
          <w:lang w:val="fr-BE"/>
        </w:rPr>
        <w:tab/>
        <w:t xml:space="preserve">Directive </w:t>
      </w:r>
      <w:hyperlink r:id="rId304" w:history="1">
        <w:r>
          <w:rPr>
            <w:rStyle w:val="Hyperlink"/>
            <w:lang w:val="fr-BE"/>
          </w:rPr>
          <w:t>2006/126/EC</w:t>
        </w:r>
      </w:hyperlink>
      <w:r>
        <w:rPr>
          <w:lang w:val="fr-BE"/>
        </w:rPr>
        <w:t>.</w:t>
      </w:r>
    </w:p>
  </w:footnote>
  <w:footnote w:id="186">
    <w:p>
      <w:pPr>
        <w:pStyle w:val="FootnoteText"/>
        <w:rPr>
          <w:rFonts w:cs="Arial"/>
          <w:lang w:val="fr-BE"/>
        </w:rPr>
      </w:pPr>
      <w:r>
        <w:rPr>
          <w:rStyle w:val="FootnoteReference"/>
          <w:rFonts w:eastAsia="MS Gothic"/>
        </w:rPr>
        <w:footnoteRef/>
      </w:r>
      <w:r>
        <w:rPr>
          <w:lang w:val="fr-BE"/>
        </w:rPr>
        <w:t xml:space="preserve"> </w:t>
      </w:r>
      <w:r>
        <w:rPr>
          <w:lang w:val="fr-BE"/>
        </w:rPr>
        <w:tab/>
        <w:t xml:space="preserve">Directives </w:t>
      </w:r>
      <w:hyperlink r:id="rId305" w:history="1">
        <w:r>
          <w:rPr>
            <w:rStyle w:val="Hyperlink"/>
            <w:lang w:val="fr-BE"/>
          </w:rPr>
          <w:t>2014/23/EU</w:t>
        </w:r>
      </w:hyperlink>
      <w:r>
        <w:rPr>
          <w:lang w:val="fr-BE"/>
        </w:rPr>
        <w:t xml:space="preserve">, </w:t>
      </w:r>
      <w:hyperlink r:id="rId306" w:history="1">
        <w:r>
          <w:rPr>
            <w:rStyle w:val="Hyperlink"/>
            <w:lang w:val="fr-BE"/>
          </w:rPr>
          <w:t>2014/24/EU</w:t>
        </w:r>
      </w:hyperlink>
      <w:r>
        <w:rPr>
          <w:lang w:val="fr-BE"/>
        </w:rPr>
        <w:t xml:space="preserve"> and </w:t>
      </w:r>
      <w:hyperlink r:id="rId307" w:history="1">
        <w:r>
          <w:rPr>
            <w:rStyle w:val="Hyperlink"/>
            <w:lang w:val="fr-BE"/>
          </w:rPr>
          <w:t>2014/25/EU</w:t>
        </w:r>
      </w:hyperlink>
      <w:r>
        <w:rPr>
          <w:lang w:val="fr-BE"/>
        </w:rPr>
        <w:t xml:space="preserve">; </w:t>
      </w:r>
      <w:hyperlink r:id="rId308" w:history="1">
        <w:r>
          <w:rPr>
            <w:rStyle w:val="Hyperlink"/>
            <w:lang w:val="fr-BE"/>
          </w:rPr>
          <w:t>MEMO/16/1823</w:t>
        </w:r>
      </w:hyperlink>
      <w:r>
        <w:rPr>
          <w:lang w:val="fr-BE"/>
        </w:rPr>
        <w:t>.</w:t>
      </w:r>
    </w:p>
  </w:footnote>
  <w:footnote w:id="187">
    <w:p>
      <w:pPr>
        <w:pStyle w:val="FootnoteText"/>
      </w:pPr>
      <w:r>
        <w:rPr>
          <w:rStyle w:val="FootnoteReference"/>
        </w:rPr>
        <w:footnoteRef/>
      </w:r>
      <w:r>
        <w:t xml:space="preserve"> </w:t>
      </w:r>
      <w:r>
        <w:tab/>
        <w:t>Regulation (EC) No </w:t>
      </w:r>
      <w:hyperlink r:id="rId309" w:history="1">
        <w:r>
          <w:rPr>
            <w:rStyle w:val="Hyperlink"/>
          </w:rPr>
          <w:t>1071/2009</w:t>
        </w:r>
      </w:hyperlink>
      <w:r>
        <w:t>.</w:t>
      </w:r>
    </w:p>
  </w:footnote>
  <w:footnote w:id="188">
    <w:p>
      <w:pPr>
        <w:pStyle w:val="FootnoteText"/>
      </w:pPr>
      <w:r>
        <w:rPr>
          <w:rStyle w:val="FootnoteReference"/>
        </w:rPr>
        <w:footnoteRef/>
      </w:r>
      <w:r>
        <w:t xml:space="preserve"> </w:t>
      </w:r>
      <w:r>
        <w:tab/>
        <w:t xml:space="preserve">Directive </w:t>
      </w:r>
      <w:hyperlink r:id="rId310" w:history="1">
        <w:r>
          <w:rPr>
            <w:rStyle w:val="Hyperlink"/>
          </w:rPr>
          <w:t>2009/12/EC</w:t>
        </w:r>
      </w:hyperlink>
      <w:r>
        <w:t>.</w:t>
      </w:r>
    </w:p>
  </w:footnote>
  <w:footnote w:id="189">
    <w:p>
      <w:pPr>
        <w:pStyle w:val="FootnoteText"/>
      </w:pPr>
      <w:r>
        <w:rPr>
          <w:rStyle w:val="FootnoteReference"/>
        </w:rPr>
        <w:footnoteRef/>
      </w:r>
      <w:r>
        <w:t xml:space="preserve"> </w:t>
      </w:r>
      <w:r>
        <w:tab/>
      </w:r>
      <w:r>
        <w:rPr>
          <w:rFonts w:cs="Arial"/>
          <w:szCs w:val="18"/>
        </w:rPr>
        <w:t>These rulings are almost exclusively handed down in infringement procedures.</w:t>
      </w:r>
    </w:p>
  </w:footnote>
  <w:footnote w:id="190">
    <w:p>
      <w:pPr>
        <w:pStyle w:val="FootnoteText"/>
      </w:pPr>
      <w:r>
        <w:rPr>
          <w:rStyle w:val="FootnoteReference"/>
        </w:rPr>
        <w:footnoteRef/>
      </w:r>
      <w:r>
        <w:t xml:space="preserve"> </w:t>
      </w:r>
      <w:r>
        <w:tab/>
        <w:t xml:space="preserve">Directive </w:t>
      </w:r>
      <w:hyperlink r:id="rId311" w:history="1">
        <w:r>
          <w:rPr>
            <w:rStyle w:val="Hyperlink"/>
            <w:bCs/>
          </w:rPr>
          <w:t>92/43/EEC</w:t>
        </w:r>
      </w:hyperlink>
      <w:r>
        <w:rPr>
          <w:bCs/>
        </w:rPr>
        <w:t xml:space="preserve">, </w:t>
      </w:r>
      <w:r>
        <w:t xml:space="preserve">Commission v Greece, </w:t>
      </w:r>
      <w:hyperlink r:id="rId312" w:history="1">
        <w:r>
          <w:rPr>
            <w:rStyle w:val="Hyperlink"/>
          </w:rPr>
          <w:t>C-504/14</w:t>
        </w:r>
      </w:hyperlink>
      <w:r>
        <w:rPr>
          <w:rStyle w:val="Hyperlink"/>
        </w:rPr>
        <w:t>.</w:t>
      </w:r>
    </w:p>
  </w:footnote>
  <w:footnote w:id="191">
    <w:p>
      <w:pPr>
        <w:pStyle w:val="FootnoteText"/>
      </w:pPr>
      <w:r>
        <w:rPr>
          <w:rStyle w:val="FootnoteReference"/>
        </w:rPr>
        <w:footnoteRef/>
      </w:r>
      <w:r>
        <w:t xml:space="preserve"> </w:t>
      </w:r>
      <w:r>
        <w:tab/>
        <w:t xml:space="preserve">Commission v Greece, </w:t>
      </w:r>
      <w:hyperlink r:id="rId313" w:history="1">
        <w:r>
          <w:rPr>
            <w:rStyle w:val="Hyperlink"/>
          </w:rPr>
          <w:t>C-584/14</w:t>
        </w:r>
      </w:hyperlink>
      <w:r>
        <w:rPr>
          <w:rStyle w:val="Hyperlink"/>
          <w:color w:val="auto"/>
          <w:u w:val="none"/>
        </w:rPr>
        <w:t xml:space="preserve"> and Court press release No </w:t>
      </w:r>
      <w:hyperlink r:id="rId314" w:history="1">
        <w:r>
          <w:rPr>
            <w:rStyle w:val="Hyperlink"/>
          </w:rPr>
          <w:t>87/16</w:t>
        </w:r>
      </w:hyperlink>
      <w:r>
        <w:rPr>
          <w:rStyle w:val="Hyperlink"/>
          <w:color w:val="auto"/>
          <w:u w:val="none"/>
        </w:rPr>
        <w:t>.</w:t>
      </w:r>
    </w:p>
  </w:footnote>
  <w:footnote w:id="192">
    <w:p>
      <w:pPr>
        <w:pStyle w:val="FootnoteText"/>
        <w:rPr>
          <w:rFonts w:cs="Arial"/>
        </w:rPr>
      </w:pPr>
      <w:r>
        <w:rPr>
          <w:rStyle w:val="FootnoteReference"/>
          <w:rFonts w:eastAsia="MS Gothic"/>
        </w:rPr>
        <w:footnoteRef/>
      </w:r>
      <w:r>
        <w:t xml:space="preserve"> </w:t>
      </w:r>
      <w:r>
        <w:tab/>
        <w:t xml:space="preserve">Commission v Greece, </w:t>
      </w:r>
      <w:hyperlink r:id="rId315" w:history="1">
        <w:r>
          <w:rPr>
            <w:rStyle w:val="Hyperlink"/>
          </w:rPr>
          <w:t>C-66/15</w:t>
        </w:r>
      </w:hyperlink>
      <w:r>
        <w:rPr>
          <w:rStyle w:val="Hyperlink"/>
        </w:rPr>
        <w:t>.</w:t>
      </w:r>
    </w:p>
  </w:footnote>
  <w:footnote w:id="193">
    <w:p>
      <w:pPr>
        <w:pStyle w:val="FootnoteText"/>
      </w:pPr>
      <w:r>
        <w:rPr>
          <w:rStyle w:val="FootnoteReference"/>
          <w:rFonts w:eastAsia="MS Gothic"/>
        </w:rPr>
        <w:footnoteRef/>
      </w:r>
      <w:r>
        <w:t xml:space="preserve"> </w:t>
      </w:r>
      <w:r>
        <w:tab/>
        <w:t xml:space="preserve">Commission v Greece, </w:t>
      </w:r>
      <w:hyperlink r:id="rId316" w:history="1">
        <w:r>
          <w:rPr>
            <w:rStyle w:val="Hyperlink"/>
          </w:rPr>
          <w:t>C-244/15</w:t>
        </w:r>
      </w:hyperlink>
      <w:r>
        <w:rPr>
          <w:rStyle w:val="Hyperlink"/>
        </w:rPr>
        <w:t>.</w:t>
      </w:r>
    </w:p>
  </w:footnote>
  <w:footnote w:id="194">
    <w:p>
      <w:pPr>
        <w:pStyle w:val="FootnoteText"/>
      </w:pPr>
      <w:r>
        <w:rPr>
          <w:rStyle w:val="FootnoteReference"/>
        </w:rPr>
        <w:footnoteRef/>
      </w:r>
      <w:r>
        <w:t xml:space="preserve"> </w:t>
      </w:r>
      <w:r>
        <w:tab/>
        <w:t xml:space="preserve">DEI v Commission, cases </w:t>
      </w:r>
      <w:hyperlink r:id="rId317" w:history="1">
        <w:r>
          <w:rPr>
            <w:rStyle w:val="Hyperlink"/>
          </w:rPr>
          <w:t>T-169/08</w:t>
        </w:r>
      </w:hyperlink>
      <w:r>
        <w:t xml:space="preserve"> RENV and </w:t>
      </w:r>
      <w:hyperlink r:id="rId318" w:history="1">
        <w:r>
          <w:rPr>
            <w:rStyle w:val="Hyperlink"/>
          </w:rPr>
          <w:t>T-421/09</w:t>
        </w:r>
      </w:hyperlink>
      <w:r>
        <w:t xml:space="preserve"> RENV.</w:t>
      </w:r>
    </w:p>
  </w:footnote>
  <w:footnote w:id="195">
    <w:p>
      <w:pPr>
        <w:pStyle w:val="FootnoteText"/>
      </w:pPr>
      <w:r>
        <w:rPr>
          <w:rStyle w:val="FootnoteReference"/>
        </w:rPr>
        <w:footnoteRef/>
      </w:r>
      <w:r>
        <w:t xml:space="preserve"> </w:t>
      </w:r>
      <w:r>
        <w:tab/>
        <w:t xml:space="preserve">Directive </w:t>
      </w:r>
      <w:hyperlink r:id="rId319" w:history="1">
        <w:r>
          <w:rPr>
            <w:rStyle w:val="Hyperlink"/>
          </w:rPr>
          <w:t>98/59/EC</w:t>
        </w:r>
      </w:hyperlink>
      <w:r>
        <w:t>.</w:t>
      </w:r>
    </w:p>
  </w:footnote>
  <w:footnote w:id="196">
    <w:p>
      <w:pPr>
        <w:pStyle w:val="FootnoteText"/>
      </w:pPr>
      <w:r>
        <w:rPr>
          <w:rStyle w:val="FootnoteReference"/>
        </w:rPr>
        <w:footnoteRef/>
      </w:r>
      <w:r>
        <w:t xml:space="preserve"> </w:t>
      </w:r>
      <w:r>
        <w:tab/>
        <w:t xml:space="preserve">AGET Iraklis, </w:t>
      </w:r>
      <w:hyperlink r:id="rId320" w:history="1">
        <w:r>
          <w:rPr>
            <w:rStyle w:val="Hyperlink"/>
          </w:rPr>
          <w:t>C-201/15</w:t>
        </w:r>
      </w:hyperlink>
      <w:r>
        <w:t xml:space="preserve"> and Court press release No </w:t>
      </w:r>
      <w:hyperlink r:id="rId321" w:history="1">
        <w:r>
          <w:rPr>
            <w:rStyle w:val="Hyperlink"/>
          </w:rPr>
          <w:t>143/2016</w:t>
        </w:r>
      </w:hyperlink>
      <w:r>
        <w:t>.</w:t>
      </w:r>
    </w:p>
  </w:footnote>
  <w:footnote w:id="197">
    <w:p>
      <w:pPr>
        <w:pStyle w:val="FootnoteText"/>
        <w:rPr>
          <w:lang w:val="pt-PT"/>
        </w:rPr>
      </w:pPr>
      <w:r>
        <w:rPr>
          <w:rStyle w:val="FootnoteReference"/>
        </w:rPr>
        <w:footnoteRef/>
      </w:r>
      <w:r>
        <w:rPr>
          <w:lang w:val="pt-PT"/>
        </w:rPr>
        <w:t xml:space="preserve"> </w:t>
      </w:r>
      <w:r>
        <w:rPr>
          <w:lang w:val="pt-PT"/>
        </w:rPr>
        <w:tab/>
        <w:t xml:space="preserve">Directive </w:t>
      </w:r>
      <w:hyperlink r:id="rId322" w:history="1">
        <w:r>
          <w:rPr>
            <w:rStyle w:val="Hyperlink"/>
            <w:lang w:val="pt-PT"/>
          </w:rPr>
          <w:t>93/13/EEC</w:t>
        </w:r>
      </w:hyperlink>
      <w:r>
        <w:rPr>
          <w:lang w:val="pt-PT"/>
        </w:rPr>
        <w:t xml:space="preserve">; </w:t>
      </w:r>
      <w:hyperlink r:id="rId323" w:history="1">
        <w:r>
          <w:rPr>
            <w:rStyle w:val="Hyperlink"/>
            <w:lang w:val="pt-PT"/>
          </w:rPr>
          <w:t>MEMO/16/1452</w:t>
        </w:r>
      </w:hyperlink>
      <w:r>
        <w:rPr>
          <w:lang w:val="pt-PT"/>
        </w:rPr>
        <w:t>.</w:t>
      </w:r>
    </w:p>
  </w:footnote>
  <w:footnote w:id="198">
    <w:p>
      <w:pPr>
        <w:pStyle w:val="FootnoteText"/>
        <w:rPr>
          <w:lang w:val="pt-PT"/>
        </w:rPr>
      </w:pPr>
      <w:r>
        <w:rPr>
          <w:rStyle w:val="FootnoteReference"/>
        </w:rPr>
        <w:footnoteRef/>
      </w:r>
      <w:r>
        <w:rPr>
          <w:lang w:val="pt-PT"/>
        </w:rPr>
        <w:t xml:space="preserve"> </w:t>
      </w:r>
      <w:r>
        <w:rPr>
          <w:lang w:val="pt-PT"/>
        </w:rPr>
        <w:tab/>
        <w:t xml:space="preserve">Regulation </w:t>
      </w:r>
      <w:hyperlink r:id="rId324" w:history="1">
        <w:r>
          <w:rPr>
            <w:rStyle w:val="Hyperlink"/>
            <w:lang w:val="pt-PT"/>
          </w:rPr>
          <w:t>(EU) No 98/2013</w:t>
        </w:r>
      </w:hyperlink>
      <w:r>
        <w:rPr>
          <w:lang w:val="pt-PT"/>
        </w:rPr>
        <w:t xml:space="preserve">; </w:t>
      </w:r>
      <w:hyperlink r:id="rId325" w:history="1">
        <w:r>
          <w:rPr>
            <w:rStyle w:val="Hyperlink"/>
            <w:lang w:val="pt-PT"/>
          </w:rPr>
          <w:t>MEMO/16/3125</w:t>
        </w:r>
      </w:hyperlink>
      <w:r>
        <w:rPr>
          <w:lang w:val="pt-PT"/>
        </w:rPr>
        <w:t>.</w:t>
      </w:r>
    </w:p>
  </w:footnote>
  <w:footnote w:id="199">
    <w:p>
      <w:pPr>
        <w:pStyle w:val="FootnoteText"/>
        <w:rPr>
          <w:lang w:val="pt-PT"/>
        </w:rPr>
      </w:pPr>
      <w:r>
        <w:rPr>
          <w:rStyle w:val="FootnoteReference"/>
        </w:rPr>
        <w:footnoteRef/>
      </w:r>
      <w:r>
        <w:rPr>
          <w:lang w:val="pt-PT"/>
        </w:rPr>
        <w:t xml:space="preserve"> </w:t>
      </w:r>
      <w:r>
        <w:rPr>
          <w:lang w:val="pt-PT"/>
        </w:rPr>
        <w:tab/>
        <w:t xml:space="preserve">Directive </w:t>
      </w:r>
      <w:hyperlink r:id="rId326" w:history="1">
        <w:r>
          <w:rPr>
            <w:rStyle w:val="Hyperlink"/>
            <w:lang w:val="pt-PT"/>
          </w:rPr>
          <w:t>2008/115/EC</w:t>
        </w:r>
      </w:hyperlink>
      <w:r>
        <w:rPr>
          <w:lang w:val="pt-PT"/>
        </w:rPr>
        <w:t xml:space="preserve">; </w:t>
      </w:r>
      <w:hyperlink r:id="rId327" w:history="1">
        <w:r>
          <w:rPr>
            <w:rStyle w:val="Hyperlink"/>
            <w:lang w:val="pt-PT"/>
          </w:rPr>
          <w:t>MEMO/16/3125</w:t>
        </w:r>
      </w:hyperlink>
      <w:r>
        <w:rPr>
          <w:lang w:val="pt-PT"/>
        </w:rPr>
        <w:t>.</w:t>
      </w:r>
    </w:p>
  </w:footnote>
  <w:footnote w:id="200">
    <w:p>
      <w:pPr>
        <w:pStyle w:val="FootnoteText"/>
        <w:rPr>
          <w:lang w:val="pt-PT"/>
        </w:rPr>
      </w:pPr>
      <w:r>
        <w:rPr>
          <w:rStyle w:val="FootnoteReference"/>
        </w:rPr>
        <w:footnoteRef/>
      </w:r>
      <w:r>
        <w:rPr>
          <w:lang w:val="pt-PT"/>
        </w:rPr>
        <w:t xml:space="preserve"> </w:t>
      </w:r>
      <w:r>
        <w:rPr>
          <w:lang w:val="pt-PT"/>
        </w:rPr>
        <w:tab/>
        <w:t xml:space="preserve">Directive </w:t>
      </w:r>
      <w:hyperlink r:id="rId328" w:history="1">
        <w:r>
          <w:rPr>
            <w:rStyle w:val="Hyperlink"/>
            <w:lang w:val="pt-PT"/>
          </w:rPr>
          <w:t>2014/40/EU</w:t>
        </w:r>
      </w:hyperlink>
      <w:r>
        <w:rPr>
          <w:lang w:val="pt-PT"/>
        </w:rPr>
        <w:t xml:space="preserve">; </w:t>
      </w:r>
      <w:hyperlink r:id="rId329" w:history="1">
        <w:r>
          <w:rPr>
            <w:rStyle w:val="Hyperlink"/>
            <w:lang w:val="pt-PT"/>
          </w:rPr>
          <w:t>MEMO/16/4211</w:t>
        </w:r>
      </w:hyperlink>
      <w:r>
        <w:rPr>
          <w:lang w:val="pt-PT"/>
        </w:rPr>
        <w:t>.</w:t>
      </w:r>
    </w:p>
  </w:footnote>
  <w:footnote w:id="201">
    <w:p>
      <w:pPr>
        <w:pStyle w:val="FootnoteText"/>
        <w:rPr>
          <w:lang w:val="pt-PT"/>
        </w:rPr>
      </w:pPr>
      <w:r>
        <w:rPr>
          <w:rStyle w:val="FootnoteReference"/>
        </w:rPr>
        <w:footnoteRef/>
      </w:r>
      <w:r>
        <w:rPr>
          <w:lang w:val="pt-PT"/>
        </w:rPr>
        <w:t xml:space="preserve"> </w:t>
      </w:r>
      <w:r>
        <w:rPr>
          <w:lang w:val="pt-PT"/>
        </w:rPr>
        <w:tab/>
        <w:t xml:space="preserve">Directive </w:t>
      </w:r>
      <w:hyperlink r:id="rId330" w:history="1">
        <w:r>
          <w:rPr>
            <w:rStyle w:val="Hyperlink"/>
            <w:lang w:val="pt-PT"/>
          </w:rPr>
          <w:t>2008/98/EC</w:t>
        </w:r>
      </w:hyperlink>
      <w:r>
        <w:rPr>
          <w:lang w:val="pt-PT"/>
        </w:rPr>
        <w:t>.</w:t>
      </w:r>
    </w:p>
  </w:footnote>
  <w:footnote w:id="202">
    <w:p>
      <w:pPr>
        <w:pStyle w:val="FootnoteText"/>
        <w:rPr>
          <w:lang w:val="pt-PT"/>
        </w:rPr>
      </w:pPr>
      <w:r>
        <w:rPr>
          <w:rStyle w:val="FootnoteReference"/>
        </w:rPr>
        <w:footnoteRef/>
      </w:r>
      <w:r>
        <w:rPr>
          <w:lang w:val="pt-PT"/>
        </w:rPr>
        <w:t xml:space="preserve"> </w:t>
      </w:r>
      <w:r>
        <w:rPr>
          <w:lang w:val="pt-PT"/>
        </w:rPr>
        <w:tab/>
      </w:r>
      <w:hyperlink r:id="rId331" w:history="1">
        <w:r>
          <w:rPr>
            <w:rStyle w:val="Hyperlink"/>
            <w:lang w:val="pt-PT"/>
          </w:rPr>
          <w:t>MEMO/16/1452</w:t>
        </w:r>
      </w:hyperlink>
      <w:r>
        <w:rPr>
          <w:lang w:val="pt-PT"/>
        </w:rPr>
        <w:t>.</w:t>
      </w:r>
    </w:p>
  </w:footnote>
  <w:footnote w:id="203">
    <w:p>
      <w:pPr>
        <w:pStyle w:val="FootnoteText"/>
        <w:rPr>
          <w:lang w:val="pt-PT"/>
        </w:rPr>
      </w:pPr>
      <w:r>
        <w:rPr>
          <w:rStyle w:val="FootnoteReference"/>
        </w:rPr>
        <w:footnoteRef/>
      </w:r>
      <w:r>
        <w:rPr>
          <w:lang w:val="pt-PT"/>
        </w:rPr>
        <w:t xml:space="preserve"> </w:t>
      </w:r>
      <w:r>
        <w:rPr>
          <w:lang w:val="pt-PT"/>
        </w:rPr>
        <w:tab/>
        <w:t xml:space="preserve">Directive </w:t>
      </w:r>
      <w:hyperlink r:id="rId332" w:history="1">
        <w:r>
          <w:rPr>
            <w:rStyle w:val="Hyperlink"/>
            <w:lang w:val="pt-PT"/>
          </w:rPr>
          <w:t>1999/70/EC</w:t>
        </w:r>
      </w:hyperlink>
      <w:r>
        <w:rPr>
          <w:lang w:val="pt-PT"/>
        </w:rPr>
        <w:t>.</w:t>
      </w:r>
    </w:p>
  </w:footnote>
  <w:footnote w:id="204">
    <w:p>
      <w:pPr>
        <w:pStyle w:val="FootnoteText"/>
        <w:rPr>
          <w:lang w:val="pt-PT"/>
        </w:rPr>
      </w:pPr>
      <w:r>
        <w:rPr>
          <w:rStyle w:val="FootnoteReference"/>
        </w:rPr>
        <w:footnoteRef/>
      </w:r>
      <w:r>
        <w:rPr>
          <w:lang w:val="pt-PT"/>
        </w:rPr>
        <w:t xml:space="preserve"> </w:t>
      </w:r>
      <w:r>
        <w:rPr>
          <w:lang w:val="pt-PT"/>
        </w:rPr>
        <w:tab/>
        <w:t xml:space="preserve">Directive </w:t>
      </w:r>
      <w:hyperlink r:id="rId333" w:history="1">
        <w:r>
          <w:rPr>
            <w:rStyle w:val="Hyperlink"/>
            <w:lang w:val="pt-PT"/>
          </w:rPr>
          <w:t>2002/49/EC</w:t>
        </w:r>
      </w:hyperlink>
      <w:r>
        <w:rPr>
          <w:lang w:val="pt-PT"/>
        </w:rPr>
        <w:t>.</w:t>
      </w:r>
    </w:p>
  </w:footnote>
  <w:footnote w:id="205">
    <w:p>
      <w:pPr>
        <w:pStyle w:val="FootnoteText"/>
        <w:rPr>
          <w:lang w:val="pt-PT"/>
        </w:rPr>
      </w:pPr>
      <w:r>
        <w:rPr>
          <w:rStyle w:val="FootnoteReference"/>
        </w:rPr>
        <w:footnoteRef/>
      </w:r>
      <w:r>
        <w:rPr>
          <w:lang w:val="pt-PT"/>
        </w:rPr>
        <w:t xml:space="preserve"> </w:t>
      </w:r>
      <w:r>
        <w:rPr>
          <w:lang w:val="pt-PT"/>
        </w:rPr>
        <w:tab/>
        <w:t xml:space="preserve">Directive </w:t>
      </w:r>
      <w:hyperlink r:id="rId334" w:history="1">
        <w:r>
          <w:rPr>
            <w:rStyle w:val="Hyperlink"/>
            <w:lang w:val="pt-PT"/>
          </w:rPr>
          <w:t>2009/147/EC</w:t>
        </w:r>
      </w:hyperlink>
      <w:r>
        <w:rPr>
          <w:lang w:val="pt-PT"/>
        </w:rPr>
        <w:t>.</w:t>
      </w:r>
    </w:p>
  </w:footnote>
  <w:footnote w:id="206">
    <w:p>
      <w:pPr>
        <w:pStyle w:val="FootnoteText"/>
        <w:rPr>
          <w:lang w:val="pt-PT"/>
        </w:rPr>
      </w:pPr>
      <w:r>
        <w:rPr>
          <w:rStyle w:val="FootnoteReference"/>
        </w:rPr>
        <w:footnoteRef/>
      </w:r>
      <w:r>
        <w:rPr>
          <w:lang w:val="pt-PT"/>
        </w:rPr>
        <w:t xml:space="preserve"> </w:t>
      </w:r>
      <w:r>
        <w:rPr>
          <w:lang w:val="pt-PT"/>
        </w:rPr>
        <w:tab/>
        <w:t xml:space="preserve">Directive </w:t>
      </w:r>
      <w:hyperlink r:id="rId335" w:history="1">
        <w:r>
          <w:rPr>
            <w:rStyle w:val="Hyperlink"/>
            <w:lang w:val="pt-PT"/>
          </w:rPr>
          <w:t>2013/30/EU</w:t>
        </w:r>
      </w:hyperlink>
      <w:r>
        <w:rPr>
          <w:lang w:val="pt-PT"/>
        </w:rPr>
        <w:t xml:space="preserve">; </w:t>
      </w:r>
      <w:hyperlink r:id="rId336" w:history="1">
        <w:r>
          <w:rPr>
            <w:rStyle w:val="Hyperlink"/>
            <w:lang w:val="pt-PT"/>
          </w:rPr>
          <w:t>MEMO/16/3644</w:t>
        </w:r>
      </w:hyperlink>
      <w:r>
        <w:rPr>
          <w:lang w:val="pt-PT"/>
        </w:rPr>
        <w:t>.</w:t>
      </w:r>
    </w:p>
  </w:footnote>
  <w:footnote w:id="207">
    <w:p>
      <w:pPr>
        <w:pStyle w:val="FootnoteText"/>
        <w:rPr>
          <w:lang w:val="pt-PT"/>
        </w:rPr>
      </w:pPr>
      <w:r>
        <w:rPr>
          <w:rStyle w:val="FootnoteReference"/>
        </w:rPr>
        <w:footnoteRef/>
      </w:r>
      <w:r>
        <w:rPr>
          <w:lang w:val="pt-PT"/>
        </w:rPr>
        <w:t xml:space="preserve"> </w:t>
      </w:r>
      <w:r>
        <w:rPr>
          <w:lang w:val="pt-PT"/>
        </w:rPr>
        <w:tab/>
        <w:t xml:space="preserve">Directive </w:t>
      </w:r>
      <w:hyperlink r:id="rId337" w:history="1">
        <w:r>
          <w:rPr>
            <w:rStyle w:val="Hyperlink"/>
            <w:lang w:val="pt-PT"/>
          </w:rPr>
          <w:t>2010/31/EU</w:t>
        </w:r>
      </w:hyperlink>
      <w:r>
        <w:rPr>
          <w:lang w:val="pt-PT"/>
        </w:rPr>
        <w:t xml:space="preserve">; </w:t>
      </w:r>
      <w:hyperlink r:id="rId338" w:history="1">
        <w:r>
          <w:rPr>
            <w:rStyle w:val="Hyperlink"/>
            <w:lang w:val="pt-PT"/>
          </w:rPr>
          <w:t>MEMO/16/319</w:t>
        </w:r>
      </w:hyperlink>
      <w:r>
        <w:rPr>
          <w:lang w:val="pt-PT"/>
        </w:rPr>
        <w:t>.</w:t>
      </w:r>
    </w:p>
  </w:footnote>
  <w:footnote w:id="208">
    <w:p>
      <w:pPr>
        <w:pStyle w:val="FootnoteText"/>
        <w:rPr>
          <w:lang w:val="pt-PT"/>
        </w:rPr>
      </w:pPr>
      <w:r>
        <w:rPr>
          <w:rStyle w:val="FootnoteReference"/>
        </w:rPr>
        <w:footnoteRef/>
      </w:r>
      <w:r>
        <w:rPr>
          <w:lang w:val="pt-PT"/>
        </w:rPr>
        <w:t xml:space="preserve"> </w:t>
      </w:r>
      <w:r>
        <w:rPr>
          <w:lang w:val="pt-PT"/>
        </w:rPr>
        <w:tab/>
        <w:t xml:space="preserve">Directives </w:t>
      </w:r>
      <w:hyperlink r:id="rId339" w:history="1">
        <w:r>
          <w:rPr>
            <w:rStyle w:val="Hyperlink"/>
            <w:lang w:val="pt-PT"/>
          </w:rPr>
          <w:t>2009/72/EC</w:t>
        </w:r>
      </w:hyperlink>
      <w:r>
        <w:rPr>
          <w:lang w:val="pt-PT"/>
        </w:rPr>
        <w:t xml:space="preserve"> and </w:t>
      </w:r>
      <w:hyperlink r:id="rId340" w:history="1">
        <w:r>
          <w:rPr>
            <w:rStyle w:val="Hyperlink"/>
            <w:lang w:val="pt-PT"/>
          </w:rPr>
          <w:t>2009/73/EC</w:t>
        </w:r>
      </w:hyperlink>
      <w:r>
        <w:rPr>
          <w:lang w:val="pt-PT"/>
        </w:rPr>
        <w:t xml:space="preserve">; </w:t>
      </w:r>
      <w:hyperlink r:id="rId341" w:history="1">
        <w:r>
          <w:rPr>
            <w:rStyle w:val="Hyperlink"/>
            <w:lang w:val="pt-PT"/>
          </w:rPr>
          <w:t>MEMO/16/3125</w:t>
        </w:r>
      </w:hyperlink>
      <w:r>
        <w:rPr>
          <w:lang w:val="pt-PT"/>
        </w:rPr>
        <w:t>.</w:t>
      </w:r>
    </w:p>
  </w:footnote>
  <w:footnote w:id="209">
    <w:p>
      <w:pPr>
        <w:pStyle w:val="FootnoteText"/>
        <w:rPr>
          <w:lang w:val="pt-PT"/>
        </w:rPr>
      </w:pPr>
      <w:r>
        <w:rPr>
          <w:rStyle w:val="FootnoteReference"/>
        </w:rPr>
        <w:footnoteRef/>
      </w:r>
      <w:r>
        <w:rPr>
          <w:lang w:val="pt-PT"/>
        </w:rPr>
        <w:t xml:space="preserve"> </w:t>
      </w:r>
      <w:r>
        <w:rPr>
          <w:lang w:val="pt-PT"/>
        </w:rPr>
        <w:tab/>
        <w:t xml:space="preserve">Directive </w:t>
      </w:r>
      <w:hyperlink r:id="rId342" w:history="1">
        <w:r>
          <w:rPr>
            <w:rStyle w:val="Hyperlink"/>
            <w:lang w:val="pt-PT"/>
          </w:rPr>
          <w:t>2014/17/EU</w:t>
        </w:r>
      </w:hyperlink>
      <w:r>
        <w:rPr>
          <w:lang w:val="pt-PT"/>
        </w:rPr>
        <w:t xml:space="preserve">; </w:t>
      </w:r>
      <w:hyperlink r:id="rId343" w:history="1">
        <w:r>
          <w:rPr>
            <w:rStyle w:val="Hyperlink"/>
            <w:lang w:val="pt-PT"/>
          </w:rPr>
          <w:t>MEMO/16/3644</w:t>
        </w:r>
      </w:hyperlink>
      <w:r>
        <w:rPr>
          <w:lang w:val="pt-PT"/>
        </w:rPr>
        <w:t>.</w:t>
      </w:r>
    </w:p>
  </w:footnote>
  <w:footnote w:id="210">
    <w:p>
      <w:pPr>
        <w:pStyle w:val="FootnoteText"/>
        <w:rPr>
          <w:lang w:val="pt-PT"/>
        </w:rPr>
      </w:pPr>
      <w:r>
        <w:rPr>
          <w:rStyle w:val="FootnoteReference"/>
        </w:rPr>
        <w:footnoteRef/>
      </w:r>
      <w:r>
        <w:rPr>
          <w:lang w:val="pt-PT"/>
        </w:rPr>
        <w:t xml:space="preserve"> </w:t>
      </w:r>
      <w:r>
        <w:rPr>
          <w:lang w:val="pt-PT"/>
        </w:rPr>
        <w:tab/>
        <w:t xml:space="preserve">Directive </w:t>
      </w:r>
      <w:hyperlink r:id="rId344" w:history="1">
        <w:r>
          <w:rPr>
            <w:rStyle w:val="Hyperlink"/>
            <w:lang w:val="pt-PT"/>
          </w:rPr>
          <w:t>2013/50/EU</w:t>
        </w:r>
      </w:hyperlink>
      <w:r>
        <w:rPr>
          <w:lang w:val="pt-PT"/>
        </w:rPr>
        <w:t xml:space="preserve">; </w:t>
      </w:r>
      <w:hyperlink r:id="rId345" w:history="1">
        <w:r>
          <w:rPr>
            <w:rStyle w:val="Hyperlink"/>
            <w:lang w:val="pt-PT"/>
          </w:rPr>
          <w:t>MEMO/16/3644</w:t>
        </w:r>
      </w:hyperlink>
      <w:r>
        <w:rPr>
          <w:lang w:val="pt-PT"/>
        </w:rPr>
        <w:t>.</w:t>
      </w:r>
    </w:p>
  </w:footnote>
  <w:footnote w:id="211">
    <w:p>
      <w:pPr>
        <w:pStyle w:val="FootnoteText"/>
        <w:rPr>
          <w:lang w:val="pt-PT"/>
        </w:rPr>
      </w:pPr>
      <w:r>
        <w:rPr>
          <w:rStyle w:val="FootnoteReference"/>
        </w:rPr>
        <w:footnoteRef/>
      </w:r>
      <w:r>
        <w:rPr>
          <w:lang w:val="pt-PT"/>
        </w:rPr>
        <w:t xml:space="preserve"> </w:t>
      </w:r>
      <w:r>
        <w:rPr>
          <w:lang w:val="pt-PT"/>
        </w:rPr>
        <w:tab/>
        <w:t xml:space="preserve">Regulation </w:t>
      </w:r>
      <w:hyperlink r:id="rId346" w:history="1">
        <w:r>
          <w:rPr>
            <w:rStyle w:val="Hyperlink"/>
            <w:lang w:val="pt-PT"/>
          </w:rPr>
          <w:t>(EU) No 1177/2010</w:t>
        </w:r>
      </w:hyperlink>
      <w:r>
        <w:rPr>
          <w:lang w:val="pt-PT"/>
        </w:rPr>
        <w:t>.</w:t>
      </w:r>
    </w:p>
  </w:footnote>
  <w:footnote w:id="212">
    <w:p>
      <w:pPr>
        <w:pStyle w:val="FootnoteText"/>
        <w:rPr>
          <w:lang w:val="pt-PT"/>
        </w:rPr>
      </w:pPr>
      <w:r>
        <w:rPr>
          <w:rStyle w:val="FootnoteReference"/>
        </w:rPr>
        <w:footnoteRef/>
      </w:r>
      <w:r>
        <w:rPr>
          <w:lang w:val="pt-PT"/>
        </w:rPr>
        <w:t xml:space="preserve"> </w:t>
      </w:r>
      <w:r>
        <w:rPr>
          <w:lang w:val="pt-PT"/>
        </w:rPr>
        <w:tab/>
        <w:t xml:space="preserve">Regulation </w:t>
      </w:r>
      <w:hyperlink r:id="rId347" w:history="1">
        <w:r>
          <w:rPr>
            <w:rStyle w:val="Hyperlink"/>
            <w:lang w:val="pt-PT"/>
          </w:rPr>
          <w:t>(EC) No 1071/2009</w:t>
        </w:r>
      </w:hyperlink>
      <w:r>
        <w:rPr>
          <w:lang w:val="pt-PT"/>
        </w:rPr>
        <w:t xml:space="preserve">; </w:t>
      </w:r>
      <w:hyperlink r:id="rId348" w:history="1">
        <w:r>
          <w:rPr>
            <w:rStyle w:val="Hyperlink"/>
            <w:lang w:val="pt-PT"/>
          </w:rPr>
          <w:t>MEMO/16/319</w:t>
        </w:r>
      </w:hyperlink>
      <w:r>
        <w:rPr>
          <w:lang w:val="pt-PT"/>
        </w:rPr>
        <w:t>.</w:t>
      </w:r>
    </w:p>
  </w:footnote>
  <w:footnote w:id="213">
    <w:p>
      <w:pPr>
        <w:pStyle w:val="FootnoteText"/>
        <w:rPr>
          <w:lang w:val="pt-PT"/>
        </w:rPr>
      </w:pPr>
      <w:r>
        <w:rPr>
          <w:rStyle w:val="FootnoteReference"/>
        </w:rPr>
        <w:footnoteRef/>
      </w:r>
      <w:r>
        <w:rPr>
          <w:lang w:val="pt-PT"/>
        </w:rPr>
        <w:t xml:space="preserve"> </w:t>
      </w:r>
      <w:r>
        <w:rPr>
          <w:lang w:val="pt-PT"/>
        </w:rPr>
        <w:tab/>
        <w:t xml:space="preserve">Directive </w:t>
      </w:r>
      <w:hyperlink r:id="rId349" w:history="1">
        <w:r>
          <w:rPr>
            <w:rStyle w:val="Hyperlink"/>
            <w:lang w:val="pt-PT"/>
          </w:rPr>
          <w:t>2006/123/EC</w:t>
        </w:r>
      </w:hyperlink>
      <w:r>
        <w:rPr>
          <w:lang w:val="pt-PT"/>
        </w:rPr>
        <w:t xml:space="preserve">; </w:t>
      </w:r>
      <w:hyperlink r:id="rId350" w:history="1">
        <w:r>
          <w:rPr>
            <w:rStyle w:val="Hyperlink"/>
            <w:lang w:val="pt-PT"/>
          </w:rPr>
          <w:t>IP/16/3646</w:t>
        </w:r>
      </w:hyperlink>
      <w:r>
        <w:rPr>
          <w:lang w:val="pt-PT"/>
        </w:rPr>
        <w:t xml:space="preserve"> and </w:t>
      </w:r>
      <w:hyperlink r:id="rId351" w:history="1">
        <w:r>
          <w:rPr>
            <w:rStyle w:val="Hyperlink"/>
            <w:lang w:val="pt-PT"/>
          </w:rPr>
          <w:t>MEMO/16/3644</w:t>
        </w:r>
      </w:hyperlink>
      <w:r>
        <w:rPr>
          <w:lang w:val="pt-PT"/>
        </w:rPr>
        <w:t>.</w:t>
      </w:r>
    </w:p>
  </w:footnote>
  <w:footnote w:id="214">
    <w:p>
      <w:pPr>
        <w:pStyle w:val="FootnoteText"/>
        <w:rPr>
          <w:lang w:val="pt-PT"/>
        </w:rPr>
      </w:pPr>
      <w:r>
        <w:rPr>
          <w:rStyle w:val="FootnoteReference"/>
          <w:rFonts w:eastAsia="MS Gothic"/>
        </w:rPr>
        <w:footnoteRef/>
      </w:r>
      <w:r>
        <w:rPr>
          <w:lang w:val="pt-PT"/>
        </w:rPr>
        <w:t xml:space="preserve"> </w:t>
      </w:r>
      <w:r>
        <w:rPr>
          <w:lang w:val="pt-PT"/>
        </w:rPr>
        <w:tab/>
        <w:t xml:space="preserve">Directives </w:t>
      </w:r>
      <w:hyperlink r:id="rId352" w:history="1">
        <w:r>
          <w:rPr>
            <w:rStyle w:val="Hyperlink"/>
            <w:lang w:val="pt-PT"/>
          </w:rPr>
          <w:t>2014/23/EU</w:t>
        </w:r>
      </w:hyperlink>
      <w:r>
        <w:rPr>
          <w:lang w:val="pt-PT"/>
        </w:rPr>
        <w:t xml:space="preserve">, </w:t>
      </w:r>
      <w:hyperlink r:id="rId353" w:history="1">
        <w:r>
          <w:rPr>
            <w:rStyle w:val="Hyperlink"/>
            <w:lang w:val="pt-PT"/>
          </w:rPr>
          <w:t>2014/24/EU</w:t>
        </w:r>
      </w:hyperlink>
      <w:r>
        <w:rPr>
          <w:lang w:val="pt-PT"/>
        </w:rPr>
        <w:t xml:space="preserve"> and </w:t>
      </w:r>
      <w:hyperlink r:id="rId354" w:history="1">
        <w:r>
          <w:rPr>
            <w:rStyle w:val="Hyperlink"/>
            <w:lang w:val="pt-PT"/>
          </w:rPr>
          <w:t>2014/25/EU</w:t>
        </w:r>
      </w:hyperlink>
      <w:r>
        <w:rPr>
          <w:lang w:val="pt-PT"/>
        </w:rPr>
        <w:t xml:space="preserve">; </w:t>
      </w:r>
      <w:hyperlink r:id="rId355" w:history="1">
        <w:r>
          <w:rPr>
            <w:rStyle w:val="Hyperlink"/>
            <w:lang w:val="pt-PT"/>
          </w:rPr>
          <w:t>MEMO/16/4211</w:t>
        </w:r>
      </w:hyperlink>
      <w:hyperlink r:id="rId356" w:history="1"/>
      <w:r>
        <w:rPr>
          <w:lang w:val="pt-PT"/>
        </w:rPr>
        <w:t>.</w:t>
      </w:r>
    </w:p>
  </w:footnote>
  <w:footnote w:id="215">
    <w:p>
      <w:pPr>
        <w:pStyle w:val="FootnoteText"/>
        <w:rPr>
          <w:rFonts w:cs="Arial"/>
        </w:rPr>
      </w:pPr>
      <w:r>
        <w:rPr>
          <w:rStyle w:val="FootnoteReference"/>
        </w:rPr>
        <w:footnoteRef/>
      </w:r>
      <w:r>
        <w:t xml:space="preserve"> </w:t>
      </w:r>
      <w:r>
        <w:tab/>
        <w:t xml:space="preserve">Directive </w:t>
      </w:r>
      <w:hyperlink r:id="rId357" w:history="1">
        <w:r>
          <w:rPr>
            <w:rStyle w:val="Hyperlink"/>
          </w:rPr>
          <w:t>2007/46/EC</w:t>
        </w:r>
      </w:hyperlink>
      <w:r>
        <w:t xml:space="preserve"> and Regulation </w:t>
      </w:r>
      <w:hyperlink r:id="rId358" w:history="1">
        <w:r>
          <w:rPr>
            <w:rStyle w:val="Hyperlink"/>
          </w:rPr>
          <w:t>2007/715/EC</w:t>
        </w:r>
      </w:hyperlink>
      <w:r>
        <w:t xml:space="preserve">; </w:t>
      </w:r>
      <w:hyperlink r:id="rId359" w:history="1">
        <w:r>
          <w:rPr>
            <w:rStyle w:val="Hyperlink"/>
          </w:rPr>
          <w:t>IP/16/4214</w:t>
        </w:r>
      </w:hyperlink>
      <w:r>
        <w:t>.</w:t>
      </w:r>
    </w:p>
  </w:footnote>
  <w:footnote w:id="216">
    <w:p>
      <w:pPr>
        <w:pStyle w:val="FootnoteText"/>
        <w:rPr>
          <w:lang w:val="pt-PT"/>
        </w:rPr>
      </w:pPr>
      <w:r>
        <w:rPr>
          <w:rStyle w:val="FootnoteReference"/>
        </w:rPr>
        <w:footnoteRef/>
      </w:r>
      <w:r>
        <w:rPr>
          <w:lang w:val="pt-PT"/>
        </w:rPr>
        <w:t xml:space="preserve"> </w:t>
      </w:r>
      <w:r>
        <w:rPr>
          <w:lang w:val="pt-PT"/>
        </w:rPr>
        <w:tab/>
        <w:t xml:space="preserve">Directive </w:t>
      </w:r>
      <w:hyperlink r:id="rId360" w:history="1">
        <w:r>
          <w:rPr>
            <w:rStyle w:val="Hyperlink"/>
            <w:lang w:val="pt-PT"/>
          </w:rPr>
          <w:t>2013/55/EU</w:t>
        </w:r>
      </w:hyperlink>
      <w:r>
        <w:rPr>
          <w:lang w:val="pt-PT"/>
        </w:rPr>
        <w:t xml:space="preserve">; </w:t>
      </w:r>
      <w:hyperlink r:id="rId361" w:history="1">
        <w:r>
          <w:rPr>
            <w:rStyle w:val="Hyperlink"/>
            <w:lang w:val="pt-PT"/>
          </w:rPr>
          <w:t>MEMO/16/3125</w:t>
        </w:r>
      </w:hyperlink>
      <w:r>
        <w:rPr>
          <w:lang w:val="pt-PT"/>
        </w:rPr>
        <w:t>.</w:t>
      </w:r>
    </w:p>
  </w:footnote>
  <w:footnote w:id="217">
    <w:p>
      <w:pPr>
        <w:pStyle w:val="FootnoteText"/>
        <w:rPr>
          <w:lang w:val="pt-PT"/>
        </w:rPr>
      </w:pPr>
      <w:r>
        <w:rPr>
          <w:rStyle w:val="FootnoteReference"/>
        </w:rPr>
        <w:footnoteRef/>
      </w:r>
      <w:r>
        <w:rPr>
          <w:lang w:val="pt-PT"/>
        </w:rPr>
        <w:t xml:space="preserve"> </w:t>
      </w:r>
      <w:r>
        <w:rPr>
          <w:lang w:val="pt-PT"/>
        </w:rPr>
        <w:tab/>
        <w:t xml:space="preserve">Directive </w:t>
      </w:r>
      <w:hyperlink r:id="rId362" w:history="1">
        <w:r>
          <w:rPr>
            <w:rStyle w:val="Hyperlink"/>
            <w:lang w:val="pt-PT"/>
          </w:rPr>
          <w:t>2014/89/EU</w:t>
        </w:r>
      </w:hyperlink>
      <w:r>
        <w:rPr>
          <w:lang w:val="pt-PT"/>
        </w:rPr>
        <w:t>.</w:t>
      </w:r>
    </w:p>
  </w:footnote>
  <w:footnote w:id="218">
    <w:p>
      <w:pPr>
        <w:pStyle w:val="FootnoteText"/>
      </w:pPr>
      <w:r>
        <w:rPr>
          <w:rStyle w:val="FootnoteReference"/>
        </w:rPr>
        <w:footnoteRef/>
      </w:r>
      <w:r>
        <w:t xml:space="preserve"> </w:t>
      </w:r>
      <w:r>
        <w:tab/>
        <w:t xml:space="preserve">Commission v Spain, </w:t>
      </w:r>
      <w:hyperlink r:id="rId363" w:history="1">
        <w:r>
          <w:rPr>
            <w:rStyle w:val="Hyperlink"/>
          </w:rPr>
          <w:t>C-388/16</w:t>
        </w:r>
      </w:hyperlink>
      <w:r>
        <w:t xml:space="preserve">; </w:t>
      </w:r>
      <w:hyperlink r:id="rId364" w:history="1">
        <w:r>
          <w:rPr>
            <w:rStyle w:val="Hyperlink"/>
          </w:rPr>
          <w:t>IP/16/1455</w:t>
        </w:r>
      </w:hyperlink>
      <w:r>
        <w:rPr>
          <w:rStyle w:val="Hyperlink"/>
        </w:rPr>
        <w:t xml:space="preserve"> </w:t>
      </w:r>
      <w:r>
        <w:rPr>
          <w:rFonts w:cs="Arial"/>
          <w:szCs w:val="18"/>
        </w:rPr>
        <w:t>and</w:t>
      </w:r>
      <w:r>
        <w:rPr>
          <w:rFonts w:cs="Arial"/>
          <w:sz w:val="20"/>
        </w:rPr>
        <w:t xml:space="preserve"> </w:t>
      </w:r>
      <w:hyperlink r:id="rId365" w:history="1">
        <w:r>
          <w:rPr>
            <w:rStyle w:val="Hyperlink"/>
          </w:rPr>
          <w:t>MEMO/16/1452</w:t>
        </w:r>
      </w:hyperlink>
      <w:r>
        <w:rPr>
          <w:rStyle w:val="Hyperlink"/>
        </w:rPr>
        <w:t>.</w:t>
      </w:r>
    </w:p>
  </w:footnote>
  <w:footnote w:id="219">
    <w:p>
      <w:pPr>
        <w:pStyle w:val="FootnoteText"/>
      </w:pPr>
      <w:r>
        <w:rPr>
          <w:rStyle w:val="FootnoteReference"/>
        </w:rPr>
        <w:footnoteRef/>
      </w:r>
      <w:r>
        <w:t xml:space="preserve"> </w:t>
      </w:r>
      <w:r>
        <w:tab/>
        <w:t xml:space="preserve">Directive </w:t>
      </w:r>
      <w:hyperlink r:id="rId366" w:history="1">
        <w:r>
          <w:rPr>
            <w:rStyle w:val="Hyperlink"/>
          </w:rPr>
          <w:t>2011/92/EU</w:t>
        </w:r>
      </w:hyperlink>
      <w:r>
        <w:t>.</w:t>
      </w:r>
    </w:p>
  </w:footnote>
  <w:footnote w:id="220">
    <w:p>
      <w:pPr>
        <w:pStyle w:val="FootnoteText"/>
      </w:pPr>
      <w:r>
        <w:rPr>
          <w:rStyle w:val="FootnoteReference"/>
        </w:rPr>
        <w:footnoteRef/>
      </w:r>
      <w:r>
        <w:t xml:space="preserve"> </w:t>
      </w:r>
      <w:r>
        <w:tab/>
        <w:t xml:space="preserve">Directive </w:t>
      </w:r>
      <w:hyperlink r:id="rId367" w:history="1">
        <w:r>
          <w:rPr>
            <w:rStyle w:val="Hyperlink"/>
          </w:rPr>
          <w:t>2012/18/EU</w:t>
        </w:r>
      </w:hyperlink>
      <w:r>
        <w:t>.</w:t>
      </w:r>
    </w:p>
  </w:footnote>
  <w:footnote w:id="221">
    <w:p>
      <w:pPr>
        <w:pStyle w:val="FootnoteText"/>
      </w:pPr>
      <w:r>
        <w:rPr>
          <w:rStyle w:val="FootnoteReference"/>
        </w:rPr>
        <w:footnoteRef/>
      </w:r>
      <w:r>
        <w:t xml:space="preserve"> </w:t>
      </w:r>
      <w:r>
        <w:tab/>
        <w:t xml:space="preserve">Directive </w:t>
      </w:r>
      <w:hyperlink r:id="rId368" w:history="1">
        <w:r>
          <w:rPr>
            <w:rStyle w:val="Hyperlink"/>
          </w:rPr>
          <w:t>2014/59/EU</w:t>
        </w:r>
      </w:hyperlink>
      <w:r>
        <w:t>.</w:t>
      </w:r>
    </w:p>
  </w:footnote>
  <w:footnote w:id="222">
    <w:p>
      <w:pPr>
        <w:pStyle w:val="FootnoteText"/>
      </w:pPr>
      <w:r>
        <w:rPr>
          <w:rStyle w:val="FootnoteReference"/>
        </w:rPr>
        <w:footnoteRef/>
      </w:r>
      <w:r>
        <w:t xml:space="preserve"> </w:t>
      </w:r>
      <w:r>
        <w:tab/>
        <w:t xml:space="preserve">Directive </w:t>
      </w:r>
      <w:hyperlink r:id="rId369" w:history="1">
        <w:r>
          <w:rPr>
            <w:rStyle w:val="Hyperlink"/>
          </w:rPr>
          <w:t>2014/49/EU</w:t>
        </w:r>
      </w:hyperlink>
      <w:r>
        <w:t>.</w:t>
      </w:r>
    </w:p>
  </w:footnote>
  <w:footnote w:id="223">
    <w:p>
      <w:pPr>
        <w:pStyle w:val="FootnoteText"/>
      </w:pPr>
      <w:r>
        <w:rPr>
          <w:rStyle w:val="FootnoteReference"/>
        </w:rPr>
        <w:footnoteRef/>
      </w:r>
      <w:r>
        <w:t xml:space="preserve"> </w:t>
      </w:r>
      <w:r>
        <w:tab/>
        <w:t xml:space="preserve">Directive </w:t>
      </w:r>
      <w:hyperlink r:id="rId370" w:history="1">
        <w:r>
          <w:rPr>
            <w:rStyle w:val="Hyperlink"/>
          </w:rPr>
          <w:t>2011/61/EU</w:t>
        </w:r>
      </w:hyperlink>
      <w:r>
        <w:t>.</w:t>
      </w:r>
    </w:p>
  </w:footnote>
  <w:footnote w:id="224">
    <w:p>
      <w:pPr>
        <w:pStyle w:val="FootnoteText"/>
      </w:pPr>
      <w:r>
        <w:rPr>
          <w:rStyle w:val="FootnoteReference"/>
        </w:rPr>
        <w:footnoteRef/>
      </w:r>
      <w:r>
        <w:t xml:space="preserve"> </w:t>
      </w:r>
      <w:r>
        <w:tab/>
        <w:t xml:space="preserve">Regulation </w:t>
      </w:r>
      <w:hyperlink r:id="rId371" w:history="1">
        <w:r>
          <w:rPr>
            <w:rStyle w:val="Hyperlink"/>
          </w:rPr>
          <w:t>(EC) No 1967/2006</w:t>
        </w:r>
      </w:hyperlink>
      <w:r>
        <w:t>.</w:t>
      </w:r>
    </w:p>
  </w:footnote>
  <w:footnote w:id="225">
    <w:p>
      <w:pPr>
        <w:pStyle w:val="FootnoteText"/>
      </w:pPr>
      <w:r>
        <w:rPr>
          <w:rStyle w:val="FootnoteReference"/>
        </w:rPr>
        <w:footnoteRef/>
      </w:r>
      <w:r>
        <w:t xml:space="preserve"> </w:t>
      </w:r>
      <w:r>
        <w:tab/>
        <w:t xml:space="preserve">Directive </w:t>
      </w:r>
      <w:hyperlink r:id="rId372" w:history="1">
        <w:r>
          <w:rPr>
            <w:rStyle w:val="Hyperlink"/>
          </w:rPr>
          <w:t>2006/126/EC</w:t>
        </w:r>
      </w:hyperlink>
      <w:r>
        <w:t xml:space="preserve">. </w:t>
      </w:r>
    </w:p>
  </w:footnote>
  <w:footnote w:id="226">
    <w:p>
      <w:pPr>
        <w:pStyle w:val="FootnoteText"/>
      </w:pPr>
      <w:r>
        <w:rPr>
          <w:rStyle w:val="FootnoteReference"/>
        </w:rPr>
        <w:footnoteRef/>
      </w:r>
      <w:r>
        <w:t xml:space="preserve"> </w:t>
      </w:r>
      <w:r>
        <w:tab/>
        <w:t xml:space="preserve">Regulation </w:t>
      </w:r>
      <w:hyperlink r:id="rId373" w:history="1">
        <w:r>
          <w:rPr>
            <w:rStyle w:val="Hyperlink"/>
          </w:rPr>
          <w:t>(EU) No 1177/2010</w:t>
        </w:r>
      </w:hyperlink>
      <w:r>
        <w:t>.</w:t>
      </w:r>
    </w:p>
  </w:footnote>
  <w:footnote w:id="227">
    <w:p>
      <w:pPr>
        <w:pStyle w:val="FootnoteText"/>
      </w:pPr>
      <w:r>
        <w:rPr>
          <w:rStyle w:val="FootnoteReference"/>
        </w:rPr>
        <w:footnoteRef/>
      </w:r>
      <w:r>
        <w:t xml:space="preserve"> </w:t>
      </w:r>
      <w:r>
        <w:tab/>
        <w:t xml:space="preserve">Directive </w:t>
      </w:r>
      <w:hyperlink r:id="rId374" w:history="1">
        <w:r>
          <w:rPr>
            <w:rStyle w:val="Hyperlink"/>
          </w:rPr>
          <w:t>2009/12/EC</w:t>
        </w:r>
      </w:hyperlink>
      <w:r>
        <w:t>.</w:t>
      </w:r>
    </w:p>
  </w:footnote>
  <w:footnote w:id="228">
    <w:p>
      <w:pPr>
        <w:pStyle w:val="FootnoteText"/>
      </w:pPr>
      <w:r>
        <w:rPr>
          <w:rStyle w:val="FootnoteReference"/>
        </w:rPr>
        <w:footnoteRef/>
      </w:r>
      <w:r>
        <w:t xml:space="preserve"> </w:t>
      </w:r>
      <w:r>
        <w:tab/>
        <w:t xml:space="preserve">Directive </w:t>
      </w:r>
      <w:hyperlink r:id="rId375" w:history="1">
        <w:r>
          <w:rPr>
            <w:rStyle w:val="Hyperlink"/>
          </w:rPr>
          <w:t>2004/49/EC</w:t>
        </w:r>
      </w:hyperlink>
      <w:r>
        <w:t>.</w:t>
      </w:r>
    </w:p>
  </w:footnote>
  <w:footnote w:id="229">
    <w:p>
      <w:pPr>
        <w:pStyle w:val="FootnoteText"/>
      </w:pPr>
      <w:r>
        <w:rPr>
          <w:rStyle w:val="FootnoteReference"/>
        </w:rPr>
        <w:footnoteRef/>
      </w:r>
      <w:r>
        <w:t xml:space="preserve"> </w:t>
      </w:r>
      <w:r>
        <w:tab/>
        <w:t>These rulings are almost exclusively handed down in infringement procedures.</w:t>
      </w:r>
    </w:p>
  </w:footnote>
  <w:footnote w:id="230">
    <w:p>
      <w:pPr>
        <w:pStyle w:val="FootnoteText"/>
      </w:pPr>
      <w:r>
        <w:rPr>
          <w:rStyle w:val="FootnoteReference"/>
        </w:rPr>
        <w:footnoteRef/>
      </w:r>
      <w:r>
        <w:t xml:space="preserve"> </w:t>
      </w:r>
      <w:r>
        <w:tab/>
        <w:t xml:space="preserve">Directive </w:t>
      </w:r>
      <w:hyperlink r:id="rId376" w:history="1">
        <w:r>
          <w:rPr>
            <w:rStyle w:val="Hyperlink"/>
          </w:rPr>
          <w:t>91/271/EEC</w:t>
        </w:r>
      </w:hyperlink>
      <w:r>
        <w:t xml:space="preserve">, Commission v Spain, </w:t>
      </w:r>
      <w:hyperlink r:id="rId377" w:history="1">
        <w:r>
          <w:rPr>
            <w:rStyle w:val="Hyperlink"/>
          </w:rPr>
          <w:t>C-38/15</w:t>
        </w:r>
      </w:hyperlink>
      <w:r>
        <w:rPr>
          <w:rStyle w:val="Hyperlink"/>
        </w:rPr>
        <w:t>.</w:t>
      </w:r>
    </w:p>
  </w:footnote>
  <w:footnote w:id="231">
    <w:p>
      <w:pPr>
        <w:pStyle w:val="FootnoteText"/>
      </w:pPr>
      <w:r>
        <w:rPr>
          <w:rStyle w:val="FootnoteReference"/>
        </w:rPr>
        <w:footnoteRef/>
      </w:r>
      <w:r>
        <w:t xml:space="preserve"> </w:t>
      </w:r>
      <w:r>
        <w:tab/>
        <w:t xml:space="preserve">Directives </w:t>
      </w:r>
      <w:hyperlink r:id="rId378" w:history="1">
        <w:r>
          <w:rPr>
            <w:rStyle w:val="Hyperlink"/>
          </w:rPr>
          <w:t>2009/147/EC</w:t>
        </w:r>
      </w:hyperlink>
      <w:r>
        <w:t xml:space="preserve"> and </w:t>
      </w:r>
      <w:hyperlink r:id="rId379" w:history="1">
        <w:r>
          <w:rPr>
            <w:rStyle w:val="Hyperlink"/>
          </w:rPr>
          <w:t>92/43/EEC</w:t>
        </w:r>
      </w:hyperlink>
      <w:r>
        <w:t xml:space="preserve">, Commission v Spain, </w:t>
      </w:r>
      <w:hyperlink r:id="rId380" w:history="1">
        <w:r>
          <w:rPr>
            <w:rStyle w:val="Hyperlink"/>
          </w:rPr>
          <w:t>C-461/14</w:t>
        </w:r>
      </w:hyperlink>
      <w:r>
        <w:rPr>
          <w:rStyle w:val="Hyperlink"/>
        </w:rPr>
        <w:t>.</w:t>
      </w:r>
    </w:p>
  </w:footnote>
  <w:footnote w:id="232">
    <w:p>
      <w:pPr>
        <w:pStyle w:val="FootnoteText"/>
      </w:pPr>
      <w:r>
        <w:rPr>
          <w:rStyle w:val="FootnoteReference"/>
        </w:rPr>
        <w:footnoteRef/>
      </w:r>
      <w:r>
        <w:t xml:space="preserve"> </w:t>
      </w:r>
      <w:r>
        <w:tab/>
        <w:t xml:space="preserve">Directive </w:t>
      </w:r>
      <w:hyperlink r:id="rId381" w:history="1">
        <w:r>
          <w:rPr>
            <w:rStyle w:val="Hyperlink"/>
          </w:rPr>
          <w:t>1999/31/EC</w:t>
        </w:r>
      </w:hyperlink>
      <w:r>
        <w:t xml:space="preserve">, Commission v Spain, </w:t>
      </w:r>
      <w:hyperlink r:id="rId382" w:history="1">
        <w:r>
          <w:rPr>
            <w:rStyle w:val="Hyperlink"/>
          </w:rPr>
          <w:t>C-454/14</w:t>
        </w:r>
      </w:hyperlink>
      <w:r>
        <w:rPr>
          <w:rStyle w:val="Hyperlink"/>
        </w:rPr>
        <w:t>.</w:t>
      </w:r>
    </w:p>
  </w:footnote>
  <w:footnote w:id="233">
    <w:p>
      <w:pPr>
        <w:pStyle w:val="FootnoteText"/>
      </w:pPr>
      <w:r>
        <w:rPr>
          <w:rStyle w:val="FootnoteReference"/>
        </w:rPr>
        <w:footnoteRef/>
      </w:r>
      <w:r>
        <w:t xml:space="preserve"> </w:t>
      </w:r>
      <w:r>
        <w:tab/>
        <w:t xml:space="preserve">Regulation </w:t>
      </w:r>
      <w:hyperlink r:id="rId383" w:history="1">
        <w:r>
          <w:rPr>
            <w:rStyle w:val="Hyperlink"/>
          </w:rPr>
          <w:t>(EC) No 1083/2006</w:t>
        </w:r>
      </w:hyperlink>
      <w:r>
        <w:t xml:space="preserve">, Commission v Spain, </w:t>
      </w:r>
      <w:hyperlink r:id="rId384" w:history="1">
        <w:r>
          <w:rPr>
            <w:rStyle w:val="Hyperlink"/>
          </w:rPr>
          <w:t>C-139/15 P</w:t>
        </w:r>
      </w:hyperlink>
      <w:r>
        <w:t xml:space="preserve"> and </w:t>
      </w:r>
      <w:hyperlink r:id="rId385" w:history="1">
        <w:r>
          <w:rPr>
            <w:rStyle w:val="Hyperlink"/>
          </w:rPr>
          <w:t>C-140/15 P</w:t>
        </w:r>
      </w:hyperlink>
      <w:r>
        <w:t>.</w:t>
      </w:r>
    </w:p>
  </w:footnote>
  <w:footnote w:id="234">
    <w:p>
      <w:pPr>
        <w:pStyle w:val="FootnoteText"/>
      </w:pPr>
      <w:r>
        <w:rPr>
          <w:rStyle w:val="FootnoteReference"/>
        </w:rPr>
        <w:footnoteRef/>
      </w:r>
      <w:r>
        <w:t xml:space="preserve"> </w:t>
      </w:r>
      <w:r>
        <w:tab/>
        <w:t xml:space="preserve">Gutiérrez Naranjo, joined cases </w:t>
      </w:r>
      <w:hyperlink r:id="rId386" w:history="1">
        <w:r>
          <w:rPr>
            <w:rStyle w:val="Hyperlink"/>
          </w:rPr>
          <w:t>C-154/15</w:t>
        </w:r>
      </w:hyperlink>
      <w:r>
        <w:t xml:space="preserve">, </w:t>
      </w:r>
      <w:hyperlink r:id="rId387" w:history="1">
        <w:r>
          <w:rPr>
            <w:rStyle w:val="Hyperlink"/>
          </w:rPr>
          <w:t>C-307/15</w:t>
        </w:r>
      </w:hyperlink>
      <w:r>
        <w:t xml:space="preserve"> and </w:t>
      </w:r>
      <w:hyperlink r:id="rId388" w:history="1">
        <w:r>
          <w:rPr>
            <w:rStyle w:val="Hyperlink"/>
          </w:rPr>
          <w:t>C-308/15</w:t>
        </w:r>
      </w:hyperlink>
      <w:r>
        <w:t>.</w:t>
      </w:r>
    </w:p>
  </w:footnote>
  <w:footnote w:id="235">
    <w:p>
      <w:pPr>
        <w:pStyle w:val="FootnoteText"/>
      </w:pPr>
      <w:r>
        <w:rPr>
          <w:rStyle w:val="FootnoteReference"/>
        </w:rPr>
        <w:footnoteRef/>
      </w:r>
      <w:r>
        <w:t xml:space="preserve"> </w:t>
      </w:r>
      <w:r>
        <w:tab/>
        <w:t xml:space="preserve">Directive </w:t>
      </w:r>
      <w:hyperlink r:id="rId389" w:history="1">
        <w:r>
          <w:rPr>
            <w:rStyle w:val="Hyperlink"/>
          </w:rPr>
          <w:t>2005/60/EC</w:t>
        </w:r>
      </w:hyperlink>
      <w:r>
        <w:t>.</w:t>
      </w:r>
    </w:p>
  </w:footnote>
  <w:footnote w:id="236">
    <w:p>
      <w:pPr>
        <w:pStyle w:val="FootnoteText"/>
      </w:pPr>
      <w:r>
        <w:rPr>
          <w:rStyle w:val="FootnoteReference"/>
        </w:rPr>
        <w:footnoteRef/>
      </w:r>
      <w:r>
        <w:t xml:space="preserve"> </w:t>
      </w:r>
      <w:r>
        <w:tab/>
        <w:t xml:space="preserve">Safe Interenvios, SA v Liberbank, SA and Others, </w:t>
      </w:r>
      <w:hyperlink r:id="rId390" w:history="1">
        <w:r>
          <w:rPr>
            <w:rStyle w:val="Hyperlink"/>
          </w:rPr>
          <w:t>C-235/14</w:t>
        </w:r>
      </w:hyperlink>
      <w:r>
        <w:t>.</w:t>
      </w:r>
    </w:p>
  </w:footnote>
  <w:footnote w:id="237">
    <w:p>
      <w:pPr>
        <w:pStyle w:val="FootnoteText"/>
      </w:pPr>
      <w:r>
        <w:rPr>
          <w:rStyle w:val="FootnoteReference"/>
        </w:rPr>
        <w:footnoteRef/>
      </w:r>
      <w:r>
        <w:t xml:space="preserve"> </w:t>
      </w:r>
      <w:r>
        <w:tab/>
        <w:t xml:space="preserve">Rendón Marín and CS, joined cases </w:t>
      </w:r>
      <w:hyperlink r:id="rId391" w:history="1">
        <w:r>
          <w:rPr>
            <w:rStyle w:val="Hyperlink"/>
          </w:rPr>
          <w:t>C-165/14</w:t>
        </w:r>
      </w:hyperlink>
      <w:r>
        <w:t xml:space="preserve"> and </w:t>
      </w:r>
      <w:hyperlink r:id="rId392" w:history="1">
        <w:r>
          <w:rPr>
            <w:rStyle w:val="Hyperlink"/>
          </w:rPr>
          <w:t>C-304/14</w:t>
        </w:r>
      </w:hyperlink>
      <w:r>
        <w:t xml:space="preserve"> and Court press release </w:t>
      </w:r>
      <w:hyperlink r:id="rId393" w:history="1">
        <w:r>
          <w:rPr>
            <w:rStyle w:val="Hyperlink"/>
          </w:rPr>
          <w:t>No 95/16</w:t>
        </w:r>
      </w:hyperlink>
      <w:r>
        <w:t>.</w:t>
      </w:r>
    </w:p>
  </w:footnote>
  <w:footnote w:id="238">
    <w:p>
      <w:pPr>
        <w:pStyle w:val="FootnoteText"/>
      </w:pPr>
      <w:r>
        <w:rPr>
          <w:rStyle w:val="FootnoteReference"/>
        </w:rPr>
        <w:footnoteRef/>
      </w:r>
      <w:r>
        <w:t xml:space="preserve"> </w:t>
      </w:r>
      <w:r>
        <w:tab/>
        <w:t xml:space="preserve">Mimoun Khachab, </w:t>
      </w:r>
      <w:hyperlink r:id="rId394" w:history="1">
        <w:r>
          <w:rPr>
            <w:rStyle w:val="Hyperlink"/>
          </w:rPr>
          <w:t>C-558/14</w:t>
        </w:r>
      </w:hyperlink>
      <w:r>
        <w:t>.</w:t>
      </w:r>
    </w:p>
  </w:footnote>
  <w:footnote w:id="239">
    <w:p>
      <w:pPr>
        <w:pStyle w:val="FootnoteText"/>
      </w:pPr>
      <w:r>
        <w:rPr>
          <w:rStyle w:val="FootnoteReference"/>
        </w:rPr>
        <w:footnoteRef/>
      </w:r>
      <w:r>
        <w:t xml:space="preserve"> </w:t>
      </w:r>
      <w:r>
        <w:tab/>
        <w:t xml:space="preserve">Directive </w:t>
      </w:r>
      <w:hyperlink r:id="rId395" w:history="1">
        <w:r>
          <w:rPr>
            <w:rStyle w:val="Hyperlink"/>
          </w:rPr>
          <w:t>2002/21/EC</w:t>
        </w:r>
      </w:hyperlink>
      <w:r>
        <w:t>.</w:t>
      </w:r>
    </w:p>
  </w:footnote>
  <w:footnote w:id="240">
    <w:p>
      <w:pPr>
        <w:pStyle w:val="FootnoteText"/>
      </w:pPr>
      <w:r>
        <w:rPr>
          <w:rStyle w:val="FootnoteReference"/>
        </w:rPr>
        <w:footnoteRef/>
      </w:r>
      <w:r>
        <w:t xml:space="preserve"> </w:t>
      </w:r>
      <w:r>
        <w:tab/>
        <w:t xml:space="preserve">Ormaetxea Garai and Lorenzo Almendros, </w:t>
      </w:r>
      <w:hyperlink r:id="rId396" w:history="1">
        <w:r>
          <w:rPr>
            <w:rStyle w:val="Hyperlink"/>
          </w:rPr>
          <w:t>C-424/15</w:t>
        </w:r>
      </w:hyperlink>
      <w:r>
        <w:t>.</w:t>
      </w:r>
    </w:p>
  </w:footnote>
  <w:footnote w:id="241">
    <w:p>
      <w:pPr>
        <w:pStyle w:val="FootnoteText"/>
      </w:pPr>
      <w:r>
        <w:rPr>
          <w:rStyle w:val="FootnoteReference"/>
        </w:rPr>
        <w:footnoteRef/>
      </w:r>
      <w:r>
        <w:t xml:space="preserve"> </w:t>
      </w:r>
      <w:r>
        <w:tab/>
        <w:t xml:space="preserve">Makro autoservicio mayorista SA and Vestel Iberia SL v European Commission, </w:t>
      </w:r>
      <w:hyperlink r:id="rId397" w:history="1">
        <w:r>
          <w:rPr>
            <w:rStyle w:val="Hyperlink"/>
          </w:rPr>
          <w:t>C-264/15 P</w:t>
        </w:r>
      </w:hyperlink>
      <w:r>
        <w:t xml:space="preserve"> and </w:t>
      </w:r>
      <w:hyperlink r:id="rId398" w:history="1">
        <w:r>
          <w:rPr>
            <w:rStyle w:val="Hyperlink"/>
          </w:rPr>
          <w:t>C-265/15 P</w:t>
        </w:r>
      </w:hyperlink>
      <w:r>
        <w:t>.</w:t>
      </w:r>
    </w:p>
  </w:footnote>
  <w:footnote w:id="242">
    <w:p>
      <w:pPr>
        <w:pStyle w:val="FootnoteText"/>
        <w:rPr>
          <w:lang w:val="pt-PT"/>
        </w:rPr>
      </w:pPr>
      <w:r>
        <w:rPr>
          <w:rStyle w:val="FootnoteReference"/>
        </w:rPr>
        <w:footnoteRef/>
      </w:r>
      <w:r>
        <w:rPr>
          <w:lang w:val="pt-PT"/>
        </w:rPr>
        <w:t xml:space="preserve"> </w:t>
      </w:r>
      <w:r>
        <w:rPr>
          <w:lang w:val="pt-PT"/>
        </w:rPr>
        <w:tab/>
        <w:t>Regulation (EU) No </w:t>
      </w:r>
      <w:hyperlink r:id="rId399" w:history="1">
        <w:r>
          <w:rPr>
            <w:rStyle w:val="Hyperlink"/>
            <w:lang w:val="pt-PT"/>
          </w:rPr>
          <w:t>98/2013</w:t>
        </w:r>
      </w:hyperlink>
      <w:r>
        <w:rPr>
          <w:lang w:val="pt-PT"/>
        </w:rPr>
        <w:t>.</w:t>
      </w:r>
    </w:p>
  </w:footnote>
  <w:footnote w:id="243">
    <w:p>
      <w:pPr>
        <w:pStyle w:val="FootnoteText"/>
        <w:rPr>
          <w:lang w:val="pt-PT"/>
        </w:rPr>
      </w:pPr>
      <w:r>
        <w:rPr>
          <w:rStyle w:val="FootnoteReference"/>
        </w:rPr>
        <w:footnoteRef/>
      </w:r>
      <w:r>
        <w:rPr>
          <w:lang w:val="pt-PT"/>
        </w:rPr>
        <w:t xml:space="preserve"> </w:t>
      </w:r>
      <w:r>
        <w:rPr>
          <w:lang w:val="pt-PT"/>
        </w:rPr>
        <w:tab/>
        <w:t xml:space="preserve">Directive </w:t>
      </w:r>
      <w:hyperlink r:id="rId400" w:history="1">
        <w:r>
          <w:rPr>
            <w:rStyle w:val="Hyperlink"/>
            <w:lang w:val="pt-PT"/>
          </w:rPr>
          <w:t>2008/98/EC</w:t>
        </w:r>
      </w:hyperlink>
      <w:r>
        <w:rPr>
          <w:lang w:val="pt-PT"/>
        </w:rPr>
        <w:t xml:space="preserve">; </w:t>
      </w:r>
      <w:hyperlink r:id="rId401" w:history="1">
        <w:r>
          <w:rPr>
            <w:rStyle w:val="Hyperlink"/>
            <w:lang w:val="pt-PT"/>
          </w:rPr>
          <w:t>MEMO/16/3644</w:t>
        </w:r>
      </w:hyperlink>
      <w:r>
        <w:rPr>
          <w:lang w:val="pt-PT"/>
        </w:rPr>
        <w:t>.</w:t>
      </w:r>
    </w:p>
  </w:footnote>
  <w:footnote w:id="244">
    <w:p>
      <w:pPr>
        <w:pStyle w:val="FootnoteText"/>
      </w:pPr>
      <w:r>
        <w:rPr>
          <w:rStyle w:val="FootnoteReference"/>
        </w:rPr>
        <w:footnoteRef/>
      </w:r>
      <w:r>
        <w:t xml:space="preserve"> </w:t>
      </w:r>
      <w:r>
        <w:tab/>
      </w:r>
      <w:hyperlink r:id="rId402" w:history="1">
        <w:r>
          <w:rPr>
            <w:rStyle w:val="Hyperlink"/>
          </w:rPr>
          <w:t>MEMO/16/209</w:t>
        </w:r>
      </w:hyperlink>
      <w:r>
        <w:t xml:space="preserve"> and </w:t>
      </w:r>
      <w:hyperlink r:id="rId403" w:history="1">
        <w:r>
          <w:rPr>
            <w:rStyle w:val="Hyperlink"/>
          </w:rPr>
          <w:t>IP/16/4213</w:t>
        </w:r>
      </w:hyperlink>
      <w:r>
        <w:t>.</w:t>
      </w:r>
    </w:p>
  </w:footnote>
  <w:footnote w:id="245">
    <w:p>
      <w:pPr>
        <w:pStyle w:val="FootnoteText"/>
      </w:pPr>
      <w:r>
        <w:rPr>
          <w:rStyle w:val="FootnoteReference"/>
        </w:rPr>
        <w:footnoteRef/>
      </w:r>
      <w:r>
        <w:t xml:space="preserve"> </w:t>
      </w:r>
      <w:r>
        <w:tab/>
        <w:t xml:space="preserve">Directive </w:t>
      </w:r>
      <w:hyperlink r:id="rId404" w:history="1">
        <w:r>
          <w:rPr>
            <w:rStyle w:val="Hyperlink"/>
          </w:rPr>
          <w:t>2006/21/EC</w:t>
        </w:r>
      </w:hyperlink>
      <w:r>
        <w:t>.</w:t>
      </w:r>
    </w:p>
  </w:footnote>
  <w:footnote w:id="246">
    <w:p>
      <w:pPr>
        <w:pStyle w:val="FootnoteText"/>
      </w:pPr>
      <w:r>
        <w:rPr>
          <w:rStyle w:val="FootnoteReference"/>
        </w:rPr>
        <w:footnoteRef/>
      </w:r>
      <w:r>
        <w:t xml:space="preserve"> </w:t>
      </w:r>
      <w:r>
        <w:tab/>
        <w:t xml:space="preserve">Directives </w:t>
      </w:r>
      <w:hyperlink r:id="rId405" w:history="1">
        <w:r>
          <w:rPr>
            <w:rStyle w:val="Hyperlink"/>
          </w:rPr>
          <w:t>2009/72/EC</w:t>
        </w:r>
      </w:hyperlink>
      <w:r>
        <w:t xml:space="preserve"> and </w:t>
      </w:r>
      <w:hyperlink r:id="rId406" w:history="1">
        <w:r>
          <w:rPr>
            <w:rStyle w:val="Hyperlink"/>
          </w:rPr>
          <w:t>2009/73/EC</w:t>
        </w:r>
      </w:hyperlink>
      <w:r>
        <w:t xml:space="preserve">; </w:t>
      </w:r>
      <w:hyperlink r:id="rId407" w:history="1">
        <w:r>
          <w:rPr>
            <w:rStyle w:val="Hyperlink"/>
          </w:rPr>
          <w:t>MEMO/16/2490</w:t>
        </w:r>
      </w:hyperlink>
      <w:r>
        <w:t>.</w:t>
      </w:r>
    </w:p>
  </w:footnote>
  <w:footnote w:id="247">
    <w:p>
      <w:pPr>
        <w:pStyle w:val="FootnoteText"/>
      </w:pPr>
      <w:r>
        <w:rPr>
          <w:rStyle w:val="FootnoteReference"/>
        </w:rPr>
        <w:footnoteRef/>
      </w:r>
      <w:r>
        <w:t xml:space="preserve"> </w:t>
      </w:r>
      <w:r>
        <w:tab/>
      </w:r>
      <w:r>
        <w:rPr>
          <w:szCs w:val="18"/>
        </w:rPr>
        <w:t xml:space="preserve">Directive </w:t>
      </w:r>
      <w:hyperlink r:id="rId408" w:history="1">
        <w:r>
          <w:rPr>
            <w:rStyle w:val="Hyperlink"/>
            <w:szCs w:val="18"/>
          </w:rPr>
          <w:t>2012/34/EC</w:t>
        </w:r>
      </w:hyperlink>
      <w:r>
        <w:rPr>
          <w:szCs w:val="18"/>
        </w:rPr>
        <w:t>.</w:t>
      </w:r>
    </w:p>
  </w:footnote>
  <w:footnote w:id="248">
    <w:p>
      <w:pPr>
        <w:pStyle w:val="FootnoteText"/>
      </w:pPr>
      <w:r>
        <w:rPr>
          <w:rStyle w:val="FootnoteReference"/>
        </w:rPr>
        <w:footnoteRef/>
      </w:r>
      <w:r>
        <w:t xml:space="preserve"> </w:t>
      </w:r>
      <w:r>
        <w:tab/>
      </w:r>
      <w:hyperlink r:id="rId409" w:history="1">
        <w:r>
          <w:rPr>
            <w:rStyle w:val="Hyperlink"/>
          </w:rPr>
          <w:t>IP/16/2101</w:t>
        </w:r>
      </w:hyperlink>
      <w:r>
        <w:t>.</w:t>
      </w:r>
    </w:p>
  </w:footnote>
  <w:footnote w:id="249">
    <w:p>
      <w:pPr>
        <w:pStyle w:val="FootnoteText"/>
      </w:pPr>
      <w:r>
        <w:rPr>
          <w:rStyle w:val="FootnoteReference"/>
        </w:rPr>
        <w:footnoteRef/>
      </w:r>
      <w:r>
        <w:t xml:space="preserve"> </w:t>
      </w:r>
      <w:r>
        <w:tab/>
        <w:t xml:space="preserve">Directive </w:t>
      </w:r>
      <w:hyperlink r:id="rId410" w:history="1">
        <w:r>
          <w:rPr>
            <w:rStyle w:val="Hyperlink"/>
          </w:rPr>
          <w:t>2014/89/EU</w:t>
        </w:r>
      </w:hyperlink>
      <w:r>
        <w:t>.</w:t>
      </w:r>
    </w:p>
  </w:footnote>
  <w:footnote w:id="250">
    <w:p>
      <w:pPr>
        <w:pStyle w:val="FootnoteText"/>
      </w:pPr>
      <w:r>
        <w:rPr>
          <w:rStyle w:val="FootnoteReference"/>
        </w:rPr>
        <w:footnoteRef/>
      </w:r>
      <w:r>
        <w:t xml:space="preserve"> </w:t>
      </w:r>
      <w:r>
        <w:tab/>
        <w:t xml:space="preserve">Directive </w:t>
      </w:r>
      <w:hyperlink r:id="rId411" w:history="1">
        <w:r>
          <w:rPr>
            <w:rStyle w:val="Hyperlink"/>
          </w:rPr>
          <w:t>2013/39/EU</w:t>
        </w:r>
      </w:hyperlink>
      <w:r>
        <w:t xml:space="preserve">, </w:t>
      </w:r>
      <w:hyperlink r:id="rId412" w:history="1">
        <w:r>
          <w:rPr>
            <w:rStyle w:val="Hyperlink"/>
          </w:rPr>
          <w:t>MEMO/16/1452</w:t>
        </w:r>
      </w:hyperlink>
      <w:r>
        <w:t>.</w:t>
      </w:r>
    </w:p>
  </w:footnote>
  <w:footnote w:id="251">
    <w:p>
      <w:pPr>
        <w:pStyle w:val="FootnoteText"/>
      </w:pPr>
      <w:r>
        <w:rPr>
          <w:rStyle w:val="FootnoteReference"/>
        </w:rPr>
        <w:footnoteRef/>
      </w:r>
      <w:r>
        <w:t xml:space="preserve"> </w:t>
      </w:r>
      <w:r>
        <w:tab/>
        <w:t xml:space="preserve">Directive </w:t>
      </w:r>
      <w:hyperlink r:id="rId413" w:history="1">
        <w:r>
          <w:rPr>
            <w:rStyle w:val="Hyperlink"/>
          </w:rPr>
          <w:t>2005/36/EC</w:t>
        </w:r>
      </w:hyperlink>
      <w:r>
        <w:t>.</w:t>
      </w:r>
    </w:p>
  </w:footnote>
  <w:footnote w:id="252">
    <w:p>
      <w:pPr>
        <w:pStyle w:val="FootnoteText"/>
      </w:pPr>
      <w:r>
        <w:rPr>
          <w:rStyle w:val="FootnoteReference"/>
        </w:rPr>
        <w:footnoteRef/>
      </w:r>
      <w:r>
        <w:t xml:space="preserve"> </w:t>
      </w:r>
      <w:r>
        <w:tab/>
        <w:t xml:space="preserve">Directive </w:t>
      </w:r>
      <w:hyperlink r:id="rId414" w:history="1">
        <w:r>
          <w:rPr>
            <w:rStyle w:val="Hyperlink"/>
          </w:rPr>
          <w:t>2013/55/EU</w:t>
        </w:r>
      </w:hyperlink>
      <w:r>
        <w:t xml:space="preserve">, </w:t>
      </w:r>
      <w:hyperlink r:id="rId415" w:history="1">
        <w:r>
          <w:rPr>
            <w:rStyle w:val="Hyperlink"/>
          </w:rPr>
          <w:t>MEMO/16/3125</w:t>
        </w:r>
      </w:hyperlink>
      <w:r>
        <w:t>.</w:t>
      </w:r>
    </w:p>
  </w:footnote>
  <w:footnote w:id="253">
    <w:p>
      <w:pPr>
        <w:pStyle w:val="FootnoteText"/>
      </w:pPr>
      <w:r>
        <w:rPr>
          <w:rStyle w:val="FootnoteReference"/>
        </w:rPr>
        <w:footnoteRef/>
      </w:r>
      <w:r>
        <w:t xml:space="preserve"> </w:t>
      </w:r>
      <w:r>
        <w:tab/>
        <w:t xml:space="preserve">Directive </w:t>
      </w:r>
      <w:hyperlink r:id="rId416" w:history="1">
        <w:r>
          <w:rPr>
            <w:rStyle w:val="Hyperlink"/>
          </w:rPr>
          <w:t>2013/36/EU</w:t>
        </w:r>
      </w:hyperlink>
      <w:r>
        <w:t>.</w:t>
      </w:r>
    </w:p>
  </w:footnote>
  <w:footnote w:id="254">
    <w:p>
      <w:pPr>
        <w:pStyle w:val="FootnoteText"/>
      </w:pPr>
      <w:r>
        <w:rPr>
          <w:rStyle w:val="FootnoteReference"/>
        </w:rPr>
        <w:footnoteRef/>
      </w:r>
      <w:r>
        <w:t xml:space="preserve"> </w:t>
      </w:r>
      <w:r>
        <w:tab/>
        <w:t xml:space="preserve">Directive </w:t>
      </w:r>
      <w:hyperlink r:id="rId417" w:history="1">
        <w:r>
          <w:rPr>
            <w:rStyle w:val="Hyperlink"/>
          </w:rPr>
          <w:t>2014/59/EU</w:t>
        </w:r>
      </w:hyperlink>
      <w:r>
        <w:t>.</w:t>
      </w:r>
    </w:p>
  </w:footnote>
  <w:footnote w:id="255">
    <w:p>
      <w:pPr>
        <w:pStyle w:val="FootnoteText"/>
      </w:pPr>
      <w:r>
        <w:rPr>
          <w:rStyle w:val="FootnoteReference"/>
        </w:rPr>
        <w:footnoteRef/>
      </w:r>
      <w:r>
        <w:t xml:space="preserve"> </w:t>
      </w:r>
      <w:r>
        <w:tab/>
        <w:t xml:space="preserve">Directive </w:t>
      </w:r>
      <w:hyperlink r:id="rId418" w:history="1">
        <w:r>
          <w:rPr>
            <w:rStyle w:val="Hyperlink"/>
          </w:rPr>
          <w:t>2014/49/EU</w:t>
        </w:r>
      </w:hyperlink>
      <w:r>
        <w:t>.</w:t>
      </w:r>
    </w:p>
  </w:footnote>
  <w:footnote w:id="256">
    <w:p>
      <w:pPr>
        <w:pStyle w:val="FootnoteText"/>
      </w:pPr>
      <w:r>
        <w:rPr>
          <w:rStyle w:val="FootnoteReference"/>
        </w:rPr>
        <w:footnoteRef/>
      </w:r>
      <w:r>
        <w:t xml:space="preserve"> </w:t>
      </w:r>
      <w:r>
        <w:tab/>
        <w:t xml:space="preserve">Directive </w:t>
      </w:r>
      <w:hyperlink r:id="rId419" w:history="1">
        <w:r>
          <w:rPr>
            <w:rStyle w:val="Hyperlink"/>
          </w:rPr>
          <w:t>2006/126/EC</w:t>
        </w:r>
      </w:hyperlink>
      <w:r>
        <w:t>.</w:t>
      </w:r>
    </w:p>
  </w:footnote>
  <w:footnote w:id="257">
    <w:p>
      <w:pPr>
        <w:pStyle w:val="FootnoteText"/>
      </w:pPr>
      <w:r>
        <w:rPr>
          <w:rStyle w:val="FootnoteReference"/>
        </w:rPr>
        <w:footnoteRef/>
      </w:r>
      <w:r>
        <w:t xml:space="preserve"> </w:t>
      </w:r>
      <w:r>
        <w:tab/>
        <w:t xml:space="preserve">These rulings are almost exclusively handed down </w:t>
      </w:r>
      <w:r>
        <w:rPr>
          <w:rFonts w:cs="Arial"/>
          <w:szCs w:val="18"/>
        </w:rPr>
        <w:t>in</w:t>
      </w:r>
      <w:r>
        <w:t xml:space="preserve"> infringement procedures.</w:t>
      </w:r>
    </w:p>
  </w:footnote>
  <w:footnote w:id="258">
    <w:p>
      <w:pPr>
        <w:pStyle w:val="FootnoteText"/>
        <w:rPr>
          <w:lang w:val="fr-BE"/>
        </w:rPr>
      </w:pPr>
      <w:r>
        <w:rPr>
          <w:rStyle w:val="FootnoteReference"/>
        </w:rPr>
        <w:footnoteRef/>
      </w:r>
      <w:r>
        <w:rPr>
          <w:lang w:val="fr-BE"/>
        </w:rPr>
        <w:t xml:space="preserve"> </w:t>
      </w:r>
      <w:r>
        <w:rPr>
          <w:lang w:val="fr-BE"/>
        </w:rPr>
        <w:tab/>
        <w:t xml:space="preserve">Directive </w:t>
      </w:r>
      <w:hyperlink r:id="rId420" w:history="1">
        <w:r>
          <w:rPr>
            <w:rStyle w:val="Hyperlink"/>
            <w:lang w:val="fr-BE"/>
          </w:rPr>
          <w:t>91/271/EEC</w:t>
        </w:r>
      </w:hyperlink>
      <w:r>
        <w:rPr>
          <w:lang w:val="fr-BE"/>
        </w:rPr>
        <w:t xml:space="preserve">; Commission v France, </w:t>
      </w:r>
      <w:hyperlink r:id="rId421" w:history="1">
        <w:r>
          <w:rPr>
            <w:rStyle w:val="Hyperlink"/>
            <w:lang w:val="fr-BE"/>
          </w:rPr>
          <w:t>C-314/15</w:t>
        </w:r>
      </w:hyperlink>
      <w:r>
        <w:rPr>
          <w:rStyle w:val="Hyperlink"/>
          <w:lang w:val="fr-BE"/>
        </w:rPr>
        <w:t>.</w:t>
      </w:r>
    </w:p>
  </w:footnote>
  <w:footnote w:id="259">
    <w:p>
      <w:pPr>
        <w:pStyle w:val="FootnoteText"/>
        <w:rPr>
          <w:b/>
          <w:i/>
          <w:lang w:val="fr-BE"/>
        </w:rPr>
      </w:pPr>
      <w:r>
        <w:rPr>
          <w:rStyle w:val="FootnoteReference"/>
        </w:rPr>
        <w:footnoteRef/>
      </w:r>
      <w:r>
        <w:rPr>
          <w:lang w:val="fr-BE"/>
        </w:rPr>
        <w:t xml:space="preserve"> </w:t>
      </w:r>
      <w:r>
        <w:rPr>
          <w:lang w:val="fr-BE"/>
        </w:rPr>
        <w:tab/>
        <w:t xml:space="preserve">Directive </w:t>
      </w:r>
      <w:hyperlink r:id="rId422" w:history="1">
        <w:r>
          <w:rPr>
            <w:rStyle w:val="Hyperlink"/>
            <w:lang w:val="fr-BE"/>
          </w:rPr>
          <w:t>2009/73/EC.</w:t>
        </w:r>
      </w:hyperlink>
    </w:p>
  </w:footnote>
  <w:footnote w:id="260">
    <w:p>
      <w:pPr>
        <w:pStyle w:val="FootnoteText"/>
        <w:rPr>
          <w:lang w:val="fr-BE"/>
        </w:rPr>
      </w:pPr>
      <w:r>
        <w:rPr>
          <w:rStyle w:val="FootnoteReference"/>
        </w:rPr>
        <w:footnoteRef/>
      </w:r>
      <w:r>
        <w:rPr>
          <w:lang w:val="fr-BE"/>
        </w:rPr>
        <w:t xml:space="preserve"> </w:t>
      </w:r>
      <w:r>
        <w:rPr>
          <w:lang w:val="fr-BE"/>
        </w:rPr>
        <w:tab/>
        <w:t xml:space="preserve">Association nationale des opérateurs détaillants en énergie (ANODE) v Premier ministre and Others, </w:t>
      </w:r>
      <w:hyperlink r:id="rId423" w:history="1">
        <w:r>
          <w:rPr>
            <w:rStyle w:val="Hyperlink"/>
            <w:lang w:val="fr-BE"/>
          </w:rPr>
          <w:t>C-121/15</w:t>
        </w:r>
      </w:hyperlink>
      <w:r>
        <w:rPr>
          <w:lang w:val="fr-BE"/>
        </w:rPr>
        <w:t>, Court Press Release No </w:t>
      </w:r>
      <w:hyperlink r:id="rId424" w:history="1">
        <w:r>
          <w:rPr>
            <w:rStyle w:val="Hyperlink"/>
            <w:lang w:val="fr-BE"/>
          </w:rPr>
          <w:t>88/2016</w:t>
        </w:r>
      </w:hyperlink>
      <w:r>
        <w:rPr>
          <w:lang w:val="fr-BE"/>
        </w:rPr>
        <w:t>.</w:t>
      </w:r>
    </w:p>
  </w:footnote>
  <w:footnote w:id="261">
    <w:p>
      <w:pPr>
        <w:pStyle w:val="FootnoteText"/>
        <w:rPr>
          <w:rFonts w:cs="Arial"/>
        </w:rPr>
      </w:pPr>
      <w:r>
        <w:rPr>
          <w:rStyle w:val="FootnoteReference"/>
        </w:rPr>
        <w:footnoteRef/>
      </w:r>
      <w:r>
        <w:t xml:space="preserve"> </w:t>
      </w:r>
      <w:r>
        <w:tab/>
        <w:t xml:space="preserve">Directive </w:t>
      </w:r>
      <w:hyperlink r:id="rId425" w:history="1">
        <w:r>
          <w:rPr>
            <w:rStyle w:val="Hyperlink"/>
          </w:rPr>
          <w:t>94/62/EC</w:t>
        </w:r>
      </w:hyperlink>
      <w:r>
        <w:t xml:space="preserve">; Eco-Emballages, joined cases </w:t>
      </w:r>
      <w:hyperlink r:id="rId426" w:tgtFrame="_blank" w:history="1">
        <w:r>
          <w:rPr>
            <w:rStyle w:val="Hyperlink"/>
            <w:rFonts w:eastAsia="MS Gothic"/>
          </w:rPr>
          <w:t>C-313/15</w:t>
        </w:r>
        <w:r>
          <w:rPr>
            <w:rStyle w:val="Hyperlink"/>
          </w:rPr>
          <w:t xml:space="preserve"> and C-530/15</w:t>
        </w:r>
      </w:hyperlink>
      <w:r>
        <w:t>.</w:t>
      </w:r>
    </w:p>
  </w:footnote>
  <w:footnote w:id="262">
    <w:p>
      <w:pPr>
        <w:pStyle w:val="FootnoteText"/>
        <w:rPr>
          <w:rFonts w:cs="Arial"/>
          <w:lang w:val="fr-BE"/>
        </w:rPr>
      </w:pPr>
      <w:r>
        <w:rPr>
          <w:rStyle w:val="FootnoteReference"/>
        </w:rPr>
        <w:footnoteRef/>
      </w:r>
      <w:r>
        <w:rPr>
          <w:lang w:val="fr-BE"/>
        </w:rPr>
        <w:t xml:space="preserve"> </w:t>
      </w:r>
      <w:r>
        <w:rPr>
          <w:lang w:val="fr-BE"/>
        </w:rPr>
        <w:tab/>
        <w:t>Directive</w:t>
      </w:r>
      <w:r>
        <w:rPr>
          <w:b/>
          <w:bCs/>
          <w:sz w:val="22"/>
          <w:lang w:val="fr-BE"/>
        </w:rPr>
        <w:t xml:space="preserve"> </w:t>
      </w:r>
      <w:hyperlink r:id="rId427" w:history="1">
        <w:r>
          <w:rPr>
            <w:rStyle w:val="Hyperlink"/>
            <w:lang w:val="fr-BE"/>
          </w:rPr>
          <w:t>2001/42/EC</w:t>
        </w:r>
      </w:hyperlink>
      <w:r>
        <w:rPr>
          <w:bCs/>
          <w:lang w:val="fr-BE"/>
        </w:rPr>
        <w:t xml:space="preserve">; </w:t>
      </w:r>
      <w:r>
        <w:rPr>
          <w:lang w:val="fr-BE"/>
        </w:rPr>
        <w:t xml:space="preserve">Association France Nature Environnement, </w:t>
      </w:r>
      <w:hyperlink r:id="rId428" w:history="1">
        <w:r>
          <w:rPr>
            <w:rStyle w:val="Hyperlink"/>
            <w:lang w:val="fr-BE"/>
          </w:rPr>
          <w:t>C-379/15</w:t>
        </w:r>
      </w:hyperlink>
      <w:r>
        <w:rPr>
          <w:lang w:val="fr-BE"/>
        </w:rPr>
        <w:t>.</w:t>
      </w:r>
    </w:p>
  </w:footnote>
  <w:footnote w:id="263">
    <w:p>
      <w:pPr>
        <w:pStyle w:val="FootnoteText"/>
        <w:rPr>
          <w:lang w:val="fr-BE"/>
        </w:rPr>
      </w:pPr>
      <w:r>
        <w:rPr>
          <w:rStyle w:val="FootnoteReference"/>
        </w:rPr>
        <w:footnoteRef/>
      </w:r>
      <w:r>
        <w:rPr>
          <w:lang w:val="fr-BE"/>
        </w:rPr>
        <w:t xml:space="preserve"> </w:t>
      </w:r>
      <w:r>
        <w:rPr>
          <w:lang w:val="fr-BE"/>
        </w:rPr>
        <w:tab/>
        <w:t xml:space="preserve">Directive </w:t>
      </w:r>
      <w:hyperlink r:id="rId429" w:history="1">
        <w:r>
          <w:rPr>
            <w:rStyle w:val="Hyperlink"/>
            <w:lang w:val="fr-BE"/>
          </w:rPr>
          <w:t>2005/29/EC</w:t>
        </w:r>
      </w:hyperlink>
      <w:r>
        <w:rPr>
          <w:lang w:val="fr-BE"/>
        </w:rPr>
        <w:t>.</w:t>
      </w:r>
    </w:p>
  </w:footnote>
  <w:footnote w:id="264">
    <w:p>
      <w:pPr>
        <w:pStyle w:val="FootnoteText"/>
        <w:rPr>
          <w:lang w:val="fr-FR"/>
        </w:rPr>
      </w:pPr>
      <w:r>
        <w:rPr>
          <w:rStyle w:val="FootnoteReference"/>
        </w:rPr>
        <w:footnoteRef/>
      </w:r>
      <w:r>
        <w:rPr>
          <w:lang w:val="fr-FR"/>
        </w:rPr>
        <w:t xml:space="preserve"> </w:t>
      </w:r>
      <w:r>
        <w:rPr>
          <w:lang w:val="fr-FR"/>
        </w:rPr>
        <w:tab/>
        <w:t xml:space="preserve">Deroo-Blanquart, </w:t>
      </w:r>
      <w:hyperlink r:id="rId430" w:history="1">
        <w:r>
          <w:rPr>
            <w:rStyle w:val="Hyperlink"/>
            <w:lang w:val="fr-FR"/>
          </w:rPr>
          <w:t>C-310/15</w:t>
        </w:r>
      </w:hyperlink>
      <w:r>
        <w:rPr>
          <w:lang w:val="fr-FR"/>
        </w:rPr>
        <w:t>.</w:t>
      </w:r>
    </w:p>
    <w:p>
      <w:pPr>
        <w:pStyle w:val="FootnoteText"/>
        <w:ind w:left="0" w:firstLine="0"/>
        <w:rPr>
          <w:lang w:val="fr-FR"/>
        </w:rPr>
      </w:pPr>
    </w:p>
  </w:footnote>
  <w:footnote w:id="265">
    <w:p>
      <w:pPr>
        <w:pStyle w:val="FootnoteText"/>
      </w:pPr>
      <w:r>
        <w:rPr>
          <w:rStyle w:val="FootnoteReference"/>
        </w:rPr>
        <w:footnoteRef/>
      </w:r>
      <w:r>
        <w:t xml:space="preserve"> </w:t>
      </w:r>
      <w:r>
        <w:rPr>
          <w:rFonts w:cs="Arial"/>
          <w:szCs w:val="18"/>
        </w:rPr>
        <w:t>Croatia joined the EU on 1 July 2013.</w:t>
      </w:r>
    </w:p>
  </w:footnote>
  <w:footnote w:id="266">
    <w:p>
      <w:pPr>
        <w:pStyle w:val="FootnoteText"/>
      </w:pPr>
      <w:r>
        <w:rPr>
          <w:rStyle w:val="FootnoteReference"/>
        </w:rPr>
        <w:footnoteRef/>
      </w:r>
      <w:r>
        <w:t xml:space="preserve"> </w:t>
      </w:r>
      <w:r>
        <w:tab/>
      </w:r>
      <w:r>
        <w:rPr>
          <w:rFonts w:cs="Arial"/>
          <w:szCs w:val="18"/>
        </w:rPr>
        <w:t>Croatia joined the EU Pilot system in July 2013.</w:t>
      </w:r>
    </w:p>
  </w:footnote>
  <w:footnote w:id="267">
    <w:p>
      <w:pPr>
        <w:pStyle w:val="FootnoteText"/>
      </w:pPr>
      <w:r>
        <w:rPr>
          <w:rStyle w:val="FootnoteReference"/>
        </w:rPr>
        <w:footnoteRef/>
      </w:r>
      <w:r>
        <w:t xml:space="preserve"> </w:t>
      </w:r>
      <w:r>
        <w:tab/>
      </w:r>
      <w:r>
        <w:rPr>
          <w:rFonts w:cs="Arial"/>
          <w:szCs w:val="18"/>
        </w:rPr>
        <w:t>Croatia joined the EU Pilot system in July 2013.</w:t>
      </w:r>
    </w:p>
  </w:footnote>
  <w:footnote w:id="268">
    <w:p>
      <w:pPr>
        <w:pStyle w:val="FootnoteText"/>
      </w:pPr>
      <w:r>
        <w:rPr>
          <w:rStyle w:val="FootnoteReference"/>
        </w:rPr>
        <w:footnoteRef/>
      </w:r>
      <w:r>
        <w:t xml:space="preserve"> </w:t>
      </w:r>
      <w:r>
        <w:tab/>
        <w:t xml:space="preserve">Council Decisions </w:t>
      </w:r>
      <w:hyperlink r:id="rId431" w:history="1">
        <w:r>
          <w:rPr>
            <w:rStyle w:val="Hyperlink"/>
          </w:rPr>
          <w:t>2008/615/JHA</w:t>
        </w:r>
      </w:hyperlink>
      <w:r>
        <w:t xml:space="preserve"> and </w:t>
      </w:r>
      <w:hyperlink r:id="rId432" w:history="1">
        <w:r>
          <w:rPr>
            <w:rStyle w:val="Hyperlink"/>
          </w:rPr>
          <w:t>2008/616/JHA</w:t>
        </w:r>
      </w:hyperlink>
      <w:r>
        <w:t xml:space="preserve">; </w:t>
      </w:r>
      <w:hyperlink r:id="rId433" w:history="1">
        <w:r>
          <w:rPr>
            <w:rStyle w:val="Hyperlink"/>
          </w:rPr>
          <w:t>MEMO/16/3125</w:t>
        </w:r>
      </w:hyperlink>
      <w:r>
        <w:t>.</w:t>
      </w:r>
    </w:p>
  </w:footnote>
  <w:footnote w:id="269">
    <w:p>
      <w:pPr>
        <w:pStyle w:val="FootnoteText"/>
        <w:rPr>
          <w:lang w:val="pt-PT"/>
        </w:rPr>
      </w:pPr>
      <w:r>
        <w:rPr>
          <w:rStyle w:val="FootnoteReference"/>
        </w:rPr>
        <w:footnoteRef/>
      </w:r>
      <w:r>
        <w:rPr>
          <w:lang w:val="pt-PT"/>
        </w:rPr>
        <w:t xml:space="preserve"> </w:t>
      </w:r>
      <w:r>
        <w:rPr>
          <w:lang w:val="pt-PT"/>
        </w:rPr>
        <w:tab/>
        <w:t xml:space="preserve">Directive </w:t>
      </w:r>
      <w:hyperlink r:id="rId434" w:history="1">
        <w:r>
          <w:rPr>
            <w:rStyle w:val="Hyperlink"/>
            <w:lang w:val="pt-PT"/>
          </w:rPr>
          <w:t>2014/40/EU</w:t>
        </w:r>
      </w:hyperlink>
      <w:r>
        <w:rPr>
          <w:lang w:val="pt-PT"/>
        </w:rPr>
        <w:t xml:space="preserve">; </w:t>
      </w:r>
      <w:hyperlink r:id="rId435" w:history="1">
        <w:r>
          <w:rPr>
            <w:rStyle w:val="Hyperlink"/>
            <w:lang w:val="pt-PT"/>
          </w:rPr>
          <w:t>MEMO/16/4211</w:t>
        </w:r>
      </w:hyperlink>
      <w:r>
        <w:rPr>
          <w:lang w:val="pt-PT"/>
        </w:rPr>
        <w:t>.</w:t>
      </w:r>
    </w:p>
  </w:footnote>
  <w:footnote w:id="270">
    <w:p>
      <w:pPr>
        <w:pStyle w:val="FootnoteText"/>
        <w:rPr>
          <w:lang w:val="pt-PT"/>
        </w:rPr>
      </w:pPr>
      <w:r>
        <w:rPr>
          <w:rStyle w:val="FootnoteReference"/>
        </w:rPr>
        <w:footnoteRef/>
      </w:r>
      <w:r>
        <w:rPr>
          <w:lang w:val="pt-PT"/>
        </w:rPr>
        <w:t xml:space="preserve"> </w:t>
      </w:r>
      <w:r>
        <w:rPr>
          <w:lang w:val="pt-PT"/>
        </w:rPr>
        <w:tab/>
        <w:t xml:space="preserve">Directive </w:t>
      </w:r>
      <w:hyperlink r:id="rId436" w:history="1">
        <w:r>
          <w:rPr>
            <w:rStyle w:val="Hyperlink"/>
            <w:lang w:val="pt-PT"/>
          </w:rPr>
          <w:t>2008/98/EC</w:t>
        </w:r>
      </w:hyperlink>
      <w:r>
        <w:rPr>
          <w:lang w:val="pt-PT"/>
        </w:rPr>
        <w:t xml:space="preserve">; </w:t>
      </w:r>
      <w:hyperlink r:id="rId437" w:history="1">
        <w:r>
          <w:rPr>
            <w:rStyle w:val="Hyperlink"/>
            <w:lang w:val="pt-PT"/>
          </w:rPr>
          <w:t>MEMO/16/1452</w:t>
        </w:r>
      </w:hyperlink>
      <w:r>
        <w:rPr>
          <w:lang w:val="pt-PT"/>
        </w:rPr>
        <w:t>.</w:t>
      </w:r>
    </w:p>
  </w:footnote>
  <w:footnote w:id="271">
    <w:p>
      <w:pPr>
        <w:pStyle w:val="FootnoteText"/>
        <w:rPr>
          <w:lang w:val="pt-PT"/>
        </w:rPr>
      </w:pPr>
      <w:r>
        <w:rPr>
          <w:rStyle w:val="FootnoteReference"/>
        </w:rPr>
        <w:footnoteRef/>
      </w:r>
      <w:r>
        <w:rPr>
          <w:lang w:val="pt-PT"/>
        </w:rPr>
        <w:t xml:space="preserve"> </w:t>
      </w:r>
      <w:r>
        <w:rPr>
          <w:lang w:val="pt-PT"/>
        </w:rPr>
        <w:tab/>
        <w:t xml:space="preserve">Directive </w:t>
      </w:r>
      <w:hyperlink r:id="rId438" w:history="1">
        <w:r>
          <w:rPr>
            <w:rStyle w:val="Hyperlink"/>
            <w:lang w:val="pt-PT"/>
          </w:rPr>
          <w:t>2008/98/EC</w:t>
        </w:r>
      </w:hyperlink>
      <w:r>
        <w:rPr>
          <w:lang w:val="pt-PT"/>
        </w:rPr>
        <w:t xml:space="preserve">; </w:t>
      </w:r>
      <w:hyperlink r:id="rId439" w:history="1">
        <w:r>
          <w:rPr>
            <w:rStyle w:val="Hyperlink"/>
            <w:lang w:val="pt-PT"/>
          </w:rPr>
          <w:t>MEMO/16/2490</w:t>
        </w:r>
      </w:hyperlink>
      <w:r>
        <w:rPr>
          <w:lang w:val="pt-PT"/>
        </w:rPr>
        <w:t>.</w:t>
      </w:r>
    </w:p>
  </w:footnote>
  <w:footnote w:id="272">
    <w:p>
      <w:pPr>
        <w:pStyle w:val="FootnoteText"/>
        <w:rPr>
          <w:lang w:val="pt-PT"/>
        </w:rPr>
      </w:pPr>
      <w:r>
        <w:rPr>
          <w:rStyle w:val="FootnoteReference"/>
        </w:rPr>
        <w:footnoteRef/>
      </w:r>
      <w:r>
        <w:rPr>
          <w:lang w:val="pt-PT"/>
        </w:rPr>
        <w:t xml:space="preserve"> </w:t>
      </w:r>
      <w:r>
        <w:rPr>
          <w:lang w:val="pt-PT"/>
        </w:rPr>
        <w:tab/>
        <w:t xml:space="preserve">Directive </w:t>
      </w:r>
      <w:hyperlink r:id="rId440" w:history="1">
        <w:r>
          <w:rPr>
            <w:rStyle w:val="Hyperlink"/>
            <w:lang w:val="pt-PT"/>
          </w:rPr>
          <w:t>2011/92/EU</w:t>
        </w:r>
      </w:hyperlink>
      <w:r>
        <w:rPr>
          <w:lang w:val="pt-PT"/>
        </w:rPr>
        <w:t>.</w:t>
      </w:r>
    </w:p>
  </w:footnote>
  <w:footnote w:id="273">
    <w:p>
      <w:pPr>
        <w:pStyle w:val="FootnoteText"/>
      </w:pPr>
      <w:r>
        <w:rPr>
          <w:rStyle w:val="FootnoteReference"/>
        </w:rPr>
        <w:footnoteRef/>
      </w:r>
      <w:r>
        <w:t xml:space="preserve"> </w:t>
      </w:r>
      <w:r>
        <w:tab/>
        <w:t xml:space="preserve">Directive </w:t>
      </w:r>
      <w:hyperlink r:id="rId441" w:history="1">
        <w:r>
          <w:rPr>
            <w:rStyle w:val="Hyperlink"/>
          </w:rPr>
          <w:t>2008/98/EC</w:t>
        </w:r>
      </w:hyperlink>
      <w:r>
        <w:t xml:space="preserve">; </w:t>
      </w:r>
      <w:hyperlink r:id="rId442" w:history="1">
        <w:r>
          <w:rPr>
            <w:rStyle w:val="Hyperlink"/>
          </w:rPr>
          <w:t>MEMO/16/3644</w:t>
        </w:r>
      </w:hyperlink>
      <w:r>
        <w:t>.</w:t>
      </w:r>
    </w:p>
  </w:footnote>
  <w:footnote w:id="274">
    <w:p>
      <w:pPr>
        <w:pStyle w:val="FootnoteText"/>
      </w:pPr>
      <w:r>
        <w:rPr>
          <w:rStyle w:val="FootnoteReference"/>
        </w:rPr>
        <w:footnoteRef/>
      </w:r>
      <w:r>
        <w:t xml:space="preserve"> </w:t>
      </w:r>
      <w:r>
        <w:tab/>
        <w:t xml:space="preserve">Directive </w:t>
      </w:r>
      <w:hyperlink r:id="rId443" w:history="1">
        <w:r>
          <w:rPr>
            <w:rStyle w:val="Hyperlink"/>
          </w:rPr>
          <w:t>2009/73/EC</w:t>
        </w:r>
      </w:hyperlink>
      <w:r>
        <w:t xml:space="preserve"> and Regulation </w:t>
      </w:r>
      <w:hyperlink r:id="rId444" w:history="1">
        <w:r>
          <w:rPr>
            <w:rStyle w:val="Hyperlink"/>
          </w:rPr>
          <w:t>(EC) No 715/2009</w:t>
        </w:r>
      </w:hyperlink>
      <w:r>
        <w:t xml:space="preserve">; </w:t>
      </w:r>
      <w:hyperlink r:id="rId445" w:history="1">
        <w:r>
          <w:rPr>
            <w:rStyle w:val="Hyperlink"/>
          </w:rPr>
          <w:t>MEMO/16/319</w:t>
        </w:r>
      </w:hyperlink>
      <w:r>
        <w:t>.</w:t>
      </w:r>
    </w:p>
  </w:footnote>
  <w:footnote w:id="275">
    <w:p>
      <w:pPr>
        <w:pStyle w:val="FootnoteText"/>
        <w:rPr>
          <w:lang w:val="pt-PT"/>
        </w:rPr>
      </w:pPr>
      <w:r>
        <w:rPr>
          <w:rStyle w:val="FootnoteReference"/>
        </w:rPr>
        <w:footnoteRef/>
      </w:r>
      <w:r>
        <w:rPr>
          <w:lang w:val="pt-PT"/>
        </w:rPr>
        <w:t xml:space="preserve"> </w:t>
      </w:r>
      <w:r>
        <w:rPr>
          <w:lang w:val="pt-PT"/>
        </w:rPr>
        <w:tab/>
        <w:t xml:space="preserve">Directive </w:t>
      </w:r>
      <w:hyperlink r:id="rId446" w:history="1">
        <w:r>
          <w:rPr>
            <w:rStyle w:val="Hyperlink"/>
            <w:lang w:val="pt-PT"/>
          </w:rPr>
          <w:t>2014/17/EU</w:t>
        </w:r>
      </w:hyperlink>
      <w:r>
        <w:rPr>
          <w:lang w:val="pt-PT"/>
        </w:rPr>
        <w:t xml:space="preserve">; </w:t>
      </w:r>
      <w:hyperlink r:id="rId447" w:history="1">
        <w:r>
          <w:rPr>
            <w:rStyle w:val="Hyperlink"/>
            <w:lang w:val="pt-PT"/>
          </w:rPr>
          <w:t>MEMO/16/3644</w:t>
        </w:r>
      </w:hyperlink>
      <w:r>
        <w:rPr>
          <w:lang w:val="pt-PT"/>
        </w:rPr>
        <w:t>.</w:t>
      </w:r>
    </w:p>
  </w:footnote>
  <w:footnote w:id="276">
    <w:p>
      <w:pPr>
        <w:pStyle w:val="FootnoteText"/>
        <w:rPr>
          <w:lang w:val="pt-PT"/>
        </w:rPr>
      </w:pPr>
      <w:r>
        <w:rPr>
          <w:rStyle w:val="FootnoteReference"/>
        </w:rPr>
        <w:footnoteRef/>
      </w:r>
      <w:r>
        <w:rPr>
          <w:lang w:val="pt-PT"/>
        </w:rPr>
        <w:t xml:space="preserve"> </w:t>
      </w:r>
      <w:r>
        <w:rPr>
          <w:lang w:val="pt-PT"/>
        </w:rPr>
        <w:tab/>
      </w:r>
      <w:hyperlink r:id="rId448" w:history="1">
        <w:r>
          <w:rPr>
            <w:rStyle w:val="Hyperlink"/>
            <w:lang w:val="pt-PT"/>
          </w:rPr>
          <w:t>MEMO/16/4211</w:t>
        </w:r>
      </w:hyperlink>
      <w:r>
        <w:rPr>
          <w:lang w:val="pt-PT"/>
        </w:rPr>
        <w:t>.</w:t>
      </w:r>
    </w:p>
  </w:footnote>
  <w:footnote w:id="277">
    <w:p>
      <w:pPr>
        <w:pStyle w:val="FootnoteText"/>
        <w:rPr>
          <w:lang w:val="pt-PT"/>
        </w:rPr>
      </w:pPr>
      <w:r>
        <w:rPr>
          <w:rStyle w:val="FootnoteReference"/>
        </w:rPr>
        <w:footnoteRef/>
      </w:r>
      <w:r>
        <w:rPr>
          <w:lang w:val="pt-PT"/>
        </w:rPr>
        <w:t xml:space="preserve"> </w:t>
      </w:r>
      <w:r>
        <w:rPr>
          <w:lang w:val="pt-PT"/>
        </w:rPr>
        <w:tab/>
        <w:t xml:space="preserve">Directive </w:t>
      </w:r>
      <w:hyperlink r:id="rId449" w:history="1">
        <w:r>
          <w:rPr>
            <w:rStyle w:val="Hyperlink"/>
            <w:lang w:val="pt-PT"/>
          </w:rPr>
          <w:t>2014/89/EU</w:t>
        </w:r>
      </w:hyperlink>
      <w:r>
        <w:rPr>
          <w:lang w:val="pt-PT"/>
        </w:rPr>
        <w:t>.</w:t>
      </w:r>
    </w:p>
  </w:footnote>
  <w:footnote w:id="278">
    <w:p>
      <w:pPr>
        <w:pStyle w:val="FootnoteText"/>
        <w:rPr>
          <w:rFonts w:cs="Arial"/>
          <w:lang w:val="pt-PT"/>
        </w:rPr>
      </w:pPr>
      <w:r>
        <w:rPr>
          <w:rStyle w:val="FootnoteReference"/>
        </w:rPr>
        <w:footnoteRef/>
      </w:r>
      <w:r>
        <w:rPr>
          <w:lang w:val="pt-PT"/>
        </w:rPr>
        <w:t xml:space="preserve"> </w:t>
      </w:r>
      <w:r>
        <w:rPr>
          <w:lang w:val="pt-PT"/>
        </w:rPr>
        <w:tab/>
        <w:t xml:space="preserve">Directive </w:t>
      </w:r>
      <w:hyperlink r:id="rId450" w:history="1">
        <w:r>
          <w:rPr>
            <w:rStyle w:val="Hyperlink"/>
            <w:lang w:val="pt-PT"/>
          </w:rPr>
          <w:t>92/83/EEC</w:t>
        </w:r>
      </w:hyperlink>
      <w:r>
        <w:rPr>
          <w:lang w:val="pt-PT"/>
        </w:rPr>
        <w:t xml:space="preserve">; </w:t>
      </w:r>
      <w:hyperlink r:id="rId451" w:history="1">
        <w:r>
          <w:rPr>
            <w:rStyle w:val="Hyperlink"/>
            <w:lang w:val="pt-PT"/>
          </w:rPr>
          <w:t>MEMO/16/4211</w:t>
        </w:r>
      </w:hyperlink>
      <w:r>
        <w:rPr>
          <w:lang w:val="pt-PT"/>
        </w:rPr>
        <w:t>.</w:t>
      </w:r>
    </w:p>
  </w:footnote>
  <w:footnote w:id="279">
    <w:p>
      <w:pPr>
        <w:pStyle w:val="FootnoteText"/>
        <w:rPr>
          <w:rFonts w:cs="Arial"/>
          <w:lang w:val="pt-PT"/>
        </w:rPr>
      </w:pPr>
      <w:r>
        <w:rPr>
          <w:rStyle w:val="FootnoteReference"/>
          <w:rFonts w:eastAsia="MS Gothic"/>
        </w:rPr>
        <w:footnoteRef/>
      </w:r>
      <w:r>
        <w:rPr>
          <w:lang w:val="pt-PT"/>
        </w:rPr>
        <w:t xml:space="preserve"> </w:t>
      </w:r>
      <w:r>
        <w:rPr>
          <w:lang w:val="pt-PT"/>
        </w:rPr>
        <w:tab/>
        <w:t xml:space="preserve">Directives </w:t>
      </w:r>
      <w:hyperlink r:id="rId452" w:history="1">
        <w:r>
          <w:rPr>
            <w:rStyle w:val="Hyperlink"/>
            <w:lang w:val="pt-PT"/>
          </w:rPr>
          <w:t>2014/23/EU</w:t>
        </w:r>
      </w:hyperlink>
      <w:r>
        <w:rPr>
          <w:lang w:val="pt-PT"/>
        </w:rPr>
        <w:t xml:space="preserve">, </w:t>
      </w:r>
      <w:hyperlink r:id="rId453" w:history="1">
        <w:r>
          <w:rPr>
            <w:rStyle w:val="Hyperlink"/>
            <w:lang w:val="pt-PT"/>
          </w:rPr>
          <w:t>2014/24/EU</w:t>
        </w:r>
      </w:hyperlink>
      <w:r>
        <w:rPr>
          <w:lang w:val="pt-PT"/>
        </w:rPr>
        <w:t xml:space="preserve"> and </w:t>
      </w:r>
      <w:hyperlink r:id="rId454" w:history="1">
        <w:r>
          <w:rPr>
            <w:rStyle w:val="Hyperlink"/>
            <w:lang w:val="pt-PT"/>
          </w:rPr>
          <w:t>2014/25/EU</w:t>
        </w:r>
      </w:hyperlink>
      <w:r>
        <w:rPr>
          <w:lang w:val="pt-PT"/>
        </w:rPr>
        <w:t xml:space="preserve">; </w:t>
      </w:r>
      <w:hyperlink r:id="rId455" w:history="1">
        <w:r>
          <w:rPr>
            <w:rStyle w:val="Hyperlink"/>
            <w:lang w:val="pt-PT"/>
          </w:rPr>
          <w:t>MEMO/16/4211</w:t>
        </w:r>
      </w:hyperlink>
      <w:r>
        <w:rPr>
          <w:lang w:val="pt-PT"/>
        </w:rPr>
        <w:t>.</w:t>
      </w:r>
    </w:p>
  </w:footnote>
  <w:footnote w:id="280">
    <w:p>
      <w:pPr>
        <w:pStyle w:val="FootnoteText"/>
        <w:rPr>
          <w:rFonts w:cs="Arial"/>
          <w:lang w:val="pt-PT"/>
        </w:rPr>
      </w:pPr>
      <w:r>
        <w:rPr>
          <w:rStyle w:val="FootnoteReference"/>
          <w:rFonts w:eastAsia="MS Gothic"/>
        </w:rPr>
        <w:footnoteRef/>
      </w:r>
      <w:r>
        <w:rPr>
          <w:lang w:val="pt-PT"/>
        </w:rPr>
        <w:t xml:space="preserve"> </w:t>
      </w:r>
      <w:r>
        <w:rPr>
          <w:lang w:val="pt-PT"/>
        </w:rPr>
        <w:tab/>
        <w:t xml:space="preserve">Directive </w:t>
      </w:r>
      <w:hyperlink r:id="rId456" w:history="1">
        <w:r>
          <w:rPr>
            <w:rStyle w:val="Hyperlink"/>
            <w:lang w:val="pt-PT"/>
          </w:rPr>
          <w:t>2006/123/EC</w:t>
        </w:r>
      </w:hyperlink>
      <w:r>
        <w:rPr>
          <w:rStyle w:val="Hyperlink"/>
          <w:color w:val="auto"/>
          <w:u w:val="none"/>
          <w:lang w:val="pt-PT"/>
        </w:rPr>
        <w:t xml:space="preserve">; </w:t>
      </w:r>
      <w:hyperlink r:id="rId457" w:history="1">
        <w:r>
          <w:rPr>
            <w:rStyle w:val="Hyperlink"/>
            <w:lang w:val="pt-PT"/>
          </w:rPr>
          <w:t>MEMO/16/3125</w:t>
        </w:r>
      </w:hyperlink>
      <w:r>
        <w:rPr>
          <w:rStyle w:val="Hyperlink"/>
          <w:color w:val="auto"/>
          <w:u w:val="none"/>
          <w:lang w:val="pt-PT"/>
        </w:rPr>
        <w:t>.</w:t>
      </w:r>
    </w:p>
  </w:footnote>
  <w:footnote w:id="281">
    <w:p>
      <w:pPr>
        <w:pStyle w:val="FootnoteText"/>
        <w:rPr>
          <w:lang w:val="pt-PT"/>
        </w:rPr>
      </w:pPr>
      <w:r>
        <w:rPr>
          <w:rStyle w:val="FootnoteReference"/>
        </w:rPr>
        <w:footnoteRef/>
      </w:r>
      <w:r>
        <w:rPr>
          <w:lang w:val="pt-PT"/>
        </w:rPr>
        <w:t xml:space="preserve"> </w:t>
      </w:r>
      <w:r>
        <w:rPr>
          <w:lang w:val="pt-PT"/>
        </w:rPr>
        <w:tab/>
        <w:t xml:space="preserve">Directive </w:t>
      </w:r>
      <w:hyperlink r:id="rId458" w:history="1">
        <w:r>
          <w:rPr>
            <w:rStyle w:val="Hyperlink"/>
            <w:lang w:val="pt-PT"/>
          </w:rPr>
          <w:t>2006/126/EC</w:t>
        </w:r>
      </w:hyperlink>
      <w:r>
        <w:rPr>
          <w:lang w:val="pt-PT"/>
        </w:rPr>
        <w:t xml:space="preserve">; </w:t>
      </w:r>
      <w:hyperlink r:id="rId459" w:history="1">
        <w:r>
          <w:rPr>
            <w:rStyle w:val="Hyperlink"/>
            <w:lang w:val="pt-PT"/>
          </w:rPr>
          <w:t>MEMO/16/2097</w:t>
        </w:r>
      </w:hyperlink>
      <w:r>
        <w:rPr>
          <w:lang w:val="pt-PT"/>
        </w:rPr>
        <w:t>.</w:t>
      </w:r>
    </w:p>
  </w:footnote>
  <w:footnote w:id="282">
    <w:p>
      <w:pPr>
        <w:pStyle w:val="FootnoteText"/>
        <w:rPr>
          <w:lang w:val="pt-PT"/>
        </w:rPr>
      </w:pPr>
      <w:r>
        <w:rPr>
          <w:rStyle w:val="FootnoteReference"/>
        </w:rPr>
        <w:footnoteRef/>
      </w:r>
      <w:r>
        <w:rPr>
          <w:lang w:val="pt-PT"/>
        </w:rPr>
        <w:t xml:space="preserve"> </w:t>
      </w:r>
      <w:r>
        <w:rPr>
          <w:lang w:val="pt-PT"/>
        </w:rPr>
        <w:tab/>
      </w:r>
      <w:hyperlink r:id="rId460" w:history="1">
        <w:r>
          <w:rPr>
            <w:rStyle w:val="Hyperlink"/>
            <w:lang w:val="pt-PT"/>
          </w:rPr>
          <w:t>MEMO/16/1452</w:t>
        </w:r>
      </w:hyperlink>
      <w:r>
        <w:rPr>
          <w:lang w:val="pt-PT"/>
        </w:rPr>
        <w:t>.</w:t>
      </w:r>
    </w:p>
  </w:footnote>
  <w:footnote w:id="283">
    <w:p>
      <w:pPr>
        <w:pStyle w:val="FootnoteText"/>
        <w:rPr>
          <w:lang w:val="pt-PT"/>
        </w:rPr>
      </w:pPr>
      <w:r>
        <w:rPr>
          <w:rStyle w:val="FootnoteReference"/>
        </w:rPr>
        <w:footnoteRef/>
      </w:r>
      <w:r>
        <w:rPr>
          <w:lang w:val="pt-PT"/>
        </w:rPr>
        <w:t xml:space="preserve"> </w:t>
      </w:r>
      <w:r>
        <w:rPr>
          <w:lang w:val="pt-PT"/>
        </w:rPr>
        <w:tab/>
        <w:t xml:space="preserve">Directive </w:t>
      </w:r>
      <w:hyperlink r:id="rId461" w:history="1">
        <w:r>
          <w:rPr>
            <w:rStyle w:val="Hyperlink"/>
            <w:lang w:val="pt-PT"/>
          </w:rPr>
          <w:t>2014/59/EU</w:t>
        </w:r>
      </w:hyperlink>
      <w:r>
        <w:rPr>
          <w:lang w:val="pt-PT"/>
        </w:rPr>
        <w:t>.</w:t>
      </w:r>
    </w:p>
  </w:footnote>
  <w:footnote w:id="284">
    <w:p>
      <w:pPr>
        <w:pStyle w:val="FootnoteText"/>
        <w:rPr>
          <w:lang w:val="pt-PT"/>
        </w:rPr>
      </w:pPr>
      <w:r>
        <w:rPr>
          <w:rStyle w:val="FootnoteReference"/>
        </w:rPr>
        <w:footnoteRef/>
      </w:r>
      <w:r>
        <w:rPr>
          <w:lang w:val="pt-PT"/>
        </w:rPr>
        <w:t xml:space="preserve"> </w:t>
      </w:r>
      <w:r>
        <w:rPr>
          <w:lang w:val="pt-PT"/>
        </w:rPr>
        <w:tab/>
        <w:t xml:space="preserve">Directive </w:t>
      </w:r>
      <w:hyperlink r:id="rId462" w:history="1">
        <w:r>
          <w:rPr>
            <w:rStyle w:val="Hyperlink"/>
            <w:lang w:val="pt-PT"/>
          </w:rPr>
          <w:t>2011/89/EU</w:t>
        </w:r>
      </w:hyperlink>
      <w:r>
        <w:rPr>
          <w:lang w:val="pt-PT"/>
        </w:rPr>
        <w:t>.</w:t>
      </w:r>
    </w:p>
  </w:footnote>
  <w:footnote w:id="285">
    <w:p>
      <w:pPr>
        <w:pStyle w:val="FootnoteText"/>
      </w:pPr>
      <w:r>
        <w:rPr>
          <w:rStyle w:val="FootnoteReference"/>
        </w:rPr>
        <w:footnoteRef/>
      </w:r>
      <w:r>
        <w:t xml:space="preserve"> </w:t>
      </w:r>
      <w:r>
        <w:tab/>
        <w:t xml:space="preserve">Regulation </w:t>
      </w:r>
      <w:hyperlink r:id="rId463" w:history="1">
        <w:r>
          <w:rPr>
            <w:rStyle w:val="Hyperlink"/>
          </w:rPr>
          <w:t>(EEC) No 3577/92</w:t>
        </w:r>
      </w:hyperlink>
      <w:r>
        <w:t>.</w:t>
      </w:r>
    </w:p>
  </w:footnote>
  <w:footnote w:id="286">
    <w:p>
      <w:pPr>
        <w:pStyle w:val="FootnoteText"/>
        <w:rPr>
          <w:szCs w:val="18"/>
        </w:rPr>
      </w:pPr>
      <w:r>
        <w:rPr>
          <w:rStyle w:val="FootnoteReference"/>
        </w:rPr>
        <w:footnoteRef/>
      </w:r>
      <w:r>
        <w:t xml:space="preserve"> </w:t>
      </w:r>
      <w:r>
        <w:tab/>
        <w:t xml:space="preserve">Directive </w:t>
      </w:r>
      <w:hyperlink r:id="rId464" w:history="1">
        <w:r>
          <w:rPr>
            <w:rStyle w:val="Hyperlink"/>
          </w:rPr>
          <w:t>2004/49/EC</w:t>
        </w:r>
      </w:hyperlink>
      <w:r>
        <w:t>.</w:t>
      </w:r>
    </w:p>
  </w:footnote>
  <w:footnote w:id="287">
    <w:p>
      <w:pPr>
        <w:pStyle w:val="FootnoteText"/>
      </w:pPr>
      <w:r>
        <w:rPr>
          <w:rStyle w:val="FootnoteReference"/>
        </w:rPr>
        <w:footnoteRef/>
      </w:r>
      <w:r>
        <w:t xml:space="preserve"> </w:t>
      </w:r>
      <w:r>
        <w:tab/>
      </w:r>
      <w:r>
        <w:rPr>
          <w:rFonts w:cs="Arial"/>
          <w:szCs w:val="18"/>
        </w:rPr>
        <w:t>These rulings are almost exclusively handed down in infringement procedures.</w:t>
      </w:r>
    </w:p>
  </w:footnote>
  <w:footnote w:id="288">
    <w:p>
      <w:pPr>
        <w:pStyle w:val="FootnoteText"/>
        <w:rPr>
          <w:rFonts w:cs="Arial"/>
        </w:rPr>
      </w:pPr>
      <w:r>
        <w:rPr>
          <w:rStyle w:val="FootnoteReference"/>
        </w:rPr>
        <w:footnoteRef/>
      </w:r>
      <w:r>
        <w:t xml:space="preserve"> </w:t>
      </w:r>
      <w:r>
        <w:tab/>
        <w:t xml:space="preserve">Directive </w:t>
      </w:r>
      <w:hyperlink r:id="rId465" w:history="1">
        <w:r>
          <w:rPr>
            <w:rStyle w:val="Hyperlink"/>
            <w:bCs/>
          </w:rPr>
          <w:t>2000/60/EC</w:t>
        </w:r>
      </w:hyperlink>
      <w:r>
        <w:rPr>
          <w:bCs/>
        </w:rPr>
        <w:t xml:space="preserve">, Vodoopskrba i odvodnja, </w:t>
      </w:r>
      <w:hyperlink r:id="rId466" w:history="1">
        <w:r>
          <w:rPr>
            <w:rStyle w:val="Hyperlink"/>
            <w:bCs/>
          </w:rPr>
          <w:t>C-686/15</w:t>
        </w:r>
      </w:hyperlink>
      <w:r>
        <w:rPr>
          <w:bCs/>
        </w:rPr>
        <w:t>.</w:t>
      </w:r>
    </w:p>
  </w:footnote>
  <w:footnote w:id="289">
    <w:p>
      <w:pPr>
        <w:pStyle w:val="FootnoteText"/>
      </w:pPr>
      <w:r>
        <w:rPr>
          <w:rStyle w:val="FootnoteReference"/>
        </w:rPr>
        <w:footnoteRef/>
      </w:r>
      <w:r>
        <w:t xml:space="preserve"> </w:t>
      </w:r>
      <w:r>
        <w:tab/>
        <w:t xml:space="preserve">Commission Implementing </w:t>
      </w:r>
      <w:hyperlink r:id="rId467" w:history="1">
        <w:r>
          <w:rPr>
            <w:rStyle w:val="Hyperlink"/>
          </w:rPr>
          <w:t>Decision (EU) 2015/789</w:t>
        </w:r>
      </w:hyperlink>
      <w:r>
        <w:t>.</w:t>
      </w:r>
    </w:p>
  </w:footnote>
  <w:footnote w:id="290">
    <w:p>
      <w:pPr>
        <w:pStyle w:val="FootnoteText"/>
      </w:pPr>
      <w:r>
        <w:rPr>
          <w:rStyle w:val="FootnoteReference"/>
        </w:rPr>
        <w:footnoteRef/>
      </w:r>
      <w:r>
        <w:t xml:space="preserve"> </w:t>
      </w:r>
      <w:r>
        <w:tab/>
      </w:r>
      <w:r>
        <w:rPr>
          <w:i/>
        </w:rPr>
        <w:t>Xylella fastidiosa</w:t>
      </w:r>
      <w:r>
        <w:t xml:space="preserve"> is one of the most dangerous plant bacteria worldwide, causing a variety of diseases, with huge economic impact for agriculture; </w:t>
      </w:r>
      <w:hyperlink r:id="rId468" w:history="1">
        <w:r>
          <w:rPr>
            <w:rStyle w:val="Hyperlink"/>
          </w:rPr>
          <w:t>MEMO/16/2490</w:t>
        </w:r>
      </w:hyperlink>
      <w:r>
        <w:t>.</w:t>
      </w:r>
    </w:p>
  </w:footnote>
  <w:footnote w:id="291">
    <w:p>
      <w:pPr>
        <w:pStyle w:val="FootnoteText"/>
      </w:pPr>
      <w:r>
        <w:rPr>
          <w:rStyle w:val="FootnoteReference"/>
        </w:rPr>
        <w:footnoteRef/>
      </w:r>
      <w:r>
        <w:t xml:space="preserve"> </w:t>
      </w:r>
      <w:r>
        <w:tab/>
        <w:t xml:space="preserve">Council Decisions </w:t>
      </w:r>
      <w:hyperlink r:id="rId469" w:history="1">
        <w:r>
          <w:rPr>
            <w:rStyle w:val="Hyperlink"/>
          </w:rPr>
          <w:t>2008/615/JHA</w:t>
        </w:r>
      </w:hyperlink>
      <w:r>
        <w:t xml:space="preserve"> and </w:t>
      </w:r>
      <w:hyperlink r:id="rId470" w:history="1">
        <w:r>
          <w:rPr>
            <w:rStyle w:val="Hyperlink"/>
          </w:rPr>
          <w:t>2008/616/JHA</w:t>
        </w:r>
      </w:hyperlink>
      <w:r>
        <w:t xml:space="preserve">; </w:t>
      </w:r>
      <w:hyperlink r:id="rId471" w:history="1">
        <w:r>
          <w:rPr>
            <w:rStyle w:val="Hyperlink"/>
          </w:rPr>
          <w:t>MEMO/16/3125</w:t>
        </w:r>
      </w:hyperlink>
      <w:r>
        <w:t>.</w:t>
      </w:r>
    </w:p>
  </w:footnote>
  <w:footnote w:id="292">
    <w:p>
      <w:pPr>
        <w:pStyle w:val="FootnoteText"/>
      </w:pPr>
      <w:r>
        <w:rPr>
          <w:rStyle w:val="FootnoteReference"/>
        </w:rPr>
        <w:footnoteRef/>
      </w:r>
      <w:r>
        <w:t xml:space="preserve"> </w:t>
      </w:r>
      <w:r>
        <w:tab/>
        <w:t xml:space="preserve">Directive </w:t>
      </w:r>
      <w:hyperlink r:id="rId472" w:history="1">
        <w:r>
          <w:rPr>
            <w:rStyle w:val="Hyperlink"/>
          </w:rPr>
          <w:t>2008/115/EC</w:t>
        </w:r>
      </w:hyperlink>
      <w:r>
        <w:t>.</w:t>
      </w:r>
    </w:p>
  </w:footnote>
  <w:footnote w:id="293">
    <w:p>
      <w:pPr>
        <w:pStyle w:val="FootnoteText"/>
      </w:pPr>
      <w:r>
        <w:rPr>
          <w:rStyle w:val="FootnoteReference"/>
        </w:rPr>
        <w:footnoteRef/>
      </w:r>
      <w:r>
        <w:t xml:space="preserve"> </w:t>
      </w:r>
      <w:r>
        <w:tab/>
        <w:t xml:space="preserve">Directive </w:t>
      </w:r>
      <w:hyperlink r:id="rId473" w:history="1">
        <w:r>
          <w:rPr>
            <w:rStyle w:val="Hyperlink"/>
          </w:rPr>
          <w:t>2011/51/EU</w:t>
        </w:r>
      </w:hyperlink>
      <w:r>
        <w:t>.</w:t>
      </w:r>
    </w:p>
  </w:footnote>
  <w:footnote w:id="294">
    <w:p>
      <w:pPr>
        <w:pStyle w:val="FootnoteText"/>
        <w:rPr>
          <w:lang w:val="fr-BE"/>
        </w:rPr>
      </w:pPr>
      <w:r>
        <w:rPr>
          <w:rStyle w:val="FootnoteReference"/>
        </w:rPr>
        <w:footnoteRef/>
      </w:r>
      <w:r>
        <w:t xml:space="preserve"> </w:t>
      </w:r>
      <w:r>
        <w:tab/>
        <w:t>PM</w:t>
      </w:r>
      <w:r>
        <w:rPr>
          <w:sz w:val="12"/>
          <w:szCs w:val="12"/>
        </w:rPr>
        <w:t xml:space="preserve">10 </w:t>
      </w:r>
      <w:r>
        <w:t xml:space="preserve">is an air pollutant consisting of small particles with an aerodynamic diameter less than or equal to a nominal 10 micrometres. The particles’ small size allows them to penetrate deep into the lungs where they may be deposited and cause adverse health effects. </w:t>
      </w:r>
      <w:r>
        <w:rPr>
          <w:lang w:val="fr-BE"/>
        </w:rPr>
        <w:t xml:space="preserve">(Source: </w:t>
      </w:r>
      <w:hyperlink r:id="rId474" w:history="1">
        <w:r>
          <w:rPr>
            <w:rStyle w:val="Hyperlink"/>
            <w:lang w:val="fr-BE"/>
          </w:rPr>
          <w:t>http://www.eea.europa.eu/themes/air/air-quality/resources/glossary/pm10</w:t>
        </w:r>
      </w:hyperlink>
      <w:r>
        <w:rPr>
          <w:lang w:val="fr-BE"/>
        </w:rPr>
        <w:t>).</w:t>
      </w:r>
    </w:p>
  </w:footnote>
  <w:footnote w:id="295">
    <w:p>
      <w:pPr>
        <w:pStyle w:val="FootnoteText"/>
        <w:rPr>
          <w:lang w:val="fr-BE"/>
        </w:rPr>
      </w:pPr>
      <w:r>
        <w:rPr>
          <w:rStyle w:val="FootnoteReference"/>
        </w:rPr>
        <w:footnoteRef/>
      </w:r>
      <w:r>
        <w:rPr>
          <w:lang w:val="fr-BE"/>
        </w:rPr>
        <w:t xml:space="preserve"> </w:t>
      </w:r>
      <w:r>
        <w:rPr>
          <w:lang w:val="fr-BE"/>
        </w:rPr>
        <w:tab/>
        <w:t xml:space="preserve">Directive </w:t>
      </w:r>
      <w:hyperlink r:id="rId475" w:history="1">
        <w:r>
          <w:rPr>
            <w:rStyle w:val="Hyperlink"/>
            <w:lang w:val="fr-BE"/>
          </w:rPr>
          <w:t>2008/50/EC</w:t>
        </w:r>
      </w:hyperlink>
      <w:r>
        <w:rPr>
          <w:lang w:val="fr-BE"/>
        </w:rPr>
        <w:t>.</w:t>
      </w:r>
    </w:p>
  </w:footnote>
  <w:footnote w:id="296">
    <w:p>
      <w:pPr>
        <w:pStyle w:val="FootnoteText"/>
        <w:rPr>
          <w:lang w:val="fr-BE"/>
        </w:rPr>
      </w:pPr>
      <w:r>
        <w:rPr>
          <w:rStyle w:val="FootnoteReference"/>
        </w:rPr>
        <w:footnoteRef/>
      </w:r>
      <w:r>
        <w:rPr>
          <w:lang w:val="fr-BE"/>
        </w:rPr>
        <w:t xml:space="preserve"> </w:t>
      </w:r>
      <w:r>
        <w:rPr>
          <w:lang w:val="fr-BE"/>
        </w:rPr>
        <w:tab/>
        <w:t xml:space="preserve">Directive </w:t>
      </w:r>
      <w:hyperlink r:id="rId476" w:history="1">
        <w:r>
          <w:rPr>
            <w:rStyle w:val="Hyperlink"/>
            <w:lang w:val="fr-BE"/>
          </w:rPr>
          <w:t>2002/49/EC</w:t>
        </w:r>
      </w:hyperlink>
      <w:r>
        <w:rPr>
          <w:lang w:val="fr-BE"/>
        </w:rPr>
        <w:t>.</w:t>
      </w:r>
    </w:p>
  </w:footnote>
  <w:footnote w:id="297">
    <w:p>
      <w:pPr>
        <w:pStyle w:val="FootnoteText"/>
        <w:rPr>
          <w:lang w:val="fr-BE"/>
        </w:rPr>
      </w:pPr>
      <w:r>
        <w:rPr>
          <w:rStyle w:val="FootnoteReference"/>
        </w:rPr>
        <w:footnoteRef/>
      </w:r>
      <w:r>
        <w:rPr>
          <w:lang w:val="fr-BE"/>
        </w:rPr>
        <w:t xml:space="preserve"> </w:t>
      </w:r>
      <w:r>
        <w:rPr>
          <w:lang w:val="fr-BE"/>
        </w:rPr>
        <w:tab/>
        <w:t xml:space="preserve">Directive </w:t>
      </w:r>
      <w:hyperlink r:id="rId477" w:history="1">
        <w:r>
          <w:rPr>
            <w:rStyle w:val="Hyperlink"/>
            <w:lang w:val="fr-BE"/>
          </w:rPr>
          <w:t>2010/63/EU</w:t>
        </w:r>
      </w:hyperlink>
      <w:r>
        <w:rPr>
          <w:lang w:val="fr-BE"/>
        </w:rPr>
        <w:t>.</w:t>
      </w:r>
    </w:p>
  </w:footnote>
  <w:footnote w:id="298">
    <w:p>
      <w:pPr>
        <w:pStyle w:val="FootnoteText"/>
        <w:rPr>
          <w:lang w:val="fr-BE"/>
        </w:rPr>
      </w:pPr>
      <w:r>
        <w:rPr>
          <w:rStyle w:val="FootnoteReference"/>
        </w:rPr>
        <w:footnoteRef/>
      </w:r>
      <w:r>
        <w:rPr>
          <w:lang w:val="fr-BE"/>
        </w:rPr>
        <w:t xml:space="preserve"> </w:t>
      </w:r>
      <w:r>
        <w:rPr>
          <w:lang w:val="fr-BE"/>
        </w:rPr>
        <w:tab/>
        <w:t xml:space="preserve">Directives </w:t>
      </w:r>
      <w:hyperlink r:id="rId478" w:history="1">
        <w:r>
          <w:rPr>
            <w:rStyle w:val="Hyperlink"/>
            <w:lang w:val="fr-BE"/>
          </w:rPr>
          <w:t>2001/12/EC</w:t>
        </w:r>
      </w:hyperlink>
      <w:r>
        <w:rPr>
          <w:rStyle w:val="st"/>
          <w:lang w:val="fr-BE"/>
        </w:rPr>
        <w:t xml:space="preserve">, </w:t>
      </w:r>
      <w:hyperlink r:id="rId479" w:history="1">
        <w:r>
          <w:rPr>
            <w:rStyle w:val="Hyperlink"/>
            <w:lang w:val="fr-BE"/>
          </w:rPr>
          <w:t>2001/13/EC</w:t>
        </w:r>
      </w:hyperlink>
      <w:r>
        <w:rPr>
          <w:rStyle w:val="st"/>
          <w:lang w:val="fr-BE"/>
        </w:rPr>
        <w:t xml:space="preserve"> and </w:t>
      </w:r>
      <w:hyperlink r:id="rId480" w:history="1">
        <w:r>
          <w:rPr>
            <w:rStyle w:val="Hyperlink"/>
            <w:lang w:val="fr-BE"/>
          </w:rPr>
          <w:t>2001/14/EC</w:t>
        </w:r>
      </w:hyperlink>
      <w:r>
        <w:rPr>
          <w:rStyle w:val="st"/>
          <w:lang w:val="fr-BE"/>
        </w:rPr>
        <w:t>.</w:t>
      </w:r>
    </w:p>
  </w:footnote>
  <w:footnote w:id="299">
    <w:p>
      <w:pPr>
        <w:pStyle w:val="FootnoteText"/>
        <w:rPr>
          <w:lang w:val="fr-BE"/>
        </w:rPr>
      </w:pPr>
      <w:r>
        <w:rPr>
          <w:rStyle w:val="FootnoteReference"/>
        </w:rPr>
        <w:footnoteRef/>
      </w:r>
      <w:r>
        <w:rPr>
          <w:lang w:val="fr-BE"/>
        </w:rPr>
        <w:t xml:space="preserve"> </w:t>
      </w:r>
      <w:r>
        <w:rPr>
          <w:lang w:val="fr-BE"/>
        </w:rPr>
        <w:tab/>
        <w:t xml:space="preserve">Directive </w:t>
      </w:r>
      <w:hyperlink r:id="rId481" w:history="1">
        <w:r>
          <w:rPr>
            <w:rStyle w:val="Hyperlink"/>
            <w:lang w:val="fr-BE"/>
          </w:rPr>
          <w:t>2009/12/EC</w:t>
        </w:r>
      </w:hyperlink>
      <w:r>
        <w:rPr>
          <w:lang w:val="fr-BE"/>
        </w:rPr>
        <w:t xml:space="preserve">, </w:t>
      </w:r>
      <w:hyperlink r:id="rId482" w:history="1">
        <w:r>
          <w:rPr>
            <w:rStyle w:val="Hyperlink"/>
            <w:lang w:val="fr-BE"/>
          </w:rPr>
          <w:t>MEMO/16/319</w:t>
        </w:r>
      </w:hyperlink>
      <w:r>
        <w:rPr>
          <w:lang w:val="fr-BE"/>
        </w:rPr>
        <w:t>.</w:t>
      </w:r>
    </w:p>
  </w:footnote>
  <w:footnote w:id="300">
    <w:p>
      <w:pPr>
        <w:pStyle w:val="FootnoteText"/>
        <w:rPr>
          <w:lang w:val="fr-BE"/>
        </w:rPr>
      </w:pPr>
      <w:r>
        <w:rPr>
          <w:rStyle w:val="FootnoteReference"/>
        </w:rPr>
        <w:footnoteRef/>
      </w:r>
      <w:r>
        <w:rPr>
          <w:lang w:val="fr-BE"/>
        </w:rPr>
        <w:t xml:space="preserve"> </w:t>
      </w:r>
      <w:r>
        <w:rPr>
          <w:lang w:val="fr-BE"/>
        </w:rPr>
        <w:tab/>
        <w:t xml:space="preserve">Directive </w:t>
      </w:r>
      <w:hyperlink r:id="rId483" w:history="1">
        <w:r>
          <w:rPr>
            <w:rStyle w:val="Hyperlink"/>
            <w:lang w:val="fr-BE"/>
          </w:rPr>
          <w:t>2006/123/EC</w:t>
        </w:r>
      </w:hyperlink>
      <w:r>
        <w:rPr>
          <w:lang w:val="fr-BE"/>
        </w:rPr>
        <w:t xml:space="preserve">, </w:t>
      </w:r>
      <w:r>
        <w:fldChar w:fldCharType="begin"/>
      </w:r>
      <w:r>
        <w:fldChar w:fldCharType="separate"/>
      </w:r>
      <w:r>
        <w:rPr>
          <w:rStyle w:val="Hyperlink"/>
          <w:lang w:val="fr-BE"/>
        </w:rPr>
        <w:t>IP/16/3646</w:t>
      </w:r>
      <w:r>
        <w:rPr>
          <w:rStyle w:val="Hyperlink"/>
        </w:rPr>
        <w:fldChar w:fldCharType="end"/>
      </w:r>
      <w:r>
        <w:rPr>
          <w:lang w:val="fr-BE"/>
        </w:rPr>
        <w:t xml:space="preserve"> </w:t>
      </w:r>
      <w:hyperlink r:id="rId484" w:history="1">
        <w:r>
          <w:rPr>
            <w:rStyle w:val="Hyperlink"/>
            <w:lang w:val="fr-BE"/>
          </w:rPr>
          <w:t>MEMO/16/3644</w:t>
        </w:r>
      </w:hyperlink>
      <w:r>
        <w:rPr>
          <w:lang w:val="fr-BE"/>
        </w:rPr>
        <w:t>.</w:t>
      </w:r>
    </w:p>
  </w:footnote>
  <w:footnote w:id="301">
    <w:p>
      <w:pPr>
        <w:pStyle w:val="FootnoteText"/>
        <w:rPr>
          <w:lang w:val="fr-BE"/>
        </w:rPr>
      </w:pPr>
      <w:r>
        <w:rPr>
          <w:rStyle w:val="FootnoteReference"/>
        </w:rPr>
        <w:footnoteRef/>
      </w:r>
      <w:r>
        <w:rPr>
          <w:lang w:val="fr-BE"/>
        </w:rPr>
        <w:t xml:space="preserve"> </w:t>
      </w:r>
      <w:r>
        <w:rPr>
          <w:lang w:val="fr-BE"/>
        </w:rPr>
        <w:tab/>
        <w:t xml:space="preserve">Regulation (EU) </w:t>
      </w:r>
      <w:hyperlink r:id="rId485" w:history="1">
        <w:r>
          <w:rPr>
            <w:rStyle w:val="Hyperlink"/>
            <w:lang w:val="fr-BE"/>
          </w:rPr>
          <w:t>603/2013</w:t>
        </w:r>
      </w:hyperlink>
      <w:r>
        <w:rPr>
          <w:lang w:val="fr-BE"/>
        </w:rPr>
        <w:t xml:space="preserve">; </w:t>
      </w:r>
      <w:hyperlink r:id="rId486" w:history="1">
        <w:r>
          <w:rPr>
            <w:rStyle w:val="Hyperlink"/>
            <w:lang w:val="fr-BE"/>
          </w:rPr>
          <w:t>MEMO/16/4211</w:t>
        </w:r>
      </w:hyperlink>
      <w:r>
        <w:rPr>
          <w:lang w:val="fr-BE"/>
        </w:rPr>
        <w:t>.</w:t>
      </w:r>
    </w:p>
  </w:footnote>
  <w:footnote w:id="302">
    <w:p>
      <w:pPr>
        <w:pStyle w:val="FootnoteText"/>
      </w:pPr>
      <w:r>
        <w:rPr>
          <w:rStyle w:val="FootnoteReference"/>
        </w:rPr>
        <w:footnoteRef/>
      </w:r>
      <w:r>
        <w:t xml:space="preserve"> </w:t>
      </w:r>
      <w:r>
        <w:tab/>
        <w:t xml:space="preserve">Directive </w:t>
      </w:r>
      <w:hyperlink r:id="rId487" w:history="1">
        <w:r>
          <w:rPr>
            <w:rStyle w:val="Hyperlink"/>
          </w:rPr>
          <w:t>2009/147/EC</w:t>
        </w:r>
      </w:hyperlink>
      <w:r>
        <w:t>.</w:t>
      </w:r>
    </w:p>
  </w:footnote>
  <w:footnote w:id="303">
    <w:p>
      <w:pPr>
        <w:pStyle w:val="FootnoteText"/>
      </w:pPr>
      <w:r>
        <w:rPr>
          <w:rStyle w:val="FootnoteReference"/>
        </w:rPr>
        <w:footnoteRef/>
      </w:r>
      <w:r>
        <w:t xml:space="preserve"> </w:t>
      </w:r>
      <w:r>
        <w:tab/>
        <w:t xml:space="preserve">Directive </w:t>
      </w:r>
      <w:hyperlink r:id="rId488" w:history="1">
        <w:r>
          <w:rPr>
            <w:rStyle w:val="Hyperlink"/>
          </w:rPr>
          <w:t>2013/56/EU</w:t>
        </w:r>
      </w:hyperlink>
      <w:r>
        <w:t>.</w:t>
      </w:r>
    </w:p>
  </w:footnote>
  <w:footnote w:id="304">
    <w:p>
      <w:pPr>
        <w:pStyle w:val="FootnoteText"/>
      </w:pPr>
      <w:r>
        <w:rPr>
          <w:rStyle w:val="FootnoteReference"/>
        </w:rPr>
        <w:footnoteRef/>
      </w:r>
      <w:r>
        <w:t xml:space="preserve"> </w:t>
      </w:r>
      <w:r>
        <w:tab/>
        <w:t xml:space="preserve">Directive </w:t>
      </w:r>
      <w:hyperlink r:id="rId489" w:history="1">
        <w:r>
          <w:rPr>
            <w:rStyle w:val="Hyperlink"/>
          </w:rPr>
          <w:t>2013/36/EU</w:t>
        </w:r>
      </w:hyperlink>
      <w:r>
        <w:t>.</w:t>
      </w:r>
    </w:p>
  </w:footnote>
  <w:footnote w:id="305">
    <w:p>
      <w:pPr>
        <w:pStyle w:val="FootnoteText"/>
      </w:pPr>
      <w:r>
        <w:rPr>
          <w:rStyle w:val="FootnoteReference"/>
        </w:rPr>
        <w:footnoteRef/>
      </w:r>
      <w:r>
        <w:t xml:space="preserve"> </w:t>
      </w:r>
      <w:r>
        <w:tab/>
        <w:t xml:space="preserve">Directive </w:t>
      </w:r>
      <w:hyperlink r:id="rId490" w:history="1">
        <w:r>
          <w:rPr>
            <w:rStyle w:val="Hyperlink"/>
          </w:rPr>
          <w:t>2011/61/EU</w:t>
        </w:r>
      </w:hyperlink>
      <w:r>
        <w:t>.</w:t>
      </w:r>
    </w:p>
  </w:footnote>
  <w:footnote w:id="306">
    <w:p>
      <w:pPr>
        <w:pStyle w:val="FootnoteText"/>
      </w:pPr>
      <w:r>
        <w:rPr>
          <w:rStyle w:val="FootnoteReference"/>
        </w:rPr>
        <w:footnoteRef/>
      </w:r>
      <w:r>
        <w:t xml:space="preserve"> </w:t>
      </w:r>
      <w:r>
        <w:tab/>
        <w:t xml:space="preserve">Directive </w:t>
      </w:r>
      <w:hyperlink r:id="rId491" w:history="1">
        <w:r>
          <w:rPr>
            <w:rStyle w:val="Hyperlink"/>
          </w:rPr>
          <w:t>2006/126/EC</w:t>
        </w:r>
      </w:hyperlink>
      <w:r>
        <w:t>.</w:t>
      </w:r>
    </w:p>
  </w:footnote>
  <w:footnote w:id="307">
    <w:p>
      <w:pPr>
        <w:pStyle w:val="FootnoteText"/>
      </w:pPr>
      <w:r>
        <w:rPr>
          <w:rStyle w:val="FootnoteReference"/>
        </w:rPr>
        <w:footnoteRef/>
      </w:r>
      <w:r>
        <w:t xml:space="preserve"> </w:t>
      </w:r>
      <w:r>
        <w:tab/>
        <w:t xml:space="preserve">Directive </w:t>
      </w:r>
      <w:hyperlink r:id="rId492" w:history="1">
        <w:r>
          <w:rPr>
            <w:rStyle w:val="Hyperlink"/>
          </w:rPr>
          <w:t>2009/18/EC</w:t>
        </w:r>
      </w:hyperlink>
      <w:r>
        <w:t>.</w:t>
      </w:r>
    </w:p>
  </w:footnote>
  <w:footnote w:id="308">
    <w:p>
      <w:pPr>
        <w:pStyle w:val="FootnoteText"/>
      </w:pPr>
      <w:r>
        <w:rPr>
          <w:rStyle w:val="FootnoteReference"/>
        </w:rPr>
        <w:footnoteRef/>
      </w:r>
      <w:r>
        <w:t xml:space="preserve"> </w:t>
      </w:r>
      <w:r>
        <w:tab/>
        <w:t>Regulation (EEC) No </w:t>
      </w:r>
      <w:hyperlink r:id="rId493" w:history="1">
        <w:r>
          <w:rPr>
            <w:rStyle w:val="Hyperlink"/>
          </w:rPr>
          <w:t>3577/92</w:t>
        </w:r>
      </w:hyperlink>
      <w:r>
        <w:t>.</w:t>
      </w:r>
    </w:p>
  </w:footnote>
  <w:footnote w:id="309">
    <w:p>
      <w:pPr>
        <w:pStyle w:val="FootnoteText"/>
      </w:pPr>
      <w:r>
        <w:rPr>
          <w:rStyle w:val="FootnoteReference"/>
        </w:rPr>
        <w:footnoteRef/>
      </w:r>
      <w:r>
        <w:t xml:space="preserve"> </w:t>
      </w:r>
      <w:r>
        <w:tab/>
        <w:t xml:space="preserve">These rulings are almost exclusively handed down </w:t>
      </w:r>
      <w:r>
        <w:rPr>
          <w:rFonts w:cs="Arial"/>
          <w:szCs w:val="18"/>
        </w:rPr>
        <w:t>in</w:t>
      </w:r>
      <w:r>
        <w:t xml:space="preserve"> infringement procedures.</w:t>
      </w:r>
    </w:p>
  </w:footnote>
  <w:footnote w:id="310">
    <w:p>
      <w:pPr>
        <w:pStyle w:val="FootnoteText"/>
      </w:pPr>
      <w:r>
        <w:rPr>
          <w:rStyle w:val="FootnoteReference"/>
        </w:rPr>
        <w:footnoteRef/>
      </w:r>
      <w:r>
        <w:t xml:space="preserve"> </w:t>
      </w:r>
      <w:r>
        <w:tab/>
        <w:t xml:space="preserve">Directive </w:t>
      </w:r>
      <w:hyperlink r:id="rId494" w:history="1">
        <w:r>
          <w:rPr>
            <w:rStyle w:val="Hyperlink"/>
          </w:rPr>
          <w:t>2004/80/EC</w:t>
        </w:r>
      </w:hyperlink>
      <w:r>
        <w:t>.</w:t>
      </w:r>
    </w:p>
  </w:footnote>
  <w:footnote w:id="311">
    <w:p>
      <w:pPr>
        <w:pStyle w:val="FootnoteText"/>
      </w:pPr>
      <w:r>
        <w:rPr>
          <w:rStyle w:val="FootnoteReference"/>
        </w:rPr>
        <w:footnoteRef/>
      </w:r>
      <w:r>
        <w:t xml:space="preserve"> </w:t>
      </w:r>
      <w:r>
        <w:tab/>
        <w:t xml:space="preserve">Commission v Italy, </w:t>
      </w:r>
      <w:hyperlink r:id="rId495" w:history="1">
        <w:r>
          <w:rPr>
            <w:rStyle w:val="Hyperlink"/>
          </w:rPr>
          <w:t>C-601/14</w:t>
        </w:r>
      </w:hyperlink>
      <w:r>
        <w:t xml:space="preserve"> and Court press release No </w:t>
      </w:r>
      <w:hyperlink r:id="rId496" w:history="1">
        <w:r>
          <w:rPr>
            <w:rStyle w:val="Hyperlink"/>
          </w:rPr>
          <w:t>109/16</w:t>
        </w:r>
      </w:hyperlink>
      <w:r>
        <w:t>.</w:t>
      </w:r>
    </w:p>
  </w:footnote>
  <w:footnote w:id="312">
    <w:p>
      <w:pPr>
        <w:pStyle w:val="FootnoteText"/>
      </w:pPr>
      <w:r>
        <w:rPr>
          <w:rStyle w:val="FootnoteReference"/>
        </w:rPr>
        <w:footnoteRef/>
      </w:r>
      <w:r>
        <w:t xml:space="preserve"> </w:t>
      </w:r>
      <w:r>
        <w:tab/>
        <w:t xml:space="preserve">Joined Cases </w:t>
      </w:r>
      <w:hyperlink r:id="rId497" w:history="1">
        <w:r>
          <w:rPr>
            <w:rStyle w:val="Hyperlink"/>
          </w:rPr>
          <w:t>C-78/16</w:t>
        </w:r>
      </w:hyperlink>
      <w:r>
        <w:t>, Pesce and Others.</w:t>
      </w:r>
    </w:p>
  </w:footnote>
  <w:footnote w:id="313">
    <w:p>
      <w:pPr>
        <w:pStyle w:val="FootnoteText"/>
        <w:rPr>
          <w:rFonts w:cs="Arial"/>
        </w:rPr>
      </w:pPr>
      <w:r>
        <w:rPr>
          <w:rStyle w:val="FootnoteReference"/>
        </w:rPr>
        <w:footnoteRef/>
      </w:r>
      <w:r>
        <w:t xml:space="preserve"> </w:t>
      </w:r>
      <w:r>
        <w:tab/>
        <w:t xml:space="preserve">Directives </w:t>
      </w:r>
      <w:hyperlink r:id="rId498" w:history="1">
        <w:r>
          <w:rPr>
            <w:rStyle w:val="Hyperlink"/>
          </w:rPr>
          <w:t>2006/21/EC</w:t>
        </w:r>
      </w:hyperlink>
      <w:r>
        <w:t xml:space="preserve"> and </w:t>
      </w:r>
      <w:hyperlink r:id="rId499" w:history="1">
        <w:r>
          <w:rPr>
            <w:rStyle w:val="Hyperlink"/>
          </w:rPr>
          <w:t>1999/31/EC</w:t>
        </w:r>
      </w:hyperlink>
      <w:r>
        <w:t xml:space="preserve">, Edilizia Mastrodonato, </w:t>
      </w:r>
      <w:hyperlink r:id="rId500" w:history="1">
        <w:r>
          <w:rPr>
            <w:rStyle w:val="Hyperlink"/>
          </w:rPr>
          <w:t>C-147/15</w:t>
        </w:r>
      </w:hyperlink>
      <w:r>
        <w:t>.</w:t>
      </w:r>
    </w:p>
  </w:footnote>
  <w:footnote w:id="314">
    <w:p>
      <w:pPr>
        <w:pStyle w:val="FootnoteText"/>
        <w:rPr>
          <w:rFonts w:cs="Arial"/>
        </w:rPr>
      </w:pPr>
      <w:r>
        <w:rPr>
          <w:rStyle w:val="FootnoteReference"/>
        </w:rPr>
        <w:footnoteRef/>
      </w:r>
      <w:r>
        <w:t xml:space="preserve"> </w:t>
      </w:r>
      <w:r>
        <w:tab/>
        <w:t>Directive</w:t>
      </w:r>
      <w:r>
        <w:rPr>
          <w:b/>
          <w:bCs/>
          <w:sz w:val="22"/>
        </w:rPr>
        <w:t xml:space="preserve"> </w:t>
      </w:r>
      <w:hyperlink r:id="rId501" w:history="1">
        <w:r>
          <w:rPr>
            <w:rStyle w:val="Hyperlink"/>
            <w:bCs/>
          </w:rPr>
          <w:t>2001/42/EC</w:t>
        </w:r>
      </w:hyperlink>
      <w:r>
        <w:rPr>
          <w:bCs/>
        </w:rPr>
        <w:t xml:space="preserve">, </w:t>
      </w:r>
      <w:r>
        <w:t xml:space="preserve">Associazione Italia Nostra Onlus, </w:t>
      </w:r>
      <w:hyperlink r:id="rId502" w:history="1">
        <w:r>
          <w:rPr>
            <w:rStyle w:val="Hyperlink"/>
          </w:rPr>
          <w:t>C-444/15</w:t>
        </w:r>
      </w:hyperlink>
      <w:r>
        <w:t>.</w:t>
      </w:r>
    </w:p>
  </w:footnote>
  <w:footnote w:id="315">
    <w:p>
      <w:pPr>
        <w:pStyle w:val="FootnoteText"/>
        <w:rPr>
          <w:rFonts w:cs="Arial"/>
        </w:rPr>
      </w:pPr>
      <w:r>
        <w:rPr>
          <w:rStyle w:val="FootnoteReference"/>
        </w:rPr>
        <w:footnoteRef/>
      </w:r>
      <w:r>
        <w:t xml:space="preserve"> </w:t>
      </w:r>
      <w:r>
        <w:tab/>
        <w:t xml:space="preserve">Directive </w:t>
      </w:r>
      <w:hyperlink r:id="rId503" w:history="1">
        <w:r>
          <w:rPr>
            <w:rStyle w:val="Hyperlink"/>
          </w:rPr>
          <w:t>2006/123/EC</w:t>
        </w:r>
      </w:hyperlink>
      <w:r>
        <w:t>.</w:t>
      </w:r>
    </w:p>
  </w:footnote>
  <w:footnote w:id="316">
    <w:p>
      <w:pPr>
        <w:pStyle w:val="FootnoteText"/>
      </w:pPr>
      <w:r>
        <w:rPr>
          <w:rStyle w:val="FootnoteReference"/>
        </w:rPr>
        <w:footnoteRef/>
      </w:r>
      <w:r>
        <w:t xml:space="preserve"> </w:t>
      </w:r>
      <w:r>
        <w:tab/>
        <w:t xml:space="preserve">Joined cases </w:t>
      </w:r>
      <w:hyperlink r:id="rId504" w:history="1">
        <w:r>
          <w:rPr>
            <w:rStyle w:val="Hyperlink"/>
          </w:rPr>
          <w:t>C-458/14</w:t>
        </w:r>
      </w:hyperlink>
      <w:r>
        <w:t xml:space="preserve"> and </w:t>
      </w:r>
      <w:hyperlink r:id="rId505" w:history="1">
        <w:r>
          <w:rPr>
            <w:rStyle w:val="Hyperlink"/>
          </w:rPr>
          <w:t>C-67/15</w:t>
        </w:r>
      </w:hyperlink>
      <w:r>
        <w:t>, Promoimpresa /Comune di Loiri, Court press release No </w:t>
      </w:r>
      <w:hyperlink r:id="rId506" w:history="1">
        <w:r>
          <w:rPr>
            <w:rStyle w:val="Hyperlink"/>
          </w:rPr>
          <w:t>77/2016</w:t>
        </w:r>
      </w:hyperlink>
      <w:r>
        <w:t>.</w:t>
      </w:r>
    </w:p>
  </w:footnote>
  <w:footnote w:id="317">
    <w:p>
      <w:pPr>
        <w:pStyle w:val="FootnoteText"/>
        <w:rPr>
          <w:lang w:val="pt-PT"/>
        </w:rPr>
      </w:pPr>
      <w:r>
        <w:rPr>
          <w:rStyle w:val="FootnoteReference"/>
        </w:rPr>
        <w:footnoteRef/>
      </w:r>
      <w:r>
        <w:rPr>
          <w:lang w:val="pt-PT"/>
        </w:rPr>
        <w:t xml:space="preserve"> </w:t>
      </w:r>
      <w:r>
        <w:rPr>
          <w:lang w:val="pt-PT"/>
        </w:rPr>
        <w:tab/>
        <w:t xml:space="preserve">Regulation </w:t>
      </w:r>
      <w:hyperlink r:id="rId507" w:history="1">
        <w:r>
          <w:rPr>
            <w:rStyle w:val="Hyperlink"/>
            <w:lang w:val="pt-PT"/>
          </w:rPr>
          <w:t>(EU) No 98/2013</w:t>
        </w:r>
      </w:hyperlink>
      <w:r>
        <w:rPr>
          <w:lang w:val="pt-PT"/>
        </w:rPr>
        <w:t xml:space="preserve">; </w:t>
      </w:r>
      <w:hyperlink r:id="rId508" w:history="1">
        <w:r>
          <w:rPr>
            <w:rStyle w:val="Hyperlink"/>
            <w:lang w:val="pt-PT"/>
          </w:rPr>
          <w:t>MEMO/16/3125</w:t>
        </w:r>
      </w:hyperlink>
      <w:r>
        <w:rPr>
          <w:lang w:val="pt-PT"/>
        </w:rPr>
        <w:t>.</w:t>
      </w:r>
    </w:p>
  </w:footnote>
  <w:footnote w:id="318">
    <w:p>
      <w:pPr>
        <w:pStyle w:val="FootnoteText"/>
        <w:rPr>
          <w:lang w:val="pt-PT"/>
        </w:rPr>
      </w:pPr>
      <w:r>
        <w:rPr>
          <w:rStyle w:val="FootnoteReference"/>
        </w:rPr>
        <w:footnoteRef/>
      </w:r>
      <w:r>
        <w:rPr>
          <w:lang w:val="pt-PT"/>
        </w:rPr>
        <w:t xml:space="preserve"> </w:t>
      </w:r>
      <w:r>
        <w:rPr>
          <w:lang w:val="pt-PT"/>
        </w:rPr>
        <w:tab/>
        <w:t xml:space="preserve">Directive </w:t>
      </w:r>
      <w:hyperlink r:id="rId509" w:history="1">
        <w:r>
          <w:rPr>
            <w:rStyle w:val="Hyperlink"/>
            <w:lang w:val="pt-PT"/>
          </w:rPr>
          <w:t>2008/98/EC</w:t>
        </w:r>
      </w:hyperlink>
      <w:r>
        <w:rPr>
          <w:lang w:val="pt-PT"/>
        </w:rPr>
        <w:t xml:space="preserve">; </w:t>
      </w:r>
      <w:hyperlink r:id="rId510" w:history="1">
        <w:r>
          <w:rPr>
            <w:rStyle w:val="Hyperlink"/>
            <w:lang w:val="pt-PT"/>
          </w:rPr>
          <w:t>MEMO/16/4211</w:t>
        </w:r>
      </w:hyperlink>
      <w:r>
        <w:rPr>
          <w:lang w:val="pt-PT"/>
        </w:rPr>
        <w:t>.</w:t>
      </w:r>
    </w:p>
  </w:footnote>
  <w:footnote w:id="319">
    <w:p>
      <w:pPr>
        <w:pStyle w:val="FootnoteText"/>
        <w:rPr>
          <w:lang w:val="pt-PT"/>
        </w:rPr>
      </w:pPr>
      <w:r>
        <w:rPr>
          <w:rStyle w:val="FootnoteReference"/>
        </w:rPr>
        <w:footnoteRef/>
      </w:r>
      <w:r>
        <w:rPr>
          <w:lang w:val="pt-PT"/>
        </w:rPr>
        <w:t xml:space="preserve"> </w:t>
      </w:r>
      <w:r>
        <w:rPr>
          <w:lang w:val="pt-PT"/>
        </w:rPr>
        <w:tab/>
        <w:t xml:space="preserve">Directive </w:t>
      </w:r>
      <w:hyperlink r:id="rId511" w:history="1">
        <w:r>
          <w:rPr>
            <w:rStyle w:val="Hyperlink"/>
            <w:lang w:val="pt-PT"/>
          </w:rPr>
          <w:t>2014/17/EU</w:t>
        </w:r>
      </w:hyperlink>
      <w:r>
        <w:rPr>
          <w:lang w:val="pt-PT"/>
        </w:rPr>
        <w:t xml:space="preserve">; </w:t>
      </w:r>
      <w:hyperlink r:id="rId512" w:history="1">
        <w:r>
          <w:rPr>
            <w:rStyle w:val="Hyperlink"/>
            <w:lang w:val="pt-PT"/>
          </w:rPr>
          <w:t>MEMO/16/3644</w:t>
        </w:r>
      </w:hyperlink>
      <w:r>
        <w:rPr>
          <w:lang w:val="pt-PT"/>
        </w:rPr>
        <w:t>.</w:t>
      </w:r>
    </w:p>
  </w:footnote>
  <w:footnote w:id="320">
    <w:p>
      <w:pPr>
        <w:pStyle w:val="FootnoteText"/>
        <w:rPr>
          <w:lang w:val="pt-PT"/>
        </w:rPr>
      </w:pPr>
      <w:r>
        <w:rPr>
          <w:rStyle w:val="FootnoteReference"/>
        </w:rPr>
        <w:footnoteRef/>
      </w:r>
      <w:r>
        <w:rPr>
          <w:lang w:val="pt-PT"/>
        </w:rPr>
        <w:t xml:space="preserve"> </w:t>
      </w:r>
      <w:r>
        <w:rPr>
          <w:lang w:val="pt-PT"/>
        </w:rPr>
        <w:tab/>
        <w:t xml:space="preserve">Directive </w:t>
      </w:r>
      <w:hyperlink r:id="rId513" w:history="1">
        <w:r>
          <w:rPr>
            <w:rStyle w:val="Hyperlink"/>
            <w:lang w:val="pt-PT"/>
          </w:rPr>
          <w:t>2013/34/EU</w:t>
        </w:r>
      </w:hyperlink>
      <w:r>
        <w:rPr>
          <w:lang w:val="pt-PT"/>
        </w:rPr>
        <w:t xml:space="preserve">; </w:t>
      </w:r>
      <w:hyperlink r:id="rId514" w:history="1">
        <w:r>
          <w:rPr>
            <w:rStyle w:val="Hyperlink"/>
            <w:lang w:val="pt-PT"/>
          </w:rPr>
          <w:t>MEMO/16/2097</w:t>
        </w:r>
      </w:hyperlink>
      <w:r>
        <w:rPr>
          <w:lang w:val="pt-PT"/>
        </w:rPr>
        <w:t>.</w:t>
      </w:r>
    </w:p>
  </w:footnote>
  <w:footnote w:id="321">
    <w:p>
      <w:pPr>
        <w:pStyle w:val="FootnoteText"/>
        <w:rPr>
          <w:lang w:val="pt-PT"/>
        </w:rPr>
      </w:pPr>
      <w:r>
        <w:rPr>
          <w:rStyle w:val="FootnoteReference"/>
        </w:rPr>
        <w:footnoteRef/>
      </w:r>
      <w:r>
        <w:rPr>
          <w:lang w:val="pt-PT"/>
        </w:rPr>
        <w:t xml:space="preserve"> </w:t>
      </w:r>
      <w:r>
        <w:rPr>
          <w:lang w:val="pt-PT"/>
        </w:rPr>
        <w:tab/>
        <w:t xml:space="preserve">Directive </w:t>
      </w:r>
      <w:hyperlink r:id="rId515" w:history="1">
        <w:r>
          <w:rPr>
            <w:rStyle w:val="Hyperlink"/>
            <w:lang w:val="pt-PT"/>
          </w:rPr>
          <w:t>2009/18/EC</w:t>
        </w:r>
      </w:hyperlink>
      <w:r>
        <w:rPr>
          <w:lang w:val="pt-PT"/>
        </w:rPr>
        <w:t>.</w:t>
      </w:r>
    </w:p>
  </w:footnote>
  <w:footnote w:id="322">
    <w:p>
      <w:pPr>
        <w:pStyle w:val="FootnoteText"/>
        <w:rPr>
          <w:lang w:val="pt-PT"/>
        </w:rPr>
      </w:pPr>
      <w:r>
        <w:rPr>
          <w:rStyle w:val="FootnoteReference"/>
        </w:rPr>
        <w:footnoteRef/>
      </w:r>
      <w:r>
        <w:rPr>
          <w:lang w:val="pt-PT"/>
        </w:rPr>
        <w:t xml:space="preserve"> </w:t>
      </w:r>
      <w:r>
        <w:rPr>
          <w:lang w:val="pt-PT"/>
        </w:rPr>
        <w:tab/>
        <w:t xml:space="preserve">Directive </w:t>
      </w:r>
      <w:hyperlink r:id="rId516" w:history="1">
        <w:r>
          <w:rPr>
            <w:rStyle w:val="Hyperlink"/>
            <w:lang w:val="pt-PT"/>
          </w:rPr>
          <w:t>2009/16/EC</w:t>
        </w:r>
      </w:hyperlink>
      <w:r>
        <w:rPr>
          <w:lang w:val="pt-PT"/>
        </w:rPr>
        <w:t xml:space="preserve">; </w:t>
      </w:r>
      <w:hyperlink r:id="rId517" w:history="1">
        <w:r>
          <w:rPr>
            <w:rStyle w:val="Hyperlink"/>
            <w:lang w:val="pt-PT"/>
          </w:rPr>
          <w:t>MEMO/16/319</w:t>
        </w:r>
      </w:hyperlink>
      <w:r>
        <w:rPr>
          <w:lang w:val="pt-PT"/>
        </w:rPr>
        <w:t>.</w:t>
      </w:r>
    </w:p>
  </w:footnote>
  <w:footnote w:id="323">
    <w:p>
      <w:pPr>
        <w:pStyle w:val="FootnoteText"/>
        <w:rPr>
          <w:lang w:val="pt-PT"/>
        </w:rPr>
      </w:pPr>
      <w:r>
        <w:rPr>
          <w:rStyle w:val="FootnoteReference"/>
        </w:rPr>
        <w:footnoteRef/>
      </w:r>
      <w:r>
        <w:rPr>
          <w:lang w:val="pt-PT"/>
        </w:rPr>
        <w:t xml:space="preserve"> </w:t>
      </w:r>
      <w:r>
        <w:rPr>
          <w:lang w:val="pt-PT"/>
        </w:rPr>
        <w:tab/>
        <w:t xml:space="preserve">Directive </w:t>
      </w:r>
      <w:hyperlink r:id="rId518" w:history="1">
        <w:r>
          <w:rPr>
            <w:rStyle w:val="Hyperlink"/>
            <w:lang w:val="pt-PT"/>
          </w:rPr>
          <w:t>2006/126/EC</w:t>
        </w:r>
      </w:hyperlink>
      <w:r>
        <w:rPr>
          <w:lang w:val="pt-PT"/>
        </w:rPr>
        <w:t xml:space="preserve">; </w:t>
      </w:r>
      <w:hyperlink r:id="rId519" w:history="1">
        <w:r>
          <w:rPr>
            <w:rStyle w:val="Hyperlink"/>
            <w:lang w:val="pt-PT"/>
          </w:rPr>
          <w:t>MEMO/16/2097</w:t>
        </w:r>
      </w:hyperlink>
      <w:r>
        <w:rPr>
          <w:lang w:val="pt-PT"/>
        </w:rPr>
        <w:t>.</w:t>
      </w:r>
    </w:p>
  </w:footnote>
  <w:footnote w:id="324">
    <w:p>
      <w:pPr>
        <w:pStyle w:val="FootnoteText"/>
        <w:rPr>
          <w:lang w:val="pt-PT"/>
        </w:rPr>
      </w:pPr>
      <w:r>
        <w:rPr>
          <w:rStyle w:val="FootnoteReference"/>
        </w:rPr>
        <w:footnoteRef/>
      </w:r>
      <w:r>
        <w:rPr>
          <w:lang w:val="pt-PT"/>
        </w:rPr>
        <w:t xml:space="preserve"> </w:t>
      </w:r>
      <w:r>
        <w:rPr>
          <w:lang w:val="pt-PT"/>
        </w:rPr>
        <w:tab/>
        <w:t xml:space="preserve">Directive </w:t>
      </w:r>
      <w:hyperlink r:id="rId520" w:history="1">
        <w:r>
          <w:rPr>
            <w:rStyle w:val="Hyperlink"/>
            <w:lang w:val="pt-PT"/>
          </w:rPr>
          <w:t>2014/89/EU</w:t>
        </w:r>
      </w:hyperlink>
      <w:r>
        <w:rPr>
          <w:lang w:val="pt-PT"/>
        </w:rPr>
        <w:t>.</w:t>
      </w:r>
    </w:p>
  </w:footnote>
  <w:footnote w:id="325">
    <w:p>
      <w:pPr>
        <w:pStyle w:val="FootnoteText"/>
        <w:rPr>
          <w:lang w:val="pt-PT"/>
        </w:rPr>
      </w:pPr>
      <w:r>
        <w:rPr>
          <w:rStyle w:val="FootnoteReference"/>
        </w:rPr>
        <w:footnoteRef/>
      </w:r>
      <w:r>
        <w:rPr>
          <w:lang w:val="pt-PT"/>
        </w:rPr>
        <w:t xml:space="preserve"> </w:t>
      </w:r>
      <w:r>
        <w:rPr>
          <w:lang w:val="pt-PT"/>
        </w:rPr>
        <w:tab/>
        <w:t xml:space="preserve">Directive </w:t>
      </w:r>
      <w:hyperlink r:id="rId521" w:history="1">
        <w:r>
          <w:rPr>
            <w:rStyle w:val="Hyperlink"/>
            <w:lang w:val="pt-PT"/>
          </w:rPr>
          <w:t>2006/123/EC</w:t>
        </w:r>
      </w:hyperlink>
      <w:r>
        <w:rPr>
          <w:lang w:val="pt-PT"/>
        </w:rPr>
        <w:t xml:space="preserve">; </w:t>
      </w:r>
      <w:hyperlink r:id="rId522" w:history="1">
        <w:r>
          <w:rPr>
            <w:rStyle w:val="Hyperlink"/>
            <w:lang w:val="pt-PT"/>
          </w:rPr>
          <w:t>IP/16/323</w:t>
        </w:r>
      </w:hyperlink>
      <w:r>
        <w:rPr>
          <w:rStyle w:val="Hyperlink"/>
          <w:lang w:val="pt-PT"/>
        </w:rPr>
        <w:t>, IP/16/3646, MEMO/16/3644</w:t>
      </w:r>
      <w:r>
        <w:rPr>
          <w:lang w:val="pt-PT"/>
        </w:rPr>
        <w:t xml:space="preserve"> and </w:t>
      </w:r>
      <w:hyperlink r:id="rId523" w:history="1">
        <w:r>
          <w:rPr>
            <w:rStyle w:val="Hyperlink"/>
            <w:lang w:val="pt-PT"/>
          </w:rPr>
          <w:t>MEMO/16/319</w:t>
        </w:r>
      </w:hyperlink>
      <w:r>
        <w:rPr>
          <w:lang w:val="pt-PT"/>
        </w:rPr>
        <w:t>.</w:t>
      </w:r>
    </w:p>
  </w:footnote>
  <w:footnote w:id="326">
    <w:p>
      <w:pPr>
        <w:pStyle w:val="FootnoteText"/>
        <w:rPr>
          <w:lang w:val="pt-PT"/>
        </w:rPr>
      </w:pPr>
      <w:r>
        <w:rPr>
          <w:rStyle w:val="FootnoteReference"/>
          <w:rFonts w:eastAsia="MS Gothic"/>
        </w:rPr>
        <w:footnoteRef/>
      </w:r>
      <w:r>
        <w:rPr>
          <w:lang w:val="pt-PT"/>
        </w:rPr>
        <w:tab/>
        <w:t xml:space="preserve">Directives </w:t>
      </w:r>
      <w:hyperlink r:id="rId524" w:history="1">
        <w:r>
          <w:rPr>
            <w:rStyle w:val="Hyperlink"/>
            <w:lang w:val="pt-PT"/>
          </w:rPr>
          <w:t>2014/23/EU</w:t>
        </w:r>
      </w:hyperlink>
      <w:r>
        <w:rPr>
          <w:lang w:val="pt-PT"/>
        </w:rPr>
        <w:t xml:space="preserve"> and </w:t>
      </w:r>
      <w:hyperlink r:id="rId525" w:history="1">
        <w:r>
          <w:rPr>
            <w:rStyle w:val="Hyperlink"/>
            <w:lang w:val="pt-PT"/>
          </w:rPr>
          <w:t>2014/25/EU</w:t>
        </w:r>
      </w:hyperlink>
      <w:r>
        <w:rPr>
          <w:lang w:val="pt-PT"/>
        </w:rPr>
        <w:t xml:space="preserve">; </w:t>
      </w:r>
      <w:hyperlink r:id="rId526" w:history="1">
        <w:r>
          <w:rPr>
            <w:rStyle w:val="Hyperlink"/>
            <w:lang w:val="pt-PT"/>
          </w:rPr>
          <w:t>MEMO/16/4211</w:t>
        </w:r>
      </w:hyperlink>
      <w:r>
        <w:rPr>
          <w:lang w:val="pt-PT"/>
        </w:rPr>
        <w:t>.</w:t>
      </w:r>
    </w:p>
  </w:footnote>
  <w:footnote w:id="327">
    <w:p>
      <w:pPr>
        <w:pStyle w:val="FootnoteText"/>
        <w:rPr>
          <w:lang w:val="pt-PT"/>
        </w:rPr>
      </w:pPr>
      <w:r>
        <w:rPr>
          <w:rStyle w:val="FootnoteReference"/>
        </w:rPr>
        <w:footnoteRef/>
      </w:r>
      <w:r>
        <w:rPr>
          <w:lang w:val="pt-PT"/>
        </w:rPr>
        <w:t xml:space="preserve"> </w:t>
      </w:r>
      <w:r>
        <w:rPr>
          <w:lang w:val="pt-PT"/>
        </w:rPr>
        <w:tab/>
        <w:t xml:space="preserve">Directive </w:t>
      </w:r>
      <w:hyperlink r:id="rId527" w:history="1">
        <w:r>
          <w:rPr>
            <w:rStyle w:val="Hyperlink"/>
            <w:lang w:val="pt-PT"/>
          </w:rPr>
          <w:t>2013/55/EU</w:t>
        </w:r>
      </w:hyperlink>
      <w:r>
        <w:rPr>
          <w:lang w:val="pt-PT"/>
        </w:rPr>
        <w:t xml:space="preserve">; </w:t>
      </w:r>
      <w:hyperlink r:id="rId528" w:history="1">
        <w:r>
          <w:rPr>
            <w:rStyle w:val="Hyperlink"/>
            <w:lang w:val="pt-PT"/>
          </w:rPr>
          <w:t>MEMO/16/3125</w:t>
        </w:r>
      </w:hyperlink>
      <w:r>
        <w:rPr>
          <w:lang w:val="pt-PT"/>
        </w:rPr>
        <w:t>.</w:t>
      </w:r>
    </w:p>
  </w:footnote>
  <w:footnote w:id="328">
    <w:p>
      <w:pPr>
        <w:pStyle w:val="FootnoteText"/>
        <w:rPr>
          <w:lang w:val="pt-PT"/>
        </w:rPr>
      </w:pPr>
      <w:r>
        <w:rPr>
          <w:rStyle w:val="FootnoteReference"/>
        </w:rPr>
        <w:footnoteRef/>
      </w:r>
      <w:r>
        <w:rPr>
          <w:lang w:val="pt-PT"/>
        </w:rPr>
        <w:t xml:space="preserve"> </w:t>
      </w:r>
      <w:r>
        <w:rPr>
          <w:lang w:val="pt-PT"/>
        </w:rPr>
        <w:tab/>
        <w:t xml:space="preserve">Directive </w:t>
      </w:r>
      <w:hyperlink r:id="rId529" w:history="1">
        <w:r>
          <w:rPr>
            <w:rStyle w:val="Hyperlink"/>
            <w:lang w:val="pt-PT"/>
          </w:rPr>
          <w:t>2014/40/EU</w:t>
        </w:r>
      </w:hyperlink>
      <w:r>
        <w:rPr>
          <w:lang w:val="pt-PT"/>
        </w:rPr>
        <w:t xml:space="preserve">; </w:t>
      </w:r>
      <w:hyperlink r:id="rId530" w:history="1">
        <w:r>
          <w:rPr>
            <w:rStyle w:val="Hyperlink"/>
            <w:lang w:val="pt-PT"/>
          </w:rPr>
          <w:t>MEMO/16/4211</w:t>
        </w:r>
      </w:hyperlink>
      <w:r>
        <w:rPr>
          <w:lang w:val="pt-PT"/>
        </w:rPr>
        <w:t>.</w:t>
      </w:r>
    </w:p>
  </w:footnote>
  <w:footnote w:id="329">
    <w:p>
      <w:pPr>
        <w:pStyle w:val="FootnoteText"/>
        <w:rPr>
          <w:lang w:val="pt-PT"/>
        </w:rPr>
      </w:pPr>
      <w:r>
        <w:rPr>
          <w:rStyle w:val="FootnoteReference"/>
        </w:rPr>
        <w:footnoteRef/>
      </w:r>
      <w:r>
        <w:rPr>
          <w:lang w:val="pt-PT"/>
        </w:rPr>
        <w:t xml:space="preserve"> </w:t>
      </w:r>
      <w:r>
        <w:rPr>
          <w:lang w:val="pt-PT"/>
        </w:rPr>
        <w:tab/>
        <w:t xml:space="preserve">Regulation </w:t>
      </w:r>
      <w:hyperlink r:id="rId531" w:history="1">
        <w:r>
          <w:rPr>
            <w:rStyle w:val="Hyperlink"/>
            <w:lang w:val="pt-PT"/>
          </w:rPr>
          <w:t>(EU) 603/2013</w:t>
        </w:r>
      </w:hyperlink>
      <w:r>
        <w:rPr>
          <w:lang w:val="pt-PT"/>
        </w:rPr>
        <w:t>.</w:t>
      </w:r>
    </w:p>
  </w:footnote>
  <w:footnote w:id="330">
    <w:p>
      <w:pPr>
        <w:pStyle w:val="FootnoteText"/>
        <w:rPr>
          <w:lang w:val="pt-PT"/>
        </w:rPr>
      </w:pPr>
      <w:r>
        <w:rPr>
          <w:rStyle w:val="FootnoteReference"/>
        </w:rPr>
        <w:footnoteRef/>
      </w:r>
      <w:r>
        <w:rPr>
          <w:lang w:val="pt-PT"/>
        </w:rPr>
        <w:t xml:space="preserve"> </w:t>
      </w:r>
      <w:r>
        <w:rPr>
          <w:lang w:val="pt-PT"/>
        </w:rPr>
        <w:tab/>
        <w:t xml:space="preserve">Directive </w:t>
      </w:r>
      <w:hyperlink r:id="rId532" w:history="1">
        <w:r>
          <w:rPr>
            <w:rStyle w:val="Hyperlink"/>
            <w:lang w:val="pt-PT"/>
          </w:rPr>
          <w:t>2013/56/EU</w:t>
        </w:r>
      </w:hyperlink>
      <w:r>
        <w:rPr>
          <w:lang w:val="pt-PT"/>
        </w:rPr>
        <w:t>.</w:t>
      </w:r>
    </w:p>
  </w:footnote>
  <w:footnote w:id="331">
    <w:p>
      <w:pPr>
        <w:pStyle w:val="FootnoteText"/>
        <w:rPr>
          <w:lang w:val="pt-PT"/>
        </w:rPr>
      </w:pPr>
      <w:r>
        <w:rPr>
          <w:rStyle w:val="FootnoteReference"/>
        </w:rPr>
        <w:footnoteRef/>
      </w:r>
      <w:r>
        <w:rPr>
          <w:lang w:val="pt-PT"/>
        </w:rPr>
        <w:t xml:space="preserve"> </w:t>
      </w:r>
      <w:r>
        <w:rPr>
          <w:lang w:val="pt-PT"/>
        </w:rPr>
        <w:tab/>
        <w:t xml:space="preserve">Directive </w:t>
      </w:r>
      <w:hyperlink r:id="rId533" w:history="1">
        <w:r>
          <w:rPr>
            <w:rStyle w:val="Hyperlink"/>
            <w:lang w:val="pt-PT"/>
          </w:rPr>
          <w:t>2013/39/EU</w:t>
        </w:r>
      </w:hyperlink>
      <w:r>
        <w:rPr>
          <w:lang w:val="pt-PT"/>
        </w:rPr>
        <w:t>.</w:t>
      </w:r>
    </w:p>
  </w:footnote>
  <w:footnote w:id="332">
    <w:p>
      <w:pPr>
        <w:pStyle w:val="FootnoteText"/>
        <w:rPr>
          <w:lang w:val="pt-PT"/>
        </w:rPr>
      </w:pPr>
      <w:r>
        <w:rPr>
          <w:rStyle w:val="FootnoteReference"/>
        </w:rPr>
        <w:footnoteRef/>
      </w:r>
      <w:r>
        <w:rPr>
          <w:lang w:val="pt-PT"/>
        </w:rPr>
        <w:t xml:space="preserve"> </w:t>
      </w:r>
      <w:r>
        <w:rPr>
          <w:lang w:val="pt-PT"/>
        </w:rPr>
        <w:tab/>
        <w:t xml:space="preserve">Regulation </w:t>
      </w:r>
      <w:hyperlink r:id="rId534" w:history="1">
        <w:r>
          <w:rPr>
            <w:rStyle w:val="Hyperlink"/>
            <w:lang w:val="pt-PT"/>
          </w:rPr>
          <w:t>(EU) No 492/2011</w:t>
        </w:r>
      </w:hyperlink>
      <w:r>
        <w:rPr>
          <w:lang w:val="pt-PT"/>
        </w:rPr>
        <w:t>.</w:t>
      </w:r>
    </w:p>
  </w:footnote>
  <w:footnote w:id="333">
    <w:p>
      <w:pPr>
        <w:pStyle w:val="FootnoteText"/>
        <w:rPr>
          <w:lang w:val="pt-PT"/>
        </w:rPr>
      </w:pPr>
      <w:r>
        <w:rPr>
          <w:rStyle w:val="FootnoteReference"/>
        </w:rPr>
        <w:footnoteRef/>
      </w:r>
      <w:r>
        <w:rPr>
          <w:lang w:val="pt-PT"/>
        </w:rPr>
        <w:t xml:space="preserve"> </w:t>
      </w:r>
      <w:r>
        <w:rPr>
          <w:lang w:val="pt-PT"/>
        </w:rPr>
        <w:tab/>
        <w:t xml:space="preserve">Directive </w:t>
      </w:r>
      <w:hyperlink r:id="rId535" w:history="1">
        <w:r>
          <w:rPr>
            <w:rStyle w:val="Hyperlink"/>
            <w:lang w:val="pt-PT"/>
          </w:rPr>
          <w:t>2013/14/EU</w:t>
        </w:r>
      </w:hyperlink>
      <w:r>
        <w:rPr>
          <w:lang w:val="pt-PT"/>
        </w:rPr>
        <w:t>.</w:t>
      </w:r>
    </w:p>
  </w:footnote>
  <w:footnote w:id="334">
    <w:p>
      <w:pPr>
        <w:pStyle w:val="FootnoteText"/>
        <w:rPr>
          <w:lang w:val="pt-PT"/>
        </w:rPr>
      </w:pPr>
      <w:r>
        <w:rPr>
          <w:rStyle w:val="FootnoteReference"/>
        </w:rPr>
        <w:footnoteRef/>
      </w:r>
      <w:r>
        <w:rPr>
          <w:lang w:val="pt-PT"/>
        </w:rPr>
        <w:t xml:space="preserve"> </w:t>
      </w:r>
      <w:r>
        <w:rPr>
          <w:lang w:val="pt-PT"/>
        </w:rPr>
        <w:tab/>
      </w:r>
      <w:r>
        <w:rPr>
          <w:rFonts w:cs="Arial"/>
          <w:szCs w:val="18"/>
          <w:lang w:val="pt-PT"/>
        </w:rPr>
        <w:t>These rulings are almost exclusively handed down in infringement procedures.</w:t>
      </w:r>
    </w:p>
  </w:footnote>
  <w:footnote w:id="335">
    <w:p>
      <w:pPr>
        <w:pStyle w:val="FootnoteText"/>
        <w:rPr>
          <w:lang w:val="pt-PT"/>
        </w:rPr>
      </w:pPr>
      <w:r>
        <w:rPr>
          <w:rStyle w:val="FootnoteReference"/>
        </w:rPr>
        <w:footnoteRef/>
      </w:r>
      <w:r>
        <w:rPr>
          <w:lang w:val="pt-PT"/>
        </w:rPr>
        <w:t xml:space="preserve"> </w:t>
      </w:r>
      <w:r>
        <w:rPr>
          <w:lang w:val="pt-PT"/>
        </w:rPr>
        <w:tab/>
        <w:t xml:space="preserve">Commission v Cyprus, </w:t>
      </w:r>
      <w:hyperlink r:id="rId536" w:history="1">
        <w:r>
          <w:rPr>
            <w:rStyle w:val="Hyperlink"/>
            <w:lang w:val="pt-PT"/>
          </w:rPr>
          <w:t>C-515/14</w:t>
        </w:r>
      </w:hyperlink>
      <w:r>
        <w:rPr>
          <w:lang w:val="pt-PT"/>
        </w:rPr>
        <w:t>.</w:t>
      </w:r>
    </w:p>
  </w:footnote>
  <w:footnote w:id="336">
    <w:p>
      <w:pPr>
        <w:pStyle w:val="FootnoteText"/>
        <w:rPr>
          <w:lang w:val="pt-PT"/>
        </w:rPr>
      </w:pPr>
      <w:r>
        <w:rPr>
          <w:rStyle w:val="FootnoteReference"/>
        </w:rPr>
        <w:footnoteRef/>
      </w:r>
      <w:r>
        <w:rPr>
          <w:lang w:val="pt-PT"/>
        </w:rPr>
        <w:t xml:space="preserve"> </w:t>
      </w:r>
      <w:r>
        <w:rPr>
          <w:lang w:val="pt-PT"/>
        </w:rPr>
        <w:tab/>
        <w:t xml:space="preserve">Directive </w:t>
      </w:r>
      <w:hyperlink r:id="rId537" w:history="1">
        <w:r>
          <w:rPr>
            <w:rStyle w:val="Hyperlink"/>
            <w:lang w:val="pt-PT"/>
          </w:rPr>
          <w:t>2011/70/Euratom</w:t>
        </w:r>
      </w:hyperlink>
      <w:r>
        <w:rPr>
          <w:lang w:val="pt-PT"/>
        </w:rPr>
        <w:t xml:space="preserve">; </w:t>
      </w:r>
      <w:hyperlink r:id="rId538" w:history="1">
        <w:r>
          <w:rPr>
            <w:rStyle w:val="Hyperlink"/>
            <w:lang w:val="pt-PT"/>
          </w:rPr>
          <w:t>MEMO/16/1452</w:t>
        </w:r>
      </w:hyperlink>
      <w:r>
        <w:rPr>
          <w:lang w:val="pt-PT"/>
        </w:rPr>
        <w:t>.</w:t>
      </w:r>
    </w:p>
  </w:footnote>
  <w:footnote w:id="337">
    <w:p>
      <w:pPr>
        <w:pStyle w:val="FootnoteText"/>
        <w:rPr>
          <w:lang w:val="pt-PT"/>
        </w:rPr>
      </w:pPr>
      <w:r>
        <w:rPr>
          <w:rStyle w:val="FootnoteReference"/>
        </w:rPr>
        <w:footnoteRef/>
      </w:r>
      <w:r>
        <w:rPr>
          <w:lang w:val="pt-PT"/>
        </w:rPr>
        <w:t xml:space="preserve"> </w:t>
      </w:r>
      <w:r>
        <w:rPr>
          <w:lang w:val="pt-PT"/>
        </w:rPr>
        <w:tab/>
        <w:t xml:space="preserve">Directive </w:t>
      </w:r>
      <w:hyperlink r:id="rId539" w:history="1">
        <w:r>
          <w:rPr>
            <w:rStyle w:val="Hyperlink"/>
            <w:lang w:val="pt-PT"/>
          </w:rPr>
          <w:t>2013/36/EU</w:t>
        </w:r>
      </w:hyperlink>
      <w:r>
        <w:rPr>
          <w:lang w:val="pt-PT"/>
        </w:rPr>
        <w:t xml:space="preserve">; </w:t>
      </w:r>
      <w:hyperlink r:id="rId540" w:history="1">
        <w:r>
          <w:rPr>
            <w:rStyle w:val="Hyperlink"/>
            <w:lang w:val="pt-PT"/>
          </w:rPr>
          <w:t>MEMO/16/1452</w:t>
        </w:r>
      </w:hyperlink>
      <w:r>
        <w:rPr>
          <w:lang w:val="pt-PT"/>
        </w:rPr>
        <w:t>.</w:t>
      </w:r>
    </w:p>
  </w:footnote>
  <w:footnote w:id="338">
    <w:p>
      <w:pPr>
        <w:pStyle w:val="FootnoteText"/>
        <w:rPr>
          <w:lang w:val="pt-PT"/>
        </w:rPr>
      </w:pPr>
      <w:r>
        <w:rPr>
          <w:rStyle w:val="FootnoteReference"/>
        </w:rPr>
        <w:footnoteRef/>
      </w:r>
      <w:r>
        <w:rPr>
          <w:lang w:val="pt-PT"/>
        </w:rPr>
        <w:t xml:space="preserve"> </w:t>
      </w:r>
      <w:r>
        <w:rPr>
          <w:lang w:val="pt-PT"/>
        </w:rPr>
        <w:tab/>
        <w:t xml:space="preserve">Directive </w:t>
      </w:r>
      <w:hyperlink r:id="rId541" w:history="1">
        <w:r>
          <w:rPr>
            <w:rStyle w:val="Hyperlink"/>
            <w:lang w:val="pt-PT"/>
          </w:rPr>
          <w:t>2013/50/EU</w:t>
        </w:r>
      </w:hyperlink>
      <w:r>
        <w:rPr>
          <w:lang w:val="pt-PT"/>
        </w:rPr>
        <w:t xml:space="preserve">; </w:t>
      </w:r>
      <w:hyperlink r:id="rId542" w:history="1">
        <w:r>
          <w:rPr>
            <w:rStyle w:val="Hyperlink"/>
            <w:lang w:val="pt-PT"/>
          </w:rPr>
          <w:t>MEMO/16/3644</w:t>
        </w:r>
      </w:hyperlink>
      <w:r>
        <w:rPr>
          <w:lang w:val="pt-PT"/>
        </w:rPr>
        <w:t>.</w:t>
      </w:r>
    </w:p>
  </w:footnote>
  <w:footnote w:id="339">
    <w:p>
      <w:pPr>
        <w:pStyle w:val="FootnoteText"/>
        <w:rPr>
          <w:lang w:val="pt-PT"/>
        </w:rPr>
      </w:pPr>
      <w:r>
        <w:rPr>
          <w:rStyle w:val="FootnoteReference"/>
        </w:rPr>
        <w:footnoteRef/>
      </w:r>
      <w:r>
        <w:rPr>
          <w:lang w:val="pt-PT"/>
        </w:rPr>
        <w:t xml:space="preserve"> </w:t>
      </w:r>
      <w:r>
        <w:rPr>
          <w:lang w:val="pt-PT"/>
        </w:rPr>
        <w:tab/>
        <w:t xml:space="preserve">Press releases </w:t>
      </w:r>
      <w:hyperlink r:id="rId543" w:history="1">
        <w:r>
          <w:rPr>
            <w:rStyle w:val="Hyperlink"/>
            <w:lang w:val="pt-PT"/>
          </w:rPr>
          <w:t>IP/16/1827</w:t>
        </w:r>
      </w:hyperlink>
      <w:r>
        <w:rPr>
          <w:lang w:val="pt-PT"/>
        </w:rPr>
        <w:t xml:space="preserve"> and </w:t>
      </w:r>
      <w:hyperlink r:id="rId544" w:history="1">
        <w:r>
          <w:rPr>
            <w:rStyle w:val="Hyperlink"/>
            <w:lang w:val="pt-PT"/>
          </w:rPr>
          <w:t>MEMO/16/1823</w:t>
        </w:r>
      </w:hyperlink>
      <w:r>
        <w:rPr>
          <w:lang w:val="pt-PT"/>
        </w:rPr>
        <w:t>.</w:t>
      </w:r>
    </w:p>
  </w:footnote>
  <w:footnote w:id="340">
    <w:p>
      <w:pPr>
        <w:pStyle w:val="FootnoteText"/>
        <w:rPr>
          <w:lang w:val="pt-PT"/>
        </w:rPr>
      </w:pPr>
      <w:r>
        <w:rPr>
          <w:rStyle w:val="FootnoteReference"/>
        </w:rPr>
        <w:footnoteRef/>
      </w:r>
      <w:r>
        <w:rPr>
          <w:lang w:val="pt-PT"/>
        </w:rPr>
        <w:t xml:space="preserve"> </w:t>
      </w:r>
      <w:r>
        <w:rPr>
          <w:lang w:val="pt-PT"/>
        </w:rPr>
        <w:tab/>
        <w:t xml:space="preserve">Directive </w:t>
      </w:r>
      <w:hyperlink r:id="rId545" w:history="1">
        <w:r>
          <w:rPr>
            <w:rStyle w:val="Hyperlink"/>
            <w:lang w:val="pt-PT"/>
          </w:rPr>
          <w:t>2012/34/EU</w:t>
        </w:r>
      </w:hyperlink>
      <w:r>
        <w:rPr>
          <w:lang w:val="pt-PT"/>
        </w:rPr>
        <w:t xml:space="preserve">; </w:t>
      </w:r>
      <w:hyperlink r:id="rId546" w:history="1">
        <w:r>
          <w:rPr>
            <w:rStyle w:val="Hyperlink"/>
            <w:lang w:val="pt-PT"/>
          </w:rPr>
          <w:t>MEMO/16/319</w:t>
        </w:r>
      </w:hyperlink>
      <w:r>
        <w:rPr>
          <w:lang w:val="pt-PT"/>
        </w:rPr>
        <w:t>.</w:t>
      </w:r>
    </w:p>
  </w:footnote>
  <w:footnote w:id="341">
    <w:p>
      <w:pPr>
        <w:pStyle w:val="FootnoteText"/>
        <w:rPr>
          <w:rFonts w:cs="Arial"/>
          <w:lang w:val="pt-PT"/>
        </w:rPr>
      </w:pPr>
      <w:r>
        <w:rPr>
          <w:rStyle w:val="FootnoteReference"/>
          <w:rFonts w:eastAsia="MS Gothic"/>
        </w:rPr>
        <w:footnoteRef/>
      </w:r>
      <w:r>
        <w:rPr>
          <w:lang w:val="pt-PT"/>
        </w:rPr>
        <w:t xml:space="preserve"> </w:t>
      </w:r>
      <w:r>
        <w:rPr>
          <w:lang w:val="pt-PT"/>
        </w:rPr>
        <w:tab/>
        <w:t xml:space="preserve">Directives </w:t>
      </w:r>
      <w:hyperlink r:id="rId547" w:history="1">
        <w:r>
          <w:rPr>
            <w:rStyle w:val="Hyperlink"/>
            <w:lang w:val="pt-PT"/>
          </w:rPr>
          <w:t>2014/23/EU</w:t>
        </w:r>
      </w:hyperlink>
      <w:r>
        <w:rPr>
          <w:lang w:val="pt-PT"/>
        </w:rPr>
        <w:t xml:space="preserve">, </w:t>
      </w:r>
      <w:hyperlink r:id="rId548" w:history="1">
        <w:r>
          <w:rPr>
            <w:rStyle w:val="Hyperlink"/>
            <w:lang w:val="pt-PT"/>
          </w:rPr>
          <w:t>2014/24/EU</w:t>
        </w:r>
      </w:hyperlink>
      <w:r>
        <w:rPr>
          <w:lang w:val="pt-PT"/>
        </w:rPr>
        <w:t xml:space="preserve">, </w:t>
      </w:r>
      <w:hyperlink r:id="rId549" w:history="1">
        <w:r>
          <w:rPr>
            <w:rStyle w:val="Hyperlink"/>
            <w:lang w:val="pt-PT"/>
          </w:rPr>
          <w:t>2014/25/EU</w:t>
        </w:r>
      </w:hyperlink>
      <w:r>
        <w:rPr>
          <w:lang w:val="pt-PT"/>
        </w:rPr>
        <w:t xml:space="preserve">; </w:t>
      </w:r>
      <w:hyperlink r:id="rId550" w:history="1">
        <w:r>
          <w:rPr>
            <w:rStyle w:val="Hyperlink"/>
            <w:lang w:val="pt-PT"/>
          </w:rPr>
          <w:t>MEMO/16/1823</w:t>
        </w:r>
      </w:hyperlink>
      <w:r>
        <w:rPr>
          <w:lang w:val="pt-PT"/>
        </w:rPr>
        <w:t>.</w:t>
      </w:r>
    </w:p>
  </w:footnote>
  <w:footnote w:id="342">
    <w:p>
      <w:pPr>
        <w:pStyle w:val="FootnoteText"/>
      </w:pPr>
      <w:r>
        <w:rPr>
          <w:rStyle w:val="FootnoteReference"/>
        </w:rPr>
        <w:footnoteRef/>
      </w:r>
      <w:r>
        <w:t xml:space="preserve"> </w:t>
      </w:r>
      <w:r>
        <w:tab/>
        <w:t xml:space="preserve">Directive </w:t>
      </w:r>
      <w:hyperlink r:id="rId551" w:history="1">
        <w:r>
          <w:rPr>
            <w:rStyle w:val="Hyperlink"/>
          </w:rPr>
          <w:t>2012/18/EU</w:t>
        </w:r>
      </w:hyperlink>
      <w:r>
        <w:t>.</w:t>
      </w:r>
    </w:p>
  </w:footnote>
  <w:footnote w:id="343">
    <w:p>
      <w:pPr>
        <w:pStyle w:val="FootnoteText"/>
      </w:pPr>
      <w:r>
        <w:rPr>
          <w:rStyle w:val="FootnoteReference"/>
        </w:rPr>
        <w:footnoteRef/>
      </w:r>
      <w:r>
        <w:t xml:space="preserve"> </w:t>
      </w:r>
      <w:r>
        <w:tab/>
        <w:t xml:space="preserve">Directive </w:t>
      </w:r>
      <w:hyperlink r:id="rId552" w:history="1">
        <w:r>
          <w:rPr>
            <w:rStyle w:val="Hyperlink"/>
          </w:rPr>
          <w:t>2014/59/EU</w:t>
        </w:r>
      </w:hyperlink>
      <w:r>
        <w:t>.</w:t>
      </w:r>
    </w:p>
  </w:footnote>
  <w:footnote w:id="344">
    <w:p>
      <w:pPr>
        <w:pStyle w:val="FootnoteText"/>
      </w:pPr>
      <w:r>
        <w:rPr>
          <w:rStyle w:val="FootnoteReference"/>
        </w:rPr>
        <w:footnoteRef/>
      </w:r>
      <w:r>
        <w:t xml:space="preserve"> </w:t>
      </w:r>
      <w:r>
        <w:tab/>
        <w:t xml:space="preserve">Directive </w:t>
      </w:r>
      <w:hyperlink r:id="rId553" w:history="1">
        <w:r>
          <w:rPr>
            <w:rStyle w:val="Hyperlink"/>
          </w:rPr>
          <w:t>2011/61/EU</w:t>
        </w:r>
      </w:hyperlink>
      <w:r>
        <w:t>.</w:t>
      </w:r>
    </w:p>
  </w:footnote>
  <w:footnote w:id="345">
    <w:p>
      <w:pPr>
        <w:pStyle w:val="FootnoteText"/>
      </w:pPr>
      <w:r>
        <w:rPr>
          <w:rStyle w:val="FootnoteReference"/>
        </w:rPr>
        <w:footnoteRef/>
      </w:r>
      <w:r>
        <w:t xml:space="preserve"> </w:t>
      </w:r>
      <w:r>
        <w:tab/>
        <w:t xml:space="preserve">Directive </w:t>
      </w:r>
      <w:hyperlink r:id="rId554" w:history="1">
        <w:r>
          <w:rPr>
            <w:rStyle w:val="Hyperlink"/>
          </w:rPr>
          <w:t>2006/126/EC</w:t>
        </w:r>
      </w:hyperlink>
      <w:r>
        <w:t>.</w:t>
      </w:r>
    </w:p>
  </w:footnote>
  <w:footnote w:id="346">
    <w:p>
      <w:pPr>
        <w:pStyle w:val="FootnoteText"/>
      </w:pPr>
      <w:r>
        <w:rPr>
          <w:rStyle w:val="FootnoteReference"/>
        </w:rPr>
        <w:footnoteRef/>
      </w:r>
      <w:r>
        <w:t xml:space="preserve"> </w:t>
      </w:r>
      <w:r>
        <w:tab/>
      </w:r>
      <w:r>
        <w:rPr>
          <w:rFonts w:cs="Arial"/>
          <w:szCs w:val="18"/>
        </w:rPr>
        <w:t>These rulings are almost exclusively handed down in infringement procedures.</w:t>
      </w:r>
    </w:p>
  </w:footnote>
  <w:footnote w:id="347">
    <w:p>
      <w:pPr>
        <w:pStyle w:val="FootnoteText"/>
      </w:pPr>
      <w:r>
        <w:rPr>
          <w:rStyle w:val="FootnoteReference"/>
        </w:rPr>
        <w:footnoteRef/>
      </w:r>
      <w:r>
        <w:t xml:space="preserve"> </w:t>
      </w:r>
      <w:r>
        <w:tab/>
        <w:t xml:space="preserve">Petruhhin, </w:t>
      </w:r>
      <w:hyperlink r:id="rId555" w:history="1">
        <w:r>
          <w:rPr>
            <w:rStyle w:val="Hyperlink"/>
          </w:rPr>
          <w:t>C-182/15</w:t>
        </w:r>
      </w:hyperlink>
      <w:r>
        <w:t xml:space="preserve"> and Court press release </w:t>
      </w:r>
      <w:hyperlink r:id="rId556" w:history="1">
        <w:r>
          <w:rPr>
            <w:rStyle w:val="Hyperlink"/>
          </w:rPr>
          <w:t>No 84/16</w:t>
        </w:r>
      </w:hyperlink>
      <w:r>
        <w:t>.</w:t>
      </w:r>
    </w:p>
  </w:footnote>
  <w:footnote w:id="348">
    <w:p>
      <w:pPr>
        <w:pStyle w:val="FootnoteText"/>
      </w:pPr>
      <w:r>
        <w:rPr>
          <w:rStyle w:val="FootnoteReference"/>
        </w:rPr>
        <w:footnoteRef/>
      </w:r>
      <w:r>
        <w:t xml:space="preserve"> </w:t>
      </w:r>
      <w:r>
        <w:tab/>
        <w:t xml:space="preserve">Directive </w:t>
      </w:r>
      <w:hyperlink r:id="rId557" w:history="1">
        <w:r>
          <w:rPr>
            <w:rStyle w:val="Hyperlink"/>
          </w:rPr>
          <w:t>2002/47/EC</w:t>
        </w:r>
      </w:hyperlink>
      <w:r>
        <w:t>.</w:t>
      </w:r>
    </w:p>
  </w:footnote>
  <w:footnote w:id="349">
    <w:p>
      <w:pPr>
        <w:pStyle w:val="FootnoteText"/>
      </w:pPr>
      <w:r>
        <w:rPr>
          <w:rStyle w:val="FootnoteReference"/>
        </w:rPr>
        <w:footnoteRef/>
      </w:r>
      <w:r>
        <w:t xml:space="preserve"> </w:t>
      </w:r>
      <w:r>
        <w:tab/>
        <w:t xml:space="preserve">Private Equity Insurance Group, </w:t>
      </w:r>
      <w:hyperlink r:id="rId558" w:history="1">
        <w:r>
          <w:rPr>
            <w:rStyle w:val="Hyperlink"/>
          </w:rPr>
          <w:t>C-156/15</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744256"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70.9pt;margin-top:49.65pt;width:595.2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Jk1nHcN&#10;AgAA+Q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74732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33" name="Rectangle 33"/>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 o:spid="_x0000_s1026" style="position:absolute;margin-left:379.65pt;margin-top:23.65pt;width:144.5pt;height:17.25pt;z-index:2516584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750400"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53" name="Rectangle 53"/>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70.85pt;margin-top:23.65pt;width:142pt;height:17.25pt;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753472" behindDoc="0" locked="0" layoutInCell="1" allowOverlap="1">
              <wp:simplePos x="0" y="0"/>
              <wp:positionH relativeFrom="column">
                <wp:posOffset>-899795</wp:posOffset>
              </wp:positionH>
              <wp:positionV relativeFrom="paragraph">
                <wp:posOffset>43815</wp:posOffset>
              </wp:positionV>
              <wp:extent cx="7557135" cy="54102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4102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color w:val="004194"/>
                              <w:sz w:val="20"/>
                            </w:rPr>
                          </w:pPr>
                          <w:r>
                            <w:rPr>
                              <w:rFonts w:ascii="Arial" w:hAnsi="Arial"/>
                              <w:color w:val="A6A6A6" w:themeColor="background1" w:themeShade="A6"/>
                              <w:sz w:val="22"/>
                            </w:rPr>
                            <w:t>Bulgaria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0.85pt;margin-top:3.45pt;width:595.05pt;height:42.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color w:val="004194"/>
                        <w:sz w:val="20"/>
                      </w:rPr>
                    </w:pPr>
                    <w:r>
                      <w:rPr>
                        <w:rFonts w:ascii="Arial" w:hAnsi="Arial"/>
                        <w:color w:val="A6A6A6" w:themeColor="background1" w:themeShade="A6"/>
                        <w:sz w:val="22"/>
                      </w:rPr>
                      <w:t>Bulgaria</w:t>
                    </w:r>
                  </w:p>
                </w:txbxContent>
              </v:textbox>
            </v:shape>
          </w:pict>
        </mc:Fallback>
      </mc:AlternateContent>
    </w:r>
  </w:p>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986944"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70.9pt;margin-top:49.65pt;width:595.25pt;height:3.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KIIzNsN&#10;AgAA+g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98796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28" name="Rectangle 28"/>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 o:spid="_x0000_s1026" style="position:absolute;margin-left:379.65pt;margin-top:23.65pt;width:144.5pt;height:17.25p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988992"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29" name="Rectangle 29"/>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70.85pt;margin-top:23.65pt;width:142pt;height:17.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990016" behindDoc="0" locked="0" layoutInCell="1" allowOverlap="1">
              <wp:simplePos x="0" y="0"/>
              <wp:positionH relativeFrom="column">
                <wp:posOffset>-899795</wp:posOffset>
              </wp:positionH>
              <wp:positionV relativeFrom="paragraph">
                <wp:posOffset>43815</wp:posOffset>
              </wp:positionV>
              <wp:extent cx="7557135" cy="4191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1910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0.85pt;margin-top:3.45pt;width:595.05pt;height:33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v:textbox>
            </v:shape>
          </w:pict>
        </mc:Fallback>
      </mc:AlternateContent>
    </w:r>
  </w:p>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683840"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70.9pt;margin-top:49.65pt;width:595.2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CFZeE4N&#10;AgAA+g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68076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36" name="Rectangle 36"/>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 o:spid="_x0000_s1026" style="position:absolute;margin-left:379.65pt;margin-top:23.65pt;width:144.5pt;height:17.25pt;z-index:2516583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677696"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37" name="Rectangle 37"/>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70.9pt;margin-top:23.65pt;width:142pt;height:17.2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674624" behindDoc="0" locked="0" layoutInCell="1" allowOverlap="1">
              <wp:simplePos x="0" y="0"/>
              <wp:positionH relativeFrom="column">
                <wp:posOffset>-899795</wp:posOffset>
              </wp:positionH>
              <wp:positionV relativeFrom="paragraph">
                <wp:posOffset>43815</wp:posOffset>
              </wp:positionV>
              <wp:extent cx="7557135" cy="5715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150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Czech Republic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70.85pt;margin-top:3.45pt;width:595.0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Czech Republic</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671552"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70.9pt;margin-top:49.65pt;width:595.2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CCIzHf&#10;DgIAAPo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662336"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70.9pt;margin-top:17.5pt;width:595.05pt;height:3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h1fg&#10;/RACAAD7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66848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40" name="Rectangle 40"/>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0" o:spid="_x0000_s1026" style="position:absolute;margin-left:379.65pt;margin-top:23.65pt;width:144.5pt;height:17.25pt;z-index:2516583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665408"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41" name="Rectangle 41"/>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70.9pt;margin-top:23.65pt;width:142pt;height:17.25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" fillcolor="#004194" stroked="f" strokeweight="2p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2019712"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70.9pt;margin-top:49.65pt;width:595.25pt;height:3.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AVf+xA&#10;DgIAAPo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201868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25" name="Rectangle 25"/>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 o:spid="_x0000_s1026" style="position:absolute;margin-left:379.65pt;margin-top:23.65pt;width:144.5pt;height:17.25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2017664"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26" name="Rectangle 26"/>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70.9pt;margin-top:23.65pt;width:142pt;height:17.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2016640" behindDoc="0" locked="0" layoutInCell="1" allowOverlap="1">
              <wp:simplePos x="0" y="0"/>
              <wp:positionH relativeFrom="column">
                <wp:posOffset>-899795</wp:posOffset>
              </wp:positionH>
              <wp:positionV relativeFrom="paragraph">
                <wp:posOffset>43815</wp:posOffset>
              </wp:positionV>
              <wp:extent cx="7557135" cy="5715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150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Denmark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70.85pt;margin-top:3.45pt;width:595.05pt;height:4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Denmark</w:t>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2014592"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70.9pt;margin-top:49.65pt;width:595.25pt;height:3.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USGZ8QwC&#10;AAD6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2011520"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70.9pt;margin-top:17.5pt;width:595.05pt;height:32.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201356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8" name="Rectangle 18"/>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6" style="position:absolute;margin-left:379.65pt;margin-top:23.65pt;width:144.5pt;height:17.25pt;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2012544"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19" name="Rectangle 19"/>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70.9pt;margin-top:23.65pt;width:142pt;height:17.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" fillcolor="#004194" stroked="f" strokeweight="2p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814912"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70.9pt;margin-top:49.65pt;width:595.25pt;height:3.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o8F7AwC&#10;AAD6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81184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93" name="Rectangle 93"/>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3" o:spid="_x0000_s1026" style="position:absolute;margin-left:379.65pt;margin-top:23.65pt;width:144.5pt;height:17.25pt;z-index:251690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808768"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94" name="Rectangle 94"/>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26" style="position:absolute;margin-left:-70.9pt;margin-top:23.65pt;width:142pt;height:17.25pt;z-index:251689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805696" behindDoc="0" locked="0" layoutInCell="1" allowOverlap="1">
              <wp:simplePos x="0" y="0"/>
              <wp:positionH relativeFrom="column">
                <wp:posOffset>-899795</wp:posOffset>
              </wp:positionH>
              <wp:positionV relativeFrom="paragraph">
                <wp:posOffset>43815</wp:posOffset>
              </wp:positionV>
              <wp:extent cx="7557135" cy="579120"/>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912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Germany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70.85pt;margin-top:3.45pt;width:595.05pt;height:45.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Germany</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827200"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70.9pt;margin-top:49.65pt;width:595.25pt;height:3.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LJuv4wwC&#10;AAD6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817984"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70.9pt;margin-top:17.5pt;width:595.05pt;height:32.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LRL4&#10;tR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82412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01" name="Rectangle 101"/>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1" o:spid="_x0000_s1026" style="position:absolute;margin-left:379.65pt;margin-top:23.65pt;width:144.5pt;height:17.25pt;z-index:251694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821056"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102" name="Rectangle 102"/>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 o:spid="_x0000_s1026" style="position:absolute;margin-left:-70.9pt;margin-top:23.65pt;width:142pt;height:17.25pt;z-index:251693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" fillcolor="#004194" stroked="f" strokeweight="2pt"/>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70534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19" name="Rectangle 519"/>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19" o:spid="_x0000_s1026" style="position:absolute;margin-left:379.65pt;margin-top:23.65pt;width:144.5pt;height:17.25pt;z-index:2516584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702272"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520" name="Rectangle 520"/>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0" o:spid="_x0000_s1026" style="position:absolute;margin-left:-70.9pt;margin-top:23.65pt;width:142pt;height:17.25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jWAb3lsCAAC1BAAADgAAAAAAAAAAAAAAAAAuAgAAZHJzL2Uyb0RvYy54&#10;bWxQSwECLQAUAAYACAAAACEAn3OlNt8AAAAKAQAADwAAAAAAAAAAAAAAAAC1BAAAZHJzL2Rvd25y&#10;ZXYueG1sUEsFBgAAAAAEAAQA8wAAAMEFA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708416" behindDoc="0" locked="0" layoutInCell="1" allowOverlap="1">
              <wp:simplePos x="0" y="0"/>
              <wp:positionH relativeFrom="column">
                <wp:posOffset>-899795</wp:posOffset>
              </wp:positionH>
              <wp:positionV relativeFrom="paragraph">
                <wp:posOffset>568959</wp:posOffset>
              </wp:positionV>
              <wp:extent cx="7559675" cy="53975"/>
              <wp:effectExtent l="0" t="0" r="0" b="3175"/>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53975"/>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70.85pt;margin-top:44.8pt;width:595.25pt;height: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699200" behindDoc="0" locked="0" layoutInCell="1" allowOverlap="1">
              <wp:simplePos x="0" y="0"/>
              <wp:positionH relativeFrom="column">
                <wp:posOffset>-899795</wp:posOffset>
              </wp:positionH>
              <wp:positionV relativeFrom="paragraph">
                <wp:posOffset>43815</wp:posOffset>
              </wp:positionV>
              <wp:extent cx="7557135" cy="518160"/>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1816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Estonia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70.85pt;margin-top:3.45pt;width:595.05pt;height:4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Estonia</w:t>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696128"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70.9pt;margin-top:49.65pt;width:595.2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686912"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70.9pt;margin-top:17.5pt;width:595.05pt;height:3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NqYi&#10;aR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69305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23" name="Rectangle 523"/>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23" o:spid="_x0000_s1026" style="position:absolute;margin-left:379.65pt;margin-top:23.65pt;width:144.5pt;height:17.25pt;z-index:2516583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689984"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524" name="Rectangle 524"/>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4" o:spid="_x0000_s1026" style="position:absolute;margin-left:-70.9pt;margin-top:23.65pt;width:142pt;height:17.25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" fillcolor="#004194" stroked="f" strokeweight="2pt"/>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851776"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70.9pt;margin-top:49.65pt;width:595.25pt;height:3.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DFOCzf&#10;DgIAAPs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84870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60" name="Rectangle 660"/>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60" o:spid="_x0000_s1026" style="position:absolute;margin-left:379.65pt;margin-top:23.65pt;width:144.5pt;height:17.25pt;z-index:2517035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845632"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661" name="Rectangle 661"/>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1" o:spid="_x0000_s1026" style="position:absolute;margin-left:-70.9pt;margin-top:23.65pt;width:142pt;height:17.25pt;z-index:251702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4DoN21sCAAC1BAAADgAAAAAAAAAAAAAAAAAuAgAAZHJzL2Uyb0RvYy54&#10;bWxQSwECLQAUAAYACAAAACEAn3OlNt8AAAAKAQAADwAAAAAAAAAAAAAAAAC1BAAAZHJzL2Rvd25y&#10;ZXYueG1sUEsFBgAAAAAEAAQA8wAAAMEFA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842560" behindDoc="0" locked="0" layoutInCell="1" allowOverlap="1">
              <wp:simplePos x="0" y="0"/>
              <wp:positionH relativeFrom="column">
                <wp:posOffset>-899795</wp:posOffset>
              </wp:positionH>
              <wp:positionV relativeFrom="paragraph">
                <wp:posOffset>43815</wp:posOffset>
              </wp:positionV>
              <wp:extent cx="7557135" cy="601980"/>
              <wp:effectExtent l="0" t="0" r="0" b="0"/>
              <wp:wrapNone/>
              <wp:docPr id="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0198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Ireland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70.85pt;margin-top:3.45pt;width:595.05pt;height:47.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Ireland</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839488"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70.9pt;margin-top:49.65pt;width:595.25pt;height:3.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DWfIBm&#10;DgIAAPs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830272"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70.9pt;margin-top:17.5pt;width:595.05pt;height:32.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DlgOlC&#10;DwIAAPw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83641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64" name="Rectangle 664"/>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64" o:spid="_x0000_s1026" style="position:absolute;margin-left:379.65pt;margin-top:23.65pt;width:144.5pt;height:17.25pt;z-index:2516994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833344"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665" name="Rectangle 665"/>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5" o:spid="_x0000_s1026" style="position:absolute;margin-left:-70.9pt;margin-top:23.65pt;width:142pt;height:17.25pt;z-index:25169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" fillcolor="#004194" stroked="f" strokeweight="2pt"/>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900928"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left:0;text-align:left;margin-left:-70.9pt;margin-top:49.65pt;width:595.25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AitbeS&#10;DgIAAPs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89785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91" name="Rectangle 591"/>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91" o:spid="_x0000_s1026" style="position:absolute;margin-left:379.65pt;margin-top:23.65pt;width:144.5pt;height:17.25pt;z-index:2517219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894784"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592" name="Rectangle 592"/>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2" o:spid="_x0000_s1026" style="position:absolute;margin-left:-70.9pt;margin-top:23.65pt;width:142pt;height:17.25pt;z-index:251720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UjzjNFsCAAC1BAAADgAAAAAAAAAAAAAAAAAuAgAAZHJzL2Uyb0RvYy54&#10;bWxQSwECLQAUAAYACAAAACEAn3OlNt8AAAAKAQAADwAAAAAAAAAAAAAAAAC1BAAAZHJzL2Rvd25y&#10;ZXYueG1sUEsFBgAAAAAEAAQA8wAAAMEFA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891712" behindDoc="0" locked="0" layoutInCell="1" allowOverlap="1">
              <wp:simplePos x="0" y="0"/>
              <wp:positionH relativeFrom="column">
                <wp:posOffset>-899795</wp:posOffset>
              </wp:positionH>
              <wp:positionV relativeFrom="paragraph">
                <wp:posOffset>43815</wp:posOffset>
              </wp:positionV>
              <wp:extent cx="7557135" cy="609600"/>
              <wp:effectExtent l="0" t="0" r="0" b="0"/>
              <wp:wrapNone/>
              <wp:docPr id="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0960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Greece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70.85pt;margin-top:3.45pt;width:595.05pt;height:4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Greece</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888640"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70.9pt;margin-top:49.65pt;width:595.25pt;height:3.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879424"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70.9pt;margin-top:17.5pt;width:595.05pt;height:32.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FiJ&#10;YfkRAgAA/A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88556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95" name="Rectangle 595"/>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95" o:spid="_x0000_s1026" style="position:absolute;margin-left:379.65pt;margin-top:23.65pt;width:144.5pt;height:17.25pt;z-index:2517178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882496"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596" name="Rectangle 596"/>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 o:spid="_x0000_s1026" style="position:absolute;margin-left:-70.9pt;margin-top:23.65pt;width:142pt;height:17.25pt;z-index:251716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hLrF6VsCAAC1BAAADgAAAAAAAAAAAAAAAAAuAgAAZHJzL2Uyb0RvYy54&#10;bWxQSwECLQAUAAYACAAAACEAn3OlNt8AAAAKAQAADwAAAAAAAAAAAAAAAAC1BAAAZHJzL2Rvd25y&#10;ZXYueG1sUEsFBgAAAAAEAAQA8wAAAMEFAAAAAA==&#10;" fillcolor="#004194" stroked="f" strokeweight="2pt"/>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925504"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1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left:0;text-align:left;margin-left:-70.9pt;margin-top:49.65pt;width:595.25pt;height:3.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92243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014" name="Rectangle 1014"/>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14" o:spid="_x0000_s1026" style="position:absolute;margin-left:379.65pt;margin-top:23.65pt;width:144.5pt;height:17.25pt;z-index:2517311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919360"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1015" name="Rectangle 1015"/>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5" o:spid="_x0000_s1026" style="position:absolute;margin-left:-70.9pt;margin-top:23.65pt;width:142pt;height:17.25pt;z-index:251730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09phBFsCAAC3BAAADgAAAAAAAAAAAAAAAAAuAgAAZHJzL2Uyb0RvYy54&#10;bWxQSwECLQAUAAYACAAAACEAn3OlNt8AAAAKAQAADwAAAAAAAAAAAAAAAAC1BAAAZHJzL2Rvd25y&#10;ZXYueG1sUEsFBgAAAAAEAAQA8wAAAMEFA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916288" behindDoc="0" locked="0" layoutInCell="1" allowOverlap="1">
              <wp:simplePos x="0" y="0"/>
              <wp:positionH relativeFrom="column">
                <wp:posOffset>-899795</wp:posOffset>
              </wp:positionH>
              <wp:positionV relativeFrom="paragraph">
                <wp:posOffset>43815</wp:posOffset>
              </wp:positionV>
              <wp:extent cx="7557135" cy="601980"/>
              <wp:effectExtent l="0" t="0" r="0" b="0"/>
              <wp:wrapNone/>
              <wp:docPr id="1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0198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70.85pt;margin-top:3.45pt;width:595.05pt;height:47.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Spain</w:t>
                    </w:r>
                  </w:p>
                </w:txbxContent>
              </v:textbox>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913216"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1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left:0;text-align:left;margin-left:-70.9pt;margin-top:49.65pt;width:595.25pt;height:3.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904000"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1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70.9pt;margin-top:17.5pt;width:595.05pt;height:32.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LYI&#10;FZcRAgAA/Q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91014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018" name="Rectangle 1018"/>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18" o:spid="_x0000_s1026" style="position:absolute;margin-left:379.65pt;margin-top:23.65pt;width:144.5pt;height:17.25pt;z-index:2517270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907072"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1019" name="Rectangle 1019"/>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9" o:spid="_x0000_s1026" style="position:absolute;margin-left:-70.9pt;margin-top:23.65pt;width:142pt;height:17.25pt;z-index:251726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OLFFrVsCAAC3BAAADgAAAAAAAAAAAAAAAAAuAgAAZHJzL2Uyb0RvYy54&#10;bWxQSwECLQAUAAYACAAAACEAn3OlNt8AAAAKAQAADwAAAAAAAAAAAAAAAAC1BAAAZHJzL2Rvd25y&#10;ZXYueG1sUEsFBgAAAAAEAAQA8wAAAMEFAAAAAA==&#10;" fillcolor="#004194" stroked="f" strokeweight="2pt"/>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732992"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left:0;text-align:left;margin-left:-70.9pt;margin-top:49.65pt;width:595.25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IBiuEQ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72992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60" name="Rectangle 560"/>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60" o:spid="_x0000_s1026" style="position:absolute;margin-left:379.65pt;margin-top:23.65pt;width:144.5pt;height:17.25pt;z-index:2516584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726848"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561" name="Rectangle 561"/>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1" o:spid="_x0000_s1026" style="position:absolute;margin-left:-70.9pt;margin-top:23.65pt;width:142pt;height:17.25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fxOHa1sCAAC1BAAADgAAAAAAAAAAAAAAAAAuAgAAZHJzL2Uyb0RvYy54&#10;bWxQSwECLQAUAAYACAAAACEAn3OlNt8AAAAKAQAADwAAAAAAAAAAAAAAAAC1BAAAZHJzL2Rvd25y&#10;ZXYueG1sUEsFBgAAAAAEAAQA8wAAAMEFA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723776" behindDoc="0" locked="0" layoutInCell="1" allowOverlap="1">
              <wp:simplePos x="0" y="0"/>
              <wp:positionH relativeFrom="column">
                <wp:posOffset>-899795</wp:posOffset>
              </wp:positionH>
              <wp:positionV relativeFrom="paragraph">
                <wp:posOffset>43815</wp:posOffset>
              </wp:positionV>
              <wp:extent cx="7557135" cy="556260"/>
              <wp:effectExtent l="0" t="0" r="0" b="0"/>
              <wp:wrapNone/>
              <wp:docPr id="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5626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France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70.85pt;margin-top:3.45pt;width:595.05pt;height:43.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France</w:t>
                    </w:r>
                  </w:p>
                </w:txbxContent>
              </v:textbox>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720704"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left:0;text-align:left;margin-left:-70.9pt;margin-top:49.65pt;width:595.25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K01Inw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711488"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70.9pt;margin-top:17.5pt;width:595.05pt;height:3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BgA&#10;3n4RAgAA/A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71763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64" name="Rectangle 564"/>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64" o:spid="_x0000_s1026" style="position:absolute;margin-left:379.65pt;margin-top:23.65pt;width:144.5pt;height:17.25pt;z-index:2516584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714560"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565" name="Rectangle 565"/>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5" o:spid="_x0000_s1026" style="position:absolute;margin-left:-70.9pt;margin-top:23.65pt;width:142pt;height:17.25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" fillcolor="#004194" stroked="f" strokeweight="2pt"/>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790336"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left:0;text-align:left;margin-left:-70.9pt;margin-top:49.65pt;width:595.25pt;height: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78726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365" name="Rectangle 365"/>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5" o:spid="_x0000_s1026" style="position:absolute;margin-left:379.65pt;margin-top:23.65pt;width:144.5pt;height:17.25pt;z-index:2516809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784192"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366" name="Rectangle 366"/>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6" o:spid="_x0000_s1026" style="position:absolute;margin-left:-70.9pt;margin-top:23.65pt;width:142pt;height:17.25pt;z-index:251679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KKGmuFsCAAC1BAAADgAAAAAAAAAAAAAAAAAuAgAAZHJzL2Uyb0RvYy54&#10;bWxQSwECLQAUAAYACAAAACEAn3OlNt8AAAAKAQAADwAAAAAAAAAAAAAAAAC1BAAAZHJzL2Rvd25y&#10;ZXYueG1sUEsFBgAAAAAEAAQA8wAAAMEFA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781120" behindDoc="0" locked="0" layoutInCell="1" allowOverlap="1">
              <wp:simplePos x="0" y="0"/>
              <wp:positionH relativeFrom="column">
                <wp:posOffset>-899795</wp:posOffset>
              </wp:positionH>
              <wp:positionV relativeFrom="paragraph">
                <wp:posOffset>43815</wp:posOffset>
              </wp:positionV>
              <wp:extent cx="7557135" cy="541020"/>
              <wp:effectExtent l="0" t="0" r="0" b="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4102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Croatia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70.85pt;margin-top:3.45pt;width:595.05pt;height:42.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Croatia</w:t>
                    </w:r>
                  </w:p>
                </w:txbxContent>
              </v:textbox>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802624"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left:0;text-align:left;margin-left:-70.9pt;margin-top:49.65pt;width:595.25pt;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CeAFsP&#10;DgIAAPo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793408"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70.9pt;margin-top:17.5pt;width:595.05pt;height:3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jLj7&#10;1RACAAD7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79955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6" name="Rectangle 66"/>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6" o:spid="_x0000_s1026" style="position:absolute;margin-left:379.65pt;margin-top:23.65pt;width:144.5pt;height:17.25pt;z-index:2516850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796480"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67" name="Rectangle 67"/>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26" style="position:absolute;margin-left:-70.85pt;margin-top:23.65pt;width:142pt;height:17.25pt;z-index:251684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" fillcolor="#004194" stroked="f" strokeweight="2pt"/>
          </w:pict>
        </mc:Fallback>
      </mc:AlternateContent>
    </w:r>
  </w:p>
  <w:p>
    <w:pPr>
      <w:pStyle w:val="Header"/>
    </w:pPr>
  </w:p>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364352"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left:0;text-align:left;margin-left:-70.9pt;margin-top:49.65pt;width:595.25pt;height:3.6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36128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98" name="Rectangle 698"/>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98" o:spid="_x0000_s1026" style="position:absolute;margin-left:379.65pt;margin-top:23.65pt;width:144.5pt;height:17.2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358208"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699" name="Rectangle 699"/>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9" o:spid="_x0000_s1026" style="position:absolute;margin-left:-70.9pt;margin-top:23.65pt;width:142pt;height:17.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3n83UVsCAAC1BAAADgAAAAAAAAAAAAAAAAAuAgAAZHJzL2Uyb0RvYy54&#10;bWxQSwECLQAUAAYACAAAACEAn3OlNt8AAAAKAQAADwAAAAAAAAAAAAAAAAC1BAAAZHJzL2Rvd25y&#10;ZXYueG1sUEsFBgAAAAAEAAQA8wAAAMEFA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355136" behindDoc="0" locked="0" layoutInCell="1" allowOverlap="1">
              <wp:simplePos x="0" y="0"/>
              <wp:positionH relativeFrom="column">
                <wp:posOffset>-899795</wp:posOffset>
              </wp:positionH>
              <wp:positionV relativeFrom="paragraph">
                <wp:posOffset>43815</wp:posOffset>
              </wp:positionV>
              <wp:extent cx="7557135" cy="571500"/>
              <wp:effectExtent l="0" t="0" r="0" b="0"/>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150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Italy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70.85pt;margin-top:3.45pt;width:595.05pt;height:4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Italy</w:t>
                    </w:r>
                  </w:p>
                </w:txbxContent>
              </v:textbox>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352064"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left:0;text-align:left;margin-left:-70.9pt;margin-top:49.65pt;width:595.25pt;height:3.6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GPB050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342848"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70.9pt;margin-top:17.5pt;width:595.05pt;height:32.2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CzZzhr&#10;DwIAAPw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34899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702" name="Rectangle 702"/>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02" o:spid="_x0000_s1026" style="position:absolute;margin-left:379.65pt;margin-top:23.65pt;width:144.5pt;height:17.2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345920"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703" name="Rectangle 703"/>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3" o:spid="_x0000_s1026" style="position:absolute;margin-left:-70.9pt;margin-top:23.65pt;width:142pt;height:17.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Near2VsCAAC1BAAADgAAAAAAAAAAAAAAAAAuAgAAZHJzL2Uyb0RvYy54&#10;bWxQSwECLQAUAAYACAAAACEAn3OlNt8AAAAKAQAADwAAAAAAAAAAAAAAAAC1BAAAZHJzL2Rvd25y&#10;ZXYueG1sUEsFBgAAAAAEAAQA8wAAAMEFAAAAAA==&#10;" fillcolor="#004194" stroked="f" strokeweight="2pt"/>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778048"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left:0;text-align:left;margin-left:-70.9pt;margin-top:49.65pt;width:595.25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JfOlcEN&#10;AgAA+g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77497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9" name="Rectangle 89"/>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9" o:spid="_x0000_s1026" style="position:absolute;margin-left:379.65pt;margin-top:23.65pt;width:144.5pt;height:17.25pt;z-index:2516758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771904"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90" name="Rectangle 90"/>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26" style="position:absolute;margin-left:-70.85pt;margin-top:23.65pt;width:142pt;height:17.25pt;z-index:251674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768832" behindDoc="0" locked="0" layoutInCell="1" allowOverlap="1">
              <wp:simplePos x="0" y="0"/>
              <wp:positionH relativeFrom="column">
                <wp:posOffset>-899795</wp:posOffset>
              </wp:positionH>
              <wp:positionV relativeFrom="paragraph">
                <wp:posOffset>43815</wp:posOffset>
              </wp:positionV>
              <wp:extent cx="7557135" cy="617220"/>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1722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color w:val="004194"/>
                              <w:sz w:val="20"/>
                            </w:rPr>
                          </w:pPr>
                          <w:r>
                            <w:rPr>
                              <w:rFonts w:ascii="Arial" w:hAnsi="Arial"/>
                              <w:color w:val="A6A6A6" w:themeColor="background1" w:themeShade="A6"/>
                              <w:sz w:val="22"/>
                            </w:rPr>
                            <w:t>Cyprus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70.85pt;margin-top:3.45pt;width:595.05pt;height:48.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color w:val="004194"/>
                        <w:sz w:val="20"/>
                      </w:rPr>
                    </w:pPr>
                    <w:r>
                      <w:rPr>
                        <w:rFonts w:ascii="Arial" w:hAnsi="Arial"/>
                        <w:color w:val="A6A6A6" w:themeColor="background1" w:themeShade="A6"/>
                        <w:sz w:val="22"/>
                      </w:rPr>
                      <w:t>Cyprus</w:t>
                    </w:r>
                  </w:p>
                </w:txbxContent>
              </v:textbox>
            </v:shape>
          </w:pict>
        </mc:Fallback>
      </mc:AlternateContent>
    </w:r>
  </w:p>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765760"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left:0;text-align:left;margin-left:-70.9pt;margin-top:49.65pt;width:595.25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Bl0+t9&#10;DgIAAPs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756544"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70.9pt;margin-top:17.5pt;width:595.05pt;height:3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I1o9&#10;lh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76268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412" name="Rectangle 412"/>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12" o:spid="_x0000_s1026" style="position:absolute;margin-left:379.65pt;margin-top:23.65pt;width:144.5pt;height:17.25pt;z-index:2516717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759616"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413" name="Rectangle 413"/>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3" o:spid="_x0000_s1026" style="position:absolute;margin-left:-70.9pt;margin-top:23.65pt;width:142pt;height:17.25pt;z-index:251670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Q1me6VsCAAC1BAAADgAAAAAAAAAAAAAAAAAuAgAAZHJzL2Uyb0RvYy54&#10;bWxQSwECLQAUAAYACAAAACEAn3OlNt8AAAAKAQAADwAAAAAAAAAAAAAAAAC1BAAAZHJzL2Rvd25y&#10;ZXYueG1sUEsFBgAAAAAEAAQA8wAAAMEFAAAAAA==&#10;" fillcolor="#004194" stroked="f" strokeweight="2pt"/>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995136"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left:0;text-align:left;margin-left:-70.9pt;margin-top:49.65pt;width:595.25pt;height:3.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DvBjRMN&#10;AgAA+g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99411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98" name="Rectangle 98"/>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8" o:spid="_x0000_s1026" style="position:absolute;margin-left:379.65pt;margin-top:23.65pt;width:144.5pt;height:17.25pt;z-index:25199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993088"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111" name="Rectangle 111"/>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 o:spid="_x0000_s1026" style="position:absolute;margin-left:-70.85pt;margin-top:23.65pt;width:142pt;height:17.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992064" behindDoc="0" locked="0" layoutInCell="1" allowOverlap="1">
              <wp:simplePos x="0" y="0"/>
              <wp:positionH relativeFrom="column">
                <wp:posOffset>-899795</wp:posOffset>
              </wp:positionH>
              <wp:positionV relativeFrom="paragraph">
                <wp:posOffset>43815</wp:posOffset>
              </wp:positionV>
              <wp:extent cx="7557135" cy="61722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1722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color w:val="004194"/>
                              <w:sz w:val="20"/>
                            </w:rPr>
                          </w:pPr>
                          <w:r>
                            <w:rPr>
                              <w:rFonts w:ascii="Arial" w:hAnsi="Arial"/>
                              <w:color w:val="A6A6A6" w:themeColor="background1" w:themeShade="A6"/>
                              <w:sz w:val="22"/>
                            </w:rPr>
                            <w:t>Latvia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70.85pt;margin-top:3.45pt;width:595.05pt;height:48.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color w:val="004194"/>
                        <w:sz w:val="20"/>
                      </w:rPr>
                    </w:pPr>
                    <w:r>
                      <w:rPr>
                        <w:rFonts w:ascii="Arial" w:hAnsi="Arial"/>
                        <w:color w:val="A6A6A6" w:themeColor="background1" w:themeShade="A6"/>
                        <w:sz w:val="22"/>
                      </w:rPr>
                      <w:t>Latvia</w:t>
                    </w:r>
                  </w:p>
                </w:txbxContent>
              </v:textbox>
            </v:shape>
          </w:pict>
        </mc:Fallback>
      </mc:AlternateContent>
    </w:r>
  </w:p>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2000256"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left:0;text-align:left;margin-left:-70.9pt;margin-top:49.65pt;width:595.25pt;height:3.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GYjcd8N&#10;AgAA+Q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997184"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70.9pt;margin-top:17.5pt;width:595.05pt;height:32.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CwcB0y&#10;DwIAAPo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99923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4" name="Rectangle 4"/>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379.65pt;margin-top:23.65pt;width:144.5pt;height:17.25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998208"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6" name="Rectangle 6"/>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70.9pt;margin-top:23.65pt;width:142pt;height:17.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" fillcolor="#004194" stroked="f" strokeweight="2p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2002304"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0.9pt;margin-top:49.65pt;width:595.25pt;height:3.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200332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31" name="Rectangle 31"/>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 o:spid="_x0000_s1026" style="position:absolute;margin-left:379.65pt;margin-top:23.65pt;width:144.5pt;height:17.25pt;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2004352"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55" name="Rectangle 55"/>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70.85pt;margin-top:23.65pt;width:142pt;height:17.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2005376" behindDoc="0" locked="0" layoutInCell="1" allowOverlap="1">
              <wp:simplePos x="0" y="0"/>
              <wp:positionH relativeFrom="column">
                <wp:posOffset>-899795</wp:posOffset>
              </wp:positionH>
              <wp:positionV relativeFrom="paragraph">
                <wp:posOffset>43815</wp:posOffset>
              </wp:positionV>
              <wp:extent cx="7557135" cy="54102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4102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color w:val="004194"/>
                              <w:sz w:val="20"/>
                            </w:rPr>
                          </w:pPr>
                          <w:r>
                            <w:rPr>
                              <w:rFonts w:ascii="Arial" w:hAnsi="Arial"/>
                              <w:color w:val="A6A6A6" w:themeColor="background1" w:themeShade="A6"/>
                              <w:sz w:val="22"/>
                            </w:rPr>
                            <w:t>Belgium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0.85pt;margin-top:3.45pt;width:595.05pt;height:42.6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color w:val="004194"/>
                        <w:sz w:val="20"/>
                      </w:rPr>
                    </w:pPr>
                    <w:r>
                      <w:rPr>
                        <w:rFonts w:ascii="Arial" w:hAnsi="Arial"/>
                        <w:color w:val="A6A6A6" w:themeColor="background1" w:themeShade="A6"/>
                        <w:sz w:val="22"/>
                      </w:rPr>
                      <w:t>Belgium</w:t>
                    </w:r>
                  </w:p>
                </w:txbxContent>
              </v:textbox>
            </v:shape>
          </w:pict>
        </mc:Fallback>
      </mc:AlternateContent>
    </w:r>
  </w:p>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2006400"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0.9pt;margin-top:49.65pt;width:595.25pt;height:3.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m10L+AwC&#10;AAD5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200742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8" name="Rectangle 58"/>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8" o:spid="_x0000_s1026" style="position:absolute;margin-left:379.65pt;margin-top:23.65pt;width:144.5pt;height:17.25pt;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2008448"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59" name="Rectangle 59"/>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6" style="position:absolute;margin-left:-70.85pt;margin-top:23.65pt;width:142pt;height:17.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2009472" behindDoc="0" locked="0" layoutInCell="1" allowOverlap="1">
              <wp:simplePos x="0" y="0"/>
              <wp:positionH relativeFrom="column">
                <wp:posOffset>-899795</wp:posOffset>
              </wp:positionH>
              <wp:positionV relativeFrom="paragraph">
                <wp:posOffset>43815</wp:posOffset>
              </wp:positionV>
              <wp:extent cx="7557135" cy="41910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1910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0.85pt;margin-top:3.45pt;width:595.05pt;height:3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v:textbox>
            </v:shape>
          </w:pict>
        </mc:Fallback>
      </mc:AlternateContent>
    </w:r>
  </w:p>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981824"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70.9pt;margin-top:49.65pt;width:595.25pt;height:3.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I5pY5gwC&#10;AAD5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98284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20" name="Rectangle 20"/>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 o:spid="_x0000_s1026" style="position:absolute;margin-left:379.65pt;margin-top:23.65pt;width:144.5pt;height:17.25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983872"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21" name="Rectangle 21"/>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70.85pt;margin-top:23.65pt;width:142pt;height:17.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984896" behindDoc="0" locked="0" layoutInCell="1" allowOverlap="1">
              <wp:simplePos x="0" y="0"/>
              <wp:positionH relativeFrom="column">
                <wp:posOffset>-899795</wp:posOffset>
              </wp:positionH>
              <wp:positionV relativeFrom="paragraph">
                <wp:posOffset>43815</wp:posOffset>
              </wp:positionV>
              <wp:extent cx="7557135" cy="5410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4102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color w:val="004194"/>
                              <w:sz w:val="20"/>
                            </w:rPr>
                          </w:pPr>
                          <w:r>
                            <w:rPr>
                              <w:rFonts w:ascii="Arial" w:hAnsi="Arial"/>
                              <w:color w:val="A6A6A6" w:themeColor="background1" w:themeShade="A6"/>
                              <w:sz w:val="22"/>
                            </w:rPr>
                            <w:t>Belgium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0.85pt;margin-top:3.45pt;width:595.05pt;height:42.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color w:val="004194"/>
                        <w:sz w:val="20"/>
                      </w:rPr>
                    </w:pPr>
                    <w:r>
                      <w:rPr>
                        <w:rFonts w:ascii="Arial" w:hAnsi="Arial"/>
                        <w:color w:val="A6A6A6" w:themeColor="background1" w:themeShade="A6"/>
                        <w:sz w:val="22"/>
                      </w:rPr>
                      <w:t>Belgium</w:t>
                    </w:r>
                  </w:p>
                </w:txbxContent>
              </v:textbox>
            </v:shape>
          </w:pict>
        </mc:Fallback>
      </mc:AlternateContent>
    </w:r>
  </w:p>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976704"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70.9pt;margin-top:49.65pt;width:595.25pt;height:3.6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lSmojwwC&#10;AAD4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97772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1" name="Rectangle 11"/>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26" style="position:absolute;margin-left:379.65pt;margin-top:23.65pt;width:144.5pt;height:17.25pt;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978752"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12" name="Rectangle 12"/>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70.85pt;margin-top:23.65pt;width:142pt;height:17.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979776" behindDoc="0" locked="0" layoutInCell="1" allowOverlap="1">
              <wp:simplePos x="0" y="0"/>
              <wp:positionH relativeFrom="column">
                <wp:posOffset>-899795</wp:posOffset>
              </wp:positionH>
              <wp:positionV relativeFrom="paragraph">
                <wp:posOffset>43815</wp:posOffset>
              </wp:positionV>
              <wp:extent cx="7557135" cy="4191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1910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70.85pt;margin-top:3.45pt;width:595.05pt;height:33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v:textbox>
            </v:shape>
          </w:pict>
        </mc:Fallback>
      </mc:AlternateContent>
    </w: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DF1"/>
    <w:multiLevelType w:val="hybridMultilevel"/>
    <w:tmpl w:val="F9140EFC"/>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1">
    <w:nsid w:val="02552A65"/>
    <w:multiLevelType w:val="hybridMultilevel"/>
    <w:tmpl w:val="1CFC325A"/>
    <w:lvl w:ilvl="0" w:tplc="A0C2CF64">
      <w:start w:val="1"/>
      <w:numFmt w:val="bullet"/>
      <w:lvlText w:val=""/>
      <w:lvlJc w:val="left"/>
      <w:pPr>
        <w:ind w:left="1713" w:hanging="360"/>
      </w:pPr>
      <w:rPr>
        <w:rFonts w:ascii="Symbol" w:hAnsi="Symbol" w:hint="default"/>
      </w:rPr>
    </w:lvl>
    <w:lvl w:ilvl="1" w:tplc="995E2D6E">
      <w:start w:val="1"/>
      <w:numFmt w:val="bullet"/>
      <w:lvlText w:val=""/>
      <w:lvlJc w:val="left"/>
      <w:pPr>
        <w:ind w:left="2433" w:hanging="360"/>
      </w:pPr>
      <w:rPr>
        <w:rFonts w:ascii="Symbol" w:hAnsi="Symbol" w:hint="default"/>
      </w:rPr>
    </w:lvl>
    <w:lvl w:ilvl="2" w:tplc="08130005">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2">
    <w:nsid w:val="0529301D"/>
    <w:multiLevelType w:val="hybridMultilevel"/>
    <w:tmpl w:val="FDAC6F4C"/>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3">
    <w:nsid w:val="09C61C9C"/>
    <w:multiLevelType w:val="hybridMultilevel"/>
    <w:tmpl w:val="7BD63462"/>
    <w:lvl w:ilvl="0" w:tplc="08090001">
      <w:start w:val="1"/>
      <w:numFmt w:val="bullet"/>
      <w:lvlText w:val=""/>
      <w:lvlJc w:val="left"/>
      <w:pPr>
        <w:ind w:left="2139" w:hanging="360"/>
      </w:pPr>
      <w:rPr>
        <w:rFonts w:ascii="Symbol" w:hAnsi="Symbol" w:hint="default"/>
      </w:rPr>
    </w:lvl>
    <w:lvl w:ilvl="1" w:tplc="08090003" w:tentative="1">
      <w:start w:val="1"/>
      <w:numFmt w:val="bullet"/>
      <w:lvlText w:val="o"/>
      <w:lvlJc w:val="left"/>
      <w:pPr>
        <w:ind w:left="2859" w:hanging="360"/>
      </w:pPr>
      <w:rPr>
        <w:rFonts w:ascii="Courier New" w:hAnsi="Courier New" w:cs="Courier New" w:hint="default"/>
      </w:rPr>
    </w:lvl>
    <w:lvl w:ilvl="2" w:tplc="08090005" w:tentative="1">
      <w:start w:val="1"/>
      <w:numFmt w:val="bullet"/>
      <w:lvlText w:val=""/>
      <w:lvlJc w:val="left"/>
      <w:pPr>
        <w:ind w:left="3579" w:hanging="360"/>
      </w:pPr>
      <w:rPr>
        <w:rFonts w:ascii="Wingdings" w:hAnsi="Wingdings" w:hint="default"/>
      </w:rPr>
    </w:lvl>
    <w:lvl w:ilvl="3" w:tplc="08090001" w:tentative="1">
      <w:start w:val="1"/>
      <w:numFmt w:val="bullet"/>
      <w:lvlText w:val=""/>
      <w:lvlJc w:val="left"/>
      <w:pPr>
        <w:ind w:left="4299" w:hanging="360"/>
      </w:pPr>
      <w:rPr>
        <w:rFonts w:ascii="Symbol" w:hAnsi="Symbol" w:hint="default"/>
      </w:rPr>
    </w:lvl>
    <w:lvl w:ilvl="4" w:tplc="08090003" w:tentative="1">
      <w:start w:val="1"/>
      <w:numFmt w:val="bullet"/>
      <w:lvlText w:val="o"/>
      <w:lvlJc w:val="left"/>
      <w:pPr>
        <w:ind w:left="5019" w:hanging="360"/>
      </w:pPr>
      <w:rPr>
        <w:rFonts w:ascii="Courier New" w:hAnsi="Courier New" w:cs="Courier New" w:hint="default"/>
      </w:rPr>
    </w:lvl>
    <w:lvl w:ilvl="5" w:tplc="08090005" w:tentative="1">
      <w:start w:val="1"/>
      <w:numFmt w:val="bullet"/>
      <w:lvlText w:val=""/>
      <w:lvlJc w:val="left"/>
      <w:pPr>
        <w:ind w:left="5739" w:hanging="360"/>
      </w:pPr>
      <w:rPr>
        <w:rFonts w:ascii="Wingdings" w:hAnsi="Wingdings" w:hint="default"/>
      </w:rPr>
    </w:lvl>
    <w:lvl w:ilvl="6" w:tplc="08090001" w:tentative="1">
      <w:start w:val="1"/>
      <w:numFmt w:val="bullet"/>
      <w:lvlText w:val=""/>
      <w:lvlJc w:val="left"/>
      <w:pPr>
        <w:ind w:left="6459" w:hanging="360"/>
      </w:pPr>
      <w:rPr>
        <w:rFonts w:ascii="Symbol" w:hAnsi="Symbol" w:hint="default"/>
      </w:rPr>
    </w:lvl>
    <w:lvl w:ilvl="7" w:tplc="08090003" w:tentative="1">
      <w:start w:val="1"/>
      <w:numFmt w:val="bullet"/>
      <w:lvlText w:val="o"/>
      <w:lvlJc w:val="left"/>
      <w:pPr>
        <w:ind w:left="7179" w:hanging="360"/>
      </w:pPr>
      <w:rPr>
        <w:rFonts w:ascii="Courier New" w:hAnsi="Courier New" w:cs="Courier New" w:hint="default"/>
      </w:rPr>
    </w:lvl>
    <w:lvl w:ilvl="8" w:tplc="08090005" w:tentative="1">
      <w:start w:val="1"/>
      <w:numFmt w:val="bullet"/>
      <w:lvlText w:val=""/>
      <w:lvlJc w:val="left"/>
      <w:pPr>
        <w:ind w:left="7899" w:hanging="360"/>
      </w:pPr>
      <w:rPr>
        <w:rFonts w:ascii="Wingdings" w:hAnsi="Wingdings" w:hint="default"/>
      </w:rPr>
    </w:lvl>
  </w:abstractNum>
  <w:abstractNum w:abstractNumId="4">
    <w:nsid w:val="158D7BEA"/>
    <w:multiLevelType w:val="hybridMultilevel"/>
    <w:tmpl w:val="D44E4A7E"/>
    <w:lvl w:ilvl="0" w:tplc="666CA6D0">
      <w:start w:val="1"/>
      <w:numFmt w:val="lowerLetter"/>
      <w:pStyle w:val="Lijstje"/>
      <w:lvlText w:val="%1)"/>
      <w:lvlJc w:val="left"/>
      <w:pPr>
        <w:ind w:left="1419" w:hanging="705"/>
      </w:pPr>
      <w:rPr>
        <w:rFonts w:ascii="Arial" w:hAnsi="Arial" w:cs="Arial" w:hint="default"/>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5">
    <w:nsid w:val="160E3FAA"/>
    <w:multiLevelType w:val="hybridMultilevel"/>
    <w:tmpl w:val="4BDC8CF0"/>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6">
    <w:nsid w:val="185240A1"/>
    <w:multiLevelType w:val="hybridMultilevel"/>
    <w:tmpl w:val="501A6F4E"/>
    <w:lvl w:ilvl="0" w:tplc="08090001">
      <w:start w:val="1"/>
      <w:numFmt w:val="bullet"/>
      <w:lvlText w:val=""/>
      <w:lvlJc w:val="left"/>
      <w:pPr>
        <w:ind w:left="1276" w:hanging="360"/>
      </w:pPr>
      <w:rPr>
        <w:rFonts w:ascii="Symbol" w:hAnsi="Symbol" w:hint="default"/>
      </w:rPr>
    </w:lvl>
    <w:lvl w:ilvl="1" w:tplc="08090003">
      <w:start w:val="1"/>
      <w:numFmt w:val="bullet"/>
      <w:lvlText w:val="o"/>
      <w:lvlJc w:val="left"/>
      <w:pPr>
        <w:ind w:left="1996" w:hanging="360"/>
      </w:pPr>
      <w:rPr>
        <w:rFonts w:ascii="Courier New" w:hAnsi="Courier New" w:cs="Courier New" w:hint="default"/>
      </w:rPr>
    </w:lvl>
    <w:lvl w:ilvl="2" w:tplc="08090005" w:tentative="1">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7">
    <w:nsid w:val="1A9B57EB"/>
    <w:multiLevelType w:val="hybridMultilevel"/>
    <w:tmpl w:val="480074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C675DD2"/>
    <w:multiLevelType w:val="hybridMultilevel"/>
    <w:tmpl w:val="0130C8C0"/>
    <w:lvl w:ilvl="0" w:tplc="08090001">
      <w:start w:val="1"/>
      <w:numFmt w:val="bullet"/>
      <w:lvlText w:val=""/>
      <w:lvlJc w:val="left"/>
      <w:pPr>
        <w:ind w:left="1276" w:hanging="360"/>
      </w:pPr>
      <w:rPr>
        <w:rFonts w:ascii="Symbol" w:hAnsi="Symbol" w:hint="default"/>
      </w:rPr>
    </w:lvl>
    <w:lvl w:ilvl="1" w:tplc="08090003" w:tentative="1">
      <w:start w:val="1"/>
      <w:numFmt w:val="bullet"/>
      <w:lvlText w:val="o"/>
      <w:lvlJc w:val="left"/>
      <w:pPr>
        <w:ind w:left="1996" w:hanging="360"/>
      </w:pPr>
      <w:rPr>
        <w:rFonts w:ascii="Courier New" w:hAnsi="Courier New" w:cs="Courier New" w:hint="default"/>
      </w:rPr>
    </w:lvl>
    <w:lvl w:ilvl="2" w:tplc="08090005" w:tentative="1">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9">
    <w:nsid w:val="1C7E53D2"/>
    <w:multiLevelType w:val="hybridMultilevel"/>
    <w:tmpl w:val="EACE9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DF28AD"/>
    <w:multiLevelType w:val="hybridMultilevel"/>
    <w:tmpl w:val="70E2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41609E"/>
    <w:multiLevelType w:val="hybridMultilevel"/>
    <w:tmpl w:val="C5444EF8"/>
    <w:lvl w:ilvl="0" w:tplc="08090001">
      <w:start w:val="1"/>
      <w:numFmt w:val="bullet"/>
      <w:lvlText w:val=""/>
      <w:lvlJc w:val="left"/>
      <w:pPr>
        <w:ind w:left="2132" w:hanging="360"/>
      </w:pPr>
      <w:rPr>
        <w:rFonts w:ascii="Symbol" w:hAnsi="Symbol" w:hint="default"/>
      </w:rPr>
    </w:lvl>
    <w:lvl w:ilvl="1" w:tplc="08090003" w:tentative="1">
      <w:start w:val="1"/>
      <w:numFmt w:val="bullet"/>
      <w:lvlText w:val="o"/>
      <w:lvlJc w:val="left"/>
      <w:pPr>
        <w:ind w:left="2852" w:hanging="360"/>
      </w:pPr>
      <w:rPr>
        <w:rFonts w:ascii="Courier New" w:hAnsi="Courier New" w:cs="Courier New" w:hint="default"/>
      </w:rPr>
    </w:lvl>
    <w:lvl w:ilvl="2" w:tplc="08090005" w:tentative="1">
      <w:start w:val="1"/>
      <w:numFmt w:val="bullet"/>
      <w:lvlText w:val=""/>
      <w:lvlJc w:val="left"/>
      <w:pPr>
        <w:ind w:left="3572" w:hanging="360"/>
      </w:pPr>
      <w:rPr>
        <w:rFonts w:ascii="Wingdings" w:hAnsi="Wingdings" w:hint="default"/>
      </w:rPr>
    </w:lvl>
    <w:lvl w:ilvl="3" w:tplc="08090001" w:tentative="1">
      <w:start w:val="1"/>
      <w:numFmt w:val="bullet"/>
      <w:lvlText w:val=""/>
      <w:lvlJc w:val="left"/>
      <w:pPr>
        <w:ind w:left="4292" w:hanging="360"/>
      </w:pPr>
      <w:rPr>
        <w:rFonts w:ascii="Symbol" w:hAnsi="Symbol" w:hint="default"/>
      </w:rPr>
    </w:lvl>
    <w:lvl w:ilvl="4" w:tplc="08090003" w:tentative="1">
      <w:start w:val="1"/>
      <w:numFmt w:val="bullet"/>
      <w:lvlText w:val="o"/>
      <w:lvlJc w:val="left"/>
      <w:pPr>
        <w:ind w:left="5012" w:hanging="360"/>
      </w:pPr>
      <w:rPr>
        <w:rFonts w:ascii="Courier New" w:hAnsi="Courier New" w:cs="Courier New" w:hint="default"/>
      </w:rPr>
    </w:lvl>
    <w:lvl w:ilvl="5" w:tplc="08090005" w:tentative="1">
      <w:start w:val="1"/>
      <w:numFmt w:val="bullet"/>
      <w:lvlText w:val=""/>
      <w:lvlJc w:val="left"/>
      <w:pPr>
        <w:ind w:left="5732" w:hanging="360"/>
      </w:pPr>
      <w:rPr>
        <w:rFonts w:ascii="Wingdings" w:hAnsi="Wingdings" w:hint="default"/>
      </w:rPr>
    </w:lvl>
    <w:lvl w:ilvl="6" w:tplc="08090001" w:tentative="1">
      <w:start w:val="1"/>
      <w:numFmt w:val="bullet"/>
      <w:lvlText w:val=""/>
      <w:lvlJc w:val="left"/>
      <w:pPr>
        <w:ind w:left="6452" w:hanging="360"/>
      </w:pPr>
      <w:rPr>
        <w:rFonts w:ascii="Symbol" w:hAnsi="Symbol" w:hint="default"/>
      </w:rPr>
    </w:lvl>
    <w:lvl w:ilvl="7" w:tplc="08090003" w:tentative="1">
      <w:start w:val="1"/>
      <w:numFmt w:val="bullet"/>
      <w:lvlText w:val="o"/>
      <w:lvlJc w:val="left"/>
      <w:pPr>
        <w:ind w:left="7172" w:hanging="360"/>
      </w:pPr>
      <w:rPr>
        <w:rFonts w:ascii="Courier New" w:hAnsi="Courier New" w:cs="Courier New" w:hint="default"/>
      </w:rPr>
    </w:lvl>
    <w:lvl w:ilvl="8" w:tplc="08090005" w:tentative="1">
      <w:start w:val="1"/>
      <w:numFmt w:val="bullet"/>
      <w:lvlText w:val=""/>
      <w:lvlJc w:val="left"/>
      <w:pPr>
        <w:ind w:left="7892" w:hanging="360"/>
      </w:pPr>
      <w:rPr>
        <w:rFonts w:ascii="Wingdings" w:hAnsi="Wingdings" w:hint="default"/>
      </w:rPr>
    </w:lvl>
  </w:abstractNum>
  <w:abstractNum w:abstractNumId="12">
    <w:nsid w:val="24CF4B32"/>
    <w:multiLevelType w:val="hybridMultilevel"/>
    <w:tmpl w:val="25AED57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F94B72"/>
    <w:multiLevelType w:val="hybridMultilevel"/>
    <w:tmpl w:val="6E9E2586"/>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14">
    <w:nsid w:val="28C549C4"/>
    <w:multiLevelType w:val="hybridMultilevel"/>
    <w:tmpl w:val="43903F30"/>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15">
    <w:nsid w:val="2BB02EC0"/>
    <w:multiLevelType w:val="hybridMultilevel"/>
    <w:tmpl w:val="7410EEE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6">
    <w:nsid w:val="2F092CBD"/>
    <w:multiLevelType w:val="hybridMultilevel"/>
    <w:tmpl w:val="35042C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2CA24F5"/>
    <w:multiLevelType w:val="hybridMultilevel"/>
    <w:tmpl w:val="464E8E90"/>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start w:val="1"/>
      <w:numFmt w:val="bullet"/>
      <w:lvlText w:val="o"/>
      <w:lvlJc w:val="left"/>
      <w:pPr>
        <w:ind w:left="5400" w:hanging="360"/>
      </w:pPr>
      <w:rPr>
        <w:rFonts w:ascii="Courier New" w:hAnsi="Courier New" w:cs="Courier New" w:hint="default"/>
      </w:rPr>
    </w:lvl>
    <w:lvl w:ilvl="5" w:tplc="08090005">
      <w:start w:val="1"/>
      <w:numFmt w:val="bullet"/>
      <w:lvlText w:val=""/>
      <w:lvlJc w:val="left"/>
      <w:pPr>
        <w:ind w:left="6120" w:hanging="360"/>
      </w:pPr>
      <w:rPr>
        <w:rFonts w:ascii="Wingdings" w:hAnsi="Wingdings" w:hint="default"/>
      </w:rPr>
    </w:lvl>
    <w:lvl w:ilvl="6" w:tplc="08090001">
      <w:start w:val="1"/>
      <w:numFmt w:val="bullet"/>
      <w:lvlText w:val=""/>
      <w:lvlJc w:val="left"/>
      <w:pPr>
        <w:ind w:left="6840" w:hanging="360"/>
      </w:pPr>
      <w:rPr>
        <w:rFonts w:ascii="Symbol" w:hAnsi="Symbol" w:hint="default"/>
      </w:rPr>
    </w:lvl>
    <w:lvl w:ilvl="7" w:tplc="08090003">
      <w:start w:val="1"/>
      <w:numFmt w:val="bullet"/>
      <w:lvlText w:val="o"/>
      <w:lvlJc w:val="left"/>
      <w:pPr>
        <w:ind w:left="7560" w:hanging="360"/>
      </w:pPr>
      <w:rPr>
        <w:rFonts w:ascii="Courier New" w:hAnsi="Courier New" w:cs="Courier New" w:hint="default"/>
      </w:rPr>
    </w:lvl>
    <w:lvl w:ilvl="8" w:tplc="08090005">
      <w:start w:val="1"/>
      <w:numFmt w:val="bullet"/>
      <w:lvlText w:val=""/>
      <w:lvlJc w:val="left"/>
      <w:pPr>
        <w:ind w:left="8280" w:hanging="360"/>
      </w:pPr>
      <w:rPr>
        <w:rFonts w:ascii="Wingdings" w:hAnsi="Wingdings" w:hint="default"/>
      </w:rPr>
    </w:lvl>
  </w:abstractNum>
  <w:abstractNum w:abstractNumId="18">
    <w:nsid w:val="357E63CA"/>
    <w:multiLevelType w:val="hybridMultilevel"/>
    <w:tmpl w:val="0DF824B4"/>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19">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0">
    <w:nsid w:val="4B7D4076"/>
    <w:multiLevelType w:val="hybridMultilevel"/>
    <w:tmpl w:val="7BCE1200"/>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21">
    <w:nsid w:val="4BB52C59"/>
    <w:multiLevelType w:val="hybridMultilevel"/>
    <w:tmpl w:val="24B493BE"/>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22">
    <w:nsid w:val="5767434B"/>
    <w:multiLevelType w:val="hybridMultilevel"/>
    <w:tmpl w:val="A6F0F8CC"/>
    <w:lvl w:ilvl="0" w:tplc="08090001">
      <w:start w:val="1"/>
      <w:numFmt w:val="bullet"/>
      <w:lvlText w:val=""/>
      <w:lvlJc w:val="left"/>
      <w:pPr>
        <w:ind w:left="2852" w:hanging="360"/>
      </w:pPr>
      <w:rPr>
        <w:rFonts w:ascii="Symbol" w:hAnsi="Symbol" w:hint="default"/>
      </w:rPr>
    </w:lvl>
    <w:lvl w:ilvl="1" w:tplc="08090003" w:tentative="1">
      <w:start w:val="1"/>
      <w:numFmt w:val="bullet"/>
      <w:lvlText w:val="o"/>
      <w:lvlJc w:val="left"/>
      <w:pPr>
        <w:ind w:left="3572" w:hanging="360"/>
      </w:pPr>
      <w:rPr>
        <w:rFonts w:ascii="Courier New" w:hAnsi="Courier New" w:cs="Courier New" w:hint="default"/>
      </w:rPr>
    </w:lvl>
    <w:lvl w:ilvl="2" w:tplc="08090005" w:tentative="1">
      <w:start w:val="1"/>
      <w:numFmt w:val="bullet"/>
      <w:lvlText w:val=""/>
      <w:lvlJc w:val="left"/>
      <w:pPr>
        <w:ind w:left="4292" w:hanging="360"/>
      </w:pPr>
      <w:rPr>
        <w:rFonts w:ascii="Wingdings" w:hAnsi="Wingdings" w:hint="default"/>
      </w:rPr>
    </w:lvl>
    <w:lvl w:ilvl="3" w:tplc="08090001" w:tentative="1">
      <w:start w:val="1"/>
      <w:numFmt w:val="bullet"/>
      <w:lvlText w:val=""/>
      <w:lvlJc w:val="left"/>
      <w:pPr>
        <w:ind w:left="5012" w:hanging="360"/>
      </w:pPr>
      <w:rPr>
        <w:rFonts w:ascii="Symbol" w:hAnsi="Symbol" w:hint="default"/>
      </w:rPr>
    </w:lvl>
    <w:lvl w:ilvl="4" w:tplc="08090003" w:tentative="1">
      <w:start w:val="1"/>
      <w:numFmt w:val="bullet"/>
      <w:lvlText w:val="o"/>
      <w:lvlJc w:val="left"/>
      <w:pPr>
        <w:ind w:left="5732" w:hanging="360"/>
      </w:pPr>
      <w:rPr>
        <w:rFonts w:ascii="Courier New" w:hAnsi="Courier New" w:cs="Courier New" w:hint="default"/>
      </w:rPr>
    </w:lvl>
    <w:lvl w:ilvl="5" w:tplc="08090005" w:tentative="1">
      <w:start w:val="1"/>
      <w:numFmt w:val="bullet"/>
      <w:lvlText w:val=""/>
      <w:lvlJc w:val="left"/>
      <w:pPr>
        <w:ind w:left="6452" w:hanging="360"/>
      </w:pPr>
      <w:rPr>
        <w:rFonts w:ascii="Wingdings" w:hAnsi="Wingdings" w:hint="default"/>
      </w:rPr>
    </w:lvl>
    <w:lvl w:ilvl="6" w:tplc="08090001" w:tentative="1">
      <w:start w:val="1"/>
      <w:numFmt w:val="bullet"/>
      <w:lvlText w:val=""/>
      <w:lvlJc w:val="left"/>
      <w:pPr>
        <w:ind w:left="7172" w:hanging="360"/>
      </w:pPr>
      <w:rPr>
        <w:rFonts w:ascii="Symbol" w:hAnsi="Symbol" w:hint="default"/>
      </w:rPr>
    </w:lvl>
    <w:lvl w:ilvl="7" w:tplc="08090003" w:tentative="1">
      <w:start w:val="1"/>
      <w:numFmt w:val="bullet"/>
      <w:lvlText w:val="o"/>
      <w:lvlJc w:val="left"/>
      <w:pPr>
        <w:ind w:left="7892" w:hanging="360"/>
      </w:pPr>
      <w:rPr>
        <w:rFonts w:ascii="Courier New" w:hAnsi="Courier New" w:cs="Courier New" w:hint="default"/>
      </w:rPr>
    </w:lvl>
    <w:lvl w:ilvl="8" w:tplc="08090005" w:tentative="1">
      <w:start w:val="1"/>
      <w:numFmt w:val="bullet"/>
      <w:lvlText w:val=""/>
      <w:lvlJc w:val="left"/>
      <w:pPr>
        <w:ind w:left="8612" w:hanging="360"/>
      </w:pPr>
      <w:rPr>
        <w:rFonts w:ascii="Wingdings" w:hAnsi="Wingdings" w:hint="default"/>
      </w:rPr>
    </w:lvl>
  </w:abstractNum>
  <w:abstractNum w:abstractNumId="23">
    <w:nsid w:val="5AD97560"/>
    <w:multiLevelType w:val="hybridMultilevel"/>
    <w:tmpl w:val="8D7A03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5B1F6E21"/>
    <w:multiLevelType w:val="hybridMultilevel"/>
    <w:tmpl w:val="82D49930"/>
    <w:lvl w:ilvl="0" w:tplc="08090001">
      <w:start w:val="1"/>
      <w:numFmt w:val="bullet"/>
      <w:lvlText w:val=""/>
      <w:lvlJc w:val="left"/>
      <w:pPr>
        <w:ind w:left="2137" w:hanging="360"/>
      </w:pPr>
      <w:rPr>
        <w:rFonts w:ascii="Symbol" w:hAnsi="Symbol"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25">
    <w:nsid w:val="5EA36AE3"/>
    <w:multiLevelType w:val="hybridMultilevel"/>
    <w:tmpl w:val="47920AC0"/>
    <w:lvl w:ilvl="0" w:tplc="BF86F04E">
      <w:start w:val="1"/>
      <w:numFmt w:val="bullet"/>
      <w:pStyle w:val="Lijstje2"/>
      <w:lvlText w:val=""/>
      <w:lvlJc w:val="left"/>
      <w:pPr>
        <w:ind w:left="1920" w:hanging="360"/>
      </w:pPr>
      <w:rPr>
        <w:rFonts w:ascii="Symbol" w:hAnsi="Symbol" w:hint="default"/>
      </w:rPr>
    </w:lvl>
    <w:lvl w:ilvl="1" w:tplc="995E2D6E">
      <w:start w:val="1"/>
      <w:numFmt w:val="bullet"/>
      <w:lvlText w:val=""/>
      <w:lvlJc w:val="left"/>
      <w:pPr>
        <w:ind w:left="1800" w:hanging="360"/>
      </w:pPr>
      <w:rPr>
        <w:rFonts w:ascii="Symbol" w:hAnsi="Symbol"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6">
    <w:nsid w:val="5F3253F2"/>
    <w:multiLevelType w:val="hybridMultilevel"/>
    <w:tmpl w:val="5AD40E08"/>
    <w:lvl w:ilvl="0" w:tplc="85186CD8">
      <w:start w:val="1"/>
      <w:numFmt w:val="upperRoman"/>
      <w:pStyle w:val="kop2"/>
      <w:lvlText w:val="%1."/>
      <w:lvlJc w:val="right"/>
      <w:pPr>
        <w:ind w:left="360" w:hanging="360"/>
      </w:p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7">
    <w:nsid w:val="60457355"/>
    <w:multiLevelType w:val="hybridMultilevel"/>
    <w:tmpl w:val="9D509866"/>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28">
    <w:nsid w:val="605F6036"/>
    <w:multiLevelType w:val="hybridMultilevel"/>
    <w:tmpl w:val="9C0613E4"/>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29">
    <w:nsid w:val="639053E8"/>
    <w:multiLevelType w:val="hybridMultilevel"/>
    <w:tmpl w:val="6D9C6D5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0">
    <w:nsid w:val="658A1F67"/>
    <w:multiLevelType w:val="multilevel"/>
    <w:tmpl w:val="C548126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6A92F84"/>
    <w:multiLevelType w:val="hybridMultilevel"/>
    <w:tmpl w:val="1364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94C623D"/>
    <w:multiLevelType w:val="hybridMultilevel"/>
    <w:tmpl w:val="F5C2DB90"/>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3">
    <w:nsid w:val="6E156DEB"/>
    <w:multiLevelType w:val="hybridMultilevel"/>
    <w:tmpl w:val="507E542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4">
    <w:nsid w:val="71B7561B"/>
    <w:multiLevelType w:val="hybridMultilevel"/>
    <w:tmpl w:val="3AD2FCA4"/>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35">
    <w:nsid w:val="72C00CB1"/>
    <w:multiLevelType w:val="hybridMultilevel"/>
    <w:tmpl w:val="24DA17DE"/>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36">
    <w:nsid w:val="74702C58"/>
    <w:multiLevelType w:val="hybridMultilevel"/>
    <w:tmpl w:val="CBAC0284"/>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37">
    <w:nsid w:val="771541D1"/>
    <w:multiLevelType w:val="hybridMultilevel"/>
    <w:tmpl w:val="95DCA55A"/>
    <w:lvl w:ilvl="0" w:tplc="0B2E4CBE">
      <w:start w:val="1"/>
      <w:numFmt w:val="decimal"/>
      <w:pStyle w:val="Subtitle"/>
      <w:lvlText w:val="%1."/>
      <w:lvlJc w:val="left"/>
      <w:pPr>
        <w:ind w:left="786"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nsid w:val="7D5F0442"/>
    <w:multiLevelType w:val="hybridMultilevel"/>
    <w:tmpl w:val="1B946F16"/>
    <w:lvl w:ilvl="0" w:tplc="A0C2CF64">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6"/>
  </w:num>
  <w:num w:numId="2">
    <w:abstractNumId w:val="4"/>
  </w:num>
  <w:num w:numId="3">
    <w:abstractNumId w:val="37"/>
  </w:num>
  <w:num w:numId="4">
    <w:abstractNumId w:val="25"/>
  </w:num>
  <w:num w:numId="5">
    <w:abstractNumId w:val="26"/>
    <w:lvlOverride w:ilvl="0">
      <w:startOverride w:val="1"/>
    </w:lvlOverride>
  </w:num>
  <w:num w:numId="6">
    <w:abstractNumId w:val="4"/>
    <w:lvlOverride w:ilvl="0">
      <w:startOverride w:val="1"/>
    </w:lvlOverride>
  </w:num>
  <w:num w:numId="7">
    <w:abstractNumId w:val="26"/>
    <w:lvlOverride w:ilvl="0">
      <w:startOverride w:val="1"/>
    </w:lvlOverride>
  </w:num>
  <w:num w:numId="8">
    <w:abstractNumId w:val="26"/>
    <w:lvlOverride w:ilvl="0">
      <w:startOverride w:val="1"/>
    </w:lvlOverride>
  </w:num>
  <w:num w:numId="9">
    <w:abstractNumId w:val="26"/>
    <w:lvlOverride w:ilvl="0">
      <w:startOverride w:val="1"/>
    </w:lvlOverride>
  </w:num>
  <w:num w:numId="10">
    <w:abstractNumId w:val="26"/>
    <w:lvlOverride w:ilvl="0">
      <w:startOverride w:val="1"/>
    </w:lvlOverride>
  </w:num>
  <w:num w:numId="11">
    <w:abstractNumId w:val="26"/>
    <w:lvlOverride w:ilvl="0">
      <w:startOverride w:val="1"/>
    </w:lvlOverride>
  </w:num>
  <w:num w:numId="12">
    <w:abstractNumId w:val="26"/>
    <w:lvlOverride w:ilvl="0">
      <w:startOverride w:val="1"/>
    </w:lvlOverride>
  </w:num>
  <w:num w:numId="13">
    <w:abstractNumId w:val="26"/>
    <w:lvlOverride w:ilvl="0">
      <w:startOverride w:val="1"/>
    </w:lvlOverride>
  </w:num>
  <w:num w:numId="14">
    <w:abstractNumId w:val="26"/>
    <w:lvlOverride w:ilvl="0">
      <w:startOverride w:val="1"/>
    </w:lvlOverride>
  </w:num>
  <w:num w:numId="15">
    <w:abstractNumId w:val="26"/>
    <w:lvlOverride w:ilvl="0">
      <w:startOverride w:val="1"/>
    </w:lvlOverride>
  </w:num>
  <w:num w:numId="16">
    <w:abstractNumId w:val="26"/>
    <w:lvlOverride w:ilvl="0">
      <w:startOverride w:val="1"/>
    </w:lvlOverride>
  </w:num>
  <w:num w:numId="17">
    <w:abstractNumId w:val="26"/>
    <w:lvlOverride w:ilvl="0">
      <w:startOverride w:val="1"/>
    </w:lvlOverride>
  </w:num>
  <w:num w:numId="18">
    <w:abstractNumId w:val="26"/>
    <w:lvlOverride w:ilvl="0">
      <w:startOverride w:val="1"/>
    </w:lvlOverride>
  </w:num>
  <w:num w:numId="19">
    <w:abstractNumId w:val="26"/>
    <w:lvlOverride w:ilvl="0">
      <w:startOverride w:val="1"/>
    </w:lvlOverride>
  </w:num>
  <w:num w:numId="20">
    <w:abstractNumId w:val="26"/>
    <w:lvlOverride w:ilvl="0">
      <w:startOverride w:val="1"/>
    </w:lvlOverride>
  </w:num>
  <w:num w:numId="21">
    <w:abstractNumId w:val="26"/>
    <w:lvlOverride w:ilvl="0">
      <w:startOverride w:val="1"/>
    </w:lvlOverride>
  </w:num>
  <w:num w:numId="22">
    <w:abstractNumId w:val="19"/>
  </w:num>
  <w:num w:numId="23">
    <w:abstractNumId w:val="37"/>
    <w:lvlOverride w:ilvl="0">
      <w:startOverride w:val="1"/>
    </w:lvlOverride>
  </w:num>
  <w:num w:numId="24">
    <w:abstractNumId w:val="37"/>
    <w:lvlOverride w:ilvl="0">
      <w:startOverride w:val="1"/>
    </w:lvlOverride>
  </w:num>
  <w:num w:numId="25">
    <w:abstractNumId w:val="37"/>
    <w:lvlOverride w:ilvl="0">
      <w:startOverride w:val="1"/>
    </w:lvlOverride>
  </w:num>
  <w:num w:numId="26">
    <w:abstractNumId w:val="37"/>
    <w:lvlOverride w:ilvl="0">
      <w:startOverride w:val="1"/>
    </w:lvlOverride>
  </w:num>
  <w:num w:numId="27">
    <w:abstractNumId w:val="37"/>
    <w:lvlOverride w:ilvl="0">
      <w:startOverride w:val="1"/>
    </w:lvlOverride>
  </w:num>
  <w:num w:numId="28">
    <w:abstractNumId w:val="37"/>
    <w:lvlOverride w:ilvl="0">
      <w:startOverride w:val="1"/>
    </w:lvlOverride>
  </w:num>
  <w:num w:numId="29">
    <w:abstractNumId w:val="37"/>
    <w:lvlOverride w:ilvl="0">
      <w:startOverride w:val="1"/>
    </w:lvlOverride>
  </w:num>
  <w:num w:numId="30">
    <w:abstractNumId w:val="37"/>
    <w:lvlOverride w:ilvl="0">
      <w:startOverride w:val="1"/>
    </w:lvlOverride>
  </w:num>
  <w:num w:numId="31">
    <w:abstractNumId w:val="37"/>
    <w:lvlOverride w:ilvl="0">
      <w:startOverride w:val="1"/>
    </w:lvlOverride>
  </w:num>
  <w:num w:numId="32">
    <w:abstractNumId w:val="37"/>
    <w:lvlOverride w:ilvl="0">
      <w:startOverride w:val="1"/>
    </w:lvlOverride>
  </w:num>
  <w:num w:numId="33">
    <w:abstractNumId w:val="37"/>
    <w:lvlOverride w:ilvl="0">
      <w:startOverride w:val="1"/>
    </w:lvlOverride>
  </w:num>
  <w:num w:numId="34">
    <w:abstractNumId w:val="37"/>
    <w:lvlOverride w:ilvl="0">
      <w:startOverride w:val="1"/>
    </w:lvlOverride>
  </w:num>
  <w:num w:numId="35">
    <w:abstractNumId w:val="37"/>
    <w:lvlOverride w:ilvl="0">
      <w:startOverride w:val="1"/>
    </w:lvlOverride>
  </w:num>
  <w:num w:numId="36">
    <w:abstractNumId w:val="37"/>
    <w:lvlOverride w:ilvl="0">
      <w:startOverride w:val="1"/>
    </w:lvlOverride>
  </w:num>
  <w:num w:numId="37">
    <w:abstractNumId w:val="37"/>
    <w:lvlOverride w:ilvl="0">
      <w:startOverride w:val="1"/>
    </w:lvlOverride>
  </w:num>
  <w:num w:numId="38">
    <w:abstractNumId w:val="37"/>
    <w:lvlOverride w:ilvl="0">
      <w:startOverride w:val="1"/>
    </w:lvlOverride>
  </w:num>
  <w:num w:numId="39">
    <w:abstractNumId w:val="37"/>
    <w:lvlOverride w:ilvl="0">
      <w:startOverride w:val="1"/>
    </w:lvlOverride>
  </w:num>
  <w:num w:numId="40">
    <w:abstractNumId w:val="37"/>
    <w:lvlOverride w:ilvl="0">
      <w:startOverride w:val="1"/>
    </w:lvlOverride>
  </w:num>
  <w:num w:numId="41">
    <w:abstractNumId w:val="37"/>
    <w:lvlOverride w:ilvl="0">
      <w:startOverride w:val="1"/>
    </w:lvlOverride>
  </w:num>
  <w:num w:numId="42">
    <w:abstractNumId w:val="37"/>
    <w:lvlOverride w:ilvl="0">
      <w:startOverride w:val="1"/>
    </w:lvlOverride>
  </w:num>
  <w:num w:numId="43">
    <w:abstractNumId w:val="37"/>
    <w:lvlOverride w:ilvl="0">
      <w:startOverride w:val="1"/>
    </w:lvlOverride>
  </w:num>
  <w:num w:numId="44">
    <w:abstractNumId w:val="37"/>
    <w:lvlOverride w:ilvl="0">
      <w:startOverride w:val="1"/>
    </w:lvlOverride>
  </w:num>
  <w:num w:numId="45">
    <w:abstractNumId w:val="37"/>
    <w:lvlOverride w:ilvl="0">
      <w:startOverride w:val="1"/>
    </w:lvlOverride>
  </w:num>
  <w:num w:numId="46">
    <w:abstractNumId w:val="37"/>
    <w:lvlOverride w:ilvl="0">
      <w:startOverride w:val="1"/>
    </w:lvlOverride>
  </w:num>
  <w:num w:numId="47">
    <w:abstractNumId w:val="37"/>
    <w:lvlOverride w:ilvl="0">
      <w:startOverride w:val="1"/>
    </w:lvlOverride>
  </w:num>
  <w:num w:numId="48">
    <w:abstractNumId w:val="37"/>
    <w:lvlOverride w:ilvl="0">
      <w:startOverride w:val="1"/>
    </w:lvlOverride>
  </w:num>
  <w:num w:numId="49">
    <w:abstractNumId w:val="37"/>
    <w:lvlOverride w:ilvl="0">
      <w:startOverride w:val="1"/>
    </w:lvlOverride>
  </w:num>
  <w:num w:numId="50">
    <w:abstractNumId w:val="37"/>
    <w:lvlOverride w:ilvl="0">
      <w:startOverride w:val="1"/>
    </w:lvlOverride>
  </w:num>
  <w:num w:numId="51">
    <w:abstractNumId w:val="37"/>
    <w:lvlOverride w:ilvl="0">
      <w:startOverride w:val="1"/>
    </w:lvlOverride>
  </w:num>
  <w:num w:numId="52">
    <w:abstractNumId w:val="37"/>
    <w:lvlOverride w:ilvl="0">
      <w:startOverride w:val="1"/>
    </w:lvlOverride>
  </w:num>
  <w:num w:numId="53">
    <w:abstractNumId w:val="37"/>
    <w:lvlOverride w:ilvl="0">
      <w:startOverride w:val="1"/>
    </w:lvlOverride>
  </w:num>
  <w:num w:numId="54">
    <w:abstractNumId w:val="37"/>
    <w:lvlOverride w:ilvl="0">
      <w:startOverride w:val="1"/>
    </w:lvlOverride>
  </w:num>
  <w:num w:numId="55">
    <w:abstractNumId w:val="37"/>
    <w:lvlOverride w:ilvl="0">
      <w:startOverride w:val="1"/>
    </w:lvlOverride>
  </w:num>
  <w:num w:numId="56">
    <w:abstractNumId w:val="37"/>
    <w:lvlOverride w:ilvl="0">
      <w:startOverride w:val="1"/>
    </w:lvlOverride>
  </w:num>
  <w:num w:numId="57">
    <w:abstractNumId w:val="37"/>
    <w:lvlOverride w:ilvl="0">
      <w:startOverride w:val="1"/>
    </w:lvlOverride>
  </w:num>
  <w:num w:numId="58">
    <w:abstractNumId w:val="37"/>
    <w:lvlOverride w:ilvl="0">
      <w:startOverride w:val="1"/>
    </w:lvlOverride>
  </w:num>
  <w:num w:numId="59">
    <w:abstractNumId w:val="37"/>
    <w:lvlOverride w:ilvl="0">
      <w:startOverride w:val="1"/>
    </w:lvlOverride>
  </w:num>
  <w:num w:numId="60">
    <w:abstractNumId w:val="37"/>
    <w:lvlOverride w:ilvl="0">
      <w:startOverride w:val="1"/>
    </w:lvlOverride>
  </w:num>
  <w:num w:numId="61">
    <w:abstractNumId w:val="37"/>
    <w:lvlOverride w:ilvl="0">
      <w:startOverride w:val="1"/>
    </w:lvlOverride>
  </w:num>
  <w:num w:numId="62">
    <w:abstractNumId w:val="37"/>
    <w:lvlOverride w:ilvl="0">
      <w:startOverride w:val="1"/>
    </w:lvlOverride>
  </w:num>
  <w:num w:numId="63">
    <w:abstractNumId w:val="37"/>
    <w:lvlOverride w:ilvl="0">
      <w:startOverride w:val="1"/>
    </w:lvlOverride>
  </w:num>
  <w:num w:numId="64">
    <w:abstractNumId w:val="37"/>
    <w:lvlOverride w:ilvl="0">
      <w:startOverride w:val="1"/>
    </w:lvlOverride>
  </w:num>
  <w:num w:numId="65">
    <w:abstractNumId w:val="37"/>
    <w:lvlOverride w:ilvl="0">
      <w:startOverride w:val="1"/>
    </w:lvlOverride>
  </w:num>
  <w:num w:numId="66">
    <w:abstractNumId w:val="37"/>
    <w:lvlOverride w:ilvl="0">
      <w:startOverride w:val="1"/>
    </w:lvlOverride>
  </w:num>
  <w:num w:numId="67">
    <w:abstractNumId w:val="37"/>
    <w:lvlOverride w:ilvl="0">
      <w:startOverride w:val="1"/>
    </w:lvlOverride>
  </w:num>
  <w:num w:numId="68">
    <w:abstractNumId w:val="37"/>
    <w:lvlOverride w:ilvl="0">
      <w:startOverride w:val="1"/>
    </w:lvlOverride>
  </w:num>
  <w:num w:numId="69">
    <w:abstractNumId w:val="37"/>
    <w:lvlOverride w:ilvl="0">
      <w:startOverride w:val="1"/>
    </w:lvlOverride>
  </w:num>
  <w:num w:numId="70">
    <w:abstractNumId w:val="37"/>
    <w:lvlOverride w:ilvl="0">
      <w:startOverride w:val="1"/>
    </w:lvlOverride>
  </w:num>
  <w:num w:numId="71">
    <w:abstractNumId w:val="37"/>
    <w:lvlOverride w:ilvl="0">
      <w:startOverride w:val="1"/>
    </w:lvlOverride>
  </w:num>
  <w:num w:numId="72">
    <w:abstractNumId w:val="37"/>
    <w:lvlOverride w:ilvl="0">
      <w:startOverride w:val="1"/>
    </w:lvlOverride>
  </w:num>
  <w:num w:numId="73">
    <w:abstractNumId w:val="37"/>
    <w:lvlOverride w:ilvl="0">
      <w:startOverride w:val="1"/>
    </w:lvlOverride>
  </w:num>
  <w:num w:numId="74">
    <w:abstractNumId w:val="37"/>
    <w:lvlOverride w:ilvl="0">
      <w:startOverride w:val="1"/>
    </w:lvlOverride>
  </w:num>
  <w:num w:numId="75">
    <w:abstractNumId w:val="37"/>
    <w:lvlOverride w:ilvl="0">
      <w:startOverride w:val="1"/>
    </w:lvlOverride>
  </w:num>
  <w:num w:numId="76">
    <w:abstractNumId w:val="37"/>
    <w:lvlOverride w:ilvl="0">
      <w:startOverride w:val="1"/>
    </w:lvlOverride>
  </w:num>
  <w:num w:numId="77">
    <w:abstractNumId w:val="37"/>
    <w:lvlOverride w:ilvl="0">
      <w:startOverride w:val="1"/>
    </w:lvlOverride>
  </w:num>
  <w:num w:numId="78">
    <w:abstractNumId w:val="37"/>
    <w:lvlOverride w:ilvl="0">
      <w:startOverride w:val="1"/>
    </w:lvlOverride>
  </w:num>
  <w:num w:numId="79">
    <w:abstractNumId w:val="37"/>
    <w:lvlOverride w:ilvl="0">
      <w:startOverride w:val="1"/>
    </w:lvlOverride>
  </w:num>
  <w:num w:numId="80">
    <w:abstractNumId w:val="37"/>
    <w:lvlOverride w:ilvl="0">
      <w:startOverride w:val="1"/>
    </w:lvlOverride>
  </w:num>
  <w:num w:numId="81">
    <w:abstractNumId w:val="37"/>
    <w:lvlOverride w:ilvl="0">
      <w:startOverride w:val="1"/>
    </w:lvlOverride>
  </w:num>
  <w:num w:numId="82">
    <w:abstractNumId w:val="37"/>
    <w:lvlOverride w:ilvl="0">
      <w:startOverride w:val="1"/>
    </w:lvlOverride>
  </w:num>
  <w:num w:numId="83">
    <w:abstractNumId w:val="37"/>
    <w:lvlOverride w:ilvl="0">
      <w:startOverride w:val="1"/>
    </w:lvlOverride>
  </w:num>
  <w:num w:numId="84">
    <w:abstractNumId w:val="37"/>
    <w:lvlOverride w:ilvl="0">
      <w:startOverride w:val="1"/>
    </w:lvlOverride>
  </w:num>
  <w:num w:numId="85">
    <w:abstractNumId w:val="37"/>
    <w:lvlOverride w:ilvl="0">
      <w:startOverride w:val="1"/>
    </w:lvlOverride>
  </w:num>
  <w:num w:numId="86">
    <w:abstractNumId w:val="37"/>
    <w:lvlOverride w:ilvl="0">
      <w:startOverride w:val="1"/>
    </w:lvlOverride>
  </w:num>
  <w:num w:numId="87">
    <w:abstractNumId w:val="37"/>
    <w:lvlOverride w:ilvl="0">
      <w:startOverride w:val="1"/>
    </w:lvlOverride>
  </w:num>
  <w:num w:numId="88">
    <w:abstractNumId w:val="37"/>
    <w:lvlOverride w:ilvl="0">
      <w:startOverride w:val="1"/>
    </w:lvlOverride>
  </w:num>
  <w:num w:numId="89">
    <w:abstractNumId w:val="37"/>
    <w:lvlOverride w:ilvl="0">
      <w:startOverride w:val="1"/>
    </w:lvlOverride>
  </w:num>
  <w:num w:numId="90">
    <w:abstractNumId w:val="37"/>
    <w:lvlOverride w:ilvl="0">
      <w:startOverride w:val="1"/>
    </w:lvlOverride>
  </w:num>
  <w:num w:numId="91">
    <w:abstractNumId w:val="37"/>
    <w:lvlOverride w:ilvl="0">
      <w:startOverride w:val="1"/>
    </w:lvlOverride>
  </w:num>
  <w:num w:numId="92">
    <w:abstractNumId w:val="37"/>
    <w:lvlOverride w:ilvl="0">
      <w:startOverride w:val="1"/>
    </w:lvlOverride>
  </w:num>
  <w:num w:numId="93">
    <w:abstractNumId w:val="37"/>
    <w:lvlOverride w:ilvl="0">
      <w:startOverride w:val="1"/>
    </w:lvlOverride>
  </w:num>
  <w:num w:numId="94">
    <w:abstractNumId w:val="37"/>
    <w:lvlOverride w:ilvl="0">
      <w:startOverride w:val="1"/>
    </w:lvlOverride>
  </w:num>
  <w:num w:numId="95">
    <w:abstractNumId w:val="37"/>
    <w:lvlOverride w:ilvl="0">
      <w:startOverride w:val="1"/>
    </w:lvlOverride>
  </w:num>
  <w:num w:numId="96">
    <w:abstractNumId w:val="37"/>
    <w:lvlOverride w:ilvl="0">
      <w:startOverride w:val="1"/>
    </w:lvlOverride>
  </w:num>
  <w:num w:numId="97">
    <w:abstractNumId w:val="37"/>
    <w:lvlOverride w:ilvl="0">
      <w:startOverride w:val="1"/>
    </w:lvlOverride>
  </w:num>
  <w:num w:numId="98">
    <w:abstractNumId w:val="37"/>
    <w:lvlOverride w:ilvl="0">
      <w:startOverride w:val="1"/>
    </w:lvlOverride>
  </w:num>
  <w:num w:numId="99">
    <w:abstractNumId w:val="8"/>
  </w:num>
  <w:num w:numId="100">
    <w:abstractNumId w:val="4"/>
  </w:num>
  <w:num w:numId="101">
    <w:abstractNumId w:val="4"/>
    <w:lvlOverride w:ilvl="0">
      <w:startOverride w:val="1"/>
    </w:lvlOverride>
  </w:num>
  <w:num w:numId="102">
    <w:abstractNumId w:val="4"/>
    <w:lvlOverride w:ilvl="0">
      <w:startOverride w:val="1"/>
    </w:lvlOverride>
  </w:num>
  <w:num w:numId="103">
    <w:abstractNumId w:val="4"/>
    <w:lvlOverride w:ilvl="0">
      <w:startOverride w:val="1"/>
    </w:lvlOverride>
  </w:num>
  <w:num w:numId="104">
    <w:abstractNumId w:val="4"/>
    <w:lvlOverride w:ilvl="0">
      <w:startOverride w:val="1"/>
    </w:lvlOverride>
  </w:num>
  <w:num w:numId="105">
    <w:abstractNumId w:val="4"/>
    <w:lvlOverride w:ilvl="0">
      <w:startOverride w:val="1"/>
    </w:lvlOverride>
  </w:num>
  <w:num w:numId="106">
    <w:abstractNumId w:val="4"/>
    <w:lvlOverride w:ilvl="0">
      <w:startOverride w:val="1"/>
    </w:lvlOverride>
  </w:num>
  <w:num w:numId="107">
    <w:abstractNumId w:val="4"/>
    <w:lvlOverride w:ilvl="0">
      <w:startOverride w:val="1"/>
    </w:lvlOverride>
  </w:num>
  <w:num w:numId="108">
    <w:abstractNumId w:val="4"/>
    <w:lvlOverride w:ilvl="0">
      <w:startOverride w:val="1"/>
    </w:lvlOverride>
  </w:num>
  <w:num w:numId="109">
    <w:abstractNumId w:val="4"/>
    <w:lvlOverride w:ilvl="0">
      <w:startOverride w:val="1"/>
    </w:lvlOverride>
  </w:num>
  <w:num w:numId="110">
    <w:abstractNumId w:val="4"/>
    <w:lvlOverride w:ilvl="0">
      <w:startOverride w:val="1"/>
    </w:lvlOverride>
  </w:num>
  <w:num w:numId="111">
    <w:abstractNumId w:val="4"/>
    <w:lvlOverride w:ilvl="0">
      <w:startOverride w:val="1"/>
    </w:lvlOverride>
  </w:num>
  <w:num w:numId="112">
    <w:abstractNumId w:val="4"/>
    <w:lvlOverride w:ilvl="0">
      <w:startOverride w:val="1"/>
    </w:lvlOverride>
  </w:num>
  <w:num w:numId="113">
    <w:abstractNumId w:val="4"/>
    <w:lvlOverride w:ilvl="0">
      <w:startOverride w:val="1"/>
    </w:lvlOverride>
  </w:num>
  <w:num w:numId="114">
    <w:abstractNumId w:val="4"/>
    <w:lvlOverride w:ilvl="0">
      <w:startOverride w:val="1"/>
    </w:lvlOverride>
  </w:num>
  <w:num w:numId="115">
    <w:abstractNumId w:val="31"/>
  </w:num>
  <w:num w:numId="116">
    <w:abstractNumId w:val="30"/>
  </w:num>
  <w:num w:numId="117">
    <w:abstractNumId w:val="10"/>
  </w:num>
  <w:num w:numId="118">
    <w:abstractNumId w:val="37"/>
    <w:lvlOverride w:ilvl="0">
      <w:startOverride w:val="1"/>
    </w:lvlOverride>
  </w:num>
  <w:num w:numId="119">
    <w:abstractNumId w:val="37"/>
    <w:lvlOverride w:ilvl="0">
      <w:startOverride w:val="1"/>
    </w:lvlOverride>
  </w:num>
  <w:num w:numId="120">
    <w:abstractNumId w:val="37"/>
    <w:lvlOverride w:ilvl="0">
      <w:startOverride w:val="1"/>
    </w:lvlOverride>
  </w:num>
  <w:num w:numId="121">
    <w:abstractNumId w:val="37"/>
    <w:lvlOverride w:ilvl="0">
      <w:startOverride w:val="1"/>
    </w:lvlOverride>
  </w:num>
  <w:num w:numId="122">
    <w:abstractNumId w:val="37"/>
    <w:lvlOverride w:ilvl="0">
      <w:startOverride w:val="1"/>
    </w:lvlOverride>
  </w:num>
  <w:num w:numId="123">
    <w:abstractNumId w:val="37"/>
    <w:lvlOverride w:ilvl="0">
      <w:startOverride w:val="1"/>
    </w:lvlOverride>
  </w:num>
  <w:num w:numId="124">
    <w:abstractNumId w:val="37"/>
    <w:lvlOverride w:ilvl="0">
      <w:startOverride w:val="1"/>
    </w:lvlOverride>
  </w:num>
  <w:num w:numId="125">
    <w:abstractNumId w:val="37"/>
    <w:lvlOverride w:ilvl="0">
      <w:startOverride w:val="1"/>
    </w:lvlOverride>
  </w:num>
  <w:num w:numId="126">
    <w:abstractNumId w:val="37"/>
    <w:lvlOverride w:ilvl="0">
      <w:startOverride w:val="1"/>
    </w:lvlOverride>
  </w:num>
  <w:num w:numId="127">
    <w:abstractNumId w:val="37"/>
    <w:lvlOverride w:ilvl="0">
      <w:startOverride w:val="1"/>
    </w:lvlOverride>
  </w:num>
  <w:num w:numId="128">
    <w:abstractNumId w:val="37"/>
    <w:lvlOverride w:ilvl="0">
      <w:startOverride w:val="1"/>
    </w:lvlOverride>
  </w:num>
  <w:num w:numId="129">
    <w:abstractNumId w:val="26"/>
    <w:lvlOverride w:ilvl="0">
      <w:startOverride w:val="1"/>
    </w:lvlOverride>
  </w:num>
  <w:num w:numId="130">
    <w:abstractNumId w:val="37"/>
    <w:lvlOverride w:ilvl="0">
      <w:startOverride w:val="1"/>
    </w:lvlOverride>
  </w:num>
  <w:num w:numId="131">
    <w:abstractNumId w:val="37"/>
    <w:lvlOverride w:ilvl="0">
      <w:startOverride w:val="1"/>
    </w:lvlOverride>
  </w:num>
  <w:num w:numId="132">
    <w:abstractNumId w:val="26"/>
    <w:lvlOverride w:ilvl="0">
      <w:startOverride w:val="1"/>
    </w:lvlOverride>
  </w:num>
  <w:num w:numId="133">
    <w:abstractNumId w:val="37"/>
    <w:lvlOverride w:ilvl="0">
      <w:startOverride w:val="1"/>
    </w:lvlOverride>
  </w:num>
  <w:num w:numId="134">
    <w:abstractNumId w:val="37"/>
    <w:lvlOverride w:ilvl="0">
      <w:startOverride w:val="1"/>
    </w:lvlOverride>
  </w:num>
  <w:num w:numId="135">
    <w:abstractNumId w:val="37"/>
    <w:lvlOverride w:ilvl="0">
      <w:startOverride w:val="1"/>
    </w:lvlOverride>
  </w:num>
  <w:num w:numId="136">
    <w:abstractNumId w:val="37"/>
    <w:lvlOverride w:ilvl="0">
      <w:startOverride w:val="1"/>
    </w:lvlOverride>
  </w:num>
  <w:num w:numId="137">
    <w:abstractNumId w:val="37"/>
    <w:lvlOverride w:ilvl="0">
      <w:startOverride w:val="1"/>
    </w:lvlOverride>
  </w:num>
  <w:num w:numId="138">
    <w:abstractNumId w:val="26"/>
    <w:lvlOverride w:ilvl="0">
      <w:startOverride w:val="1"/>
    </w:lvlOverride>
  </w:num>
  <w:num w:numId="139">
    <w:abstractNumId w:val="37"/>
    <w:lvlOverride w:ilvl="0">
      <w:startOverride w:val="1"/>
    </w:lvlOverride>
  </w:num>
  <w:num w:numId="140">
    <w:abstractNumId w:val="37"/>
    <w:lvlOverride w:ilvl="0">
      <w:startOverride w:val="1"/>
    </w:lvlOverride>
  </w:num>
  <w:num w:numId="141">
    <w:abstractNumId w:val="37"/>
    <w:lvlOverride w:ilvl="0">
      <w:startOverride w:val="1"/>
    </w:lvlOverride>
  </w:num>
  <w:num w:numId="142">
    <w:abstractNumId w:val="37"/>
    <w:lvlOverride w:ilvl="0">
      <w:startOverride w:val="1"/>
    </w:lvlOverride>
  </w:num>
  <w:num w:numId="143">
    <w:abstractNumId w:val="37"/>
    <w:lvlOverride w:ilvl="0">
      <w:startOverride w:val="1"/>
    </w:lvlOverride>
  </w:num>
  <w:num w:numId="144">
    <w:abstractNumId w:val="26"/>
    <w:lvlOverride w:ilvl="0">
      <w:startOverride w:val="1"/>
    </w:lvlOverride>
  </w:num>
  <w:num w:numId="145">
    <w:abstractNumId w:val="37"/>
    <w:lvlOverride w:ilvl="0">
      <w:startOverride w:val="1"/>
    </w:lvlOverride>
  </w:num>
  <w:num w:numId="146">
    <w:abstractNumId w:val="37"/>
    <w:lvlOverride w:ilvl="0">
      <w:startOverride w:val="1"/>
    </w:lvlOverride>
  </w:num>
  <w:num w:numId="147">
    <w:abstractNumId w:val="37"/>
    <w:lvlOverride w:ilvl="0">
      <w:startOverride w:val="1"/>
    </w:lvlOverride>
  </w:num>
  <w:num w:numId="148">
    <w:abstractNumId w:val="37"/>
    <w:lvlOverride w:ilvl="0">
      <w:startOverride w:val="1"/>
    </w:lvlOverride>
  </w:num>
  <w:num w:numId="149">
    <w:abstractNumId w:val="37"/>
    <w:lvlOverride w:ilvl="0">
      <w:startOverride w:val="1"/>
    </w:lvlOverride>
  </w:num>
  <w:num w:numId="150">
    <w:abstractNumId w:val="26"/>
    <w:lvlOverride w:ilvl="0">
      <w:startOverride w:val="1"/>
    </w:lvlOverride>
  </w:num>
  <w:num w:numId="151">
    <w:abstractNumId w:val="37"/>
    <w:lvlOverride w:ilvl="0">
      <w:startOverride w:val="1"/>
    </w:lvlOverride>
  </w:num>
  <w:num w:numId="152">
    <w:abstractNumId w:val="37"/>
    <w:lvlOverride w:ilvl="0">
      <w:startOverride w:val="1"/>
    </w:lvlOverride>
  </w:num>
  <w:num w:numId="153">
    <w:abstractNumId w:val="37"/>
    <w:lvlOverride w:ilvl="0">
      <w:startOverride w:val="1"/>
    </w:lvlOverride>
  </w:num>
  <w:num w:numId="154">
    <w:abstractNumId w:val="4"/>
    <w:lvlOverride w:ilvl="0">
      <w:startOverride w:val="1"/>
    </w:lvlOverride>
  </w:num>
  <w:num w:numId="155">
    <w:abstractNumId w:val="37"/>
    <w:lvlOverride w:ilvl="0">
      <w:startOverride w:val="1"/>
    </w:lvlOverride>
  </w:num>
  <w:num w:numId="156">
    <w:abstractNumId w:val="4"/>
    <w:lvlOverride w:ilvl="0">
      <w:startOverride w:val="1"/>
    </w:lvlOverride>
  </w:num>
  <w:num w:numId="157">
    <w:abstractNumId w:val="4"/>
    <w:lvlOverride w:ilvl="0">
      <w:startOverride w:val="1"/>
    </w:lvlOverride>
  </w:num>
  <w:num w:numId="158">
    <w:abstractNumId w:val="4"/>
    <w:lvlOverride w:ilvl="0">
      <w:startOverride w:val="1"/>
    </w:lvlOverride>
  </w:num>
  <w:num w:numId="159">
    <w:abstractNumId w:val="4"/>
    <w:lvlOverride w:ilvl="0">
      <w:startOverride w:val="1"/>
    </w:lvlOverride>
  </w:num>
  <w:num w:numId="160">
    <w:abstractNumId w:val="37"/>
    <w:lvlOverride w:ilvl="0">
      <w:startOverride w:val="1"/>
    </w:lvlOverride>
  </w:num>
  <w:num w:numId="161">
    <w:abstractNumId w:val="26"/>
    <w:lvlOverride w:ilvl="0">
      <w:startOverride w:val="1"/>
    </w:lvlOverride>
  </w:num>
  <w:num w:numId="162">
    <w:abstractNumId w:val="37"/>
    <w:lvlOverride w:ilvl="0">
      <w:startOverride w:val="1"/>
    </w:lvlOverride>
  </w:num>
  <w:num w:numId="163">
    <w:abstractNumId w:val="37"/>
    <w:lvlOverride w:ilvl="0">
      <w:startOverride w:val="1"/>
    </w:lvlOverride>
  </w:num>
  <w:num w:numId="164">
    <w:abstractNumId w:val="37"/>
    <w:lvlOverride w:ilvl="0">
      <w:startOverride w:val="1"/>
    </w:lvlOverride>
  </w:num>
  <w:num w:numId="165">
    <w:abstractNumId w:val="4"/>
    <w:lvlOverride w:ilvl="0">
      <w:startOverride w:val="1"/>
    </w:lvlOverride>
  </w:num>
  <w:num w:numId="166">
    <w:abstractNumId w:val="37"/>
    <w:lvlOverride w:ilvl="0">
      <w:startOverride w:val="1"/>
    </w:lvlOverride>
  </w:num>
  <w:num w:numId="167">
    <w:abstractNumId w:val="37"/>
    <w:lvlOverride w:ilvl="0">
      <w:startOverride w:val="1"/>
    </w:lvlOverride>
  </w:num>
  <w:num w:numId="168">
    <w:abstractNumId w:val="37"/>
    <w:lvlOverride w:ilvl="0">
      <w:startOverride w:val="1"/>
    </w:lvlOverride>
  </w:num>
  <w:num w:numId="169">
    <w:abstractNumId w:val="26"/>
    <w:lvlOverride w:ilvl="0">
      <w:startOverride w:val="1"/>
    </w:lvlOverride>
  </w:num>
  <w:num w:numId="170">
    <w:abstractNumId w:val="37"/>
    <w:lvlOverride w:ilvl="0">
      <w:startOverride w:val="1"/>
    </w:lvlOverride>
  </w:num>
  <w:num w:numId="171">
    <w:abstractNumId w:val="37"/>
    <w:lvlOverride w:ilvl="0">
      <w:startOverride w:val="1"/>
    </w:lvlOverride>
  </w:num>
  <w:num w:numId="172">
    <w:abstractNumId w:val="4"/>
    <w:lvlOverride w:ilvl="0">
      <w:startOverride w:val="1"/>
    </w:lvlOverride>
  </w:num>
  <w:num w:numId="173">
    <w:abstractNumId w:val="37"/>
    <w:lvlOverride w:ilvl="0">
      <w:startOverride w:val="1"/>
    </w:lvlOverride>
  </w:num>
  <w:num w:numId="174">
    <w:abstractNumId w:val="37"/>
    <w:lvlOverride w:ilvl="0">
      <w:startOverride w:val="1"/>
    </w:lvlOverride>
  </w:num>
  <w:num w:numId="175">
    <w:abstractNumId w:val="26"/>
    <w:lvlOverride w:ilvl="0">
      <w:startOverride w:val="1"/>
    </w:lvlOverride>
  </w:num>
  <w:num w:numId="176">
    <w:abstractNumId w:val="37"/>
    <w:lvlOverride w:ilvl="0">
      <w:startOverride w:val="1"/>
    </w:lvlOverride>
  </w:num>
  <w:num w:numId="177">
    <w:abstractNumId w:val="37"/>
    <w:lvlOverride w:ilvl="0">
      <w:startOverride w:val="1"/>
    </w:lvlOverride>
  </w:num>
  <w:num w:numId="178">
    <w:abstractNumId w:val="37"/>
    <w:lvlOverride w:ilvl="0">
      <w:startOverride w:val="1"/>
    </w:lvlOverride>
  </w:num>
  <w:num w:numId="179">
    <w:abstractNumId w:val="4"/>
    <w:lvlOverride w:ilvl="0">
      <w:startOverride w:val="1"/>
    </w:lvlOverride>
  </w:num>
  <w:num w:numId="180">
    <w:abstractNumId w:val="37"/>
    <w:lvlOverride w:ilvl="0">
      <w:startOverride w:val="1"/>
    </w:lvlOverride>
  </w:num>
  <w:num w:numId="181">
    <w:abstractNumId w:val="37"/>
    <w:lvlOverride w:ilvl="0">
      <w:startOverride w:val="1"/>
    </w:lvlOverride>
  </w:num>
  <w:num w:numId="182">
    <w:abstractNumId w:val="26"/>
    <w:lvlOverride w:ilvl="0">
      <w:startOverride w:val="1"/>
    </w:lvlOverride>
  </w:num>
  <w:num w:numId="183">
    <w:abstractNumId w:val="37"/>
    <w:lvlOverride w:ilvl="0">
      <w:startOverride w:val="1"/>
    </w:lvlOverride>
  </w:num>
  <w:num w:numId="184">
    <w:abstractNumId w:val="37"/>
    <w:lvlOverride w:ilvl="0">
      <w:startOverride w:val="1"/>
    </w:lvlOverride>
  </w:num>
  <w:num w:numId="185">
    <w:abstractNumId w:val="37"/>
    <w:lvlOverride w:ilvl="0">
      <w:startOverride w:val="1"/>
    </w:lvlOverride>
  </w:num>
  <w:num w:numId="186">
    <w:abstractNumId w:val="4"/>
    <w:lvlOverride w:ilvl="0">
      <w:startOverride w:val="1"/>
    </w:lvlOverride>
  </w:num>
  <w:num w:numId="187">
    <w:abstractNumId w:val="37"/>
    <w:lvlOverride w:ilvl="0">
      <w:startOverride w:val="1"/>
    </w:lvlOverride>
  </w:num>
  <w:num w:numId="188">
    <w:abstractNumId w:val="37"/>
    <w:lvlOverride w:ilvl="0">
      <w:startOverride w:val="1"/>
    </w:lvlOverride>
  </w:num>
  <w:num w:numId="189">
    <w:abstractNumId w:val="26"/>
    <w:lvlOverride w:ilvl="0">
      <w:startOverride w:val="1"/>
    </w:lvlOverride>
  </w:num>
  <w:num w:numId="190">
    <w:abstractNumId w:val="37"/>
    <w:lvlOverride w:ilvl="0">
      <w:startOverride w:val="1"/>
    </w:lvlOverride>
  </w:num>
  <w:num w:numId="191">
    <w:abstractNumId w:val="37"/>
    <w:lvlOverride w:ilvl="0">
      <w:startOverride w:val="1"/>
    </w:lvlOverride>
  </w:num>
  <w:num w:numId="192">
    <w:abstractNumId w:val="37"/>
    <w:lvlOverride w:ilvl="0">
      <w:startOverride w:val="1"/>
    </w:lvlOverride>
  </w:num>
  <w:num w:numId="193">
    <w:abstractNumId w:val="4"/>
    <w:lvlOverride w:ilvl="0">
      <w:startOverride w:val="1"/>
    </w:lvlOverride>
  </w:num>
  <w:num w:numId="194">
    <w:abstractNumId w:val="37"/>
    <w:lvlOverride w:ilvl="0">
      <w:startOverride w:val="1"/>
    </w:lvlOverride>
  </w:num>
  <w:num w:numId="195">
    <w:abstractNumId w:val="37"/>
    <w:lvlOverride w:ilvl="0">
      <w:startOverride w:val="1"/>
    </w:lvlOverride>
  </w:num>
  <w:num w:numId="196">
    <w:abstractNumId w:val="26"/>
    <w:lvlOverride w:ilvl="0">
      <w:startOverride w:val="1"/>
    </w:lvlOverride>
  </w:num>
  <w:num w:numId="197">
    <w:abstractNumId w:val="37"/>
    <w:lvlOverride w:ilvl="0">
      <w:startOverride w:val="1"/>
    </w:lvlOverride>
  </w:num>
  <w:num w:numId="198">
    <w:abstractNumId w:val="37"/>
    <w:lvlOverride w:ilvl="0">
      <w:startOverride w:val="1"/>
    </w:lvlOverride>
  </w:num>
  <w:num w:numId="199">
    <w:abstractNumId w:val="37"/>
    <w:lvlOverride w:ilvl="0">
      <w:startOverride w:val="1"/>
    </w:lvlOverride>
  </w:num>
  <w:num w:numId="200">
    <w:abstractNumId w:val="4"/>
    <w:lvlOverride w:ilvl="0">
      <w:startOverride w:val="1"/>
    </w:lvlOverride>
  </w:num>
  <w:num w:numId="201">
    <w:abstractNumId w:val="37"/>
    <w:lvlOverride w:ilvl="0">
      <w:startOverride w:val="1"/>
    </w:lvlOverride>
  </w:num>
  <w:num w:numId="202">
    <w:abstractNumId w:val="37"/>
    <w:lvlOverride w:ilvl="0">
      <w:startOverride w:val="1"/>
    </w:lvlOverride>
  </w:num>
  <w:num w:numId="203">
    <w:abstractNumId w:val="4"/>
    <w:lvlOverride w:ilvl="0">
      <w:startOverride w:val="1"/>
    </w:lvlOverride>
  </w:num>
  <w:num w:numId="204">
    <w:abstractNumId w:val="25"/>
  </w:num>
  <w:num w:numId="205">
    <w:abstractNumId w:val="25"/>
  </w:num>
  <w:num w:numId="206">
    <w:abstractNumId w:val="25"/>
  </w:num>
  <w:num w:numId="207">
    <w:abstractNumId w:val="25"/>
  </w:num>
  <w:num w:numId="208">
    <w:abstractNumId w:val="25"/>
  </w:num>
  <w:num w:numId="209">
    <w:abstractNumId w:val="25"/>
  </w:num>
  <w:num w:numId="210">
    <w:abstractNumId w:val="25"/>
  </w:num>
  <w:num w:numId="211">
    <w:abstractNumId w:val="22"/>
  </w:num>
  <w:num w:numId="212">
    <w:abstractNumId w:val="25"/>
  </w:num>
  <w:num w:numId="213">
    <w:abstractNumId w:val="25"/>
  </w:num>
  <w:num w:numId="214">
    <w:abstractNumId w:val="3"/>
  </w:num>
  <w:num w:numId="215">
    <w:abstractNumId w:val="25"/>
  </w:num>
  <w:num w:numId="216">
    <w:abstractNumId w:val="11"/>
  </w:num>
  <w:num w:numId="217">
    <w:abstractNumId w:val="24"/>
  </w:num>
  <w:num w:numId="218">
    <w:abstractNumId w:val="25"/>
  </w:num>
  <w:num w:numId="219">
    <w:abstractNumId w:val="25"/>
  </w:num>
  <w:num w:numId="220">
    <w:abstractNumId w:val="25"/>
  </w:num>
  <w:num w:numId="221">
    <w:abstractNumId w:val="25"/>
  </w:num>
  <w:num w:numId="222">
    <w:abstractNumId w:val="17"/>
  </w:num>
  <w:num w:numId="223">
    <w:abstractNumId w:val="25"/>
  </w:num>
  <w:num w:numId="224">
    <w:abstractNumId w:val="25"/>
  </w:num>
  <w:num w:numId="225">
    <w:abstractNumId w:val="25"/>
  </w:num>
  <w:num w:numId="226">
    <w:abstractNumId w:val="25"/>
  </w:num>
  <w:num w:numId="227">
    <w:abstractNumId w:val="25"/>
  </w:num>
  <w:num w:numId="228">
    <w:abstractNumId w:val="25"/>
  </w:num>
  <w:num w:numId="229">
    <w:abstractNumId w:val="25"/>
  </w:num>
  <w:num w:numId="230">
    <w:abstractNumId w:val="25"/>
  </w:num>
  <w:num w:numId="231">
    <w:abstractNumId w:val="18"/>
  </w:num>
  <w:num w:numId="232">
    <w:abstractNumId w:val="2"/>
  </w:num>
  <w:num w:numId="233">
    <w:abstractNumId w:val="13"/>
  </w:num>
  <w:num w:numId="234">
    <w:abstractNumId w:val="5"/>
  </w:num>
  <w:num w:numId="235">
    <w:abstractNumId w:val="20"/>
  </w:num>
  <w:num w:numId="236">
    <w:abstractNumId w:val="14"/>
  </w:num>
  <w:num w:numId="237">
    <w:abstractNumId w:val="0"/>
  </w:num>
  <w:num w:numId="238">
    <w:abstractNumId w:val="35"/>
  </w:num>
  <w:num w:numId="239">
    <w:abstractNumId w:val="27"/>
  </w:num>
  <w:num w:numId="240">
    <w:abstractNumId w:val="34"/>
  </w:num>
  <w:num w:numId="241">
    <w:abstractNumId w:val="36"/>
  </w:num>
  <w:num w:numId="242">
    <w:abstractNumId w:val="21"/>
  </w:num>
  <w:num w:numId="243">
    <w:abstractNumId w:val="38"/>
  </w:num>
  <w:num w:numId="244">
    <w:abstractNumId w:val="16"/>
  </w:num>
  <w:num w:numId="245">
    <w:abstractNumId w:val="7"/>
  </w:num>
  <w:num w:numId="246">
    <w:abstractNumId w:val="28"/>
  </w:num>
  <w:num w:numId="247">
    <w:abstractNumId w:val="6"/>
  </w:num>
  <w:num w:numId="248">
    <w:abstractNumId w:val="23"/>
  </w:num>
  <w:num w:numId="249">
    <w:abstractNumId w:val="9"/>
  </w:num>
  <w:num w:numId="250">
    <w:abstractNumId w:val="12"/>
  </w:num>
  <w:num w:numId="251">
    <w:abstractNumId w:val="32"/>
  </w:num>
  <w:num w:numId="252">
    <w:abstractNumId w:val="29"/>
  </w:num>
  <w:num w:numId="253">
    <w:abstractNumId w:val="15"/>
  </w:num>
  <w:num w:numId="254">
    <w:abstractNumId w:val="33"/>
  </w:num>
  <w:num w:numId="255">
    <w:abstractNumId w:val="1"/>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nl-NL" w:vendorID="1" w:dllVersion="512" w:checkStyle="1"/>
  <w:activeWritingStyle w:appName="MSWord" w:lang="nl-BE" w:vendorID="1" w:dllVersion="512" w:checkStyle="1"/>
  <w:activeWritingStyle w:appName="MSWord" w:lang="pt-PT" w:vendorID="13" w:dllVersion="513" w:checkStyle="1"/>
  <w:activeWritingStyle w:appName="MSWord" w:lang="da-DK" w:vendorID="22" w:dllVersion="513" w:checkStyle="1"/>
  <w:activeWritingStyle w:appName="MSWord" w:lang="sv-SE" w:vendorID="22" w:dllVersion="513" w:checkStyle="1"/>
  <w:activeWritingStyle w:appName="MSWord" w:lang="it-IT" w:vendorID="3" w:dllVersion="517" w:checkStyle="1"/>
  <w:activeWritingStyle w:appName="MSWord" w:lang="pl-PL" w:vendorID="12" w:dllVersion="512" w:checkStyle="1"/>
  <w:activeWritingStyle w:appName="MSWord" w:lang="fi-FI" w:vendorID="22" w:dllVersion="513" w:checkStyle="1"/>
  <w:revisionView w:markup="0"/>
  <w:defaultTabStop w:val="720"/>
  <w:characterSpacingControl w:val="doNotCompress"/>
  <w:hdrShapeDefaults>
    <o:shapedefaults v:ext="edit" spidmax="188417"/>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0B92E10545F94D5586D4A4CABB7FB3EF"/>
    <w:docVar w:name="LW_CROSSREFERENCE" w:val="{COM(2017) 370 final}_x000b_{SWD(2017) 259 final}"/>
    <w:docVar w:name="LW_DocType" w:val="NORMAL"/>
    <w:docVar w:name="LW_EMISSION" w:val="6.7.2017"/>
    <w:docVar w:name="LW_EMISSION_ISODATE" w:val="2017-07-06"/>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Monitoring the application of European Union law_x000b_2016 Annual Report"/>
    <w:docVar w:name="LW_PART_NBR" w:val="1"/>
    <w:docVar w:name="LW_PART_NBR_TOTAL" w:val="2"/>
    <w:docVar w:name="LW_REF.INST.NEW" w:val="SWD"/>
    <w:docVar w:name="LW_REF.INST.NEW_ADOPTED" w:val="final"/>
    <w:docVar w:name="LW_REF.INST.NEW_TEXT" w:val="(2017) 260"/>
    <w:docVar w:name="LW_REF.INTERNE" w:val="&lt;UNUSED&gt;"/>
    <w:docVar w:name="LW_SUPERTITRE" w:val="&lt;UNUSED&gt;"/>
    <w:docVar w:name="LW_TITRE.OBJ.CP" w:val="Part II: Member States"/>
    <w:docVar w:name="LW_TYPE.DOC.CP" w:val="COMMISSION STAFF WORKING DOCUMENT"/>
    <w:docVar w:name="LW_TYPEACTEPRINCIPAL.CP" w:val="&lt;UNUSED&gt;"/>
    <w:docVar w:name="Stamp" w:val="\\dossiers.dgt.cec.eu.int\dossiers\SG\SG-2016-00297\SG-2016-00297-00-02-EN-REV-00.DOCX"/>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8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footnote reference" w:uiPriority="0" w:qFormat="1"/>
    <w:lsdException w:name="List Bullet"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40" w:line="240" w:lineRule="auto"/>
      <w:jc w:val="both"/>
    </w:pPr>
    <w:rPr>
      <w:rFonts w:ascii="Times New Roman" w:eastAsia="Times New Roman" w:hAnsi="Times New Roman" w:cs="Times New Roman"/>
      <w:sz w:val="24"/>
      <w:szCs w:val="20"/>
    </w:rPr>
  </w:style>
  <w:style w:type="paragraph" w:styleId="Heading1">
    <w:name w:val="heading 1"/>
    <w:basedOn w:val="MemberStateHeader"/>
    <w:next w:val="Subtitle"/>
    <w:link w:val="Heading1Char"/>
    <w:uiPriority w:val="9"/>
    <w:qFormat/>
    <w:pPr>
      <w:keepNext/>
      <w:keepLines/>
      <w:outlineLvl w:val="0"/>
    </w:pPr>
    <w:rPr>
      <w:rFonts w:eastAsiaTheme="majorEastAsia" w:cstheme="majorBidi"/>
      <w:bCs/>
      <w:color w:val="A6A6A6" w:themeColor="background1" w:themeShade="A6"/>
      <w:szCs w:val="28"/>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uiPriority w:val="99"/>
    <w:qFormat/>
    <w:pPr>
      <w:spacing w:after="0"/>
      <w:ind w:left="357" w:hanging="357"/>
    </w:pPr>
    <w:rPr>
      <w:rFonts w:ascii="Arial" w:hAnsi="Arial"/>
      <w:sz w:val="18"/>
    </w:rPr>
  </w:style>
  <w:style w:type="character" w:customStyle="1" w:styleId="FootnoteTextChar">
    <w:name w:val="Footnote Text Char"/>
    <w:aliases w:val="Footnote Char,Fußnote Char,Fotnotstext1 Char,fn Char,Footnote Text Char2 Char Char,Footnote Text Char Char Char1 Char,Footnote Text Char1 Char Char Char Char,Footnote Text Char2 Char Char Char Char Char,footnote te Char,f Char,Ch Char"/>
    <w:basedOn w:val="DefaultParagraphFont"/>
    <w:uiPriority w:val="99"/>
    <w:rPr>
      <w:rFonts w:ascii="Arial" w:eastAsia="Times New Roman" w:hAnsi="Arial" w:cs="Times New Roman"/>
      <w:sz w:val="18"/>
      <w:szCs w:val="20"/>
    </w:rPr>
  </w:style>
  <w:style w:type="character" w:styleId="FootnoteReference">
    <w:name w:val="footnote reference"/>
    <w:aliases w:val="Footnote number,Footnote symbol,fr,o,de nota al pie,Ref,Char,SUPERS,Voetnootmarkering,Char1,Nota,(NECG) Footnote Reference, Char, Char1,Ref Char,de nota al pie Char,Footnote number Char,Footnote symbol Char,note TESI Char,Nota Char,FR"/>
    <w:qFormat/>
    <w:rPr>
      <w:vertAlign w:val="superscript"/>
    </w:rPr>
  </w:style>
  <w:style w:type="paragraph" w:customStyle="1" w:styleId="Body">
    <w:name w:val="Body"/>
    <w:basedOn w:val="Normal"/>
    <w:link w:val="BodyChar"/>
    <w:qFormat/>
    <w:pPr>
      <w:spacing w:after="120"/>
      <w:ind w:firstLine="709"/>
    </w:pPr>
    <w:rPr>
      <w:rFonts w:ascii="Arial" w:hAnsi="Arial" w:cs="Arial"/>
      <w:sz w:val="20"/>
      <w:lang w:val="en-US"/>
    </w:rPr>
  </w:style>
  <w:style w:type="character" w:customStyle="1" w:styleId="BodyChar">
    <w:name w:val="Body Char"/>
    <w:link w:val="Body"/>
    <w:rPr>
      <w:rFonts w:ascii="Arial" w:eastAsia="Times New Roman" w:hAnsi="Arial" w:cs="Arial"/>
      <w:sz w:val="20"/>
      <w:szCs w:val="20"/>
      <w:lang w:val="en-US"/>
    </w:rPr>
  </w:style>
  <w:style w:type="paragraph" w:customStyle="1" w:styleId="kop2">
    <w:name w:val="kop 2"/>
    <w:basedOn w:val="Normal"/>
    <w:next w:val="Normal"/>
    <w:link w:val="kop2Char"/>
    <w:uiPriority w:val="1"/>
    <w:unhideWhenUsed/>
    <w:qFormat/>
    <w:pPr>
      <w:keepNext/>
      <w:keepLines/>
      <w:numPr>
        <w:numId w:val="1"/>
      </w:numPr>
      <w:spacing w:after="120"/>
      <w:outlineLvl w:val="1"/>
    </w:pPr>
    <w:rPr>
      <w:rFonts w:ascii="Arial" w:eastAsia="MS Gothic" w:hAnsi="Arial" w:cs="Arial"/>
      <w:caps/>
      <w:color w:val="4F81BD"/>
      <w:kern w:val="20"/>
      <w:szCs w:val="24"/>
    </w:rPr>
  </w:style>
  <w:style w:type="paragraph" w:customStyle="1" w:styleId="kop3">
    <w:name w:val="kop 3"/>
    <w:basedOn w:val="Subtitle"/>
    <w:next w:val="Normal"/>
    <w:link w:val="kop3Char"/>
    <w:autoRedefine/>
    <w:uiPriority w:val="1"/>
    <w:unhideWhenUsed/>
    <w:qFormat/>
  </w:style>
  <w:style w:type="character" w:customStyle="1" w:styleId="kop2Char">
    <w:name w:val="kop 2 Char"/>
    <w:link w:val="kop2"/>
    <w:uiPriority w:val="1"/>
    <w:rPr>
      <w:rFonts w:ascii="Arial" w:eastAsia="MS Gothic" w:hAnsi="Arial" w:cs="Arial"/>
      <w:caps/>
      <w:color w:val="4F81BD"/>
      <w:kern w:val="20"/>
      <w:sz w:val="24"/>
      <w:szCs w:val="24"/>
    </w:rPr>
  </w:style>
  <w:style w:type="character" w:customStyle="1" w:styleId="kop3Char">
    <w:name w:val="kop 3 Char"/>
    <w:link w:val="kop3"/>
    <w:uiPriority w:val="1"/>
    <w:rPr>
      <w:rFonts w:ascii="Arial" w:eastAsia="Times New Roman" w:hAnsi="Arial" w:cs="Times New Roman"/>
      <w:color w:val="002060"/>
    </w:rPr>
  </w:style>
  <w:style w:type="paragraph" w:customStyle="1" w:styleId="Lijstje">
    <w:name w:val="Lijstje"/>
    <w:basedOn w:val="NoSpacing"/>
    <w:uiPriority w:val="1"/>
    <w:unhideWhenUsed/>
    <w:qFormat/>
    <w:locked/>
    <w:pPr>
      <w:numPr>
        <w:numId w:val="100"/>
      </w:numPr>
      <w:spacing w:after="120"/>
    </w:pPr>
    <w:rPr>
      <w:rFonts w:ascii="Verdana" w:eastAsia="Calibri" w:hAnsi="Verdana"/>
      <w:kern w:val="20"/>
      <w:sz w:val="20"/>
      <w:lang w:val="en-US"/>
    </w:rPr>
  </w:style>
  <w:style w:type="paragraph" w:customStyle="1" w:styleId="Lijstje2">
    <w:name w:val="Lijstje2"/>
    <w:basedOn w:val="ListParagraph"/>
    <w:uiPriority w:val="1"/>
    <w:unhideWhenUsed/>
    <w:qFormat/>
    <w:locked/>
    <w:pPr>
      <w:numPr>
        <w:numId w:val="4"/>
      </w:numPr>
      <w:spacing w:after="120"/>
      <w:ind w:left="1080"/>
    </w:pPr>
    <w:rPr>
      <w:rFonts w:ascii="Verdana" w:eastAsia="Calibri" w:hAnsi="Verdana"/>
      <w:kern w:val="20"/>
      <w:sz w:val="20"/>
      <w:lang w:val="nl-NL"/>
    </w:rPr>
  </w:style>
  <w:style w:type="paragraph" w:customStyle="1" w:styleId="MemberStateHeader">
    <w:name w:val="Member State Header"/>
    <w:basedOn w:val="Normal"/>
    <w:link w:val="MemberStateHeaderChar"/>
    <w:qFormat/>
    <w:pPr>
      <w:jc w:val="center"/>
    </w:pPr>
    <w:rPr>
      <w:rFonts w:ascii="Arial" w:hAnsi="Arial"/>
      <w:color w:val="BFBFBF" w:themeColor="background1" w:themeShade="BF"/>
      <w:szCs w:val="24"/>
    </w:rPr>
  </w:style>
  <w:style w:type="character" w:customStyle="1" w:styleId="MemberStateHeaderChar">
    <w:name w:val="Member State Header Char"/>
    <w:link w:val="MemberStateHeader"/>
    <w:rPr>
      <w:rFonts w:ascii="Arial" w:eastAsia="Times New Roman" w:hAnsi="Arial" w:cs="Times New Roman"/>
      <w:color w:val="BFBFBF" w:themeColor="background1" w:themeShade="BF"/>
      <w:sz w:val="24"/>
      <w:szCs w:val="24"/>
    </w:rPr>
  </w:style>
  <w:style w:type="paragraph" w:styleId="NoSpacing">
    <w:name w:val="No Spacing"/>
    <w:uiPriority w:val="1"/>
    <w:qFormat/>
    <w:pPr>
      <w:spacing w:after="0" w:line="240" w:lineRule="auto"/>
      <w:jc w:val="both"/>
    </w:pPr>
    <w:rPr>
      <w:rFonts w:ascii="Times New Roman" w:eastAsia="Times New Roman" w:hAnsi="Times New Roman" w:cs="Times New Roman"/>
      <w:sz w:val="24"/>
      <w:szCs w:val="20"/>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Footer">
    <w:name w:val="footer"/>
    <w:basedOn w:val="Normal"/>
    <w:link w:val="FooterChar"/>
    <w:unhideWhenUsed/>
    <w:pPr>
      <w:tabs>
        <w:tab w:val="center" w:pos="4536"/>
        <w:tab w:val="right" w:pos="9072"/>
      </w:tabs>
      <w:spacing w:after="0"/>
    </w:pPr>
  </w:style>
  <w:style w:type="character" w:customStyle="1" w:styleId="FooterChar">
    <w:name w:val="Footer Char"/>
    <w:basedOn w:val="DefaultParagraphFont"/>
    <w:link w:val="Footer"/>
    <w:rPr>
      <w:rFonts w:ascii="Times New Roman" w:eastAsia="Times New Roman" w:hAnsi="Times New Roman" w:cs="Times New Roman"/>
      <w:sz w:val="24"/>
      <w:szCs w:val="20"/>
    </w:rPr>
  </w:style>
  <w:style w:type="paragraph" w:customStyle="1" w:styleId="Priorities">
    <w:name w:val="Priorities"/>
    <w:basedOn w:val="Normal"/>
    <w:link w:val="PrioritiesChar"/>
    <w:qFormat/>
    <w:pPr>
      <w:spacing w:after="200" w:line="276" w:lineRule="auto"/>
      <w:jc w:val="center"/>
    </w:pPr>
    <w:rPr>
      <w:rFonts w:ascii="Arial" w:eastAsiaTheme="minorHAnsi" w:hAnsi="Arial" w:cs="Arial"/>
      <w:b/>
      <w:color w:val="163E71"/>
      <w:sz w:val="28"/>
      <w:szCs w:val="28"/>
    </w:rPr>
  </w:style>
  <w:style w:type="character" w:customStyle="1" w:styleId="PrioritiesChar">
    <w:name w:val="Priorities Char"/>
    <w:basedOn w:val="DefaultParagraphFont"/>
    <w:link w:val="Priorities"/>
    <w:rPr>
      <w:rFonts w:ascii="Arial" w:hAnsi="Arial" w:cs="Arial"/>
      <w:b/>
      <w:color w:val="163E71"/>
      <w:sz w:val="28"/>
      <w:szCs w:val="28"/>
    </w:rPr>
  </w:style>
  <w:style w:type="paragraph" w:styleId="Subtitle">
    <w:name w:val="Subtitle"/>
    <w:basedOn w:val="Normal"/>
    <w:link w:val="SubtitleChar"/>
    <w:autoRedefine/>
    <w:qFormat/>
    <w:pPr>
      <w:numPr>
        <w:numId w:val="3"/>
      </w:numPr>
      <w:spacing w:before="120" w:after="120"/>
      <w:jc w:val="left"/>
      <w:outlineLvl w:val="1"/>
    </w:pPr>
    <w:rPr>
      <w:rFonts w:ascii="Arial" w:hAnsi="Arial"/>
      <w:color w:val="002060"/>
      <w:sz w:val="22"/>
      <w:szCs w:val="22"/>
    </w:rPr>
  </w:style>
  <w:style w:type="character" w:customStyle="1" w:styleId="SubtitleChar">
    <w:name w:val="Subtitle Char"/>
    <w:basedOn w:val="DefaultParagraphFont"/>
    <w:link w:val="Subtitle"/>
    <w:rPr>
      <w:rFonts w:ascii="Arial" w:eastAsia="Times New Roman" w:hAnsi="Arial" w:cs="Times New Roman"/>
      <w:color w:val="002060"/>
    </w:r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character" w:customStyle="1" w:styleId="affairetitle">
    <w:name w:val="affaire_title"/>
    <w:basedOn w:val="DefaultParagraphFont"/>
  </w:style>
  <w:style w:type="character" w:styleId="Hyperlink">
    <w:name w:val="Hyperlink"/>
    <w:basedOn w:val="DefaultParagraphFont"/>
    <w:uiPriority w:val="99"/>
    <w:unhideWhenUsed/>
    <w:rPr>
      <w:color w:val="0000FF" w:themeColor="hyperlink"/>
      <w:u w:val="single"/>
    </w:rPr>
  </w:style>
  <w:style w:type="table" w:customStyle="1" w:styleId="Style11">
    <w:name w:val="Style11"/>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
    <w:name w:val="Style12"/>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3">
    <w:name w:val="Style13"/>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4">
    <w:name w:val="Style14"/>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5">
    <w:name w:val="Style15"/>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6">
    <w:name w:val="Style16"/>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7">
    <w:name w:val="Style17"/>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8">
    <w:name w:val="Style18"/>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9">
    <w:name w:val="Style19"/>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0">
    <w:name w:val="Style110"/>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1">
    <w:name w:val="Style111"/>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table" w:customStyle="1" w:styleId="Style112">
    <w:name w:val="Style112"/>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3">
    <w:name w:val="Style113"/>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4">
    <w:name w:val="Style114"/>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5">
    <w:name w:val="Style115"/>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6">
    <w:name w:val="Style116"/>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7">
    <w:name w:val="Style117"/>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8">
    <w:name w:val="Style118"/>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9">
    <w:name w:val="Style119"/>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0">
    <w:name w:val="Style120"/>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1">
    <w:name w:val="Style121"/>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2">
    <w:name w:val="Style122"/>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3">
    <w:name w:val="Style123"/>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4">
    <w:name w:val="Style124"/>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5">
    <w:name w:val="Style125"/>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6">
    <w:name w:val="Style126"/>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7">
    <w:name w:val="Style127"/>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Arial" w:eastAsiaTheme="majorEastAsia" w:hAnsi="Arial" w:cstheme="majorBidi"/>
      <w:bCs/>
      <w:color w:val="A6A6A6" w:themeColor="background1" w:themeShade="A6"/>
      <w:sz w:val="24"/>
      <w:szCs w:val="28"/>
    </w:rPr>
  </w:style>
  <w:style w:type="paragraph" w:styleId="TOC8">
    <w:name w:val="toc 8"/>
    <w:basedOn w:val="Normal"/>
    <w:next w:val="Normal"/>
    <w:autoRedefine/>
    <w:uiPriority w:val="39"/>
    <w:semiHidden/>
    <w:unhideWhenUsed/>
    <w:pPr>
      <w:spacing w:after="100"/>
      <w:ind w:left="1680"/>
    </w:pPr>
  </w:style>
  <w:style w:type="paragraph" w:styleId="TOC1">
    <w:name w:val="toc 1"/>
    <w:basedOn w:val="Normal"/>
    <w:next w:val="Normal"/>
    <w:link w:val="TOC1Char"/>
    <w:autoRedefine/>
    <w:uiPriority w:val="39"/>
    <w:unhideWhenUsed/>
    <w:pPr>
      <w:spacing w:after="100"/>
    </w:p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c01pointnumerotealtn">
    <w:name w:val="c01pointnumerotealtn"/>
    <w:basedOn w:val="Normal"/>
    <w:pPr>
      <w:spacing w:before="100" w:beforeAutospacing="1"/>
      <w:ind w:left="567" w:hanging="539"/>
    </w:pPr>
    <w:rPr>
      <w:szCs w:val="24"/>
      <w:lang w:eastAsia="en-GB"/>
    </w:rPr>
  </w:style>
  <w:style w:type="character" w:customStyle="1" w:styleId="at25">
    <w:name w:val="a__t25"/>
    <w:basedOn w:val="DefaultParagraphFont"/>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NormalWeb">
    <w:name w:val="Normal (Web)"/>
    <w:basedOn w:val="Normal"/>
    <w:uiPriority w:val="99"/>
    <w:unhideWhenUsed/>
    <w:rPr>
      <w:szCs w:val="24"/>
    </w:rPr>
  </w:style>
  <w:style w:type="paragraph" w:customStyle="1" w:styleId="Lijstje3">
    <w:name w:val="Lijstje 3"/>
    <w:basedOn w:val="Lijstje2"/>
    <w:uiPriority w:val="1"/>
    <w:unhideWhenUsed/>
    <w:locked/>
    <w:pPr>
      <w:numPr>
        <w:numId w:val="0"/>
      </w:numPr>
      <w:tabs>
        <w:tab w:val="num" w:pos="765"/>
      </w:tabs>
      <w:spacing w:after="200"/>
      <w:ind w:left="1069" w:hanging="283"/>
    </w:pPr>
  </w:style>
  <w:style w:type="character" w:customStyle="1" w:styleId="st">
    <w:name w:val="st"/>
    <w:basedOn w:val="DefaultParagraphFont"/>
  </w:style>
  <w:style w:type="character" w:customStyle="1" w:styleId="prdnormal">
    <w:name w:val="prdnormal"/>
    <w:basedOn w:val="DefaultParagraphFont"/>
  </w:style>
  <w:style w:type="character" w:styleId="Emphasis">
    <w:name w:val="Emphasis"/>
    <w:basedOn w:val="DefaultParagraphFont"/>
    <w:uiPriority w:val="20"/>
    <w:qFormat/>
    <w:rPr>
      <w:i/>
      <w:iCs/>
    </w:rPr>
  </w:style>
  <w:style w:type="paragraph" w:styleId="ListBullet">
    <w:name w:val="List Bullet"/>
    <w:basedOn w:val="Normal"/>
    <w:pPr>
      <w:numPr>
        <w:numId w:val="22"/>
      </w:numPr>
    </w:pPr>
    <w:rPr>
      <w:rFonts w:ascii="Arial" w:hAnsi="Arial"/>
      <w:sz w:val="22"/>
    </w:rPr>
  </w:style>
  <w:style w:type="paragraph" w:styleId="Signature">
    <w:name w:val="Signature"/>
    <w:basedOn w:val="Normal"/>
    <w:link w:val="SignatureChar"/>
    <w:uiPriority w:val="99"/>
    <w:semiHidden/>
    <w:unhideWhenUsed/>
    <w:pPr>
      <w:spacing w:after="0"/>
      <w:ind w:left="4252"/>
    </w:pPr>
  </w:style>
  <w:style w:type="character" w:customStyle="1" w:styleId="SignatureChar">
    <w:name w:val="Signature Char"/>
    <w:basedOn w:val="DefaultParagraphFont"/>
    <w:link w:val="Signature"/>
    <w:uiPriority w:val="99"/>
    <w:semiHidden/>
    <w:rPr>
      <w:rFonts w:ascii="Times New Roman" w:eastAsia="Times New Roman" w:hAnsi="Times New Roman" w:cs="Times New Roman"/>
      <w:sz w:val="24"/>
      <w:szCs w:val="20"/>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character" w:customStyle="1" w:styleId="f1">
    <w:name w:val="f1"/>
    <w:basedOn w:val="DefaultParagraphFont"/>
    <w:rPr>
      <w:color w:val="666666"/>
    </w:rPr>
  </w:style>
  <w:style w:type="character" w:customStyle="1" w:styleId="st1">
    <w:name w:val="st1"/>
    <w:basedOn w:val="DefaultParagraphFont"/>
  </w:style>
  <w:style w:type="character" w:styleId="Strong">
    <w:name w:val="Strong"/>
    <w:basedOn w:val="DefaultParagraphFont"/>
    <w:uiPriority w:val="22"/>
    <w:qFormat/>
    <w:rPr>
      <w:b/>
      <w:bCs/>
    </w:rPr>
  </w:style>
  <w:style w:type="character" w:styleId="SubtleEmphasis">
    <w:name w:val="Subtle Emphasis"/>
    <w:basedOn w:val="DefaultParagraphFont"/>
    <w:uiPriority w:val="19"/>
    <w:qFormat/>
    <w:rPr>
      <w:i/>
      <w:iCs/>
      <w:color w:val="808080" w:themeColor="text1" w:themeTint="7F"/>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TOC1Char">
    <w:name w:val="TOC 1 Char"/>
    <w:basedOn w:val="DefaultParagraphFont"/>
    <w:link w:val="TOC1"/>
    <w:uiPriority w:val="39"/>
    <w:rPr>
      <w:rFonts w:ascii="Times New Roman" w:eastAsia="Times New Roman" w:hAnsi="Times New Roman" w:cs="Times New Roman"/>
      <w:sz w:val="24"/>
      <w:szCs w:val="20"/>
    </w:rPr>
  </w:style>
  <w:style w:type="character" w:customStyle="1" w:styleId="FooterCoverPageChar">
    <w:name w:val="Footer Cover Page Char"/>
    <w:basedOn w:val="TOC1Char"/>
    <w:link w:val="FooterCoverPage"/>
    <w:rPr>
      <w:rFonts w:ascii="Times New Roman" w:eastAsia="Times New Roman" w:hAnsi="Times New Roman" w:cs="Times New Roman"/>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TOC1Char"/>
    <w:link w:val="HeaderCoverPage"/>
    <w:rPr>
      <w:rFonts w:ascii="Times New Roman" w:eastAsia="Times New Roman" w:hAnsi="Times New Roman" w:cs="Times New Roman"/>
      <w:sz w:val="24"/>
      <w:szCs w:val="20"/>
    </w:rPr>
  </w:style>
  <w:style w:type="paragraph" w:styleId="BodyText3">
    <w:name w:val="Body Text 3"/>
    <w:basedOn w:val="Normal"/>
    <w:link w:val="BodyText3Char"/>
    <w:pPr>
      <w:spacing w:after="120"/>
    </w:pPr>
    <w:rPr>
      <w:rFonts w:ascii="Arial" w:hAnsi="Arial"/>
      <w:sz w:val="16"/>
    </w:rPr>
  </w:style>
  <w:style w:type="character" w:customStyle="1" w:styleId="BodyText3Char">
    <w:name w:val="Body Text 3 Char"/>
    <w:basedOn w:val="DefaultParagraphFont"/>
    <w:link w:val="BodyText3"/>
    <w:rPr>
      <w:rFonts w:ascii="Arial" w:eastAsia="Times New Roman" w:hAnsi="Arial" w:cs="Times New Roman"/>
      <w:sz w:val="16"/>
      <w:szCs w:val="20"/>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0"/>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customStyle="1" w:styleId="c08dispositif">
    <w:name w:val="c08dispositif"/>
    <w:basedOn w:val="Normal"/>
    <w:pPr>
      <w:spacing w:before="100" w:beforeAutospacing="1"/>
      <w:ind w:left="1134" w:hanging="567"/>
    </w:pPr>
    <w:rPr>
      <w:rFonts w:eastAsiaTheme="minorHAnsi"/>
      <w:b/>
      <w:bCs/>
      <w:szCs w:val="24"/>
      <w:lang w:eastAsia="en-GB"/>
    </w:rPr>
  </w:style>
  <w:style w:type="paragraph" w:customStyle="1" w:styleId="Contact">
    <w:name w:val="Contact"/>
    <w:basedOn w:val="Normal"/>
    <w:next w:val="Normal"/>
    <w:pPr>
      <w:spacing w:after="480"/>
      <w:ind w:left="567" w:hanging="567"/>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footnote reference" w:uiPriority="0" w:qFormat="1"/>
    <w:lsdException w:name="List Bullet"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40" w:line="240" w:lineRule="auto"/>
      <w:jc w:val="both"/>
    </w:pPr>
    <w:rPr>
      <w:rFonts w:ascii="Times New Roman" w:eastAsia="Times New Roman" w:hAnsi="Times New Roman" w:cs="Times New Roman"/>
      <w:sz w:val="24"/>
      <w:szCs w:val="20"/>
    </w:rPr>
  </w:style>
  <w:style w:type="paragraph" w:styleId="Heading1">
    <w:name w:val="heading 1"/>
    <w:basedOn w:val="MemberStateHeader"/>
    <w:next w:val="Subtitle"/>
    <w:link w:val="Heading1Char"/>
    <w:uiPriority w:val="9"/>
    <w:qFormat/>
    <w:pPr>
      <w:keepNext/>
      <w:keepLines/>
      <w:outlineLvl w:val="0"/>
    </w:pPr>
    <w:rPr>
      <w:rFonts w:eastAsiaTheme="majorEastAsia" w:cstheme="majorBidi"/>
      <w:bCs/>
      <w:color w:val="A6A6A6" w:themeColor="background1" w:themeShade="A6"/>
      <w:szCs w:val="28"/>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uiPriority w:val="99"/>
    <w:qFormat/>
    <w:pPr>
      <w:spacing w:after="0"/>
      <w:ind w:left="357" w:hanging="357"/>
    </w:pPr>
    <w:rPr>
      <w:rFonts w:ascii="Arial" w:hAnsi="Arial"/>
      <w:sz w:val="18"/>
    </w:rPr>
  </w:style>
  <w:style w:type="character" w:customStyle="1" w:styleId="FootnoteTextChar">
    <w:name w:val="Footnote Text Char"/>
    <w:aliases w:val="Footnote Char,Fußnote Char,Fotnotstext1 Char,fn Char,Footnote Text Char2 Char Char,Footnote Text Char Char Char1 Char,Footnote Text Char1 Char Char Char Char,Footnote Text Char2 Char Char Char Char Char,footnote te Char,f Char,Ch Char"/>
    <w:basedOn w:val="DefaultParagraphFont"/>
    <w:uiPriority w:val="99"/>
    <w:rPr>
      <w:rFonts w:ascii="Arial" w:eastAsia="Times New Roman" w:hAnsi="Arial" w:cs="Times New Roman"/>
      <w:sz w:val="18"/>
      <w:szCs w:val="20"/>
    </w:rPr>
  </w:style>
  <w:style w:type="character" w:styleId="FootnoteReference">
    <w:name w:val="footnote reference"/>
    <w:aliases w:val="Footnote number,Footnote symbol,fr,o,de nota al pie,Ref,Char,SUPERS,Voetnootmarkering,Char1,Nota,(NECG) Footnote Reference, Char, Char1,Ref Char,de nota al pie Char,Footnote number Char,Footnote symbol Char,note TESI Char,Nota Char,FR"/>
    <w:qFormat/>
    <w:rPr>
      <w:vertAlign w:val="superscript"/>
    </w:rPr>
  </w:style>
  <w:style w:type="paragraph" w:customStyle="1" w:styleId="Body">
    <w:name w:val="Body"/>
    <w:basedOn w:val="Normal"/>
    <w:link w:val="BodyChar"/>
    <w:qFormat/>
    <w:pPr>
      <w:spacing w:after="120"/>
      <w:ind w:firstLine="709"/>
    </w:pPr>
    <w:rPr>
      <w:rFonts w:ascii="Arial" w:hAnsi="Arial" w:cs="Arial"/>
      <w:sz w:val="20"/>
      <w:lang w:val="en-US"/>
    </w:rPr>
  </w:style>
  <w:style w:type="character" w:customStyle="1" w:styleId="BodyChar">
    <w:name w:val="Body Char"/>
    <w:link w:val="Body"/>
    <w:rPr>
      <w:rFonts w:ascii="Arial" w:eastAsia="Times New Roman" w:hAnsi="Arial" w:cs="Arial"/>
      <w:sz w:val="20"/>
      <w:szCs w:val="20"/>
      <w:lang w:val="en-US"/>
    </w:rPr>
  </w:style>
  <w:style w:type="paragraph" w:customStyle="1" w:styleId="kop2">
    <w:name w:val="kop 2"/>
    <w:basedOn w:val="Normal"/>
    <w:next w:val="Normal"/>
    <w:link w:val="kop2Char"/>
    <w:uiPriority w:val="1"/>
    <w:unhideWhenUsed/>
    <w:qFormat/>
    <w:pPr>
      <w:keepNext/>
      <w:keepLines/>
      <w:numPr>
        <w:numId w:val="1"/>
      </w:numPr>
      <w:spacing w:after="120"/>
      <w:outlineLvl w:val="1"/>
    </w:pPr>
    <w:rPr>
      <w:rFonts w:ascii="Arial" w:eastAsia="MS Gothic" w:hAnsi="Arial" w:cs="Arial"/>
      <w:caps/>
      <w:color w:val="4F81BD"/>
      <w:kern w:val="20"/>
      <w:szCs w:val="24"/>
    </w:rPr>
  </w:style>
  <w:style w:type="paragraph" w:customStyle="1" w:styleId="kop3">
    <w:name w:val="kop 3"/>
    <w:basedOn w:val="Subtitle"/>
    <w:next w:val="Normal"/>
    <w:link w:val="kop3Char"/>
    <w:autoRedefine/>
    <w:uiPriority w:val="1"/>
    <w:unhideWhenUsed/>
    <w:qFormat/>
  </w:style>
  <w:style w:type="character" w:customStyle="1" w:styleId="kop2Char">
    <w:name w:val="kop 2 Char"/>
    <w:link w:val="kop2"/>
    <w:uiPriority w:val="1"/>
    <w:rPr>
      <w:rFonts w:ascii="Arial" w:eastAsia="MS Gothic" w:hAnsi="Arial" w:cs="Arial"/>
      <w:caps/>
      <w:color w:val="4F81BD"/>
      <w:kern w:val="20"/>
      <w:sz w:val="24"/>
      <w:szCs w:val="24"/>
    </w:rPr>
  </w:style>
  <w:style w:type="character" w:customStyle="1" w:styleId="kop3Char">
    <w:name w:val="kop 3 Char"/>
    <w:link w:val="kop3"/>
    <w:uiPriority w:val="1"/>
    <w:rPr>
      <w:rFonts w:ascii="Arial" w:eastAsia="Times New Roman" w:hAnsi="Arial" w:cs="Times New Roman"/>
      <w:color w:val="002060"/>
    </w:rPr>
  </w:style>
  <w:style w:type="paragraph" w:customStyle="1" w:styleId="Lijstje">
    <w:name w:val="Lijstje"/>
    <w:basedOn w:val="NoSpacing"/>
    <w:uiPriority w:val="1"/>
    <w:unhideWhenUsed/>
    <w:qFormat/>
    <w:locked/>
    <w:pPr>
      <w:numPr>
        <w:numId w:val="100"/>
      </w:numPr>
      <w:spacing w:after="120"/>
    </w:pPr>
    <w:rPr>
      <w:rFonts w:ascii="Verdana" w:eastAsia="Calibri" w:hAnsi="Verdana"/>
      <w:kern w:val="20"/>
      <w:sz w:val="20"/>
      <w:lang w:val="en-US"/>
    </w:rPr>
  </w:style>
  <w:style w:type="paragraph" w:customStyle="1" w:styleId="Lijstje2">
    <w:name w:val="Lijstje2"/>
    <w:basedOn w:val="ListParagraph"/>
    <w:uiPriority w:val="1"/>
    <w:unhideWhenUsed/>
    <w:qFormat/>
    <w:locked/>
    <w:pPr>
      <w:numPr>
        <w:numId w:val="4"/>
      </w:numPr>
      <w:spacing w:after="120"/>
      <w:ind w:left="1080"/>
    </w:pPr>
    <w:rPr>
      <w:rFonts w:ascii="Verdana" w:eastAsia="Calibri" w:hAnsi="Verdana"/>
      <w:kern w:val="20"/>
      <w:sz w:val="20"/>
      <w:lang w:val="nl-NL"/>
    </w:rPr>
  </w:style>
  <w:style w:type="paragraph" w:customStyle="1" w:styleId="MemberStateHeader">
    <w:name w:val="Member State Header"/>
    <w:basedOn w:val="Normal"/>
    <w:link w:val="MemberStateHeaderChar"/>
    <w:qFormat/>
    <w:pPr>
      <w:jc w:val="center"/>
    </w:pPr>
    <w:rPr>
      <w:rFonts w:ascii="Arial" w:hAnsi="Arial"/>
      <w:color w:val="BFBFBF" w:themeColor="background1" w:themeShade="BF"/>
      <w:szCs w:val="24"/>
    </w:rPr>
  </w:style>
  <w:style w:type="character" w:customStyle="1" w:styleId="MemberStateHeaderChar">
    <w:name w:val="Member State Header Char"/>
    <w:link w:val="MemberStateHeader"/>
    <w:rPr>
      <w:rFonts w:ascii="Arial" w:eastAsia="Times New Roman" w:hAnsi="Arial" w:cs="Times New Roman"/>
      <w:color w:val="BFBFBF" w:themeColor="background1" w:themeShade="BF"/>
      <w:sz w:val="24"/>
      <w:szCs w:val="24"/>
    </w:rPr>
  </w:style>
  <w:style w:type="paragraph" w:styleId="NoSpacing">
    <w:name w:val="No Spacing"/>
    <w:uiPriority w:val="1"/>
    <w:qFormat/>
    <w:pPr>
      <w:spacing w:after="0" w:line="240" w:lineRule="auto"/>
      <w:jc w:val="both"/>
    </w:pPr>
    <w:rPr>
      <w:rFonts w:ascii="Times New Roman" w:eastAsia="Times New Roman" w:hAnsi="Times New Roman" w:cs="Times New Roman"/>
      <w:sz w:val="24"/>
      <w:szCs w:val="20"/>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Footer">
    <w:name w:val="footer"/>
    <w:basedOn w:val="Normal"/>
    <w:link w:val="FooterChar"/>
    <w:unhideWhenUsed/>
    <w:pPr>
      <w:tabs>
        <w:tab w:val="center" w:pos="4536"/>
        <w:tab w:val="right" w:pos="9072"/>
      </w:tabs>
      <w:spacing w:after="0"/>
    </w:pPr>
  </w:style>
  <w:style w:type="character" w:customStyle="1" w:styleId="FooterChar">
    <w:name w:val="Footer Char"/>
    <w:basedOn w:val="DefaultParagraphFont"/>
    <w:link w:val="Footer"/>
    <w:rPr>
      <w:rFonts w:ascii="Times New Roman" w:eastAsia="Times New Roman" w:hAnsi="Times New Roman" w:cs="Times New Roman"/>
      <w:sz w:val="24"/>
      <w:szCs w:val="20"/>
    </w:rPr>
  </w:style>
  <w:style w:type="paragraph" w:customStyle="1" w:styleId="Priorities">
    <w:name w:val="Priorities"/>
    <w:basedOn w:val="Normal"/>
    <w:link w:val="PrioritiesChar"/>
    <w:qFormat/>
    <w:pPr>
      <w:spacing w:after="200" w:line="276" w:lineRule="auto"/>
      <w:jc w:val="center"/>
    </w:pPr>
    <w:rPr>
      <w:rFonts w:ascii="Arial" w:eastAsiaTheme="minorHAnsi" w:hAnsi="Arial" w:cs="Arial"/>
      <w:b/>
      <w:color w:val="163E71"/>
      <w:sz w:val="28"/>
      <w:szCs w:val="28"/>
    </w:rPr>
  </w:style>
  <w:style w:type="character" w:customStyle="1" w:styleId="PrioritiesChar">
    <w:name w:val="Priorities Char"/>
    <w:basedOn w:val="DefaultParagraphFont"/>
    <w:link w:val="Priorities"/>
    <w:rPr>
      <w:rFonts w:ascii="Arial" w:hAnsi="Arial" w:cs="Arial"/>
      <w:b/>
      <w:color w:val="163E71"/>
      <w:sz w:val="28"/>
      <w:szCs w:val="28"/>
    </w:rPr>
  </w:style>
  <w:style w:type="paragraph" w:styleId="Subtitle">
    <w:name w:val="Subtitle"/>
    <w:basedOn w:val="Normal"/>
    <w:link w:val="SubtitleChar"/>
    <w:autoRedefine/>
    <w:qFormat/>
    <w:pPr>
      <w:numPr>
        <w:numId w:val="3"/>
      </w:numPr>
      <w:spacing w:before="120" w:after="120"/>
      <w:jc w:val="left"/>
      <w:outlineLvl w:val="1"/>
    </w:pPr>
    <w:rPr>
      <w:rFonts w:ascii="Arial" w:hAnsi="Arial"/>
      <w:color w:val="002060"/>
      <w:sz w:val="22"/>
      <w:szCs w:val="22"/>
    </w:rPr>
  </w:style>
  <w:style w:type="character" w:customStyle="1" w:styleId="SubtitleChar">
    <w:name w:val="Subtitle Char"/>
    <w:basedOn w:val="DefaultParagraphFont"/>
    <w:link w:val="Subtitle"/>
    <w:rPr>
      <w:rFonts w:ascii="Arial" w:eastAsia="Times New Roman" w:hAnsi="Arial" w:cs="Times New Roman"/>
      <w:color w:val="002060"/>
    </w:r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character" w:customStyle="1" w:styleId="affairetitle">
    <w:name w:val="affaire_title"/>
    <w:basedOn w:val="DefaultParagraphFont"/>
  </w:style>
  <w:style w:type="character" w:styleId="Hyperlink">
    <w:name w:val="Hyperlink"/>
    <w:basedOn w:val="DefaultParagraphFont"/>
    <w:uiPriority w:val="99"/>
    <w:unhideWhenUsed/>
    <w:rPr>
      <w:color w:val="0000FF" w:themeColor="hyperlink"/>
      <w:u w:val="single"/>
    </w:rPr>
  </w:style>
  <w:style w:type="table" w:customStyle="1" w:styleId="Style11">
    <w:name w:val="Style11"/>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
    <w:name w:val="Style12"/>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3">
    <w:name w:val="Style13"/>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4">
    <w:name w:val="Style14"/>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5">
    <w:name w:val="Style15"/>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6">
    <w:name w:val="Style16"/>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7">
    <w:name w:val="Style17"/>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8">
    <w:name w:val="Style18"/>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9">
    <w:name w:val="Style19"/>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0">
    <w:name w:val="Style110"/>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1">
    <w:name w:val="Style111"/>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table" w:customStyle="1" w:styleId="Style112">
    <w:name w:val="Style112"/>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3">
    <w:name w:val="Style113"/>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4">
    <w:name w:val="Style114"/>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5">
    <w:name w:val="Style115"/>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6">
    <w:name w:val="Style116"/>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7">
    <w:name w:val="Style117"/>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8">
    <w:name w:val="Style118"/>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9">
    <w:name w:val="Style119"/>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0">
    <w:name w:val="Style120"/>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1">
    <w:name w:val="Style121"/>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2">
    <w:name w:val="Style122"/>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3">
    <w:name w:val="Style123"/>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4">
    <w:name w:val="Style124"/>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5">
    <w:name w:val="Style125"/>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6">
    <w:name w:val="Style126"/>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7">
    <w:name w:val="Style127"/>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Arial" w:eastAsiaTheme="majorEastAsia" w:hAnsi="Arial" w:cstheme="majorBidi"/>
      <w:bCs/>
      <w:color w:val="A6A6A6" w:themeColor="background1" w:themeShade="A6"/>
      <w:sz w:val="24"/>
      <w:szCs w:val="28"/>
    </w:rPr>
  </w:style>
  <w:style w:type="paragraph" w:styleId="TOC8">
    <w:name w:val="toc 8"/>
    <w:basedOn w:val="Normal"/>
    <w:next w:val="Normal"/>
    <w:autoRedefine/>
    <w:uiPriority w:val="39"/>
    <w:semiHidden/>
    <w:unhideWhenUsed/>
    <w:pPr>
      <w:spacing w:after="100"/>
      <w:ind w:left="1680"/>
    </w:pPr>
  </w:style>
  <w:style w:type="paragraph" w:styleId="TOC1">
    <w:name w:val="toc 1"/>
    <w:basedOn w:val="Normal"/>
    <w:next w:val="Normal"/>
    <w:link w:val="TOC1Char"/>
    <w:autoRedefine/>
    <w:uiPriority w:val="39"/>
    <w:unhideWhenUsed/>
    <w:pPr>
      <w:spacing w:after="100"/>
    </w:p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c01pointnumerotealtn">
    <w:name w:val="c01pointnumerotealtn"/>
    <w:basedOn w:val="Normal"/>
    <w:pPr>
      <w:spacing w:before="100" w:beforeAutospacing="1"/>
      <w:ind w:left="567" w:hanging="539"/>
    </w:pPr>
    <w:rPr>
      <w:szCs w:val="24"/>
      <w:lang w:eastAsia="en-GB"/>
    </w:rPr>
  </w:style>
  <w:style w:type="character" w:customStyle="1" w:styleId="at25">
    <w:name w:val="a__t25"/>
    <w:basedOn w:val="DefaultParagraphFont"/>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NormalWeb">
    <w:name w:val="Normal (Web)"/>
    <w:basedOn w:val="Normal"/>
    <w:uiPriority w:val="99"/>
    <w:unhideWhenUsed/>
    <w:rPr>
      <w:szCs w:val="24"/>
    </w:rPr>
  </w:style>
  <w:style w:type="paragraph" w:customStyle="1" w:styleId="Lijstje3">
    <w:name w:val="Lijstje 3"/>
    <w:basedOn w:val="Lijstje2"/>
    <w:uiPriority w:val="1"/>
    <w:unhideWhenUsed/>
    <w:locked/>
    <w:pPr>
      <w:numPr>
        <w:numId w:val="0"/>
      </w:numPr>
      <w:tabs>
        <w:tab w:val="num" w:pos="765"/>
      </w:tabs>
      <w:spacing w:after="200"/>
      <w:ind w:left="1069" w:hanging="283"/>
    </w:pPr>
  </w:style>
  <w:style w:type="character" w:customStyle="1" w:styleId="st">
    <w:name w:val="st"/>
    <w:basedOn w:val="DefaultParagraphFont"/>
  </w:style>
  <w:style w:type="character" w:customStyle="1" w:styleId="prdnormal">
    <w:name w:val="prdnormal"/>
    <w:basedOn w:val="DefaultParagraphFont"/>
  </w:style>
  <w:style w:type="character" w:styleId="Emphasis">
    <w:name w:val="Emphasis"/>
    <w:basedOn w:val="DefaultParagraphFont"/>
    <w:uiPriority w:val="20"/>
    <w:qFormat/>
    <w:rPr>
      <w:i/>
      <w:iCs/>
    </w:rPr>
  </w:style>
  <w:style w:type="paragraph" w:styleId="ListBullet">
    <w:name w:val="List Bullet"/>
    <w:basedOn w:val="Normal"/>
    <w:pPr>
      <w:numPr>
        <w:numId w:val="22"/>
      </w:numPr>
    </w:pPr>
    <w:rPr>
      <w:rFonts w:ascii="Arial" w:hAnsi="Arial"/>
      <w:sz w:val="22"/>
    </w:rPr>
  </w:style>
  <w:style w:type="paragraph" w:styleId="Signature">
    <w:name w:val="Signature"/>
    <w:basedOn w:val="Normal"/>
    <w:link w:val="SignatureChar"/>
    <w:uiPriority w:val="99"/>
    <w:semiHidden/>
    <w:unhideWhenUsed/>
    <w:pPr>
      <w:spacing w:after="0"/>
      <w:ind w:left="4252"/>
    </w:pPr>
  </w:style>
  <w:style w:type="character" w:customStyle="1" w:styleId="SignatureChar">
    <w:name w:val="Signature Char"/>
    <w:basedOn w:val="DefaultParagraphFont"/>
    <w:link w:val="Signature"/>
    <w:uiPriority w:val="99"/>
    <w:semiHidden/>
    <w:rPr>
      <w:rFonts w:ascii="Times New Roman" w:eastAsia="Times New Roman" w:hAnsi="Times New Roman" w:cs="Times New Roman"/>
      <w:sz w:val="24"/>
      <w:szCs w:val="20"/>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character" w:customStyle="1" w:styleId="f1">
    <w:name w:val="f1"/>
    <w:basedOn w:val="DefaultParagraphFont"/>
    <w:rPr>
      <w:color w:val="666666"/>
    </w:rPr>
  </w:style>
  <w:style w:type="character" w:customStyle="1" w:styleId="st1">
    <w:name w:val="st1"/>
    <w:basedOn w:val="DefaultParagraphFont"/>
  </w:style>
  <w:style w:type="character" w:styleId="Strong">
    <w:name w:val="Strong"/>
    <w:basedOn w:val="DefaultParagraphFont"/>
    <w:uiPriority w:val="22"/>
    <w:qFormat/>
    <w:rPr>
      <w:b/>
      <w:bCs/>
    </w:rPr>
  </w:style>
  <w:style w:type="character" w:styleId="SubtleEmphasis">
    <w:name w:val="Subtle Emphasis"/>
    <w:basedOn w:val="DefaultParagraphFont"/>
    <w:uiPriority w:val="19"/>
    <w:qFormat/>
    <w:rPr>
      <w:i/>
      <w:iCs/>
      <w:color w:val="808080" w:themeColor="text1" w:themeTint="7F"/>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TOC1Char">
    <w:name w:val="TOC 1 Char"/>
    <w:basedOn w:val="DefaultParagraphFont"/>
    <w:link w:val="TOC1"/>
    <w:uiPriority w:val="39"/>
    <w:rPr>
      <w:rFonts w:ascii="Times New Roman" w:eastAsia="Times New Roman" w:hAnsi="Times New Roman" w:cs="Times New Roman"/>
      <w:sz w:val="24"/>
      <w:szCs w:val="20"/>
    </w:rPr>
  </w:style>
  <w:style w:type="character" w:customStyle="1" w:styleId="FooterCoverPageChar">
    <w:name w:val="Footer Cover Page Char"/>
    <w:basedOn w:val="TOC1Char"/>
    <w:link w:val="FooterCoverPage"/>
    <w:rPr>
      <w:rFonts w:ascii="Times New Roman" w:eastAsia="Times New Roman" w:hAnsi="Times New Roman" w:cs="Times New Roman"/>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TOC1Char"/>
    <w:link w:val="HeaderCoverPage"/>
    <w:rPr>
      <w:rFonts w:ascii="Times New Roman" w:eastAsia="Times New Roman" w:hAnsi="Times New Roman" w:cs="Times New Roman"/>
      <w:sz w:val="24"/>
      <w:szCs w:val="20"/>
    </w:rPr>
  </w:style>
  <w:style w:type="paragraph" w:styleId="BodyText3">
    <w:name w:val="Body Text 3"/>
    <w:basedOn w:val="Normal"/>
    <w:link w:val="BodyText3Char"/>
    <w:pPr>
      <w:spacing w:after="120"/>
    </w:pPr>
    <w:rPr>
      <w:rFonts w:ascii="Arial" w:hAnsi="Arial"/>
      <w:sz w:val="16"/>
    </w:rPr>
  </w:style>
  <w:style w:type="character" w:customStyle="1" w:styleId="BodyText3Char">
    <w:name w:val="Body Text 3 Char"/>
    <w:basedOn w:val="DefaultParagraphFont"/>
    <w:link w:val="BodyText3"/>
    <w:rPr>
      <w:rFonts w:ascii="Arial" w:eastAsia="Times New Roman" w:hAnsi="Arial" w:cs="Times New Roman"/>
      <w:sz w:val="16"/>
      <w:szCs w:val="20"/>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0"/>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customStyle="1" w:styleId="c08dispositif">
    <w:name w:val="c08dispositif"/>
    <w:basedOn w:val="Normal"/>
    <w:pPr>
      <w:spacing w:before="100" w:beforeAutospacing="1"/>
      <w:ind w:left="1134" w:hanging="567"/>
    </w:pPr>
    <w:rPr>
      <w:rFonts w:eastAsiaTheme="minorHAnsi"/>
      <w:b/>
      <w:bCs/>
      <w:szCs w:val="24"/>
      <w:lang w:eastAsia="en-GB"/>
    </w:rPr>
  </w:style>
  <w:style w:type="paragraph" w:customStyle="1" w:styleId="Contact">
    <w:name w:val="Contact"/>
    <w:basedOn w:val="Normal"/>
    <w:next w:val="Normal"/>
    <w:pPr>
      <w:spacing w:after="480"/>
      <w:ind w:left="567" w:hanging="567"/>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9627">
      <w:bodyDiv w:val="1"/>
      <w:marLeft w:val="0"/>
      <w:marRight w:val="0"/>
      <w:marTop w:val="0"/>
      <w:marBottom w:val="0"/>
      <w:divBdr>
        <w:top w:val="none" w:sz="0" w:space="0" w:color="auto"/>
        <w:left w:val="none" w:sz="0" w:space="0" w:color="auto"/>
        <w:bottom w:val="none" w:sz="0" w:space="0" w:color="auto"/>
        <w:right w:val="none" w:sz="0" w:space="0" w:color="auto"/>
      </w:divBdr>
    </w:div>
    <w:div w:id="47269707">
      <w:bodyDiv w:val="1"/>
      <w:marLeft w:val="0"/>
      <w:marRight w:val="0"/>
      <w:marTop w:val="0"/>
      <w:marBottom w:val="0"/>
      <w:divBdr>
        <w:top w:val="none" w:sz="0" w:space="0" w:color="auto"/>
        <w:left w:val="none" w:sz="0" w:space="0" w:color="auto"/>
        <w:bottom w:val="none" w:sz="0" w:space="0" w:color="auto"/>
        <w:right w:val="none" w:sz="0" w:space="0" w:color="auto"/>
      </w:divBdr>
    </w:div>
    <w:div w:id="69667509">
      <w:bodyDiv w:val="1"/>
      <w:marLeft w:val="0"/>
      <w:marRight w:val="0"/>
      <w:marTop w:val="0"/>
      <w:marBottom w:val="0"/>
      <w:divBdr>
        <w:top w:val="none" w:sz="0" w:space="0" w:color="auto"/>
        <w:left w:val="none" w:sz="0" w:space="0" w:color="auto"/>
        <w:bottom w:val="none" w:sz="0" w:space="0" w:color="auto"/>
        <w:right w:val="none" w:sz="0" w:space="0" w:color="auto"/>
      </w:divBdr>
    </w:div>
    <w:div w:id="88742016">
      <w:bodyDiv w:val="1"/>
      <w:marLeft w:val="0"/>
      <w:marRight w:val="0"/>
      <w:marTop w:val="0"/>
      <w:marBottom w:val="0"/>
      <w:divBdr>
        <w:top w:val="none" w:sz="0" w:space="0" w:color="auto"/>
        <w:left w:val="none" w:sz="0" w:space="0" w:color="auto"/>
        <w:bottom w:val="none" w:sz="0" w:space="0" w:color="auto"/>
        <w:right w:val="none" w:sz="0" w:space="0" w:color="auto"/>
      </w:divBdr>
    </w:div>
    <w:div w:id="113908812">
      <w:bodyDiv w:val="1"/>
      <w:marLeft w:val="0"/>
      <w:marRight w:val="0"/>
      <w:marTop w:val="0"/>
      <w:marBottom w:val="0"/>
      <w:divBdr>
        <w:top w:val="none" w:sz="0" w:space="0" w:color="auto"/>
        <w:left w:val="none" w:sz="0" w:space="0" w:color="auto"/>
        <w:bottom w:val="none" w:sz="0" w:space="0" w:color="auto"/>
        <w:right w:val="none" w:sz="0" w:space="0" w:color="auto"/>
      </w:divBdr>
    </w:div>
    <w:div w:id="161971653">
      <w:bodyDiv w:val="1"/>
      <w:marLeft w:val="0"/>
      <w:marRight w:val="0"/>
      <w:marTop w:val="0"/>
      <w:marBottom w:val="0"/>
      <w:divBdr>
        <w:top w:val="none" w:sz="0" w:space="0" w:color="auto"/>
        <w:left w:val="none" w:sz="0" w:space="0" w:color="auto"/>
        <w:bottom w:val="none" w:sz="0" w:space="0" w:color="auto"/>
        <w:right w:val="none" w:sz="0" w:space="0" w:color="auto"/>
      </w:divBdr>
    </w:div>
    <w:div w:id="163594572">
      <w:bodyDiv w:val="1"/>
      <w:marLeft w:val="0"/>
      <w:marRight w:val="0"/>
      <w:marTop w:val="0"/>
      <w:marBottom w:val="0"/>
      <w:divBdr>
        <w:top w:val="none" w:sz="0" w:space="0" w:color="auto"/>
        <w:left w:val="none" w:sz="0" w:space="0" w:color="auto"/>
        <w:bottom w:val="none" w:sz="0" w:space="0" w:color="auto"/>
        <w:right w:val="none" w:sz="0" w:space="0" w:color="auto"/>
      </w:divBdr>
    </w:div>
    <w:div w:id="164444687">
      <w:bodyDiv w:val="1"/>
      <w:marLeft w:val="0"/>
      <w:marRight w:val="0"/>
      <w:marTop w:val="0"/>
      <w:marBottom w:val="0"/>
      <w:divBdr>
        <w:top w:val="none" w:sz="0" w:space="0" w:color="auto"/>
        <w:left w:val="none" w:sz="0" w:space="0" w:color="auto"/>
        <w:bottom w:val="none" w:sz="0" w:space="0" w:color="auto"/>
        <w:right w:val="none" w:sz="0" w:space="0" w:color="auto"/>
      </w:divBdr>
    </w:div>
    <w:div w:id="184952051">
      <w:bodyDiv w:val="1"/>
      <w:marLeft w:val="0"/>
      <w:marRight w:val="0"/>
      <w:marTop w:val="0"/>
      <w:marBottom w:val="0"/>
      <w:divBdr>
        <w:top w:val="none" w:sz="0" w:space="0" w:color="auto"/>
        <w:left w:val="none" w:sz="0" w:space="0" w:color="auto"/>
        <w:bottom w:val="none" w:sz="0" w:space="0" w:color="auto"/>
        <w:right w:val="none" w:sz="0" w:space="0" w:color="auto"/>
      </w:divBdr>
    </w:div>
    <w:div w:id="200363207">
      <w:bodyDiv w:val="1"/>
      <w:marLeft w:val="0"/>
      <w:marRight w:val="0"/>
      <w:marTop w:val="0"/>
      <w:marBottom w:val="0"/>
      <w:divBdr>
        <w:top w:val="none" w:sz="0" w:space="0" w:color="auto"/>
        <w:left w:val="none" w:sz="0" w:space="0" w:color="auto"/>
        <w:bottom w:val="none" w:sz="0" w:space="0" w:color="auto"/>
        <w:right w:val="none" w:sz="0" w:space="0" w:color="auto"/>
      </w:divBdr>
    </w:div>
    <w:div w:id="206990373">
      <w:bodyDiv w:val="1"/>
      <w:marLeft w:val="0"/>
      <w:marRight w:val="0"/>
      <w:marTop w:val="0"/>
      <w:marBottom w:val="0"/>
      <w:divBdr>
        <w:top w:val="none" w:sz="0" w:space="0" w:color="auto"/>
        <w:left w:val="none" w:sz="0" w:space="0" w:color="auto"/>
        <w:bottom w:val="none" w:sz="0" w:space="0" w:color="auto"/>
        <w:right w:val="none" w:sz="0" w:space="0" w:color="auto"/>
      </w:divBdr>
    </w:div>
    <w:div w:id="228544657">
      <w:bodyDiv w:val="1"/>
      <w:marLeft w:val="0"/>
      <w:marRight w:val="0"/>
      <w:marTop w:val="0"/>
      <w:marBottom w:val="0"/>
      <w:divBdr>
        <w:top w:val="none" w:sz="0" w:space="0" w:color="auto"/>
        <w:left w:val="none" w:sz="0" w:space="0" w:color="auto"/>
        <w:bottom w:val="none" w:sz="0" w:space="0" w:color="auto"/>
        <w:right w:val="none" w:sz="0" w:space="0" w:color="auto"/>
      </w:divBdr>
    </w:div>
    <w:div w:id="234777100">
      <w:bodyDiv w:val="1"/>
      <w:marLeft w:val="0"/>
      <w:marRight w:val="0"/>
      <w:marTop w:val="0"/>
      <w:marBottom w:val="0"/>
      <w:divBdr>
        <w:top w:val="none" w:sz="0" w:space="0" w:color="auto"/>
        <w:left w:val="none" w:sz="0" w:space="0" w:color="auto"/>
        <w:bottom w:val="none" w:sz="0" w:space="0" w:color="auto"/>
        <w:right w:val="none" w:sz="0" w:space="0" w:color="auto"/>
      </w:divBdr>
    </w:div>
    <w:div w:id="237784682">
      <w:bodyDiv w:val="1"/>
      <w:marLeft w:val="0"/>
      <w:marRight w:val="0"/>
      <w:marTop w:val="0"/>
      <w:marBottom w:val="0"/>
      <w:divBdr>
        <w:top w:val="none" w:sz="0" w:space="0" w:color="auto"/>
        <w:left w:val="none" w:sz="0" w:space="0" w:color="auto"/>
        <w:bottom w:val="none" w:sz="0" w:space="0" w:color="auto"/>
        <w:right w:val="none" w:sz="0" w:space="0" w:color="auto"/>
      </w:divBdr>
    </w:div>
    <w:div w:id="264927036">
      <w:bodyDiv w:val="1"/>
      <w:marLeft w:val="0"/>
      <w:marRight w:val="0"/>
      <w:marTop w:val="0"/>
      <w:marBottom w:val="0"/>
      <w:divBdr>
        <w:top w:val="none" w:sz="0" w:space="0" w:color="auto"/>
        <w:left w:val="none" w:sz="0" w:space="0" w:color="auto"/>
        <w:bottom w:val="none" w:sz="0" w:space="0" w:color="auto"/>
        <w:right w:val="none" w:sz="0" w:space="0" w:color="auto"/>
      </w:divBdr>
    </w:div>
    <w:div w:id="273756425">
      <w:bodyDiv w:val="1"/>
      <w:marLeft w:val="0"/>
      <w:marRight w:val="0"/>
      <w:marTop w:val="0"/>
      <w:marBottom w:val="0"/>
      <w:divBdr>
        <w:top w:val="none" w:sz="0" w:space="0" w:color="auto"/>
        <w:left w:val="none" w:sz="0" w:space="0" w:color="auto"/>
        <w:bottom w:val="none" w:sz="0" w:space="0" w:color="auto"/>
        <w:right w:val="none" w:sz="0" w:space="0" w:color="auto"/>
      </w:divBdr>
    </w:div>
    <w:div w:id="310133436">
      <w:bodyDiv w:val="1"/>
      <w:marLeft w:val="0"/>
      <w:marRight w:val="0"/>
      <w:marTop w:val="0"/>
      <w:marBottom w:val="0"/>
      <w:divBdr>
        <w:top w:val="none" w:sz="0" w:space="0" w:color="auto"/>
        <w:left w:val="none" w:sz="0" w:space="0" w:color="auto"/>
        <w:bottom w:val="none" w:sz="0" w:space="0" w:color="auto"/>
        <w:right w:val="none" w:sz="0" w:space="0" w:color="auto"/>
      </w:divBdr>
    </w:div>
    <w:div w:id="328026044">
      <w:bodyDiv w:val="1"/>
      <w:marLeft w:val="0"/>
      <w:marRight w:val="0"/>
      <w:marTop w:val="0"/>
      <w:marBottom w:val="0"/>
      <w:divBdr>
        <w:top w:val="none" w:sz="0" w:space="0" w:color="auto"/>
        <w:left w:val="none" w:sz="0" w:space="0" w:color="auto"/>
        <w:bottom w:val="none" w:sz="0" w:space="0" w:color="auto"/>
        <w:right w:val="none" w:sz="0" w:space="0" w:color="auto"/>
      </w:divBdr>
    </w:div>
    <w:div w:id="328605550">
      <w:bodyDiv w:val="1"/>
      <w:marLeft w:val="0"/>
      <w:marRight w:val="0"/>
      <w:marTop w:val="0"/>
      <w:marBottom w:val="0"/>
      <w:divBdr>
        <w:top w:val="none" w:sz="0" w:space="0" w:color="auto"/>
        <w:left w:val="none" w:sz="0" w:space="0" w:color="auto"/>
        <w:bottom w:val="none" w:sz="0" w:space="0" w:color="auto"/>
        <w:right w:val="none" w:sz="0" w:space="0" w:color="auto"/>
      </w:divBdr>
    </w:div>
    <w:div w:id="341393613">
      <w:bodyDiv w:val="1"/>
      <w:marLeft w:val="0"/>
      <w:marRight w:val="0"/>
      <w:marTop w:val="0"/>
      <w:marBottom w:val="0"/>
      <w:divBdr>
        <w:top w:val="none" w:sz="0" w:space="0" w:color="auto"/>
        <w:left w:val="none" w:sz="0" w:space="0" w:color="auto"/>
        <w:bottom w:val="none" w:sz="0" w:space="0" w:color="auto"/>
        <w:right w:val="none" w:sz="0" w:space="0" w:color="auto"/>
      </w:divBdr>
    </w:div>
    <w:div w:id="355620763">
      <w:bodyDiv w:val="1"/>
      <w:marLeft w:val="0"/>
      <w:marRight w:val="0"/>
      <w:marTop w:val="0"/>
      <w:marBottom w:val="0"/>
      <w:divBdr>
        <w:top w:val="none" w:sz="0" w:space="0" w:color="auto"/>
        <w:left w:val="none" w:sz="0" w:space="0" w:color="auto"/>
        <w:bottom w:val="none" w:sz="0" w:space="0" w:color="auto"/>
        <w:right w:val="none" w:sz="0" w:space="0" w:color="auto"/>
      </w:divBdr>
    </w:div>
    <w:div w:id="419958377">
      <w:bodyDiv w:val="1"/>
      <w:marLeft w:val="0"/>
      <w:marRight w:val="0"/>
      <w:marTop w:val="0"/>
      <w:marBottom w:val="0"/>
      <w:divBdr>
        <w:top w:val="none" w:sz="0" w:space="0" w:color="auto"/>
        <w:left w:val="none" w:sz="0" w:space="0" w:color="auto"/>
        <w:bottom w:val="none" w:sz="0" w:space="0" w:color="auto"/>
        <w:right w:val="none" w:sz="0" w:space="0" w:color="auto"/>
      </w:divBdr>
    </w:div>
    <w:div w:id="463699528">
      <w:bodyDiv w:val="1"/>
      <w:marLeft w:val="0"/>
      <w:marRight w:val="0"/>
      <w:marTop w:val="0"/>
      <w:marBottom w:val="0"/>
      <w:divBdr>
        <w:top w:val="none" w:sz="0" w:space="0" w:color="auto"/>
        <w:left w:val="none" w:sz="0" w:space="0" w:color="auto"/>
        <w:bottom w:val="none" w:sz="0" w:space="0" w:color="auto"/>
        <w:right w:val="none" w:sz="0" w:space="0" w:color="auto"/>
      </w:divBdr>
    </w:div>
    <w:div w:id="494304660">
      <w:bodyDiv w:val="1"/>
      <w:marLeft w:val="0"/>
      <w:marRight w:val="0"/>
      <w:marTop w:val="0"/>
      <w:marBottom w:val="0"/>
      <w:divBdr>
        <w:top w:val="none" w:sz="0" w:space="0" w:color="auto"/>
        <w:left w:val="none" w:sz="0" w:space="0" w:color="auto"/>
        <w:bottom w:val="none" w:sz="0" w:space="0" w:color="auto"/>
        <w:right w:val="none" w:sz="0" w:space="0" w:color="auto"/>
      </w:divBdr>
    </w:div>
    <w:div w:id="499347134">
      <w:bodyDiv w:val="1"/>
      <w:marLeft w:val="0"/>
      <w:marRight w:val="0"/>
      <w:marTop w:val="0"/>
      <w:marBottom w:val="0"/>
      <w:divBdr>
        <w:top w:val="none" w:sz="0" w:space="0" w:color="auto"/>
        <w:left w:val="none" w:sz="0" w:space="0" w:color="auto"/>
        <w:bottom w:val="none" w:sz="0" w:space="0" w:color="auto"/>
        <w:right w:val="none" w:sz="0" w:space="0" w:color="auto"/>
      </w:divBdr>
    </w:div>
    <w:div w:id="510291882">
      <w:bodyDiv w:val="1"/>
      <w:marLeft w:val="0"/>
      <w:marRight w:val="0"/>
      <w:marTop w:val="0"/>
      <w:marBottom w:val="0"/>
      <w:divBdr>
        <w:top w:val="none" w:sz="0" w:space="0" w:color="auto"/>
        <w:left w:val="none" w:sz="0" w:space="0" w:color="auto"/>
        <w:bottom w:val="none" w:sz="0" w:space="0" w:color="auto"/>
        <w:right w:val="none" w:sz="0" w:space="0" w:color="auto"/>
      </w:divBdr>
    </w:div>
    <w:div w:id="510342454">
      <w:bodyDiv w:val="1"/>
      <w:marLeft w:val="0"/>
      <w:marRight w:val="0"/>
      <w:marTop w:val="0"/>
      <w:marBottom w:val="0"/>
      <w:divBdr>
        <w:top w:val="none" w:sz="0" w:space="0" w:color="auto"/>
        <w:left w:val="none" w:sz="0" w:space="0" w:color="auto"/>
        <w:bottom w:val="none" w:sz="0" w:space="0" w:color="auto"/>
        <w:right w:val="none" w:sz="0" w:space="0" w:color="auto"/>
      </w:divBdr>
      <w:divsChild>
        <w:div w:id="1498425888">
          <w:marLeft w:val="0"/>
          <w:marRight w:val="0"/>
          <w:marTop w:val="0"/>
          <w:marBottom w:val="0"/>
          <w:divBdr>
            <w:top w:val="none" w:sz="0" w:space="0" w:color="auto"/>
            <w:left w:val="none" w:sz="0" w:space="0" w:color="auto"/>
            <w:bottom w:val="none" w:sz="0" w:space="0" w:color="auto"/>
            <w:right w:val="none" w:sz="0" w:space="0" w:color="auto"/>
          </w:divBdr>
          <w:divsChild>
            <w:div w:id="623267961">
              <w:marLeft w:val="0"/>
              <w:marRight w:val="0"/>
              <w:marTop w:val="0"/>
              <w:marBottom w:val="0"/>
              <w:divBdr>
                <w:top w:val="none" w:sz="0" w:space="0" w:color="auto"/>
                <w:left w:val="none" w:sz="0" w:space="0" w:color="auto"/>
                <w:bottom w:val="none" w:sz="0" w:space="0" w:color="auto"/>
                <w:right w:val="none" w:sz="0" w:space="0" w:color="auto"/>
              </w:divBdr>
              <w:divsChild>
                <w:div w:id="597252353">
                  <w:marLeft w:val="0"/>
                  <w:marRight w:val="0"/>
                  <w:marTop w:val="0"/>
                  <w:marBottom w:val="0"/>
                  <w:divBdr>
                    <w:top w:val="none" w:sz="0" w:space="0" w:color="auto"/>
                    <w:left w:val="none" w:sz="0" w:space="0" w:color="auto"/>
                    <w:bottom w:val="none" w:sz="0" w:space="0" w:color="auto"/>
                    <w:right w:val="none" w:sz="0" w:space="0" w:color="auto"/>
                  </w:divBdr>
                  <w:divsChild>
                    <w:div w:id="18179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625997">
      <w:bodyDiv w:val="1"/>
      <w:marLeft w:val="0"/>
      <w:marRight w:val="0"/>
      <w:marTop w:val="0"/>
      <w:marBottom w:val="0"/>
      <w:divBdr>
        <w:top w:val="none" w:sz="0" w:space="0" w:color="auto"/>
        <w:left w:val="none" w:sz="0" w:space="0" w:color="auto"/>
        <w:bottom w:val="none" w:sz="0" w:space="0" w:color="auto"/>
        <w:right w:val="none" w:sz="0" w:space="0" w:color="auto"/>
      </w:divBdr>
    </w:div>
    <w:div w:id="545219765">
      <w:bodyDiv w:val="1"/>
      <w:marLeft w:val="0"/>
      <w:marRight w:val="0"/>
      <w:marTop w:val="0"/>
      <w:marBottom w:val="0"/>
      <w:divBdr>
        <w:top w:val="none" w:sz="0" w:space="0" w:color="auto"/>
        <w:left w:val="none" w:sz="0" w:space="0" w:color="auto"/>
        <w:bottom w:val="none" w:sz="0" w:space="0" w:color="auto"/>
        <w:right w:val="none" w:sz="0" w:space="0" w:color="auto"/>
      </w:divBdr>
    </w:div>
    <w:div w:id="547760171">
      <w:bodyDiv w:val="1"/>
      <w:marLeft w:val="0"/>
      <w:marRight w:val="0"/>
      <w:marTop w:val="0"/>
      <w:marBottom w:val="0"/>
      <w:divBdr>
        <w:top w:val="none" w:sz="0" w:space="0" w:color="auto"/>
        <w:left w:val="none" w:sz="0" w:space="0" w:color="auto"/>
        <w:bottom w:val="none" w:sz="0" w:space="0" w:color="auto"/>
        <w:right w:val="none" w:sz="0" w:space="0" w:color="auto"/>
      </w:divBdr>
    </w:div>
    <w:div w:id="550772175">
      <w:bodyDiv w:val="1"/>
      <w:marLeft w:val="0"/>
      <w:marRight w:val="0"/>
      <w:marTop w:val="0"/>
      <w:marBottom w:val="0"/>
      <w:divBdr>
        <w:top w:val="none" w:sz="0" w:space="0" w:color="auto"/>
        <w:left w:val="none" w:sz="0" w:space="0" w:color="auto"/>
        <w:bottom w:val="none" w:sz="0" w:space="0" w:color="auto"/>
        <w:right w:val="none" w:sz="0" w:space="0" w:color="auto"/>
      </w:divBdr>
    </w:div>
    <w:div w:id="555556302">
      <w:bodyDiv w:val="1"/>
      <w:marLeft w:val="0"/>
      <w:marRight w:val="0"/>
      <w:marTop w:val="0"/>
      <w:marBottom w:val="0"/>
      <w:divBdr>
        <w:top w:val="none" w:sz="0" w:space="0" w:color="auto"/>
        <w:left w:val="none" w:sz="0" w:space="0" w:color="auto"/>
        <w:bottom w:val="none" w:sz="0" w:space="0" w:color="auto"/>
        <w:right w:val="none" w:sz="0" w:space="0" w:color="auto"/>
      </w:divBdr>
    </w:div>
    <w:div w:id="566839814">
      <w:bodyDiv w:val="1"/>
      <w:marLeft w:val="0"/>
      <w:marRight w:val="0"/>
      <w:marTop w:val="0"/>
      <w:marBottom w:val="0"/>
      <w:divBdr>
        <w:top w:val="none" w:sz="0" w:space="0" w:color="auto"/>
        <w:left w:val="none" w:sz="0" w:space="0" w:color="auto"/>
        <w:bottom w:val="none" w:sz="0" w:space="0" w:color="auto"/>
        <w:right w:val="none" w:sz="0" w:space="0" w:color="auto"/>
      </w:divBdr>
    </w:div>
    <w:div w:id="567568476">
      <w:bodyDiv w:val="1"/>
      <w:marLeft w:val="0"/>
      <w:marRight w:val="0"/>
      <w:marTop w:val="0"/>
      <w:marBottom w:val="0"/>
      <w:divBdr>
        <w:top w:val="none" w:sz="0" w:space="0" w:color="auto"/>
        <w:left w:val="none" w:sz="0" w:space="0" w:color="auto"/>
        <w:bottom w:val="none" w:sz="0" w:space="0" w:color="auto"/>
        <w:right w:val="none" w:sz="0" w:space="0" w:color="auto"/>
      </w:divBdr>
    </w:div>
    <w:div w:id="569116562">
      <w:bodyDiv w:val="1"/>
      <w:marLeft w:val="0"/>
      <w:marRight w:val="0"/>
      <w:marTop w:val="0"/>
      <w:marBottom w:val="0"/>
      <w:divBdr>
        <w:top w:val="none" w:sz="0" w:space="0" w:color="auto"/>
        <w:left w:val="none" w:sz="0" w:space="0" w:color="auto"/>
        <w:bottom w:val="none" w:sz="0" w:space="0" w:color="auto"/>
        <w:right w:val="none" w:sz="0" w:space="0" w:color="auto"/>
      </w:divBdr>
    </w:div>
    <w:div w:id="573898883">
      <w:bodyDiv w:val="1"/>
      <w:marLeft w:val="0"/>
      <w:marRight w:val="0"/>
      <w:marTop w:val="0"/>
      <w:marBottom w:val="0"/>
      <w:divBdr>
        <w:top w:val="none" w:sz="0" w:space="0" w:color="auto"/>
        <w:left w:val="none" w:sz="0" w:space="0" w:color="auto"/>
        <w:bottom w:val="none" w:sz="0" w:space="0" w:color="auto"/>
        <w:right w:val="none" w:sz="0" w:space="0" w:color="auto"/>
      </w:divBdr>
    </w:div>
    <w:div w:id="586235576">
      <w:bodyDiv w:val="1"/>
      <w:marLeft w:val="0"/>
      <w:marRight w:val="0"/>
      <w:marTop w:val="0"/>
      <w:marBottom w:val="0"/>
      <w:divBdr>
        <w:top w:val="none" w:sz="0" w:space="0" w:color="auto"/>
        <w:left w:val="none" w:sz="0" w:space="0" w:color="auto"/>
        <w:bottom w:val="none" w:sz="0" w:space="0" w:color="auto"/>
        <w:right w:val="none" w:sz="0" w:space="0" w:color="auto"/>
      </w:divBdr>
    </w:div>
    <w:div w:id="632558217">
      <w:bodyDiv w:val="1"/>
      <w:marLeft w:val="0"/>
      <w:marRight w:val="0"/>
      <w:marTop w:val="0"/>
      <w:marBottom w:val="0"/>
      <w:divBdr>
        <w:top w:val="none" w:sz="0" w:space="0" w:color="auto"/>
        <w:left w:val="none" w:sz="0" w:space="0" w:color="auto"/>
        <w:bottom w:val="none" w:sz="0" w:space="0" w:color="auto"/>
        <w:right w:val="none" w:sz="0" w:space="0" w:color="auto"/>
      </w:divBdr>
    </w:div>
    <w:div w:id="634457737">
      <w:bodyDiv w:val="1"/>
      <w:marLeft w:val="0"/>
      <w:marRight w:val="0"/>
      <w:marTop w:val="0"/>
      <w:marBottom w:val="0"/>
      <w:divBdr>
        <w:top w:val="none" w:sz="0" w:space="0" w:color="auto"/>
        <w:left w:val="none" w:sz="0" w:space="0" w:color="auto"/>
        <w:bottom w:val="none" w:sz="0" w:space="0" w:color="auto"/>
        <w:right w:val="none" w:sz="0" w:space="0" w:color="auto"/>
      </w:divBdr>
    </w:div>
    <w:div w:id="663434729">
      <w:bodyDiv w:val="1"/>
      <w:marLeft w:val="0"/>
      <w:marRight w:val="0"/>
      <w:marTop w:val="0"/>
      <w:marBottom w:val="0"/>
      <w:divBdr>
        <w:top w:val="none" w:sz="0" w:space="0" w:color="auto"/>
        <w:left w:val="none" w:sz="0" w:space="0" w:color="auto"/>
        <w:bottom w:val="none" w:sz="0" w:space="0" w:color="auto"/>
        <w:right w:val="none" w:sz="0" w:space="0" w:color="auto"/>
      </w:divBdr>
    </w:div>
    <w:div w:id="688987737">
      <w:bodyDiv w:val="1"/>
      <w:marLeft w:val="0"/>
      <w:marRight w:val="0"/>
      <w:marTop w:val="0"/>
      <w:marBottom w:val="0"/>
      <w:divBdr>
        <w:top w:val="none" w:sz="0" w:space="0" w:color="auto"/>
        <w:left w:val="none" w:sz="0" w:space="0" w:color="auto"/>
        <w:bottom w:val="none" w:sz="0" w:space="0" w:color="auto"/>
        <w:right w:val="none" w:sz="0" w:space="0" w:color="auto"/>
      </w:divBdr>
    </w:div>
    <w:div w:id="690497544">
      <w:bodyDiv w:val="1"/>
      <w:marLeft w:val="0"/>
      <w:marRight w:val="0"/>
      <w:marTop w:val="0"/>
      <w:marBottom w:val="0"/>
      <w:divBdr>
        <w:top w:val="none" w:sz="0" w:space="0" w:color="auto"/>
        <w:left w:val="none" w:sz="0" w:space="0" w:color="auto"/>
        <w:bottom w:val="none" w:sz="0" w:space="0" w:color="auto"/>
        <w:right w:val="none" w:sz="0" w:space="0" w:color="auto"/>
      </w:divBdr>
    </w:div>
    <w:div w:id="697006296">
      <w:bodyDiv w:val="1"/>
      <w:marLeft w:val="0"/>
      <w:marRight w:val="0"/>
      <w:marTop w:val="0"/>
      <w:marBottom w:val="0"/>
      <w:divBdr>
        <w:top w:val="none" w:sz="0" w:space="0" w:color="auto"/>
        <w:left w:val="none" w:sz="0" w:space="0" w:color="auto"/>
        <w:bottom w:val="none" w:sz="0" w:space="0" w:color="auto"/>
        <w:right w:val="none" w:sz="0" w:space="0" w:color="auto"/>
      </w:divBdr>
    </w:div>
    <w:div w:id="697853805">
      <w:bodyDiv w:val="1"/>
      <w:marLeft w:val="0"/>
      <w:marRight w:val="0"/>
      <w:marTop w:val="0"/>
      <w:marBottom w:val="0"/>
      <w:divBdr>
        <w:top w:val="none" w:sz="0" w:space="0" w:color="auto"/>
        <w:left w:val="none" w:sz="0" w:space="0" w:color="auto"/>
        <w:bottom w:val="none" w:sz="0" w:space="0" w:color="auto"/>
        <w:right w:val="none" w:sz="0" w:space="0" w:color="auto"/>
      </w:divBdr>
    </w:div>
    <w:div w:id="750927889">
      <w:bodyDiv w:val="1"/>
      <w:marLeft w:val="0"/>
      <w:marRight w:val="0"/>
      <w:marTop w:val="0"/>
      <w:marBottom w:val="0"/>
      <w:divBdr>
        <w:top w:val="none" w:sz="0" w:space="0" w:color="auto"/>
        <w:left w:val="none" w:sz="0" w:space="0" w:color="auto"/>
        <w:bottom w:val="none" w:sz="0" w:space="0" w:color="auto"/>
        <w:right w:val="none" w:sz="0" w:space="0" w:color="auto"/>
      </w:divBdr>
    </w:div>
    <w:div w:id="753091913">
      <w:bodyDiv w:val="1"/>
      <w:marLeft w:val="0"/>
      <w:marRight w:val="0"/>
      <w:marTop w:val="0"/>
      <w:marBottom w:val="0"/>
      <w:divBdr>
        <w:top w:val="none" w:sz="0" w:space="0" w:color="auto"/>
        <w:left w:val="none" w:sz="0" w:space="0" w:color="auto"/>
        <w:bottom w:val="none" w:sz="0" w:space="0" w:color="auto"/>
        <w:right w:val="none" w:sz="0" w:space="0" w:color="auto"/>
      </w:divBdr>
    </w:div>
    <w:div w:id="766582491">
      <w:bodyDiv w:val="1"/>
      <w:marLeft w:val="0"/>
      <w:marRight w:val="0"/>
      <w:marTop w:val="0"/>
      <w:marBottom w:val="0"/>
      <w:divBdr>
        <w:top w:val="none" w:sz="0" w:space="0" w:color="auto"/>
        <w:left w:val="none" w:sz="0" w:space="0" w:color="auto"/>
        <w:bottom w:val="none" w:sz="0" w:space="0" w:color="auto"/>
        <w:right w:val="none" w:sz="0" w:space="0" w:color="auto"/>
      </w:divBdr>
    </w:div>
    <w:div w:id="768162369">
      <w:bodyDiv w:val="1"/>
      <w:marLeft w:val="0"/>
      <w:marRight w:val="0"/>
      <w:marTop w:val="0"/>
      <w:marBottom w:val="0"/>
      <w:divBdr>
        <w:top w:val="none" w:sz="0" w:space="0" w:color="auto"/>
        <w:left w:val="none" w:sz="0" w:space="0" w:color="auto"/>
        <w:bottom w:val="none" w:sz="0" w:space="0" w:color="auto"/>
        <w:right w:val="none" w:sz="0" w:space="0" w:color="auto"/>
      </w:divBdr>
    </w:div>
    <w:div w:id="768310119">
      <w:bodyDiv w:val="1"/>
      <w:marLeft w:val="0"/>
      <w:marRight w:val="0"/>
      <w:marTop w:val="0"/>
      <w:marBottom w:val="0"/>
      <w:divBdr>
        <w:top w:val="none" w:sz="0" w:space="0" w:color="auto"/>
        <w:left w:val="none" w:sz="0" w:space="0" w:color="auto"/>
        <w:bottom w:val="none" w:sz="0" w:space="0" w:color="auto"/>
        <w:right w:val="none" w:sz="0" w:space="0" w:color="auto"/>
      </w:divBdr>
    </w:div>
    <w:div w:id="804347013">
      <w:bodyDiv w:val="1"/>
      <w:marLeft w:val="0"/>
      <w:marRight w:val="0"/>
      <w:marTop w:val="0"/>
      <w:marBottom w:val="0"/>
      <w:divBdr>
        <w:top w:val="none" w:sz="0" w:space="0" w:color="auto"/>
        <w:left w:val="none" w:sz="0" w:space="0" w:color="auto"/>
        <w:bottom w:val="none" w:sz="0" w:space="0" w:color="auto"/>
        <w:right w:val="none" w:sz="0" w:space="0" w:color="auto"/>
      </w:divBdr>
    </w:div>
    <w:div w:id="808284974">
      <w:bodyDiv w:val="1"/>
      <w:marLeft w:val="0"/>
      <w:marRight w:val="0"/>
      <w:marTop w:val="0"/>
      <w:marBottom w:val="0"/>
      <w:divBdr>
        <w:top w:val="none" w:sz="0" w:space="0" w:color="auto"/>
        <w:left w:val="none" w:sz="0" w:space="0" w:color="auto"/>
        <w:bottom w:val="none" w:sz="0" w:space="0" w:color="auto"/>
        <w:right w:val="none" w:sz="0" w:space="0" w:color="auto"/>
      </w:divBdr>
      <w:divsChild>
        <w:div w:id="80030280">
          <w:marLeft w:val="0"/>
          <w:marRight w:val="0"/>
          <w:marTop w:val="0"/>
          <w:marBottom w:val="0"/>
          <w:divBdr>
            <w:top w:val="none" w:sz="0" w:space="0" w:color="auto"/>
            <w:left w:val="none" w:sz="0" w:space="0" w:color="auto"/>
            <w:bottom w:val="none" w:sz="0" w:space="0" w:color="auto"/>
            <w:right w:val="none" w:sz="0" w:space="0" w:color="auto"/>
          </w:divBdr>
          <w:divsChild>
            <w:div w:id="805317859">
              <w:marLeft w:val="0"/>
              <w:marRight w:val="0"/>
              <w:marTop w:val="0"/>
              <w:marBottom w:val="0"/>
              <w:divBdr>
                <w:top w:val="none" w:sz="0" w:space="0" w:color="auto"/>
                <w:left w:val="none" w:sz="0" w:space="0" w:color="auto"/>
                <w:bottom w:val="none" w:sz="0" w:space="0" w:color="auto"/>
                <w:right w:val="none" w:sz="0" w:space="0" w:color="auto"/>
              </w:divBdr>
              <w:divsChild>
                <w:div w:id="1296717114">
                  <w:marLeft w:val="0"/>
                  <w:marRight w:val="0"/>
                  <w:marTop w:val="0"/>
                  <w:marBottom w:val="0"/>
                  <w:divBdr>
                    <w:top w:val="none" w:sz="0" w:space="0" w:color="auto"/>
                    <w:left w:val="none" w:sz="0" w:space="0" w:color="auto"/>
                    <w:bottom w:val="none" w:sz="0" w:space="0" w:color="auto"/>
                    <w:right w:val="none" w:sz="0" w:space="0" w:color="auto"/>
                  </w:divBdr>
                  <w:divsChild>
                    <w:div w:id="983853786">
                      <w:marLeft w:val="0"/>
                      <w:marRight w:val="0"/>
                      <w:marTop w:val="0"/>
                      <w:marBottom w:val="0"/>
                      <w:divBdr>
                        <w:top w:val="none" w:sz="0" w:space="0" w:color="auto"/>
                        <w:left w:val="none" w:sz="0" w:space="0" w:color="auto"/>
                        <w:bottom w:val="none" w:sz="0" w:space="0" w:color="auto"/>
                        <w:right w:val="none" w:sz="0" w:space="0" w:color="auto"/>
                      </w:divBdr>
                      <w:divsChild>
                        <w:div w:id="1370184208">
                          <w:marLeft w:val="0"/>
                          <w:marRight w:val="0"/>
                          <w:marTop w:val="0"/>
                          <w:marBottom w:val="0"/>
                          <w:divBdr>
                            <w:top w:val="none" w:sz="0" w:space="0" w:color="auto"/>
                            <w:left w:val="none" w:sz="0" w:space="0" w:color="auto"/>
                            <w:bottom w:val="none" w:sz="0" w:space="0" w:color="auto"/>
                            <w:right w:val="none" w:sz="0" w:space="0" w:color="auto"/>
                          </w:divBdr>
                          <w:divsChild>
                            <w:div w:id="194805491">
                              <w:marLeft w:val="0"/>
                              <w:marRight w:val="0"/>
                              <w:marTop w:val="0"/>
                              <w:marBottom w:val="0"/>
                              <w:divBdr>
                                <w:top w:val="none" w:sz="0" w:space="0" w:color="auto"/>
                                <w:left w:val="none" w:sz="0" w:space="0" w:color="auto"/>
                                <w:bottom w:val="none" w:sz="0" w:space="0" w:color="auto"/>
                                <w:right w:val="none" w:sz="0" w:space="0" w:color="auto"/>
                              </w:divBdr>
                              <w:divsChild>
                                <w:div w:id="1526169029">
                                  <w:marLeft w:val="0"/>
                                  <w:marRight w:val="0"/>
                                  <w:marTop w:val="0"/>
                                  <w:marBottom w:val="0"/>
                                  <w:divBdr>
                                    <w:top w:val="none" w:sz="0" w:space="0" w:color="auto"/>
                                    <w:left w:val="none" w:sz="0" w:space="0" w:color="auto"/>
                                    <w:bottom w:val="none" w:sz="0" w:space="0" w:color="auto"/>
                                    <w:right w:val="none" w:sz="0" w:space="0" w:color="auto"/>
                                  </w:divBdr>
                                  <w:divsChild>
                                    <w:div w:id="25174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802271">
      <w:bodyDiv w:val="1"/>
      <w:marLeft w:val="0"/>
      <w:marRight w:val="0"/>
      <w:marTop w:val="0"/>
      <w:marBottom w:val="0"/>
      <w:divBdr>
        <w:top w:val="none" w:sz="0" w:space="0" w:color="auto"/>
        <w:left w:val="none" w:sz="0" w:space="0" w:color="auto"/>
        <w:bottom w:val="none" w:sz="0" w:space="0" w:color="auto"/>
        <w:right w:val="none" w:sz="0" w:space="0" w:color="auto"/>
      </w:divBdr>
    </w:div>
    <w:div w:id="823396326">
      <w:bodyDiv w:val="1"/>
      <w:marLeft w:val="0"/>
      <w:marRight w:val="0"/>
      <w:marTop w:val="0"/>
      <w:marBottom w:val="0"/>
      <w:divBdr>
        <w:top w:val="none" w:sz="0" w:space="0" w:color="auto"/>
        <w:left w:val="none" w:sz="0" w:space="0" w:color="auto"/>
        <w:bottom w:val="none" w:sz="0" w:space="0" w:color="auto"/>
        <w:right w:val="none" w:sz="0" w:space="0" w:color="auto"/>
      </w:divBdr>
    </w:div>
    <w:div w:id="829634639">
      <w:bodyDiv w:val="1"/>
      <w:marLeft w:val="0"/>
      <w:marRight w:val="0"/>
      <w:marTop w:val="0"/>
      <w:marBottom w:val="0"/>
      <w:divBdr>
        <w:top w:val="none" w:sz="0" w:space="0" w:color="auto"/>
        <w:left w:val="none" w:sz="0" w:space="0" w:color="auto"/>
        <w:bottom w:val="none" w:sz="0" w:space="0" w:color="auto"/>
        <w:right w:val="none" w:sz="0" w:space="0" w:color="auto"/>
      </w:divBdr>
    </w:div>
    <w:div w:id="837817263">
      <w:bodyDiv w:val="1"/>
      <w:marLeft w:val="0"/>
      <w:marRight w:val="0"/>
      <w:marTop w:val="0"/>
      <w:marBottom w:val="0"/>
      <w:divBdr>
        <w:top w:val="none" w:sz="0" w:space="0" w:color="auto"/>
        <w:left w:val="none" w:sz="0" w:space="0" w:color="auto"/>
        <w:bottom w:val="none" w:sz="0" w:space="0" w:color="auto"/>
        <w:right w:val="none" w:sz="0" w:space="0" w:color="auto"/>
      </w:divBdr>
    </w:div>
    <w:div w:id="842207614">
      <w:bodyDiv w:val="1"/>
      <w:marLeft w:val="0"/>
      <w:marRight w:val="0"/>
      <w:marTop w:val="0"/>
      <w:marBottom w:val="0"/>
      <w:divBdr>
        <w:top w:val="none" w:sz="0" w:space="0" w:color="auto"/>
        <w:left w:val="none" w:sz="0" w:space="0" w:color="auto"/>
        <w:bottom w:val="none" w:sz="0" w:space="0" w:color="auto"/>
        <w:right w:val="none" w:sz="0" w:space="0" w:color="auto"/>
      </w:divBdr>
    </w:div>
    <w:div w:id="846556232">
      <w:bodyDiv w:val="1"/>
      <w:marLeft w:val="0"/>
      <w:marRight w:val="0"/>
      <w:marTop w:val="0"/>
      <w:marBottom w:val="0"/>
      <w:divBdr>
        <w:top w:val="none" w:sz="0" w:space="0" w:color="auto"/>
        <w:left w:val="none" w:sz="0" w:space="0" w:color="auto"/>
        <w:bottom w:val="none" w:sz="0" w:space="0" w:color="auto"/>
        <w:right w:val="none" w:sz="0" w:space="0" w:color="auto"/>
      </w:divBdr>
    </w:div>
    <w:div w:id="875436434">
      <w:bodyDiv w:val="1"/>
      <w:marLeft w:val="0"/>
      <w:marRight w:val="0"/>
      <w:marTop w:val="0"/>
      <w:marBottom w:val="0"/>
      <w:divBdr>
        <w:top w:val="none" w:sz="0" w:space="0" w:color="auto"/>
        <w:left w:val="none" w:sz="0" w:space="0" w:color="auto"/>
        <w:bottom w:val="none" w:sz="0" w:space="0" w:color="auto"/>
        <w:right w:val="none" w:sz="0" w:space="0" w:color="auto"/>
      </w:divBdr>
    </w:div>
    <w:div w:id="886527721">
      <w:bodyDiv w:val="1"/>
      <w:marLeft w:val="0"/>
      <w:marRight w:val="0"/>
      <w:marTop w:val="0"/>
      <w:marBottom w:val="0"/>
      <w:divBdr>
        <w:top w:val="none" w:sz="0" w:space="0" w:color="auto"/>
        <w:left w:val="none" w:sz="0" w:space="0" w:color="auto"/>
        <w:bottom w:val="none" w:sz="0" w:space="0" w:color="auto"/>
        <w:right w:val="none" w:sz="0" w:space="0" w:color="auto"/>
      </w:divBdr>
    </w:div>
    <w:div w:id="887182147">
      <w:bodyDiv w:val="1"/>
      <w:marLeft w:val="0"/>
      <w:marRight w:val="0"/>
      <w:marTop w:val="0"/>
      <w:marBottom w:val="0"/>
      <w:divBdr>
        <w:top w:val="none" w:sz="0" w:space="0" w:color="auto"/>
        <w:left w:val="none" w:sz="0" w:space="0" w:color="auto"/>
        <w:bottom w:val="none" w:sz="0" w:space="0" w:color="auto"/>
        <w:right w:val="none" w:sz="0" w:space="0" w:color="auto"/>
      </w:divBdr>
    </w:div>
    <w:div w:id="903569429">
      <w:bodyDiv w:val="1"/>
      <w:marLeft w:val="0"/>
      <w:marRight w:val="0"/>
      <w:marTop w:val="0"/>
      <w:marBottom w:val="0"/>
      <w:divBdr>
        <w:top w:val="none" w:sz="0" w:space="0" w:color="auto"/>
        <w:left w:val="none" w:sz="0" w:space="0" w:color="auto"/>
        <w:bottom w:val="none" w:sz="0" w:space="0" w:color="auto"/>
        <w:right w:val="none" w:sz="0" w:space="0" w:color="auto"/>
      </w:divBdr>
    </w:div>
    <w:div w:id="928661816">
      <w:bodyDiv w:val="1"/>
      <w:marLeft w:val="0"/>
      <w:marRight w:val="0"/>
      <w:marTop w:val="0"/>
      <w:marBottom w:val="0"/>
      <w:divBdr>
        <w:top w:val="none" w:sz="0" w:space="0" w:color="auto"/>
        <w:left w:val="none" w:sz="0" w:space="0" w:color="auto"/>
        <w:bottom w:val="none" w:sz="0" w:space="0" w:color="auto"/>
        <w:right w:val="none" w:sz="0" w:space="0" w:color="auto"/>
      </w:divBdr>
    </w:div>
    <w:div w:id="959651925">
      <w:bodyDiv w:val="1"/>
      <w:marLeft w:val="0"/>
      <w:marRight w:val="0"/>
      <w:marTop w:val="0"/>
      <w:marBottom w:val="0"/>
      <w:divBdr>
        <w:top w:val="none" w:sz="0" w:space="0" w:color="auto"/>
        <w:left w:val="none" w:sz="0" w:space="0" w:color="auto"/>
        <w:bottom w:val="none" w:sz="0" w:space="0" w:color="auto"/>
        <w:right w:val="none" w:sz="0" w:space="0" w:color="auto"/>
      </w:divBdr>
    </w:div>
    <w:div w:id="989020368">
      <w:bodyDiv w:val="1"/>
      <w:marLeft w:val="0"/>
      <w:marRight w:val="0"/>
      <w:marTop w:val="0"/>
      <w:marBottom w:val="0"/>
      <w:divBdr>
        <w:top w:val="none" w:sz="0" w:space="0" w:color="auto"/>
        <w:left w:val="none" w:sz="0" w:space="0" w:color="auto"/>
        <w:bottom w:val="none" w:sz="0" w:space="0" w:color="auto"/>
        <w:right w:val="none" w:sz="0" w:space="0" w:color="auto"/>
      </w:divBdr>
    </w:div>
    <w:div w:id="1052265916">
      <w:bodyDiv w:val="1"/>
      <w:marLeft w:val="0"/>
      <w:marRight w:val="0"/>
      <w:marTop w:val="0"/>
      <w:marBottom w:val="0"/>
      <w:divBdr>
        <w:top w:val="none" w:sz="0" w:space="0" w:color="auto"/>
        <w:left w:val="none" w:sz="0" w:space="0" w:color="auto"/>
        <w:bottom w:val="none" w:sz="0" w:space="0" w:color="auto"/>
        <w:right w:val="none" w:sz="0" w:space="0" w:color="auto"/>
      </w:divBdr>
    </w:div>
    <w:div w:id="1069571327">
      <w:bodyDiv w:val="1"/>
      <w:marLeft w:val="0"/>
      <w:marRight w:val="0"/>
      <w:marTop w:val="0"/>
      <w:marBottom w:val="0"/>
      <w:divBdr>
        <w:top w:val="none" w:sz="0" w:space="0" w:color="auto"/>
        <w:left w:val="none" w:sz="0" w:space="0" w:color="auto"/>
        <w:bottom w:val="none" w:sz="0" w:space="0" w:color="auto"/>
        <w:right w:val="none" w:sz="0" w:space="0" w:color="auto"/>
      </w:divBdr>
    </w:div>
    <w:div w:id="1071078662">
      <w:bodyDiv w:val="1"/>
      <w:marLeft w:val="0"/>
      <w:marRight w:val="0"/>
      <w:marTop w:val="0"/>
      <w:marBottom w:val="0"/>
      <w:divBdr>
        <w:top w:val="none" w:sz="0" w:space="0" w:color="auto"/>
        <w:left w:val="none" w:sz="0" w:space="0" w:color="auto"/>
        <w:bottom w:val="none" w:sz="0" w:space="0" w:color="auto"/>
        <w:right w:val="none" w:sz="0" w:space="0" w:color="auto"/>
      </w:divBdr>
    </w:div>
    <w:div w:id="1078861928">
      <w:bodyDiv w:val="1"/>
      <w:marLeft w:val="0"/>
      <w:marRight w:val="0"/>
      <w:marTop w:val="0"/>
      <w:marBottom w:val="0"/>
      <w:divBdr>
        <w:top w:val="none" w:sz="0" w:space="0" w:color="auto"/>
        <w:left w:val="none" w:sz="0" w:space="0" w:color="auto"/>
        <w:bottom w:val="none" w:sz="0" w:space="0" w:color="auto"/>
        <w:right w:val="none" w:sz="0" w:space="0" w:color="auto"/>
      </w:divBdr>
    </w:div>
    <w:div w:id="1078940943">
      <w:bodyDiv w:val="1"/>
      <w:marLeft w:val="0"/>
      <w:marRight w:val="0"/>
      <w:marTop w:val="0"/>
      <w:marBottom w:val="0"/>
      <w:divBdr>
        <w:top w:val="none" w:sz="0" w:space="0" w:color="auto"/>
        <w:left w:val="none" w:sz="0" w:space="0" w:color="auto"/>
        <w:bottom w:val="none" w:sz="0" w:space="0" w:color="auto"/>
        <w:right w:val="none" w:sz="0" w:space="0" w:color="auto"/>
      </w:divBdr>
    </w:div>
    <w:div w:id="1107895557">
      <w:bodyDiv w:val="1"/>
      <w:marLeft w:val="0"/>
      <w:marRight w:val="0"/>
      <w:marTop w:val="0"/>
      <w:marBottom w:val="0"/>
      <w:divBdr>
        <w:top w:val="none" w:sz="0" w:space="0" w:color="auto"/>
        <w:left w:val="none" w:sz="0" w:space="0" w:color="auto"/>
        <w:bottom w:val="none" w:sz="0" w:space="0" w:color="auto"/>
        <w:right w:val="none" w:sz="0" w:space="0" w:color="auto"/>
      </w:divBdr>
    </w:div>
    <w:div w:id="1111434722">
      <w:bodyDiv w:val="1"/>
      <w:marLeft w:val="0"/>
      <w:marRight w:val="0"/>
      <w:marTop w:val="0"/>
      <w:marBottom w:val="0"/>
      <w:divBdr>
        <w:top w:val="none" w:sz="0" w:space="0" w:color="auto"/>
        <w:left w:val="none" w:sz="0" w:space="0" w:color="auto"/>
        <w:bottom w:val="none" w:sz="0" w:space="0" w:color="auto"/>
        <w:right w:val="none" w:sz="0" w:space="0" w:color="auto"/>
      </w:divBdr>
    </w:div>
    <w:div w:id="1120300153">
      <w:bodyDiv w:val="1"/>
      <w:marLeft w:val="0"/>
      <w:marRight w:val="0"/>
      <w:marTop w:val="0"/>
      <w:marBottom w:val="0"/>
      <w:divBdr>
        <w:top w:val="none" w:sz="0" w:space="0" w:color="auto"/>
        <w:left w:val="none" w:sz="0" w:space="0" w:color="auto"/>
        <w:bottom w:val="none" w:sz="0" w:space="0" w:color="auto"/>
        <w:right w:val="none" w:sz="0" w:space="0" w:color="auto"/>
      </w:divBdr>
    </w:div>
    <w:div w:id="1184318647">
      <w:bodyDiv w:val="1"/>
      <w:marLeft w:val="0"/>
      <w:marRight w:val="0"/>
      <w:marTop w:val="0"/>
      <w:marBottom w:val="0"/>
      <w:divBdr>
        <w:top w:val="none" w:sz="0" w:space="0" w:color="auto"/>
        <w:left w:val="none" w:sz="0" w:space="0" w:color="auto"/>
        <w:bottom w:val="none" w:sz="0" w:space="0" w:color="auto"/>
        <w:right w:val="none" w:sz="0" w:space="0" w:color="auto"/>
      </w:divBdr>
    </w:div>
    <w:div w:id="1187214057">
      <w:bodyDiv w:val="1"/>
      <w:marLeft w:val="0"/>
      <w:marRight w:val="0"/>
      <w:marTop w:val="0"/>
      <w:marBottom w:val="0"/>
      <w:divBdr>
        <w:top w:val="none" w:sz="0" w:space="0" w:color="auto"/>
        <w:left w:val="none" w:sz="0" w:space="0" w:color="auto"/>
        <w:bottom w:val="none" w:sz="0" w:space="0" w:color="auto"/>
        <w:right w:val="none" w:sz="0" w:space="0" w:color="auto"/>
      </w:divBdr>
    </w:div>
    <w:div w:id="1200775996">
      <w:bodyDiv w:val="1"/>
      <w:marLeft w:val="0"/>
      <w:marRight w:val="0"/>
      <w:marTop w:val="0"/>
      <w:marBottom w:val="0"/>
      <w:divBdr>
        <w:top w:val="none" w:sz="0" w:space="0" w:color="auto"/>
        <w:left w:val="none" w:sz="0" w:space="0" w:color="auto"/>
        <w:bottom w:val="none" w:sz="0" w:space="0" w:color="auto"/>
        <w:right w:val="none" w:sz="0" w:space="0" w:color="auto"/>
      </w:divBdr>
    </w:div>
    <w:div w:id="1204051377">
      <w:bodyDiv w:val="1"/>
      <w:marLeft w:val="0"/>
      <w:marRight w:val="0"/>
      <w:marTop w:val="0"/>
      <w:marBottom w:val="0"/>
      <w:divBdr>
        <w:top w:val="none" w:sz="0" w:space="0" w:color="auto"/>
        <w:left w:val="none" w:sz="0" w:space="0" w:color="auto"/>
        <w:bottom w:val="none" w:sz="0" w:space="0" w:color="auto"/>
        <w:right w:val="none" w:sz="0" w:space="0" w:color="auto"/>
      </w:divBdr>
    </w:div>
    <w:div w:id="1223563238">
      <w:bodyDiv w:val="1"/>
      <w:marLeft w:val="0"/>
      <w:marRight w:val="0"/>
      <w:marTop w:val="0"/>
      <w:marBottom w:val="0"/>
      <w:divBdr>
        <w:top w:val="none" w:sz="0" w:space="0" w:color="auto"/>
        <w:left w:val="none" w:sz="0" w:space="0" w:color="auto"/>
        <w:bottom w:val="none" w:sz="0" w:space="0" w:color="auto"/>
        <w:right w:val="none" w:sz="0" w:space="0" w:color="auto"/>
      </w:divBdr>
    </w:div>
    <w:div w:id="1224440684">
      <w:bodyDiv w:val="1"/>
      <w:marLeft w:val="0"/>
      <w:marRight w:val="0"/>
      <w:marTop w:val="0"/>
      <w:marBottom w:val="0"/>
      <w:divBdr>
        <w:top w:val="none" w:sz="0" w:space="0" w:color="auto"/>
        <w:left w:val="none" w:sz="0" w:space="0" w:color="auto"/>
        <w:bottom w:val="none" w:sz="0" w:space="0" w:color="auto"/>
        <w:right w:val="none" w:sz="0" w:space="0" w:color="auto"/>
      </w:divBdr>
    </w:div>
    <w:div w:id="1251816221">
      <w:bodyDiv w:val="1"/>
      <w:marLeft w:val="0"/>
      <w:marRight w:val="0"/>
      <w:marTop w:val="0"/>
      <w:marBottom w:val="0"/>
      <w:divBdr>
        <w:top w:val="none" w:sz="0" w:space="0" w:color="auto"/>
        <w:left w:val="none" w:sz="0" w:space="0" w:color="auto"/>
        <w:bottom w:val="none" w:sz="0" w:space="0" w:color="auto"/>
        <w:right w:val="none" w:sz="0" w:space="0" w:color="auto"/>
      </w:divBdr>
    </w:div>
    <w:div w:id="1261599143">
      <w:bodyDiv w:val="1"/>
      <w:marLeft w:val="0"/>
      <w:marRight w:val="0"/>
      <w:marTop w:val="0"/>
      <w:marBottom w:val="0"/>
      <w:divBdr>
        <w:top w:val="none" w:sz="0" w:space="0" w:color="auto"/>
        <w:left w:val="none" w:sz="0" w:space="0" w:color="auto"/>
        <w:bottom w:val="none" w:sz="0" w:space="0" w:color="auto"/>
        <w:right w:val="none" w:sz="0" w:space="0" w:color="auto"/>
      </w:divBdr>
    </w:div>
    <w:div w:id="1283076272">
      <w:bodyDiv w:val="1"/>
      <w:marLeft w:val="0"/>
      <w:marRight w:val="0"/>
      <w:marTop w:val="0"/>
      <w:marBottom w:val="0"/>
      <w:divBdr>
        <w:top w:val="none" w:sz="0" w:space="0" w:color="auto"/>
        <w:left w:val="none" w:sz="0" w:space="0" w:color="auto"/>
        <w:bottom w:val="none" w:sz="0" w:space="0" w:color="auto"/>
        <w:right w:val="none" w:sz="0" w:space="0" w:color="auto"/>
      </w:divBdr>
    </w:div>
    <w:div w:id="1286623561">
      <w:bodyDiv w:val="1"/>
      <w:marLeft w:val="0"/>
      <w:marRight w:val="0"/>
      <w:marTop w:val="0"/>
      <w:marBottom w:val="0"/>
      <w:divBdr>
        <w:top w:val="none" w:sz="0" w:space="0" w:color="auto"/>
        <w:left w:val="none" w:sz="0" w:space="0" w:color="auto"/>
        <w:bottom w:val="none" w:sz="0" w:space="0" w:color="auto"/>
        <w:right w:val="none" w:sz="0" w:space="0" w:color="auto"/>
      </w:divBdr>
    </w:div>
    <w:div w:id="1294408141">
      <w:bodyDiv w:val="1"/>
      <w:marLeft w:val="0"/>
      <w:marRight w:val="0"/>
      <w:marTop w:val="0"/>
      <w:marBottom w:val="0"/>
      <w:divBdr>
        <w:top w:val="none" w:sz="0" w:space="0" w:color="auto"/>
        <w:left w:val="none" w:sz="0" w:space="0" w:color="auto"/>
        <w:bottom w:val="none" w:sz="0" w:space="0" w:color="auto"/>
        <w:right w:val="none" w:sz="0" w:space="0" w:color="auto"/>
      </w:divBdr>
    </w:div>
    <w:div w:id="1299187652">
      <w:bodyDiv w:val="1"/>
      <w:marLeft w:val="0"/>
      <w:marRight w:val="0"/>
      <w:marTop w:val="0"/>
      <w:marBottom w:val="0"/>
      <w:divBdr>
        <w:top w:val="none" w:sz="0" w:space="0" w:color="auto"/>
        <w:left w:val="none" w:sz="0" w:space="0" w:color="auto"/>
        <w:bottom w:val="none" w:sz="0" w:space="0" w:color="auto"/>
        <w:right w:val="none" w:sz="0" w:space="0" w:color="auto"/>
      </w:divBdr>
    </w:div>
    <w:div w:id="1301224800">
      <w:bodyDiv w:val="1"/>
      <w:marLeft w:val="0"/>
      <w:marRight w:val="0"/>
      <w:marTop w:val="0"/>
      <w:marBottom w:val="0"/>
      <w:divBdr>
        <w:top w:val="none" w:sz="0" w:space="0" w:color="auto"/>
        <w:left w:val="none" w:sz="0" w:space="0" w:color="auto"/>
        <w:bottom w:val="none" w:sz="0" w:space="0" w:color="auto"/>
        <w:right w:val="none" w:sz="0" w:space="0" w:color="auto"/>
      </w:divBdr>
    </w:div>
    <w:div w:id="1330673147">
      <w:bodyDiv w:val="1"/>
      <w:marLeft w:val="0"/>
      <w:marRight w:val="0"/>
      <w:marTop w:val="0"/>
      <w:marBottom w:val="0"/>
      <w:divBdr>
        <w:top w:val="none" w:sz="0" w:space="0" w:color="auto"/>
        <w:left w:val="none" w:sz="0" w:space="0" w:color="auto"/>
        <w:bottom w:val="none" w:sz="0" w:space="0" w:color="auto"/>
        <w:right w:val="none" w:sz="0" w:space="0" w:color="auto"/>
      </w:divBdr>
    </w:div>
    <w:div w:id="1352223583">
      <w:bodyDiv w:val="1"/>
      <w:marLeft w:val="0"/>
      <w:marRight w:val="0"/>
      <w:marTop w:val="0"/>
      <w:marBottom w:val="0"/>
      <w:divBdr>
        <w:top w:val="none" w:sz="0" w:space="0" w:color="auto"/>
        <w:left w:val="none" w:sz="0" w:space="0" w:color="auto"/>
        <w:bottom w:val="none" w:sz="0" w:space="0" w:color="auto"/>
        <w:right w:val="none" w:sz="0" w:space="0" w:color="auto"/>
      </w:divBdr>
    </w:div>
    <w:div w:id="1354578312">
      <w:bodyDiv w:val="1"/>
      <w:marLeft w:val="0"/>
      <w:marRight w:val="0"/>
      <w:marTop w:val="0"/>
      <w:marBottom w:val="0"/>
      <w:divBdr>
        <w:top w:val="none" w:sz="0" w:space="0" w:color="auto"/>
        <w:left w:val="none" w:sz="0" w:space="0" w:color="auto"/>
        <w:bottom w:val="none" w:sz="0" w:space="0" w:color="auto"/>
        <w:right w:val="none" w:sz="0" w:space="0" w:color="auto"/>
      </w:divBdr>
    </w:div>
    <w:div w:id="1363701221">
      <w:bodyDiv w:val="1"/>
      <w:marLeft w:val="0"/>
      <w:marRight w:val="0"/>
      <w:marTop w:val="0"/>
      <w:marBottom w:val="0"/>
      <w:divBdr>
        <w:top w:val="none" w:sz="0" w:space="0" w:color="auto"/>
        <w:left w:val="none" w:sz="0" w:space="0" w:color="auto"/>
        <w:bottom w:val="none" w:sz="0" w:space="0" w:color="auto"/>
        <w:right w:val="none" w:sz="0" w:space="0" w:color="auto"/>
      </w:divBdr>
    </w:div>
    <w:div w:id="1371346933">
      <w:bodyDiv w:val="1"/>
      <w:marLeft w:val="0"/>
      <w:marRight w:val="0"/>
      <w:marTop w:val="0"/>
      <w:marBottom w:val="0"/>
      <w:divBdr>
        <w:top w:val="none" w:sz="0" w:space="0" w:color="auto"/>
        <w:left w:val="none" w:sz="0" w:space="0" w:color="auto"/>
        <w:bottom w:val="none" w:sz="0" w:space="0" w:color="auto"/>
        <w:right w:val="none" w:sz="0" w:space="0" w:color="auto"/>
      </w:divBdr>
    </w:div>
    <w:div w:id="1371959515">
      <w:bodyDiv w:val="1"/>
      <w:marLeft w:val="0"/>
      <w:marRight w:val="0"/>
      <w:marTop w:val="0"/>
      <w:marBottom w:val="0"/>
      <w:divBdr>
        <w:top w:val="none" w:sz="0" w:space="0" w:color="auto"/>
        <w:left w:val="none" w:sz="0" w:space="0" w:color="auto"/>
        <w:bottom w:val="none" w:sz="0" w:space="0" w:color="auto"/>
        <w:right w:val="none" w:sz="0" w:space="0" w:color="auto"/>
      </w:divBdr>
    </w:div>
    <w:div w:id="1398556831">
      <w:bodyDiv w:val="1"/>
      <w:marLeft w:val="0"/>
      <w:marRight w:val="0"/>
      <w:marTop w:val="0"/>
      <w:marBottom w:val="0"/>
      <w:divBdr>
        <w:top w:val="none" w:sz="0" w:space="0" w:color="auto"/>
        <w:left w:val="none" w:sz="0" w:space="0" w:color="auto"/>
        <w:bottom w:val="none" w:sz="0" w:space="0" w:color="auto"/>
        <w:right w:val="none" w:sz="0" w:space="0" w:color="auto"/>
      </w:divBdr>
    </w:div>
    <w:div w:id="1399552800">
      <w:bodyDiv w:val="1"/>
      <w:marLeft w:val="0"/>
      <w:marRight w:val="0"/>
      <w:marTop w:val="0"/>
      <w:marBottom w:val="0"/>
      <w:divBdr>
        <w:top w:val="none" w:sz="0" w:space="0" w:color="auto"/>
        <w:left w:val="none" w:sz="0" w:space="0" w:color="auto"/>
        <w:bottom w:val="none" w:sz="0" w:space="0" w:color="auto"/>
        <w:right w:val="none" w:sz="0" w:space="0" w:color="auto"/>
      </w:divBdr>
    </w:div>
    <w:div w:id="1408727725">
      <w:bodyDiv w:val="1"/>
      <w:marLeft w:val="0"/>
      <w:marRight w:val="0"/>
      <w:marTop w:val="0"/>
      <w:marBottom w:val="0"/>
      <w:divBdr>
        <w:top w:val="none" w:sz="0" w:space="0" w:color="auto"/>
        <w:left w:val="none" w:sz="0" w:space="0" w:color="auto"/>
        <w:bottom w:val="none" w:sz="0" w:space="0" w:color="auto"/>
        <w:right w:val="none" w:sz="0" w:space="0" w:color="auto"/>
      </w:divBdr>
    </w:div>
    <w:div w:id="1409308616">
      <w:bodyDiv w:val="1"/>
      <w:marLeft w:val="0"/>
      <w:marRight w:val="0"/>
      <w:marTop w:val="0"/>
      <w:marBottom w:val="0"/>
      <w:divBdr>
        <w:top w:val="none" w:sz="0" w:space="0" w:color="auto"/>
        <w:left w:val="none" w:sz="0" w:space="0" w:color="auto"/>
        <w:bottom w:val="none" w:sz="0" w:space="0" w:color="auto"/>
        <w:right w:val="none" w:sz="0" w:space="0" w:color="auto"/>
      </w:divBdr>
    </w:div>
    <w:div w:id="1434206895">
      <w:bodyDiv w:val="1"/>
      <w:marLeft w:val="0"/>
      <w:marRight w:val="0"/>
      <w:marTop w:val="0"/>
      <w:marBottom w:val="0"/>
      <w:divBdr>
        <w:top w:val="none" w:sz="0" w:space="0" w:color="auto"/>
        <w:left w:val="none" w:sz="0" w:space="0" w:color="auto"/>
        <w:bottom w:val="none" w:sz="0" w:space="0" w:color="auto"/>
        <w:right w:val="none" w:sz="0" w:space="0" w:color="auto"/>
      </w:divBdr>
    </w:div>
    <w:div w:id="1532719781">
      <w:bodyDiv w:val="1"/>
      <w:marLeft w:val="0"/>
      <w:marRight w:val="0"/>
      <w:marTop w:val="0"/>
      <w:marBottom w:val="0"/>
      <w:divBdr>
        <w:top w:val="none" w:sz="0" w:space="0" w:color="auto"/>
        <w:left w:val="none" w:sz="0" w:space="0" w:color="auto"/>
        <w:bottom w:val="none" w:sz="0" w:space="0" w:color="auto"/>
        <w:right w:val="none" w:sz="0" w:space="0" w:color="auto"/>
      </w:divBdr>
    </w:div>
    <w:div w:id="1550531351">
      <w:bodyDiv w:val="1"/>
      <w:marLeft w:val="0"/>
      <w:marRight w:val="0"/>
      <w:marTop w:val="0"/>
      <w:marBottom w:val="0"/>
      <w:divBdr>
        <w:top w:val="none" w:sz="0" w:space="0" w:color="auto"/>
        <w:left w:val="none" w:sz="0" w:space="0" w:color="auto"/>
        <w:bottom w:val="none" w:sz="0" w:space="0" w:color="auto"/>
        <w:right w:val="none" w:sz="0" w:space="0" w:color="auto"/>
      </w:divBdr>
    </w:div>
    <w:div w:id="1586500440">
      <w:bodyDiv w:val="1"/>
      <w:marLeft w:val="0"/>
      <w:marRight w:val="0"/>
      <w:marTop w:val="0"/>
      <w:marBottom w:val="0"/>
      <w:divBdr>
        <w:top w:val="none" w:sz="0" w:space="0" w:color="auto"/>
        <w:left w:val="none" w:sz="0" w:space="0" w:color="auto"/>
        <w:bottom w:val="none" w:sz="0" w:space="0" w:color="auto"/>
        <w:right w:val="none" w:sz="0" w:space="0" w:color="auto"/>
      </w:divBdr>
    </w:div>
    <w:div w:id="1588465380">
      <w:bodyDiv w:val="1"/>
      <w:marLeft w:val="0"/>
      <w:marRight w:val="0"/>
      <w:marTop w:val="0"/>
      <w:marBottom w:val="0"/>
      <w:divBdr>
        <w:top w:val="none" w:sz="0" w:space="0" w:color="auto"/>
        <w:left w:val="none" w:sz="0" w:space="0" w:color="auto"/>
        <w:bottom w:val="none" w:sz="0" w:space="0" w:color="auto"/>
        <w:right w:val="none" w:sz="0" w:space="0" w:color="auto"/>
      </w:divBdr>
    </w:div>
    <w:div w:id="1602254836">
      <w:bodyDiv w:val="1"/>
      <w:marLeft w:val="0"/>
      <w:marRight w:val="0"/>
      <w:marTop w:val="0"/>
      <w:marBottom w:val="0"/>
      <w:divBdr>
        <w:top w:val="none" w:sz="0" w:space="0" w:color="auto"/>
        <w:left w:val="none" w:sz="0" w:space="0" w:color="auto"/>
        <w:bottom w:val="none" w:sz="0" w:space="0" w:color="auto"/>
        <w:right w:val="none" w:sz="0" w:space="0" w:color="auto"/>
      </w:divBdr>
    </w:div>
    <w:div w:id="1628511960">
      <w:bodyDiv w:val="1"/>
      <w:marLeft w:val="0"/>
      <w:marRight w:val="0"/>
      <w:marTop w:val="0"/>
      <w:marBottom w:val="0"/>
      <w:divBdr>
        <w:top w:val="none" w:sz="0" w:space="0" w:color="auto"/>
        <w:left w:val="none" w:sz="0" w:space="0" w:color="auto"/>
        <w:bottom w:val="none" w:sz="0" w:space="0" w:color="auto"/>
        <w:right w:val="none" w:sz="0" w:space="0" w:color="auto"/>
      </w:divBdr>
    </w:div>
    <w:div w:id="1641232405">
      <w:bodyDiv w:val="1"/>
      <w:marLeft w:val="0"/>
      <w:marRight w:val="0"/>
      <w:marTop w:val="0"/>
      <w:marBottom w:val="0"/>
      <w:divBdr>
        <w:top w:val="none" w:sz="0" w:space="0" w:color="auto"/>
        <w:left w:val="none" w:sz="0" w:space="0" w:color="auto"/>
        <w:bottom w:val="none" w:sz="0" w:space="0" w:color="auto"/>
        <w:right w:val="none" w:sz="0" w:space="0" w:color="auto"/>
      </w:divBdr>
    </w:div>
    <w:div w:id="1666666153">
      <w:bodyDiv w:val="1"/>
      <w:marLeft w:val="0"/>
      <w:marRight w:val="0"/>
      <w:marTop w:val="0"/>
      <w:marBottom w:val="0"/>
      <w:divBdr>
        <w:top w:val="none" w:sz="0" w:space="0" w:color="auto"/>
        <w:left w:val="none" w:sz="0" w:space="0" w:color="auto"/>
        <w:bottom w:val="none" w:sz="0" w:space="0" w:color="auto"/>
        <w:right w:val="none" w:sz="0" w:space="0" w:color="auto"/>
      </w:divBdr>
    </w:div>
    <w:div w:id="1666979126">
      <w:bodyDiv w:val="1"/>
      <w:marLeft w:val="0"/>
      <w:marRight w:val="0"/>
      <w:marTop w:val="0"/>
      <w:marBottom w:val="0"/>
      <w:divBdr>
        <w:top w:val="none" w:sz="0" w:space="0" w:color="auto"/>
        <w:left w:val="none" w:sz="0" w:space="0" w:color="auto"/>
        <w:bottom w:val="none" w:sz="0" w:space="0" w:color="auto"/>
        <w:right w:val="none" w:sz="0" w:space="0" w:color="auto"/>
      </w:divBdr>
    </w:div>
    <w:div w:id="1676417470">
      <w:bodyDiv w:val="1"/>
      <w:marLeft w:val="0"/>
      <w:marRight w:val="0"/>
      <w:marTop w:val="0"/>
      <w:marBottom w:val="0"/>
      <w:divBdr>
        <w:top w:val="none" w:sz="0" w:space="0" w:color="auto"/>
        <w:left w:val="none" w:sz="0" w:space="0" w:color="auto"/>
        <w:bottom w:val="none" w:sz="0" w:space="0" w:color="auto"/>
        <w:right w:val="none" w:sz="0" w:space="0" w:color="auto"/>
      </w:divBdr>
    </w:div>
    <w:div w:id="1689286572">
      <w:bodyDiv w:val="1"/>
      <w:marLeft w:val="0"/>
      <w:marRight w:val="0"/>
      <w:marTop w:val="0"/>
      <w:marBottom w:val="0"/>
      <w:divBdr>
        <w:top w:val="none" w:sz="0" w:space="0" w:color="auto"/>
        <w:left w:val="none" w:sz="0" w:space="0" w:color="auto"/>
        <w:bottom w:val="none" w:sz="0" w:space="0" w:color="auto"/>
        <w:right w:val="none" w:sz="0" w:space="0" w:color="auto"/>
      </w:divBdr>
    </w:div>
    <w:div w:id="1693872957">
      <w:bodyDiv w:val="1"/>
      <w:marLeft w:val="0"/>
      <w:marRight w:val="0"/>
      <w:marTop w:val="0"/>
      <w:marBottom w:val="0"/>
      <w:divBdr>
        <w:top w:val="none" w:sz="0" w:space="0" w:color="auto"/>
        <w:left w:val="none" w:sz="0" w:space="0" w:color="auto"/>
        <w:bottom w:val="none" w:sz="0" w:space="0" w:color="auto"/>
        <w:right w:val="none" w:sz="0" w:space="0" w:color="auto"/>
      </w:divBdr>
    </w:div>
    <w:div w:id="1705712613">
      <w:bodyDiv w:val="1"/>
      <w:marLeft w:val="0"/>
      <w:marRight w:val="0"/>
      <w:marTop w:val="0"/>
      <w:marBottom w:val="0"/>
      <w:divBdr>
        <w:top w:val="none" w:sz="0" w:space="0" w:color="auto"/>
        <w:left w:val="none" w:sz="0" w:space="0" w:color="auto"/>
        <w:bottom w:val="none" w:sz="0" w:space="0" w:color="auto"/>
        <w:right w:val="none" w:sz="0" w:space="0" w:color="auto"/>
      </w:divBdr>
      <w:divsChild>
        <w:div w:id="561214638">
          <w:marLeft w:val="0"/>
          <w:marRight w:val="0"/>
          <w:marTop w:val="0"/>
          <w:marBottom w:val="0"/>
          <w:divBdr>
            <w:top w:val="none" w:sz="0" w:space="0" w:color="auto"/>
            <w:left w:val="none" w:sz="0" w:space="0" w:color="auto"/>
            <w:bottom w:val="none" w:sz="0" w:space="0" w:color="auto"/>
            <w:right w:val="none" w:sz="0" w:space="0" w:color="auto"/>
          </w:divBdr>
          <w:divsChild>
            <w:div w:id="197283386">
              <w:marLeft w:val="0"/>
              <w:marRight w:val="0"/>
              <w:marTop w:val="0"/>
              <w:marBottom w:val="0"/>
              <w:divBdr>
                <w:top w:val="none" w:sz="0" w:space="0" w:color="auto"/>
                <w:left w:val="none" w:sz="0" w:space="0" w:color="auto"/>
                <w:bottom w:val="none" w:sz="0" w:space="0" w:color="auto"/>
                <w:right w:val="none" w:sz="0" w:space="0" w:color="auto"/>
              </w:divBdr>
              <w:divsChild>
                <w:div w:id="1915628984">
                  <w:marLeft w:val="0"/>
                  <w:marRight w:val="0"/>
                  <w:marTop w:val="0"/>
                  <w:marBottom w:val="0"/>
                  <w:divBdr>
                    <w:top w:val="none" w:sz="0" w:space="0" w:color="auto"/>
                    <w:left w:val="none" w:sz="0" w:space="0" w:color="auto"/>
                    <w:bottom w:val="none" w:sz="0" w:space="0" w:color="auto"/>
                    <w:right w:val="none" w:sz="0" w:space="0" w:color="auto"/>
                  </w:divBdr>
                  <w:divsChild>
                    <w:div w:id="949313022">
                      <w:marLeft w:val="0"/>
                      <w:marRight w:val="0"/>
                      <w:marTop w:val="0"/>
                      <w:marBottom w:val="0"/>
                      <w:divBdr>
                        <w:top w:val="none" w:sz="0" w:space="0" w:color="auto"/>
                        <w:left w:val="none" w:sz="0" w:space="0" w:color="auto"/>
                        <w:bottom w:val="none" w:sz="0" w:space="0" w:color="auto"/>
                        <w:right w:val="none" w:sz="0" w:space="0" w:color="auto"/>
                      </w:divBdr>
                      <w:divsChild>
                        <w:div w:id="271323262">
                          <w:marLeft w:val="0"/>
                          <w:marRight w:val="0"/>
                          <w:marTop w:val="0"/>
                          <w:marBottom w:val="0"/>
                          <w:divBdr>
                            <w:top w:val="none" w:sz="0" w:space="0" w:color="auto"/>
                            <w:left w:val="none" w:sz="0" w:space="0" w:color="auto"/>
                            <w:bottom w:val="none" w:sz="0" w:space="0" w:color="auto"/>
                            <w:right w:val="none" w:sz="0" w:space="0" w:color="auto"/>
                          </w:divBdr>
                          <w:divsChild>
                            <w:div w:id="2129733211">
                              <w:marLeft w:val="0"/>
                              <w:marRight w:val="0"/>
                              <w:marTop w:val="0"/>
                              <w:marBottom w:val="0"/>
                              <w:divBdr>
                                <w:top w:val="none" w:sz="0" w:space="0" w:color="auto"/>
                                <w:left w:val="none" w:sz="0" w:space="0" w:color="auto"/>
                                <w:bottom w:val="none" w:sz="0" w:space="0" w:color="auto"/>
                                <w:right w:val="none" w:sz="0" w:space="0" w:color="auto"/>
                              </w:divBdr>
                              <w:divsChild>
                                <w:div w:id="1970546450">
                                  <w:marLeft w:val="0"/>
                                  <w:marRight w:val="0"/>
                                  <w:marTop w:val="0"/>
                                  <w:marBottom w:val="0"/>
                                  <w:divBdr>
                                    <w:top w:val="none" w:sz="0" w:space="0" w:color="auto"/>
                                    <w:left w:val="none" w:sz="0" w:space="0" w:color="auto"/>
                                    <w:bottom w:val="none" w:sz="0" w:space="0" w:color="auto"/>
                                    <w:right w:val="none" w:sz="0" w:space="0" w:color="auto"/>
                                  </w:divBdr>
                                  <w:divsChild>
                                    <w:div w:id="660040414">
                                      <w:marLeft w:val="0"/>
                                      <w:marRight w:val="0"/>
                                      <w:marTop w:val="0"/>
                                      <w:marBottom w:val="0"/>
                                      <w:divBdr>
                                        <w:top w:val="none" w:sz="0" w:space="0" w:color="auto"/>
                                        <w:left w:val="none" w:sz="0" w:space="0" w:color="auto"/>
                                        <w:bottom w:val="none" w:sz="0" w:space="0" w:color="auto"/>
                                        <w:right w:val="none" w:sz="0" w:space="0" w:color="auto"/>
                                      </w:divBdr>
                                      <w:divsChild>
                                        <w:div w:id="1457522362">
                                          <w:marLeft w:val="0"/>
                                          <w:marRight w:val="0"/>
                                          <w:marTop w:val="0"/>
                                          <w:marBottom w:val="0"/>
                                          <w:divBdr>
                                            <w:top w:val="none" w:sz="0" w:space="0" w:color="auto"/>
                                            <w:left w:val="none" w:sz="0" w:space="0" w:color="auto"/>
                                            <w:bottom w:val="none" w:sz="0" w:space="0" w:color="auto"/>
                                            <w:right w:val="none" w:sz="0" w:space="0" w:color="auto"/>
                                          </w:divBdr>
                                          <w:divsChild>
                                            <w:div w:id="2117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683068">
      <w:bodyDiv w:val="1"/>
      <w:marLeft w:val="0"/>
      <w:marRight w:val="0"/>
      <w:marTop w:val="0"/>
      <w:marBottom w:val="0"/>
      <w:divBdr>
        <w:top w:val="none" w:sz="0" w:space="0" w:color="auto"/>
        <w:left w:val="none" w:sz="0" w:space="0" w:color="auto"/>
        <w:bottom w:val="none" w:sz="0" w:space="0" w:color="auto"/>
        <w:right w:val="none" w:sz="0" w:space="0" w:color="auto"/>
      </w:divBdr>
    </w:div>
    <w:div w:id="1715424259">
      <w:bodyDiv w:val="1"/>
      <w:marLeft w:val="0"/>
      <w:marRight w:val="0"/>
      <w:marTop w:val="0"/>
      <w:marBottom w:val="0"/>
      <w:divBdr>
        <w:top w:val="none" w:sz="0" w:space="0" w:color="auto"/>
        <w:left w:val="none" w:sz="0" w:space="0" w:color="auto"/>
        <w:bottom w:val="none" w:sz="0" w:space="0" w:color="auto"/>
        <w:right w:val="none" w:sz="0" w:space="0" w:color="auto"/>
      </w:divBdr>
    </w:div>
    <w:div w:id="1722561300">
      <w:bodyDiv w:val="1"/>
      <w:marLeft w:val="0"/>
      <w:marRight w:val="0"/>
      <w:marTop w:val="0"/>
      <w:marBottom w:val="0"/>
      <w:divBdr>
        <w:top w:val="none" w:sz="0" w:space="0" w:color="auto"/>
        <w:left w:val="none" w:sz="0" w:space="0" w:color="auto"/>
        <w:bottom w:val="none" w:sz="0" w:space="0" w:color="auto"/>
        <w:right w:val="none" w:sz="0" w:space="0" w:color="auto"/>
      </w:divBdr>
    </w:div>
    <w:div w:id="1731616389">
      <w:bodyDiv w:val="1"/>
      <w:marLeft w:val="0"/>
      <w:marRight w:val="0"/>
      <w:marTop w:val="0"/>
      <w:marBottom w:val="0"/>
      <w:divBdr>
        <w:top w:val="none" w:sz="0" w:space="0" w:color="auto"/>
        <w:left w:val="none" w:sz="0" w:space="0" w:color="auto"/>
        <w:bottom w:val="none" w:sz="0" w:space="0" w:color="auto"/>
        <w:right w:val="none" w:sz="0" w:space="0" w:color="auto"/>
      </w:divBdr>
    </w:div>
    <w:div w:id="1731688828">
      <w:bodyDiv w:val="1"/>
      <w:marLeft w:val="0"/>
      <w:marRight w:val="0"/>
      <w:marTop w:val="0"/>
      <w:marBottom w:val="0"/>
      <w:divBdr>
        <w:top w:val="none" w:sz="0" w:space="0" w:color="auto"/>
        <w:left w:val="none" w:sz="0" w:space="0" w:color="auto"/>
        <w:bottom w:val="none" w:sz="0" w:space="0" w:color="auto"/>
        <w:right w:val="none" w:sz="0" w:space="0" w:color="auto"/>
      </w:divBdr>
    </w:div>
    <w:div w:id="1741712457">
      <w:bodyDiv w:val="1"/>
      <w:marLeft w:val="0"/>
      <w:marRight w:val="0"/>
      <w:marTop w:val="0"/>
      <w:marBottom w:val="0"/>
      <w:divBdr>
        <w:top w:val="none" w:sz="0" w:space="0" w:color="auto"/>
        <w:left w:val="none" w:sz="0" w:space="0" w:color="auto"/>
        <w:bottom w:val="none" w:sz="0" w:space="0" w:color="auto"/>
        <w:right w:val="none" w:sz="0" w:space="0" w:color="auto"/>
      </w:divBdr>
    </w:div>
    <w:div w:id="1753812118">
      <w:bodyDiv w:val="1"/>
      <w:marLeft w:val="0"/>
      <w:marRight w:val="0"/>
      <w:marTop w:val="0"/>
      <w:marBottom w:val="0"/>
      <w:divBdr>
        <w:top w:val="none" w:sz="0" w:space="0" w:color="auto"/>
        <w:left w:val="none" w:sz="0" w:space="0" w:color="auto"/>
        <w:bottom w:val="none" w:sz="0" w:space="0" w:color="auto"/>
        <w:right w:val="none" w:sz="0" w:space="0" w:color="auto"/>
      </w:divBdr>
    </w:div>
    <w:div w:id="1754352012">
      <w:bodyDiv w:val="1"/>
      <w:marLeft w:val="0"/>
      <w:marRight w:val="0"/>
      <w:marTop w:val="0"/>
      <w:marBottom w:val="0"/>
      <w:divBdr>
        <w:top w:val="none" w:sz="0" w:space="0" w:color="auto"/>
        <w:left w:val="none" w:sz="0" w:space="0" w:color="auto"/>
        <w:bottom w:val="none" w:sz="0" w:space="0" w:color="auto"/>
        <w:right w:val="none" w:sz="0" w:space="0" w:color="auto"/>
      </w:divBdr>
    </w:div>
    <w:div w:id="1780836937">
      <w:bodyDiv w:val="1"/>
      <w:marLeft w:val="0"/>
      <w:marRight w:val="0"/>
      <w:marTop w:val="0"/>
      <w:marBottom w:val="0"/>
      <w:divBdr>
        <w:top w:val="none" w:sz="0" w:space="0" w:color="auto"/>
        <w:left w:val="none" w:sz="0" w:space="0" w:color="auto"/>
        <w:bottom w:val="none" w:sz="0" w:space="0" w:color="auto"/>
        <w:right w:val="none" w:sz="0" w:space="0" w:color="auto"/>
      </w:divBdr>
    </w:div>
    <w:div w:id="1789275532">
      <w:bodyDiv w:val="1"/>
      <w:marLeft w:val="0"/>
      <w:marRight w:val="0"/>
      <w:marTop w:val="0"/>
      <w:marBottom w:val="0"/>
      <w:divBdr>
        <w:top w:val="none" w:sz="0" w:space="0" w:color="auto"/>
        <w:left w:val="none" w:sz="0" w:space="0" w:color="auto"/>
        <w:bottom w:val="none" w:sz="0" w:space="0" w:color="auto"/>
        <w:right w:val="none" w:sz="0" w:space="0" w:color="auto"/>
      </w:divBdr>
    </w:div>
    <w:div w:id="1801724725">
      <w:bodyDiv w:val="1"/>
      <w:marLeft w:val="0"/>
      <w:marRight w:val="0"/>
      <w:marTop w:val="0"/>
      <w:marBottom w:val="0"/>
      <w:divBdr>
        <w:top w:val="none" w:sz="0" w:space="0" w:color="auto"/>
        <w:left w:val="none" w:sz="0" w:space="0" w:color="auto"/>
        <w:bottom w:val="none" w:sz="0" w:space="0" w:color="auto"/>
        <w:right w:val="none" w:sz="0" w:space="0" w:color="auto"/>
      </w:divBdr>
    </w:div>
    <w:div w:id="1804619018">
      <w:bodyDiv w:val="1"/>
      <w:marLeft w:val="0"/>
      <w:marRight w:val="0"/>
      <w:marTop w:val="0"/>
      <w:marBottom w:val="0"/>
      <w:divBdr>
        <w:top w:val="none" w:sz="0" w:space="0" w:color="auto"/>
        <w:left w:val="none" w:sz="0" w:space="0" w:color="auto"/>
        <w:bottom w:val="none" w:sz="0" w:space="0" w:color="auto"/>
        <w:right w:val="none" w:sz="0" w:space="0" w:color="auto"/>
      </w:divBdr>
    </w:div>
    <w:div w:id="1831553523">
      <w:bodyDiv w:val="1"/>
      <w:marLeft w:val="0"/>
      <w:marRight w:val="0"/>
      <w:marTop w:val="0"/>
      <w:marBottom w:val="0"/>
      <w:divBdr>
        <w:top w:val="none" w:sz="0" w:space="0" w:color="auto"/>
        <w:left w:val="none" w:sz="0" w:space="0" w:color="auto"/>
        <w:bottom w:val="none" w:sz="0" w:space="0" w:color="auto"/>
        <w:right w:val="none" w:sz="0" w:space="0" w:color="auto"/>
      </w:divBdr>
    </w:div>
    <w:div w:id="1854420313">
      <w:bodyDiv w:val="1"/>
      <w:marLeft w:val="0"/>
      <w:marRight w:val="0"/>
      <w:marTop w:val="0"/>
      <w:marBottom w:val="0"/>
      <w:divBdr>
        <w:top w:val="none" w:sz="0" w:space="0" w:color="auto"/>
        <w:left w:val="none" w:sz="0" w:space="0" w:color="auto"/>
        <w:bottom w:val="none" w:sz="0" w:space="0" w:color="auto"/>
        <w:right w:val="none" w:sz="0" w:space="0" w:color="auto"/>
      </w:divBdr>
    </w:div>
    <w:div w:id="1860193392">
      <w:bodyDiv w:val="1"/>
      <w:marLeft w:val="0"/>
      <w:marRight w:val="0"/>
      <w:marTop w:val="0"/>
      <w:marBottom w:val="0"/>
      <w:divBdr>
        <w:top w:val="none" w:sz="0" w:space="0" w:color="auto"/>
        <w:left w:val="none" w:sz="0" w:space="0" w:color="auto"/>
        <w:bottom w:val="none" w:sz="0" w:space="0" w:color="auto"/>
        <w:right w:val="none" w:sz="0" w:space="0" w:color="auto"/>
      </w:divBdr>
    </w:div>
    <w:div w:id="1861580891">
      <w:bodyDiv w:val="1"/>
      <w:marLeft w:val="0"/>
      <w:marRight w:val="0"/>
      <w:marTop w:val="0"/>
      <w:marBottom w:val="0"/>
      <w:divBdr>
        <w:top w:val="none" w:sz="0" w:space="0" w:color="auto"/>
        <w:left w:val="none" w:sz="0" w:space="0" w:color="auto"/>
        <w:bottom w:val="none" w:sz="0" w:space="0" w:color="auto"/>
        <w:right w:val="none" w:sz="0" w:space="0" w:color="auto"/>
      </w:divBdr>
    </w:div>
    <w:div w:id="1882814407">
      <w:bodyDiv w:val="1"/>
      <w:marLeft w:val="0"/>
      <w:marRight w:val="0"/>
      <w:marTop w:val="0"/>
      <w:marBottom w:val="0"/>
      <w:divBdr>
        <w:top w:val="none" w:sz="0" w:space="0" w:color="auto"/>
        <w:left w:val="none" w:sz="0" w:space="0" w:color="auto"/>
        <w:bottom w:val="none" w:sz="0" w:space="0" w:color="auto"/>
        <w:right w:val="none" w:sz="0" w:space="0" w:color="auto"/>
      </w:divBdr>
    </w:div>
    <w:div w:id="1888182311">
      <w:bodyDiv w:val="1"/>
      <w:marLeft w:val="0"/>
      <w:marRight w:val="0"/>
      <w:marTop w:val="0"/>
      <w:marBottom w:val="0"/>
      <w:divBdr>
        <w:top w:val="none" w:sz="0" w:space="0" w:color="auto"/>
        <w:left w:val="none" w:sz="0" w:space="0" w:color="auto"/>
        <w:bottom w:val="none" w:sz="0" w:space="0" w:color="auto"/>
        <w:right w:val="none" w:sz="0" w:space="0" w:color="auto"/>
      </w:divBdr>
    </w:div>
    <w:div w:id="1903372424">
      <w:bodyDiv w:val="1"/>
      <w:marLeft w:val="0"/>
      <w:marRight w:val="0"/>
      <w:marTop w:val="0"/>
      <w:marBottom w:val="0"/>
      <w:divBdr>
        <w:top w:val="none" w:sz="0" w:space="0" w:color="auto"/>
        <w:left w:val="none" w:sz="0" w:space="0" w:color="auto"/>
        <w:bottom w:val="none" w:sz="0" w:space="0" w:color="auto"/>
        <w:right w:val="none" w:sz="0" w:space="0" w:color="auto"/>
      </w:divBdr>
    </w:div>
    <w:div w:id="1915361110">
      <w:bodyDiv w:val="1"/>
      <w:marLeft w:val="0"/>
      <w:marRight w:val="0"/>
      <w:marTop w:val="0"/>
      <w:marBottom w:val="0"/>
      <w:divBdr>
        <w:top w:val="none" w:sz="0" w:space="0" w:color="auto"/>
        <w:left w:val="none" w:sz="0" w:space="0" w:color="auto"/>
        <w:bottom w:val="none" w:sz="0" w:space="0" w:color="auto"/>
        <w:right w:val="none" w:sz="0" w:space="0" w:color="auto"/>
      </w:divBdr>
    </w:div>
    <w:div w:id="1915969585">
      <w:bodyDiv w:val="1"/>
      <w:marLeft w:val="0"/>
      <w:marRight w:val="0"/>
      <w:marTop w:val="0"/>
      <w:marBottom w:val="0"/>
      <w:divBdr>
        <w:top w:val="none" w:sz="0" w:space="0" w:color="auto"/>
        <w:left w:val="none" w:sz="0" w:space="0" w:color="auto"/>
        <w:bottom w:val="none" w:sz="0" w:space="0" w:color="auto"/>
        <w:right w:val="none" w:sz="0" w:space="0" w:color="auto"/>
      </w:divBdr>
    </w:div>
    <w:div w:id="1923831100">
      <w:bodyDiv w:val="1"/>
      <w:marLeft w:val="0"/>
      <w:marRight w:val="0"/>
      <w:marTop w:val="0"/>
      <w:marBottom w:val="0"/>
      <w:divBdr>
        <w:top w:val="none" w:sz="0" w:space="0" w:color="auto"/>
        <w:left w:val="none" w:sz="0" w:space="0" w:color="auto"/>
        <w:bottom w:val="none" w:sz="0" w:space="0" w:color="auto"/>
        <w:right w:val="none" w:sz="0" w:space="0" w:color="auto"/>
      </w:divBdr>
    </w:div>
    <w:div w:id="1955483461">
      <w:bodyDiv w:val="1"/>
      <w:marLeft w:val="0"/>
      <w:marRight w:val="0"/>
      <w:marTop w:val="0"/>
      <w:marBottom w:val="0"/>
      <w:divBdr>
        <w:top w:val="none" w:sz="0" w:space="0" w:color="auto"/>
        <w:left w:val="none" w:sz="0" w:space="0" w:color="auto"/>
        <w:bottom w:val="none" w:sz="0" w:space="0" w:color="auto"/>
        <w:right w:val="none" w:sz="0" w:space="0" w:color="auto"/>
      </w:divBdr>
    </w:div>
    <w:div w:id="1983583243">
      <w:bodyDiv w:val="1"/>
      <w:marLeft w:val="0"/>
      <w:marRight w:val="0"/>
      <w:marTop w:val="0"/>
      <w:marBottom w:val="0"/>
      <w:divBdr>
        <w:top w:val="none" w:sz="0" w:space="0" w:color="auto"/>
        <w:left w:val="none" w:sz="0" w:space="0" w:color="auto"/>
        <w:bottom w:val="none" w:sz="0" w:space="0" w:color="auto"/>
        <w:right w:val="none" w:sz="0" w:space="0" w:color="auto"/>
      </w:divBdr>
    </w:div>
    <w:div w:id="1986348540">
      <w:bodyDiv w:val="1"/>
      <w:marLeft w:val="0"/>
      <w:marRight w:val="0"/>
      <w:marTop w:val="0"/>
      <w:marBottom w:val="0"/>
      <w:divBdr>
        <w:top w:val="none" w:sz="0" w:space="0" w:color="auto"/>
        <w:left w:val="none" w:sz="0" w:space="0" w:color="auto"/>
        <w:bottom w:val="none" w:sz="0" w:space="0" w:color="auto"/>
        <w:right w:val="none" w:sz="0" w:space="0" w:color="auto"/>
      </w:divBdr>
    </w:div>
    <w:div w:id="1990673315">
      <w:bodyDiv w:val="1"/>
      <w:marLeft w:val="0"/>
      <w:marRight w:val="0"/>
      <w:marTop w:val="0"/>
      <w:marBottom w:val="0"/>
      <w:divBdr>
        <w:top w:val="none" w:sz="0" w:space="0" w:color="auto"/>
        <w:left w:val="none" w:sz="0" w:space="0" w:color="auto"/>
        <w:bottom w:val="none" w:sz="0" w:space="0" w:color="auto"/>
        <w:right w:val="none" w:sz="0" w:space="0" w:color="auto"/>
      </w:divBdr>
    </w:div>
    <w:div w:id="2003661456">
      <w:bodyDiv w:val="1"/>
      <w:marLeft w:val="0"/>
      <w:marRight w:val="0"/>
      <w:marTop w:val="0"/>
      <w:marBottom w:val="0"/>
      <w:divBdr>
        <w:top w:val="none" w:sz="0" w:space="0" w:color="auto"/>
        <w:left w:val="none" w:sz="0" w:space="0" w:color="auto"/>
        <w:bottom w:val="none" w:sz="0" w:space="0" w:color="auto"/>
        <w:right w:val="none" w:sz="0" w:space="0" w:color="auto"/>
      </w:divBdr>
    </w:div>
    <w:div w:id="2018118495">
      <w:bodyDiv w:val="1"/>
      <w:marLeft w:val="0"/>
      <w:marRight w:val="0"/>
      <w:marTop w:val="0"/>
      <w:marBottom w:val="0"/>
      <w:divBdr>
        <w:top w:val="none" w:sz="0" w:space="0" w:color="auto"/>
        <w:left w:val="none" w:sz="0" w:space="0" w:color="auto"/>
        <w:bottom w:val="none" w:sz="0" w:space="0" w:color="auto"/>
        <w:right w:val="none" w:sz="0" w:space="0" w:color="auto"/>
      </w:divBdr>
    </w:div>
    <w:div w:id="2023429564">
      <w:bodyDiv w:val="1"/>
      <w:marLeft w:val="0"/>
      <w:marRight w:val="0"/>
      <w:marTop w:val="0"/>
      <w:marBottom w:val="0"/>
      <w:divBdr>
        <w:top w:val="none" w:sz="0" w:space="0" w:color="auto"/>
        <w:left w:val="none" w:sz="0" w:space="0" w:color="auto"/>
        <w:bottom w:val="none" w:sz="0" w:space="0" w:color="auto"/>
        <w:right w:val="none" w:sz="0" w:space="0" w:color="auto"/>
      </w:divBdr>
    </w:div>
    <w:div w:id="2027053037">
      <w:bodyDiv w:val="1"/>
      <w:marLeft w:val="0"/>
      <w:marRight w:val="0"/>
      <w:marTop w:val="0"/>
      <w:marBottom w:val="0"/>
      <w:divBdr>
        <w:top w:val="none" w:sz="0" w:space="0" w:color="auto"/>
        <w:left w:val="none" w:sz="0" w:space="0" w:color="auto"/>
        <w:bottom w:val="none" w:sz="0" w:space="0" w:color="auto"/>
        <w:right w:val="none" w:sz="0" w:space="0" w:color="auto"/>
      </w:divBdr>
    </w:div>
    <w:div w:id="2031057791">
      <w:bodyDiv w:val="1"/>
      <w:marLeft w:val="0"/>
      <w:marRight w:val="0"/>
      <w:marTop w:val="0"/>
      <w:marBottom w:val="0"/>
      <w:divBdr>
        <w:top w:val="none" w:sz="0" w:space="0" w:color="auto"/>
        <w:left w:val="none" w:sz="0" w:space="0" w:color="auto"/>
        <w:bottom w:val="none" w:sz="0" w:space="0" w:color="auto"/>
        <w:right w:val="none" w:sz="0" w:space="0" w:color="auto"/>
      </w:divBdr>
    </w:div>
    <w:div w:id="2032023006">
      <w:bodyDiv w:val="1"/>
      <w:marLeft w:val="0"/>
      <w:marRight w:val="0"/>
      <w:marTop w:val="0"/>
      <w:marBottom w:val="0"/>
      <w:divBdr>
        <w:top w:val="none" w:sz="0" w:space="0" w:color="auto"/>
        <w:left w:val="none" w:sz="0" w:space="0" w:color="auto"/>
        <w:bottom w:val="none" w:sz="0" w:space="0" w:color="auto"/>
        <w:right w:val="none" w:sz="0" w:space="0" w:color="auto"/>
      </w:divBdr>
    </w:div>
    <w:div w:id="2041516351">
      <w:bodyDiv w:val="1"/>
      <w:marLeft w:val="0"/>
      <w:marRight w:val="0"/>
      <w:marTop w:val="0"/>
      <w:marBottom w:val="0"/>
      <w:divBdr>
        <w:top w:val="none" w:sz="0" w:space="0" w:color="auto"/>
        <w:left w:val="none" w:sz="0" w:space="0" w:color="auto"/>
        <w:bottom w:val="none" w:sz="0" w:space="0" w:color="auto"/>
        <w:right w:val="none" w:sz="0" w:space="0" w:color="auto"/>
      </w:divBdr>
    </w:div>
    <w:div w:id="2125070544">
      <w:bodyDiv w:val="1"/>
      <w:marLeft w:val="0"/>
      <w:marRight w:val="0"/>
      <w:marTop w:val="0"/>
      <w:marBottom w:val="0"/>
      <w:divBdr>
        <w:top w:val="none" w:sz="0" w:space="0" w:color="auto"/>
        <w:left w:val="none" w:sz="0" w:space="0" w:color="auto"/>
        <w:bottom w:val="none" w:sz="0" w:space="0" w:color="auto"/>
        <w:right w:val="none" w:sz="0" w:space="0" w:color="auto"/>
      </w:divBdr>
    </w:div>
    <w:div w:id="2125154810">
      <w:bodyDiv w:val="1"/>
      <w:marLeft w:val="0"/>
      <w:marRight w:val="0"/>
      <w:marTop w:val="0"/>
      <w:marBottom w:val="0"/>
      <w:divBdr>
        <w:top w:val="none" w:sz="0" w:space="0" w:color="auto"/>
        <w:left w:val="none" w:sz="0" w:space="0" w:color="auto"/>
        <w:bottom w:val="none" w:sz="0" w:space="0" w:color="auto"/>
        <w:right w:val="none" w:sz="0" w:space="0" w:color="auto"/>
      </w:divBdr>
    </w:div>
    <w:div w:id="2136095637">
      <w:bodyDiv w:val="1"/>
      <w:marLeft w:val="0"/>
      <w:marRight w:val="0"/>
      <w:marTop w:val="0"/>
      <w:marBottom w:val="0"/>
      <w:divBdr>
        <w:top w:val="none" w:sz="0" w:space="0" w:color="auto"/>
        <w:left w:val="none" w:sz="0" w:space="0" w:color="auto"/>
        <w:bottom w:val="none" w:sz="0" w:space="0" w:color="auto"/>
        <w:right w:val="none" w:sz="0" w:space="0" w:color="auto"/>
      </w:divBdr>
    </w:div>
    <w:div w:id="2139912559">
      <w:bodyDiv w:val="1"/>
      <w:marLeft w:val="0"/>
      <w:marRight w:val="0"/>
      <w:marTop w:val="0"/>
      <w:marBottom w:val="0"/>
      <w:divBdr>
        <w:top w:val="none" w:sz="0" w:space="0" w:color="auto"/>
        <w:left w:val="none" w:sz="0" w:space="0" w:color="auto"/>
        <w:bottom w:val="none" w:sz="0" w:space="0" w:color="auto"/>
        <w:right w:val="none" w:sz="0" w:space="0" w:color="auto"/>
      </w:divBdr>
    </w:div>
    <w:div w:id="214515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63.xml"/><Relationship Id="rId21" Type="http://schemas.openxmlformats.org/officeDocument/2006/relationships/footer" Target="footer4.xml"/><Relationship Id="rId42" Type="http://schemas.openxmlformats.org/officeDocument/2006/relationships/footer" Target="footer9.xml"/><Relationship Id="rId63" Type="http://schemas.openxmlformats.org/officeDocument/2006/relationships/chart" Target="charts/chart27.xml"/><Relationship Id="rId84" Type="http://schemas.openxmlformats.org/officeDocument/2006/relationships/chart" Target="charts/chart42.xml"/><Relationship Id="rId138" Type="http://schemas.openxmlformats.org/officeDocument/2006/relationships/chart" Target="charts/chart77.xml"/><Relationship Id="rId159" Type="http://schemas.openxmlformats.org/officeDocument/2006/relationships/chart" Target="charts/chart92.xml"/><Relationship Id="rId170" Type="http://schemas.openxmlformats.org/officeDocument/2006/relationships/chart" Target="charts/chart97.xml"/><Relationship Id="rId191" Type="http://schemas.openxmlformats.org/officeDocument/2006/relationships/chart" Target="charts/chart112.xml"/><Relationship Id="rId205" Type="http://schemas.openxmlformats.org/officeDocument/2006/relationships/footer" Target="footer36.xml"/><Relationship Id="rId226" Type="http://schemas.openxmlformats.org/officeDocument/2006/relationships/chart" Target="charts/chart135.xml"/><Relationship Id="rId247" Type="http://schemas.openxmlformats.org/officeDocument/2006/relationships/chart" Target="charts/chart150.xml"/><Relationship Id="rId107" Type="http://schemas.openxmlformats.org/officeDocument/2006/relationships/chart" Target="charts/chart59.xml"/><Relationship Id="rId268" Type="http://schemas.openxmlformats.org/officeDocument/2006/relationships/chart" Target="charts/chart165.xml"/><Relationship Id="rId11" Type="http://schemas.openxmlformats.org/officeDocument/2006/relationships/endnotes" Target="endnotes.xml"/><Relationship Id="rId32" Type="http://schemas.openxmlformats.org/officeDocument/2006/relationships/chart" Target="charts/chart8.xml"/><Relationship Id="rId53" Type="http://schemas.openxmlformats.org/officeDocument/2006/relationships/chart" Target="charts/chart23.xml"/><Relationship Id="rId74" Type="http://schemas.openxmlformats.org/officeDocument/2006/relationships/header" Target="header14.xml"/><Relationship Id="rId128" Type="http://schemas.openxmlformats.org/officeDocument/2006/relationships/header" Target="header22.xml"/><Relationship Id="rId149" Type="http://schemas.openxmlformats.org/officeDocument/2006/relationships/footer" Target="footer26.xml"/><Relationship Id="rId5" Type="http://schemas.openxmlformats.org/officeDocument/2006/relationships/numbering" Target="numbering.xml"/><Relationship Id="rId95" Type="http://schemas.openxmlformats.org/officeDocument/2006/relationships/header" Target="header18.xml"/><Relationship Id="rId160" Type="http://schemas.openxmlformats.org/officeDocument/2006/relationships/chart" Target="charts/chart93.xml"/><Relationship Id="rId181" Type="http://schemas.openxmlformats.org/officeDocument/2006/relationships/chart" Target="charts/chart108.xml"/><Relationship Id="rId216" Type="http://schemas.openxmlformats.org/officeDocument/2006/relationships/chart" Target="charts/chart131.xml"/><Relationship Id="rId237" Type="http://schemas.openxmlformats.org/officeDocument/2006/relationships/header" Target="header41.xml"/><Relationship Id="rId258" Type="http://schemas.openxmlformats.org/officeDocument/2006/relationships/header" Target="header45.xml"/><Relationship Id="rId279" Type="http://schemas.openxmlformats.org/officeDocument/2006/relationships/theme" Target="theme/theme1.xml"/><Relationship Id="rId22" Type="http://schemas.openxmlformats.org/officeDocument/2006/relationships/footer" Target="footer5.xml"/><Relationship Id="rId43" Type="http://schemas.openxmlformats.org/officeDocument/2006/relationships/chart" Target="charts/chart13.xml"/><Relationship Id="rId64" Type="http://schemas.openxmlformats.org/officeDocument/2006/relationships/chart" Target="charts/chart28.xml"/><Relationship Id="rId118" Type="http://schemas.openxmlformats.org/officeDocument/2006/relationships/chart" Target="charts/chart64.xml"/><Relationship Id="rId139" Type="http://schemas.openxmlformats.org/officeDocument/2006/relationships/chart" Target="charts/chart78.xml"/><Relationship Id="rId85" Type="http://schemas.openxmlformats.org/officeDocument/2006/relationships/chart" Target="charts/chart43.xml"/><Relationship Id="rId150" Type="http://schemas.openxmlformats.org/officeDocument/2006/relationships/header" Target="header27.xml"/><Relationship Id="rId171" Type="http://schemas.openxmlformats.org/officeDocument/2006/relationships/chart" Target="charts/chart98.xml"/><Relationship Id="rId192" Type="http://schemas.openxmlformats.org/officeDocument/2006/relationships/chart" Target="charts/chart113.xml"/><Relationship Id="rId206" Type="http://schemas.openxmlformats.org/officeDocument/2006/relationships/chart" Target="charts/chart121.xml"/><Relationship Id="rId227" Type="http://schemas.openxmlformats.org/officeDocument/2006/relationships/chart" Target="charts/chart136.xml"/><Relationship Id="rId248" Type="http://schemas.openxmlformats.org/officeDocument/2006/relationships/chart" Target="charts/chart151.xml"/><Relationship Id="rId269" Type="http://schemas.openxmlformats.org/officeDocument/2006/relationships/chart" Target="charts/chart166.xml"/><Relationship Id="rId12" Type="http://schemas.openxmlformats.org/officeDocument/2006/relationships/image" Target="media/image1.emf"/><Relationship Id="rId33" Type="http://schemas.openxmlformats.org/officeDocument/2006/relationships/chart" Target="charts/chart9.xml"/><Relationship Id="rId108" Type="http://schemas.openxmlformats.org/officeDocument/2006/relationships/chart" Target="charts/chart60.xml"/><Relationship Id="rId129" Type="http://schemas.openxmlformats.org/officeDocument/2006/relationships/header" Target="header23.xml"/><Relationship Id="rId54" Type="http://schemas.openxmlformats.org/officeDocument/2006/relationships/chart" Target="charts/chart24.xml"/><Relationship Id="rId75" Type="http://schemas.openxmlformats.org/officeDocument/2006/relationships/footer" Target="footer13.xml"/><Relationship Id="rId96" Type="http://schemas.openxmlformats.org/officeDocument/2006/relationships/footer" Target="footer18.xml"/><Relationship Id="rId140" Type="http://schemas.openxmlformats.org/officeDocument/2006/relationships/chart" Target="charts/chart79.xml"/><Relationship Id="rId161" Type="http://schemas.openxmlformats.org/officeDocument/2006/relationships/chart" Target="charts/chart94.xml"/><Relationship Id="rId182" Type="http://schemas.openxmlformats.org/officeDocument/2006/relationships/header" Target="header31.xml"/><Relationship Id="rId217" Type="http://schemas.openxmlformats.org/officeDocument/2006/relationships/chart" Target="charts/chart132.xml"/><Relationship Id="rId6" Type="http://schemas.openxmlformats.org/officeDocument/2006/relationships/styles" Target="styles.xml"/><Relationship Id="rId238" Type="http://schemas.openxmlformats.org/officeDocument/2006/relationships/footer" Target="footer40.xml"/><Relationship Id="rId259" Type="http://schemas.openxmlformats.org/officeDocument/2006/relationships/footer" Target="footer45.xml"/><Relationship Id="rId23" Type="http://schemas.openxmlformats.org/officeDocument/2006/relationships/header" Target="header6.xml"/><Relationship Id="rId119" Type="http://schemas.openxmlformats.org/officeDocument/2006/relationships/chart" Target="charts/chart65.xml"/><Relationship Id="rId270" Type="http://schemas.openxmlformats.org/officeDocument/2006/relationships/chart" Target="charts/chart167.xml"/><Relationship Id="rId44" Type="http://schemas.openxmlformats.org/officeDocument/2006/relationships/chart" Target="charts/chart14.xml"/><Relationship Id="rId65" Type="http://schemas.openxmlformats.org/officeDocument/2006/relationships/chart" Target="charts/chart29.xml"/><Relationship Id="rId86" Type="http://schemas.openxmlformats.org/officeDocument/2006/relationships/chart" Target="charts/chart44.xml"/><Relationship Id="rId130" Type="http://schemas.openxmlformats.org/officeDocument/2006/relationships/footer" Target="footer22.xml"/><Relationship Id="rId151" Type="http://schemas.openxmlformats.org/officeDocument/2006/relationships/footer" Target="footer27.xml"/><Relationship Id="rId172" Type="http://schemas.openxmlformats.org/officeDocument/2006/relationships/chart" Target="charts/chart99.xml"/><Relationship Id="rId193" Type="http://schemas.openxmlformats.org/officeDocument/2006/relationships/chart" Target="charts/chart114.xml"/><Relationship Id="rId202" Type="http://schemas.openxmlformats.org/officeDocument/2006/relationships/footer" Target="footer34.xml"/><Relationship Id="rId207" Type="http://schemas.openxmlformats.org/officeDocument/2006/relationships/chart" Target="charts/chart122.xml"/><Relationship Id="rId223" Type="http://schemas.openxmlformats.org/officeDocument/2006/relationships/footer" Target="footer39.xml"/><Relationship Id="rId228" Type="http://schemas.openxmlformats.org/officeDocument/2006/relationships/chart" Target="charts/chart137.xml"/><Relationship Id="rId244" Type="http://schemas.openxmlformats.org/officeDocument/2006/relationships/chart" Target="charts/chart147.xml"/><Relationship Id="rId249" Type="http://schemas.openxmlformats.org/officeDocument/2006/relationships/chart" Target="charts/chart152.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7.xml"/><Relationship Id="rId109" Type="http://schemas.openxmlformats.org/officeDocument/2006/relationships/header" Target="header19.xml"/><Relationship Id="rId260" Type="http://schemas.openxmlformats.org/officeDocument/2006/relationships/chart" Target="charts/chart157.xml"/><Relationship Id="rId265" Type="http://schemas.openxmlformats.org/officeDocument/2006/relationships/chart" Target="charts/chart162.xml"/><Relationship Id="rId34" Type="http://schemas.openxmlformats.org/officeDocument/2006/relationships/chart" Target="charts/chart10.xml"/><Relationship Id="rId50" Type="http://schemas.openxmlformats.org/officeDocument/2006/relationships/chart" Target="charts/chart20.xml"/><Relationship Id="rId55" Type="http://schemas.openxmlformats.org/officeDocument/2006/relationships/header" Target="header10.xml"/><Relationship Id="rId76" Type="http://schemas.openxmlformats.org/officeDocument/2006/relationships/footer" Target="footer14.xml"/><Relationship Id="rId97" Type="http://schemas.openxmlformats.org/officeDocument/2006/relationships/chart" Target="charts/chart49.xml"/><Relationship Id="rId104" Type="http://schemas.openxmlformats.org/officeDocument/2006/relationships/chart" Target="charts/chart56.xml"/><Relationship Id="rId120" Type="http://schemas.openxmlformats.org/officeDocument/2006/relationships/chart" Target="charts/chart66.xml"/><Relationship Id="rId125" Type="http://schemas.openxmlformats.org/officeDocument/2006/relationships/chart" Target="charts/chart70.xml"/><Relationship Id="rId141" Type="http://schemas.openxmlformats.org/officeDocument/2006/relationships/chart" Target="charts/chart80.xml"/><Relationship Id="rId146" Type="http://schemas.openxmlformats.org/officeDocument/2006/relationships/header" Target="header25.xml"/><Relationship Id="rId167" Type="http://schemas.openxmlformats.org/officeDocument/2006/relationships/footer" Target="footer29.xml"/><Relationship Id="rId188" Type="http://schemas.openxmlformats.org/officeDocument/2006/relationships/chart" Target="charts/chart109.xml"/><Relationship Id="rId7" Type="http://schemas.microsoft.com/office/2007/relationships/stylesWithEffects" Target="stylesWithEffects.xml"/><Relationship Id="rId71" Type="http://schemas.openxmlformats.org/officeDocument/2006/relationships/chart" Target="charts/chart35.xml"/><Relationship Id="rId92" Type="http://schemas.openxmlformats.org/officeDocument/2006/relationships/header" Target="header17.xml"/><Relationship Id="rId162" Type="http://schemas.openxmlformats.org/officeDocument/2006/relationships/chart" Target="charts/chart95.xml"/><Relationship Id="rId183" Type="http://schemas.openxmlformats.org/officeDocument/2006/relationships/header" Target="header32.xml"/><Relationship Id="rId213" Type="http://schemas.openxmlformats.org/officeDocument/2006/relationships/chart" Target="charts/chart128.xml"/><Relationship Id="rId218" Type="http://schemas.openxmlformats.org/officeDocument/2006/relationships/header" Target="header37.xml"/><Relationship Id="rId234" Type="http://schemas.openxmlformats.org/officeDocument/2006/relationships/chart" Target="charts/chart143.xml"/><Relationship Id="rId239" Type="http://schemas.openxmlformats.org/officeDocument/2006/relationships/footer" Target="footer41.xml"/><Relationship Id="rId2" Type="http://schemas.openxmlformats.org/officeDocument/2006/relationships/customXml" Target="../customXml/item2.xml"/><Relationship Id="rId29" Type="http://schemas.openxmlformats.org/officeDocument/2006/relationships/chart" Target="charts/chart5.xml"/><Relationship Id="rId250" Type="http://schemas.openxmlformats.org/officeDocument/2006/relationships/chart" Target="charts/chart153.xml"/><Relationship Id="rId255" Type="http://schemas.openxmlformats.org/officeDocument/2006/relationships/header" Target="header44.xml"/><Relationship Id="rId271" Type="http://schemas.openxmlformats.org/officeDocument/2006/relationships/chart" Target="charts/chart168.xml"/><Relationship Id="rId276" Type="http://schemas.openxmlformats.org/officeDocument/2006/relationships/header" Target="header48.xml"/><Relationship Id="rId24" Type="http://schemas.openxmlformats.org/officeDocument/2006/relationships/footer" Target="footer6.xml"/><Relationship Id="rId40" Type="http://schemas.openxmlformats.org/officeDocument/2006/relationships/footer" Target="footer8.xml"/><Relationship Id="rId45" Type="http://schemas.openxmlformats.org/officeDocument/2006/relationships/chart" Target="charts/chart15.xml"/><Relationship Id="rId66" Type="http://schemas.openxmlformats.org/officeDocument/2006/relationships/chart" Target="charts/chart30.xml"/><Relationship Id="rId87" Type="http://schemas.openxmlformats.org/officeDocument/2006/relationships/chart" Target="charts/chart45.xml"/><Relationship Id="rId110" Type="http://schemas.openxmlformats.org/officeDocument/2006/relationships/header" Target="header20.xml"/><Relationship Id="rId115" Type="http://schemas.openxmlformats.org/officeDocument/2006/relationships/chart" Target="charts/chart61.xml"/><Relationship Id="rId131" Type="http://schemas.openxmlformats.org/officeDocument/2006/relationships/footer" Target="footer23.xml"/><Relationship Id="rId136" Type="http://schemas.openxmlformats.org/officeDocument/2006/relationships/chart" Target="charts/chart75.xml"/><Relationship Id="rId157" Type="http://schemas.openxmlformats.org/officeDocument/2006/relationships/chart" Target="charts/chart90.xml"/><Relationship Id="rId178" Type="http://schemas.openxmlformats.org/officeDocument/2006/relationships/chart" Target="charts/chart105.xml"/><Relationship Id="rId61" Type="http://schemas.openxmlformats.org/officeDocument/2006/relationships/chart" Target="charts/chart25.xml"/><Relationship Id="rId82" Type="http://schemas.openxmlformats.org/officeDocument/2006/relationships/chart" Target="charts/chart40.xml"/><Relationship Id="rId152" Type="http://schemas.openxmlformats.org/officeDocument/2006/relationships/chart" Target="charts/chart85.xml"/><Relationship Id="rId173" Type="http://schemas.openxmlformats.org/officeDocument/2006/relationships/chart" Target="charts/chart100.xml"/><Relationship Id="rId194" Type="http://schemas.openxmlformats.org/officeDocument/2006/relationships/chart" Target="charts/chart115.xml"/><Relationship Id="rId199" Type="http://schemas.openxmlformats.org/officeDocument/2006/relationships/chart" Target="charts/chart120.xml"/><Relationship Id="rId203" Type="http://schemas.openxmlformats.org/officeDocument/2006/relationships/footer" Target="footer35.xml"/><Relationship Id="rId208" Type="http://schemas.openxmlformats.org/officeDocument/2006/relationships/chart" Target="charts/chart123.xml"/><Relationship Id="rId229" Type="http://schemas.openxmlformats.org/officeDocument/2006/relationships/chart" Target="charts/chart138.xml"/><Relationship Id="rId19" Type="http://schemas.openxmlformats.org/officeDocument/2006/relationships/header" Target="header4.xml"/><Relationship Id="rId224" Type="http://schemas.openxmlformats.org/officeDocument/2006/relationships/chart" Target="charts/chart133.xml"/><Relationship Id="rId240" Type="http://schemas.openxmlformats.org/officeDocument/2006/relationships/header" Target="header42.xml"/><Relationship Id="rId245" Type="http://schemas.openxmlformats.org/officeDocument/2006/relationships/chart" Target="charts/chart148.xml"/><Relationship Id="rId261" Type="http://schemas.openxmlformats.org/officeDocument/2006/relationships/chart" Target="charts/chart158.xml"/><Relationship Id="rId266" Type="http://schemas.openxmlformats.org/officeDocument/2006/relationships/chart" Target="charts/chart163.xml"/><Relationship Id="rId14" Type="http://schemas.openxmlformats.org/officeDocument/2006/relationships/header" Target="header2.xml"/><Relationship Id="rId30" Type="http://schemas.openxmlformats.org/officeDocument/2006/relationships/chart" Target="charts/chart6.xml"/><Relationship Id="rId35" Type="http://schemas.openxmlformats.org/officeDocument/2006/relationships/chart" Target="charts/chart11.xml"/><Relationship Id="rId56" Type="http://schemas.openxmlformats.org/officeDocument/2006/relationships/header" Target="header11.xml"/><Relationship Id="rId77" Type="http://schemas.openxmlformats.org/officeDocument/2006/relationships/header" Target="header15.xml"/><Relationship Id="rId100" Type="http://schemas.openxmlformats.org/officeDocument/2006/relationships/chart" Target="charts/chart52.xml"/><Relationship Id="rId105" Type="http://schemas.openxmlformats.org/officeDocument/2006/relationships/chart" Target="charts/chart57.xml"/><Relationship Id="rId126" Type="http://schemas.openxmlformats.org/officeDocument/2006/relationships/chart" Target="charts/chart71.xml"/><Relationship Id="rId147" Type="http://schemas.openxmlformats.org/officeDocument/2006/relationships/header" Target="header26.xml"/><Relationship Id="rId168" Type="http://schemas.openxmlformats.org/officeDocument/2006/relationships/header" Target="header30.xml"/><Relationship Id="rId8" Type="http://schemas.openxmlformats.org/officeDocument/2006/relationships/settings" Target="settings.xml"/><Relationship Id="rId51" Type="http://schemas.openxmlformats.org/officeDocument/2006/relationships/chart" Target="charts/chart21.xml"/><Relationship Id="rId72" Type="http://schemas.openxmlformats.org/officeDocument/2006/relationships/chart" Target="charts/chart36.xml"/><Relationship Id="rId93" Type="http://schemas.openxmlformats.org/officeDocument/2006/relationships/footer" Target="footer16.xml"/><Relationship Id="rId98" Type="http://schemas.openxmlformats.org/officeDocument/2006/relationships/chart" Target="charts/chart50.xml"/><Relationship Id="rId121" Type="http://schemas.openxmlformats.org/officeDocument/2006/relationships/chart" Target="charts/chart67.xml"/><Relationship Id="rId142" Type="http://schemas.openxmlformats.org/officeDocument/2006/relationships/chart" Target="charts/chart81.xml"/><Relationship Id="rId163" Type="http://schemas.openxmlformats.org/officeDocument/2006/relationships/chart" Target="charts/chart96.xml"/><Relationship Id="rId184" Type="http://schemas.openxmlformats.org/officeDocument/2006/relationships/footer" Target="footer31.xml"/><Relationship Id="rId189" Type="http://schemas.openxmlformats.org/officeDocument/2006/relationships/chart" Target="charts/chart110.xml"/><Relationship Id="rId219" Type="http://schemas.openxmlformats.org/officeDocument/2006/relationships/header" Target="header38.xml"/><Relationship Id="rId3" Type="http://schemas.openxmlformats.org/officeDocument/2006/relationships/customXml" Target="../customXml/item3.xml"/><Relationship Id="rId214" Type="http://schemas.openxmlformats.org/officeDocument/2006/relationships/chart" Target="charts/chart129.xml"/><Relationship Id="rId230" Type="http://schemas.openxmlformats.org/officeDocument/2006/relationships/chart" Target="charts/chart139.xml"/><Relationship Id="rId235" Type="http://schemas.openxmlformats.org/officeDocument/2006/relationships/chart" Target="charts/chart144.xml"/><Relationship Id="rId251" Type="http://schemas.openxmlformats.org/officeDocument/2006/relationships/chart" Target="charts/chart154.xml"/><Relationship Id="rId256" Type="http://schemas.openxmlformats.org/officeDocument/2006/relationships/footer" Target="footer43.xml"/><Relationship Id="rId277" Type="http://schemas.openxmlformats.org/officeDocument/2006/relationships/footer" Target="footer48.xml"/><Relationship Id="rId25" Type="http://schemas.openxmlformats.org/officeDocument/2006/relationships/chart" Target="charts/chart1.xml"/><Relationship Id="rId46" Type="http://schemas.openxmlformats.org/officeDocument/2006/relationships/chart" Target="charts/chart16.xml"/><Relationship Id="rId67" Type="http://schemas.openxmlformats.org/officeDocument/2006/relationships/chart" Target="charts/chart31.xml"/><Relationship Id="rId116" Type="http://schemas.openxmlformats.org/officeDocument/2006/relationships/chart" Target="charts/chart62.xml"/><Relationship Id="rId137" Type="http://schemas.openxmlformats.org/officeDocument/2006/relationships/chart" Target="charts/chart76.xml"/><Relationship Id="rId158" Type="http://schemas.openxmlformats.org/officeDocument/2006/relationships/chart" Target="charts/chart91.xml"/><Relationship Id="rId272" Type="http://schemas.openxmlformats.org/officeDocument/2006/relationships/header" Target="header46.xml"/><Relationship Id="rId20" Type="http://schemas.openxmlformats.org/officeDocument/2006/relationships/header" Target="header5.xml"/><Relationship Id="rId41" Type="http://schemas.openxmlformats.org/officeDocument/2006/relationships/header" Target="header9.xml"/><Relationship Id="rId62" Type="http://schemas.openxmlformats.org/officeDocument/2006/relationships/chart" Target="charts/chart26.xml"/><Relationship Id="rId83" Type="http://schemas.openxmlformats.org/officeDocument/2006/relationships/chart" Target="charts/chart41.xml"/><Relationship Id="rId88" Type="http://schemas.openxmlformats.org/officeDocument/2006/relationships/chart" Target="charts/chart46.xml"/><Relationship Id="rId111" Type="http://schemas.openxmlformats.org/officeDocument/2006/relationships/footer" Target="footer19.xml"/><Relationship Id="rId132" Type="http://schemas.openxmlformats.org/officeDocument/2006/relationships/header" Target="header24.xml"/><Relationship Id="rId153" Type="http://schemas.openxmlformats.org/officeDocument/2006/relationships/chart" Target="charts/chart86.xml"/><Relationship Id="rId174" Type="http://schemas.openxmlformats.org/officeDocument/2006/relationships/chart" Target="charts/chart101.xml"/><Relationship Id="rId179" Type="http://schemas.openxmlformats.org/officeDocument/2006/relationships/chart" Target="charts/chart106.xml"/><Relationship Id="rId195" Type="http://schemas.openxmlformats.org/officeDocument/2006/relationships/chart" Target="charts/chart116.xml"/><Relationship Id="rId209" Type="http://schemas.openxmlformats.org/officeDocument/2006/relationships/chart" Target="charts/chart124.xml"/><Relationship Id="rId190" Type="http://schemas.openxmlformats.org/officeDocument/2006/relationships/chart" Target="charts/chart111.xml"/><Relationship Id="rId204" Type="http://schemas.openxmlformats.org/officeDocument/2006/relationships/header" Target="header36.xml"/><Relationship Id="rId220" Type="http://schemas.openxmlformats.org/officeDocument/2006/relationships/footer" Target="footer37.xml"/><Relationship Id="rId225" Type="http://schemas.openxmlformats.org/officeDocument/2006/relationships/chart" Target="charts/chart134.xml"/><Relationship Id="rId241" Type="http://schemas.openxmlformats.org/officeDocument/2006/relationships/footer" Target="footer42.xml"/><Relationship Id="rId246" Type="http://schemas.openxmlformats.org/officeDocument/2006/relationships/chart" Target="charts/chart149.xml"/><Relationship Id="rId267" Type="http://schemas.openxmlformats.org/officeDocument/2006/relationships/chart" Target="charts/chart164.xml"/><Relationship Id="rId15" Type="http://schemas.openxmlformats.org/officeDocument/2006/relationships/footer" Target="footer1.xml"/><Relationship Id="rId36" Type="http://schemas.openxmlformats.org/officeDocument/2006/relationships/chart" Target="charts/chart12.xml"/><Relationship Id="rId57" Type="http://schemas.openxmlformats.org/officeDocument/2006/relationships/footer" Target="footer10.xml"/><Relationship Id="rId106" Type="http://schemas.openxmlformats.org/officeDocument/2006/relationships/chart" Target="charts/chart58.xml"/><Relationship Id="rId127" Type="http://schemas.openxmlformats.org/officeDocument/2006/relationships/chart" Target="charts/chart72.xml"/><Relationship Id="rId262" Type="http://schemas.openxmlformats.org/officeDocument/2006/relationships/chart" Target="charts/chart159.xml"/><Relationship Id="rId10" Type="http://schemas.openxmlformats.org/officeDocument/2006/relationships/footnotes" Target="footnotes.xml"/><Relationship Id="rId31" Type="http://schemas.openxmlformats.org/officeDocument/2006/relationships/chart" Target="charts/chart7.xml"/><Relationship Id="rId52" Type="http://schemas.openxmlformats.org/officeDocument/2006/relationships/chart" Target="charts/chart22.xml"/><Relationship Id="rId73" Type="http://schemas.openxmlformats.org/officeDocument/2006/relationships/header" Target="header13.xml"/><Relationship Id="rId78" Type="http://schemas.openxmlformats.org/officeDocument/2006/relationships/footer" Target="footer15.xml"/><Relationship Id="rId94" Type="http://schemas.openxmlformats.org/officeDocument/2006/relationships/footer" Target="footer17.xml"/><Relationship Id="rId99" Type="http://schemas.openxmlformats.org/officeDocument/2006/relationships/chart" Target="charts/chart51.xml"/><Relationship Id="rId101" Type="http://schemas.openxmlformats.org/officeDocument/2006/relationships/chart" Target="charts/chart53.xml"/><Relationship Id="rId122" Type="http://schemas.openxmlformats.org/officeDocument/2006/relationships/chart" Target="charts/chart68.xml"/><Relationship Id="rId143" Type="http://schemas.openxmlformats.org/officeDocument/2006/relationships/chart" Target="charts/chart82.xml"/><Relationship Id="rId148" Type="http://schemas.openxmlformats.org/officeDocument/2006/relationships/footer" Target="footer25.xml"/><Relationship Id="rId164" Type="http://schemas.openxmlformats.org/officeDocument/2006/relationships/header" Target="header28.xml"/><Relationship Id="rId169" Type="http://schemas.openxmlformats.org/officeDocument/2006/relationships/footer" Target="footer30.xml"/><Relationship Id="rId185" Type="http://schemas.openxmlformats.org/officeDocument/2006/relationships/footer" Target="footer32.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chart" Target="charts/chart107.xml"/><Relationship Id="rId210" Type="http://schemas.openxmlformats.org/officeDocument/2006/relationships/chart" Target="charts/chart125.xml"/><Relationship Id="rId215" Type="http://schemas.openxmlformats.org/officeDocument/2006/relationships/chart" Target="charts/chart130.xml"/><Relationship Id="rId236" Type="http://schemas.openxmlformats.org/officeDocument/2006/relationships/header" Target="header40.xml"/><Relationship Id="rId257" Type="http://schemas.openxmlformats.org/officeDocument/2006/relationships/footer" Target="footer44.xml"/><Relationship Id="rId278" Type="http://schemas.openxmlformats.org/officeDocument/2006/relationships/fontTable" Target="fontTable.xml"/><Relationship Id="rId26" Type="http://schemas.openxmlformats.org/officeDocument/2006/relationships/chart" Target="charts/chart2.xml"/><Relationship Id="rId231" Type="http://schemas.openxmlformats.org/officeDocument/2006/relationships/chart" Target="charts/chart140.xml"/><Relationship Id="rId252" Type="http://schemas.openxmlformats.org/officeDocument/2006/relationships/chart" Target="charts/chart155.xml"/><Relationship Id="rId273" Type="http://schemas.openxmlformats.org/officeDocument/2006/relationships/header" Target="header47.xml"/><Relationship Id="rId47" Type="http://schemas.openxmlformats.org/officeDocument/2006/relationships/chart" Target="charts/chart17.xml"/><Relationship Id="rId68" Type="http://schemas.openxmlformats.org/officeDocument/2006/relationships/chart" Target="charts/chart32.xml"/><Relationship Id="rId89" Type="http://schemas.openxmlformats.org/officeDocument/2006/relationships/chart" Target="charts/chart47.xml"/><Relationship Id="rId112" Type="http://schemas.openxmlformats.org/officeDocument/2006/relationships/footer" Target="footer20.xml"/><Relationship Id="rId133" Type="http://schemas.openxmlformats.org/officeDocument/2006/relationships/footer" Target="footer24.xml"/><Relationship Id="rId154" Type="http://schemas.openxmlformats.org/officeDocument/2006/relationships/chart" Target="charts/chart87.xml"/><Relationship Id="rId175" Type="http://schemas.openxmlformats.org/officeDocument/2006/relationships/chart" Target="charts/chart102.xml"/><Relationship Id="rId196" Type="http://schemas.openxmlformats.org/officeDocument/2006/relationships/chart" Target="charts/chart117.xml"/><Relationship Id="rId200" Type="http://schemas.openxmlformats.org/officeDocument/2006/relationships/header" Target="header34.xml"/><Relationship Id="rId16" Type="http://schemas.openxmlformats.org/officeDocument/2006/relationships/footer" Target="footer2.xml"/><Relationship Id="rId221" Type="http://schemas.openxmlformats.org/officeDocument/2006/relationships/footer" Target="footer38.xml"/><Relationship Id="rId242" Type="http://schemas.openxmlformats.org/officeDocument/2006/relationships/chart" Target="charts/chart145.xml"/><Relationship Id="rId263" Type="http://schemas.openxmlformats.org/officeDocument/2006/relationships/chart" Target="charts/chart160.xml"/><Relationship Id="rId37" Type="http://schemas.openxmlformats.org/officeDocument/2006/relationships/header" Target="header7.xml"/><Relationship Id="rId58" Type="http://schemas.openxmlformats.org/officeDocument/2006/relationships/footer" Target="footer11.xml"/><Relationship Id="rId79" Type="http://schemas.openxmlformats.org/officeDocument/2006/relationships/chart" Target="charts/chart37.xml"/><Relationship Id="rId102" Type="http://schemas.openxmlformats.org/officeDocument/2006/relationships/chart" Target="charts/chart54.xml"/><Relationship Id="rId123" Type="http://schemas.openxmlformats.org/officeDocument/2006/relationships/chart" Target="charts/chart69.xml"/><Relationship Id="rId144" Type="http://schemas.openxmlformats.org/officeDocument/2006/relationships/chart" Target="charts/chart83.xml"/><Relationship Id="rId90" Type="http://schemas.openxmlformats.org/officeDocument/2006/relationships/chart" Target="charts/chart48.xml"/><Relationship Id="rId165" Type="http://schemas.openxmlformats.org/officeDocument/2006/relationships/header" Target="header29.xml"/><Relationship Id="rId186" Type="http://schemas.openxmlformats.org/officeDocument/2006/relationships/header" Target="header33.xml"/><Relationship Id="rId211" Type="http://schemas.openxmlformats.org/officeDocument/2006/relationships/chart" Target="charts/chart126.xml"/><Relationship Id="rId232" Type="http://schemas.openxmlformats.org/officeDocument/2006/relationships/chart" Target="charts/chart141.xml"/><Relationship Id="rId253" Type="http://schemas.openxmlformats.org/officeDocument/2006/relationships/chart" Target="charts/chart156.xml"/><Relationship Id="rId274" Type="http://schemas.openxmlformats.org/officeDocument/2006/relationships/footer" Target="footer46.xml"/><Relationship Id="rId27" Type="http://schemas.openxmlformats.org/officeDocument/2006/relationships/chart" Target="charts/chart3.xml"/><Relationship Id="rId48" Type="http://schemas.openxmlformats.org/officeDocument/2006/relationships/chart" Target="charts/chart18.xml"/><Relationship Id="rId69" Type="http://schemas.openxmlformats.org/officeDocument/2006/relationships/chart" Target="charts/chart33.xml"/><Relationship Id="rId113" Type="http://schemas.openxmlformats.org/officeDocument/2006/relationships/header" Target="header21.xml"/><Relationship Id="rId134" Type="http://schemas.openxmlformats.org/officeDocument/2006/relationships/chart" Target="charts/chart73.xml"/><Relationship Id="rId80" Type="http://schemas.openxmlformats.org/officeDocument/2006/relationships/chart" Target="charts/chart38.xml"/><Relationship Id="rId155" Type="http://schemas.openxmlformats.org/officeDocument/2006/relationships/chart" Target="charts/chart88.xml"/><Relationship Id="rId176" Type="http://schemas.openxmlformats.org/officeDocument/2006/relationships/chart" Target="charts/chart103.xml"/><Relationship Id="rId197" Type="http://schemas.openxmlformats.org/officeDocument/2006/relationships/chart" Target="charts/chart118.xml"/><Relationship Id="rId201" Type="http://schemas.openxmlformats.org/officeDocument/2006/relationships/header" Target="header35.xml"/><Relationship Id="rId222" Type="http://schemas.openxmlformats.org/officeDocument/2006/relationships/header" Target="header39.xml"/><Relationship Id="rId243" Type="http://schemas.openxmlformats.org/officeDocument/2006/relationships/chart" Target="charts/chart146.xml"/><Relationship Id="rId264" Type="http://schemas.openxmlformats.org/officeDocument/2006/relationships/chart" Target="charts/chart161.xml"/><Relationship Id="rId17" Type="http://schemas.openxmlformats.org/officeDocument/2006/relationships/header" Target="header3.xml"/><Relationship Id="rId38" Type="http://schemas.openxmlformats.org/officeDocument/2006/relationships/header" Target="header8.xml"/><Relationship Id="rId59" Type="http://schemas.openxmlformats.org/officeDocument/2006/relationships/header" Target="header12.xml"/><Relationship Id="rId103" Type="http://schemas.openxmlformats.org/officeDocument/2006/relationships/chart" Target="charts/chart55.xml"/><Relationship Id="rId124" Type="http://schemas.openxmlformats.org/officeDocument/2006/relationships/hyperlink" Target="http://ec.europa.eu/environment/water/water-nitrates/index_en.html" TargetMode="External"/><Relationship Id="rId70" Type="http://schemas.openxmlformats.org/officeDocument/2006/relationships/chart" Target="charts/chart34.xml"/><Relationship Id="rId91" Type="http://schemas.openxmlformats.org/officeDocument/2006/relationships/header" Target="header16.xml"/><Relationship Id="rId145" Type="http://schemas.openxmlformats.org/officeDocument/2006/relationships/chart" Target="charts/chart84.xml"/><Relationship Id="rId166" Type="http://schemas.openxmlformats.org/officeDocument/2006/relationships/footer" Target="footer28.xml"/><Relationship Id="rId187" Type="http://schemas.openxmlformats.org/officeDocument/2006/relationships/footer" Target="footer33.xml"/><Relationship Id="rId1" Type="http://schemas.openxmlformats.org/officeDocument/2006/relationships/customXml" Target="../customXml/item1.xml"/><Relationship Id="rId212" Type="http://schemas.openxmlformats.org/officeDocument/2006/relationships/chart" Target="charts/chart127.xml"/><Relationship Id="rId233" Type="http://schemas.openxmlformats.org/officeDocument/2006/relationships/chart" Target="charts/chart142.xml"/><Relationship Id="rId254" Type="http://schemas.openxmlformats.org/officeDocument/2006/relationships/header" Target="header43.xml"/><Relationship Id="rId28" Type="http://schemas.openxmlformats.org/officeDocument/2006/relationships/chart" Target="charts/chart4.xml"/><Relationship Id="rId49" Type="http://schemas.openxmlformats.org/officeDocument/2006/relationships/chart" Target="charts/chart19.xml"/><Relationship Id="rId114" Type="http://schemas.openxmlformats.org/officeDocument/2006/relationships/footer" Target="footer21.xml"/><Relationship Id="rId275" Type="http://schemas.openxmlformats.org/officeDocument/2006/relationships/footer" Target="footer47.xml"/><Relationship Id="rId60" Type="http://schemas.openxmlformats.org/officeDocument/2006/relationships/footer" Target="footer12.xml"/><Relationship Id="rId81" Type="http://schemas.openxmlformats.org/officeDocument/2006/relationships/chart" Target="charts/chart39.xml"/><Relationship Id="rId135" Type="http://schemas.openxmlformats.org/officeDocument/2006/relationships/chart" Target="charts/chart74.xml"/><Relationship Id="rId156" Type="http://schemas.openxmlformats.org/officeDocument/2006/relationships/chart" Target="charts/chart89.xml"/><Relationship Id="rId177" Type="http://schemas.openxmlformats.org/officeDocument/2006/relationships/chart" Target="charts/chart104.xml"/><Relationship Id="rId198" Type="http://schemas.openxmlformats.org/officeDocument/2006/relationships/chart" Target="charts/chart119.xml"/></Relationships>
</file>

<file path=word/_rels/footnotes.xml.rels><?xml version="1.0" encoding="UTF-8" standalone="yes"?>
<Relationships xmlns="http://schemas.openxmlformats.org/package/2006/relationships"><Relationship Id="rId117" Type="http://schemas.openxmlformats.org/officeDocument/2006/relationships/hyperlink" Target="http://eur-lex.europa.eu/legal-content/EN/TXT/?qid=1456927136179&amp;uri=CELEX:32006L0123" TargetMode="External"/><Relationship Id="rId299" Type="http://schemas.openxmlformats.org/officeDocument/2006/relationships/hyperlink" Target="http://eur-lex.europa.eu/legal-content/EN/TXT/?qid=1490094631133&amp;uri=CELEX:32008L0098" TargetMode="External"/><Relationship Id="rId21" Type="http://schemas.openxmlformats.org/officeDocument/2006/relationships/hyperlink" Target="http://eur-lex.europa.eu/legal-content/EN/TXT/?qid=1490115993040&amp;uri=CELEX:32010R1177" TargetMode="External"/><Relationship Id="rId63" Type="http://schemas.openxmlformats.org/officeDocument/2006/relationships/hyperlink" Target="http://europa.eu/rapid/press-release_MEMO-16-319_en.htm" TargetMode="External"/><Relationship Id="rId159" Type="http://schemas.openxmlformats.org/officeDocument/2006/relationships/hyperlink" Target="http://europa.eu/rapid/press-release_IP-16-2104_en.htm" TargetMode="External"/><Relationship Id="rId324" Type="http://schemas.openxmlformats.org/officeDocument/2006/relationships/hyperlink" Target="http://eur-lex.europa.eu/legal-content/EN/TXT/?qid=1490104345613&amp;uri=CELEX:32013R0098" TargetMode="External"/><Relationship Id="rId366" Type="http://schemas.openxmlformats.org/officeDocument/2006/relationships/hyperlink" Target="http://eur-lex.europa.eu/legal-content/EN/TXT/?qid=1490105477138&amp;uri=CELEX:32011L0092" TargetMode="External"/><Relationship Id="rId531" Type="http://schemas.openxmlformats.org/officeDocument/2006/relationships/hyperlink" Target="http://eur-lex.europa.eu/legal-content/EN/TXT/?qid=1490090246672&amp;uri=CELEX:32013R0603" TargetMode="External"/><Relationship Id="rId170" Type="http://schemas.openxmlformats.org/officeDocument/2006/relationships/hyperlink" Target="http://eur-lex.europa.eu/legal-content/EN/TXT/?qid=1490093533727&amp;uri=CELEX:32010R0018" TargetMode="External"/><Relationship Id="rId226" Type="http://schemas.openxmlformats.org/officeDocument/2006/relationships/hyperlink" Target="http://eur-lex.europa.eu/legal-content/EN/TXT/?qid=1490091567884&amp;uri=CELEX:32010R0996" TargetMode="External"/><Relationship Id="rId433" Type="http://schemas.openxmlformats.org/officeDocument/2006/relationships/hyperlink" Target="http://europa.eu/rapid/press-release_MEMO-16-3125_en.htm" TargetMode="External"/><Relationship Id="rId268" Type="http://schemas.openxmlformats.org/officeDocument/2006/relationships/hyperlink" Target="http://europa.eu/rapid/press-release_MEMO-16-3644_en.htm" TargetMode="External"/><Relationship Id="rId475" Type="http://schemas.openxmlformats.org/officeDocument/2006/relationships/hyperlink" Target="http://eur-lex.europa.eu/legal-content/EN/TXT/?qid=1490105949284&amp;uri=CELEX:32008L0050" TargetMode="External"/><Relationship Id="rId32" Type="http://schemas.openxmlformats.org/officeDocument/2006/relationships/hyperlink" Target="http://eur-lex.europa.eu/legal-content/EN/TXT/?qid=1490116133830&amp;uri=CELEX:31999L0044" TargetMode="External"/><Relationship Id="rId74" Type="http://schemas.openxmlformats.org/officeDocument/2006/relationships/hyperlink" Target="http://eur-lex.europa.eu/legal-content/EN/TXT/?qid=1490092050310&amp;uri=CELEX:32009L0147" TargetMode="External"/><Relationship Id="rId128" Type="http://schemas.openxmlformats.org/officeDocument/2006/relationships/hyperlink" Target="http://eur-lex.europa.eu/legal-content/EN/TXT/?qid=1490092540668&amp;uri=CELEX:32013L0033" TargetMode="External"/><Relationship Id="rId335" Type="http://schemas.openxmlformats.org/officeDocument/2006/relationships/hyperlink" Target="http://eur-lex.europa.eu/legal-content/EN/TXT/?qid=1490104552103&amp;uri=CELEX:32013L0030" TargetMode="External"/><Relationship Id="rId377" Type="http://schemas.openxmlformats.org/officeDocument/2006/relationships/hyperlink" Target="http://curia.europa.eu/juris/liste.jsf?language=en&amp;jur=C,T,F&amp;num=C-38/15&amp;td=ALL" TargetMode="External"/><Relationship Id="rId500" Type="http://schemas.openxmlformats.org/officeDocument/2006/relationships/hyperlink" Target="http://curia.europa.eu/juris/liste.jsf?language=en&amp;jur=C,T,F&amp;num=C-147/15&amp;td=ALL" TargetMode="External"/><Relationship Id="rId542" Type="http://schemas.openxmlformats.org/officeDocument/2006/relationships/hyperlink" Target="http://europa.eu/rapid/press-release_MEMO-16-3644_en.htm" TargetMode="External"/><Relationship Id="rId5" Type="http://schemas.openxmlformats.org/officeDocument/2006/relationships/hyperlink" Target="http://eur-lex.europa.eu/legal-content/EN/TXT/?qid=1490115628236&amp;uri=CELEX:32008L0098" TargetMode="External"/><Relationship Id="rId181" Type="http://schemas.openxmlformats.org/officeDocument/2006/relationships/hyperlink" Target="http://curia.europa.eu/juris/liste.jsf?pro=&amp;nat=or&amp;oqp=&amp;dates=&amp;lg=&amp;language=en&amp;jur=C%2CT%2CF&amp;cit=none%252CC%252CCJ%252CR%252C2008E%252C%252C%252C%252C%252C%252C%252C%252C%252C%252Ctrue%252Cfalse%252Cfalse&amp;num=444%252F14&amp;td=%3BALL&amp;pcs=Oor&amp;avg=&amp;page=1&amp;mat=or&amp;jge=&amp;for=&amp;cid=1153609" TargetMode="External"/><Relationship Id="rId237" Type="http://schemas.openxmlformats.org/officeDocument/2006/relationships/hyperlink" Target="http://eur-lex.europa.eu/legal-content/EN/TXT/?qid=1490104703400&amp;uri=CELEX:32013L0050" TargetMode="External"/><Relationship Id="rId402" Type="http://schemas.openxmlformats.org/officeDocument/2006/relationships/hyperlink" Target="http://europa.eu/rapid/press-release_MEMO-16-209_en.htm" TargetMode="External"/><Relationship Id="rId279" Type="http://schemas.openxmlformats.org/officeDocument/2006/relationships/hyperlink" Target="http://eur-lex.europa.eu/legal-content/EN/TXT/?qid=1490104619933&amp;uri=CELEX:32007R0715" TargetMode="External"/><Relationship Id="rId444" Type="http://schemas.openxmlformats.org/officeDocument/2006/relationships/hyperlink" Target="http://eur-lex.europa.eu/legal-content/EN/TXT/?qid=1490088928997&amp;uri=CELEX:32009R0715" TargetMode="External"/><Relationship Id="rId486" Type="http://schemas.openxmlformats.org/officeDocument/2006/relationships/hyperlink" Target="http://europa.eu/rapid/press-release_MEMO-16-4211_en.htm" TargetMode="External"/><Relationship Id="rId43" Type="http://schemas.openxmlformats.org/officeDocument/2006/relationships/hyperlink" Target="http://curia.europa.eu/juris/liste.jsf?language=en&amp;jur=C,T,F&amp;num=C-221/15&amp;td=ALL" TargetMode="External"/><Relationship Id="rId139" Type="http://schemas.openxmlformats.org/officeDocument/2006/relationships/hyperlink" Target="http://eur-lex.europa.eu/legal-content/EN/TXT/?qid=1490093095174&amp;uri=CELEX:32009L0073" TargetMode="External"/><Relationship Id="rId290" Type="http://schemas.openxmlformats.org/officeDocument/2006/relationships/hyperlink" Target="http://curia.europa.eu/juris/liste.jsf?language=en&amp;jur=C,T,F&amp;num=C-98/16&amp;td=ALL" TargetMode="External"/><Relationship Id="rId304" Type="http://schemas.openxmlformats.org/officeDocument/2006/relationships/hyperlink" Target="http://eur-lex.europa.eu/legal-content/EN/TXT/?qid=1490094791296&amp;uri=CELEX:32006L0126" TargetMode="External"/><Relationship Id="rId346" Type="http://schemas.openxmlformats.org/officeDocument/2006/relationships/hyperlink" Target="http://eur-lex.europa.eu/legal-content/EN/TXT/?qid=1490104877566&amp;uri=CELEX:32010R1177" TargetMode="External"/><Relationship Id="rId388" Type="http://schemas.openxmlformats.org/officeDocument/2006/relationships/hyperlink" Target="http://curia.europa.eu/juris/liste.jsf?language=en&amp;jur=C,T,F&amp;num=C-308/15&amp;td=ALL" TargetMode="External"/><Relationship Id="rId511" Type="http://schemas.openxmlformats.org/officeDocument/2006/relationships/hyperlink" Target="http://eur-lex.europa.eu/legal-content/EN/TXT/?qid=1490089864745&amp;uri=CELEX:32014L0017" TargetMode="External"/><Relationship Id="rId553" Type="http://schemas.openxmlformats.org/officeDocument/2006/relationships/hyperlink" Target="http://eur-lex.europa.eu/legal-content/EN/TXT/?qid=1490104224605&amp;uri=CELEX:32011L0061" TargetMode="External"/><Relationship Id="rId85" Type="http://schemas.openxmlformats.org/officeDocument/2006/relationships/hyperlink" Target="http://eur-lex.europa.eu/legal-content/EN/TXT/?uri=CELEX%3A32008L0057" TargetMode="External"/><Relationship Id="rId150" Type="http://schemas.openxmlformats.org/officeDocument/2006/relationships/hyperlink" Target="http://eur-lex.europa.eu/legal-content/EN/TXT/?qid=1456927136179&amp;uri=CELEX:32006L0123" TargetMode="External"/><Relationship Id="rId192" Type="http://schemas.openxmlformats.org/officeDocument/2006/relationships/hyperlink" Target="http://eur-lex.europa.eu/legal-content/EN/TXT/?qid=1490103907516&amp;uri=CELEX:32004R0261" TargetMode="External"/><Relationship Id="rId206" Type="http://schemas.openxmlformats.org/officeDocument/2006/relationships/hyperlink" Target="http://eur-lex.europa.eu/legal-content/EN/TXT/?qid=1490090781793&amp;uri=CELEX:31991L0676" TargetMode="External"/><Relationship Id="rId413" Type="http://schemas.openxmlformats.org/officeDocument/2006/relationships/hyperlink" Target="http://eur-lex.europa.eu/legal-content/EN/TXT/?qid=1490092075293&amp;uri=CELEX:32005L0036" TargetMode="External"/><Relationship Id="rId248" Type="http://schemas.openxmlformats.org/officeDocument/2006/relationships/hyperlink" Target="http://curia.europa.eu/juris/liste.jsf?language=en&amp;jur=C,T,F&amp;num=C-429/15&amp;td=ALL" TargetMode="External"/><Relationship Id="rId455" Type="http://schemas.openxmlformats.org/officeDocument/2006/relationships/hyperlink" Target="http://europa.eu/rapid/press-release_MEMO-16-4211_en.htm" TargetMode="External"/><Relationship Id="rId497" Type="http://schemas.openxmlformats.org/officeDocument/2006/relationships/hyperlink" Target="http://curia.europa.eu/juris/liste.jsf?language=en&amp;jur=C,T,F&amp;num=C-78/16&amp;td=ALL" TargetMode="External"/><Relationship Id="rId12" Type="http://schemas.openxmlformats.org/officeDocument/2006/relationships/hyperlink" Target="http://eur-lex.europa.eu/legal-content/EN/TXT/?qid=1490115864503&amp;uri=CELEX:32014L0059" TargetMode="External"/><Relationship Id="rId108" Type="http://schemas.openxmlformats.org/officeDocument/2006/relationships/hyperlink" Target="http://eur-lex.europa.eu/legal-content/EN/TXT/?qid=1490092011564&amp;uri=CELEX:32004L0052" TargetMode="External"/><Relationship Id="rId315" Type="http://schemas.openxmlformats.org/officeDocument/2006/relationships/hyperlink" Target="http://curia.europa.eu/juris/liste.jsf?language=en&amp;jur=C,T,F&amp;num=C-66/15&amp;td=ALL" TargetMode="External"/><Relationship Id="rId357" Type="http://schemas.openxmlformats.org/officeDocument/2006/relationships/hyperlink" Target="http://eur-lex.europa.eu/legal-content/EN/TXT/?qid=1490105291693&amp;uri=CELEX:32007L0046" TargetMode="External"/><Relationship Id="rId522" Type="http://schemas.openxmlformats.org/officeDocument/2006/relationships/hyperlink" Target="http://europa.eu/rapid/press-release_IP-16-323_en.htm" TargetMode="External"/><Relationship Id="rId54" Type="http://schemas.openxmlformats.org/officeDocument/2006/relationships/hyperlink" Target="http://europa.eu/rapid/press-release_MEMO-16-3644_en.htm" TargetMode="External"/><Relationship Id="rId96" Type="http://schemas.openxmlformats.org/officeDocument/2006/relationships/hyperlink" Target="http://europa.eu/rapid/press-release_IP-15-6013_EN.htm" TargetMode="External"/><Relationship Id="rId161" Type="http://schemas.openxmlformats.org/officeDocument/2006/relationships/hyperlink" Target="http://eur-lex.europa.eu/legal-content/EN/TXT/?qid=1490093314557&amp;uri=CELEX:32005L0065" TargetMode="External"/><Relationship Id="rId217" Type="http://schemas.openxmlformats.org/officeDocument/2006/relationships/hyperlink" Target="http://eur-lex.europa.eu/legal-content/EN/TXT/?qid=1490091231012&amp;uri=CELEX:32014L0025" TargetMode="External"/><Relationship Id="rId399" Type="http://schemas.openxmlformats.org/officeDocument/2006/relationships/hyperlink" Target="http://eur-lex.europa.eu/legal-content/EN/TXT/?qid=1490095212777&amp;uri=CELEX:32013R0098" TargetMode="External"/><Relationship Id="rId259" Type="http://schemas.openxmlformats.org/officeDocument/2006/relationships/hyperlink" Target="http://eur-lex.europa.eu/legal-content/EN/TXT/?qid=1490093958407&amp;uri=CELEX:32009L0147" TargetMode="External"/><Relationship Id="rId424" Type="http://schemas.openxmlformats.org/officeDocument/2006/relationships/hyperlink" Target="http://curia.europa.eu/jcms/jcms/p1_220348/en/" TargetMode="External"/><Relationship Id="rId466" Type="http://schemas.openxmlformats.org/officeDocument/2006/relationships/hyperlink" Target="http://curia.europa.eu/juris/liste.jsf?language=en&amp;jur=C,T,F&amp;num=C-686/15&amp;td=ALL" TargetMode="External"/><Relationship Id="rId23" Type="http://schemas.openxmlformats.org/officeDocument/2006/relationships/hyperlink" Target="http://eur-lex.europa.eu/legal-content/EN/TXT/?qid=1456927136179&amp;uri=CELEX:32006L0123" TargetMode="External"/><Relationship Id="rId119" Type="http://schemas.openxmlformats.org/officeDocument/2006/relationships/hyperlink" Target="http://europa.eu/rapid/press-release_MEMO-16-3644_en.htm" TargetMode="External"/><Relationship Id="rId270" Type="http://schemas.openxmlformats.org/officeDocument/2006/relationships/hyperlink" Target="http://eur-lex.europa.eu/legal-content/EN/TXT/?qid=1490094136511&amp;uri=CELEX:32014L0089" TargetMode="External"/><Relationship Id="rId326" Type="http://schemas.openxmlformats.org/officeDocument/2006/relationships/hyperlink" Target="http://eur-lex.europa.eu/legal-content/EN/TXT/?qid=1490104374417&amp;uri=CELEX:32008L0115" TargetMode="External"/><Relationship Id="rId533" Type="http://schemas.openxmlformats.org/officeDocument/2006/relationships/hyperlink" Target="http://eur-lex.europa.eu/legal-content/EN/TXT/?qid=1490090417828&amp;uri=CELEX:32013L0039" TargetMode="External"/><Relationship Id="rId65" Type="http://schemas.openxmlformats.org/officeDocument/2006/relationships/hyperlink" Target="http://eur-lex.europa.eu/legal-content/EN/TXT/?uri=uriserv:OJ.L_.2014.094.01.0001.01.ENG" TargetMode="External"/><Relationship Id="rId130" Type="http://schemas.openxmlformats.org/officeDocument/2006/relationships/hyperlink" Target="http://eur-lex.europa.eu/legal-content/EN/TXT/?qid=1490092624980&amp;uri=CELEX:32012L0018" TargetMode="External"/><Relationship Id="rId368" Type="http://schemas.openxmlformats.org/officeDocument/2006/relationships/hyperlink" Target="http://eur-lex.europa.eu/legal-content/EN/TXT/?qid=1490105543506&amp;uri=CELEX:32014L0059" TargetMode="External"/><Relationship Id="rId172" Type="http://schemas.openxmlformats.org/officeDocument/2006/relationships/hyperlink" Target="http://curia.europa.eu/juris/liste.jsf?language=en&amp;jur=C,T,F&amp;num=C-220/15&amp;td=ALL" TargetMode="External"/><Relationship Id="rId228" Type="http://schemas.openxmlformats.org/officeDocument/2006/relationships/hyperlink" Target="http://eur-lex.europa.eu/legal-content/EN/TXT/?qid=1490104375627&amp;uri=CELEX:32004R0854" TargetMode="External"/><Relationship Id="rId435" Type="http://schemas.openxmlformats.org/officeDocument/2006/relationships/hyperlink" Target="http://europa.eu/rapid/press-release_MEMO-16-4211_en.htm" TargetMode="External"/><Relationship Id="rId477" Type="http://schemas.openxmlformats.org/officeDocument/2006/relationships/hyperlink" Target="http://eur-lex.europa.eu/legal-content/EN/TXT/?qid=1490106003639&amp;uri=CELEX:32010L0063" TargetMode="External"/><Relationship Id="rId281" Type="http://schemas.openxmlformats.org/officeDocument/2006/relationships/hyperlink" Target="http://eur-lex.europa.eu/legal-content/EN/TXT/?qid=1490094379448&amp;uri=CELEX:31992L0043" TargetMode="External"/><Relationship Id="rId337" Type="http://schemas.openxmlformats.org/officeDocument/2006/relationships/hyperlink" Target="http://eur-lex.europa.eu/legal-content/EN/TXT/?qid=1490104584438&amp;uri=CELEX:32010L0031" TargetMode="External"/><Relationship Id="rId502" Type="http://schemas.openxmlformats.org/officeDocument/2006/relationships/hyperlink" Target="http://curia.europa.eu/juris/liste.jsf?language=en&amp;jur=C,T,F&amp;num=C-444/15&amp;td=ALL" TargetMode="External"/><Relationship Id="rId34" Type="http://schemas.openxmlformats.org/officeDocument/2006/relationships/hyperlink" Target="http://curia.europa.eu/juris/liste.jsf?language=en&amp;jur=C,T,F&amp;num=C-492/14&amp;td=ALL" TargetMode="External"/><Relationship Id="rId76" Type="http://schemas.openxmlformats.org/officeDocument/2006/relationships/hyperlink" Target="http://eur-lex.europa.eu/legal-content/EN/TXT/?qid=1490117682231&amp;uri=CELEX:32011L0092" TargetMode="External"/><Relationship Id="rId141" Type="http://schemas.openxmlformats.org/officeDocument/2006/relationships/hyperlink" Target="http://eur-lex.europa.eu/legal-content/EN/TXT/?qid=1456924770791&amp;uri=CELEX:32012R0748" TargetMode="External"/><Relationship Id="rId379" Type="http://schemas.openxmlformats.org/officeDocument/2006/relationships/hyperlink" Target="http://eur-lex.europa.eu/legal-content/EN/TXT/?qid=1490106056764&amp;uri=CELEX:31992L0043" TargetMode="External"/><Relationship Id="rId544" Type="http://schemas.openxmlformats.org/officeDocument/2006/relationships/hyperlink" Target="http://europa.eu/rapid/press-release_MEMO-16-1823_en.htm" TargetMode="External"/><Relationship Id="rId7" Type="http://schemas.openxmlformats.org/officeDocument/2006/relationships/hyperlink" Target="http://eur-lex.europa.eu/legal-content/EN/TXT/?qid=1490115756065&amp;uri=CELEX:32004L0035" TargetMode="External"/><Relationship Id="rId183" Type="http://schemas.openxmlformats.org/officeDocument/2006/relationships/hyperlink" Target="http://curia.europa.eu/juris/liste.jsf?language=en&amp;jur=C,T,F&amp;num=C-484/14&amp;td=ALL" TargetMode="External"/><Relationship Id="rId239" Type="http://schemas.openxmlformats.org/officeDocument/2006/relationships/hyperlink" Target="http://eur-lex.europa.eu/legal-content/EN/TXT/?qid=1490104756188&amp;uri=CELEX:32013L0034" TargetMode="External"/><Relationship Id="rId390" Type="http://schemas.openxmlformats.org/officeDocument/2006/relationships/hyperlink" Target="http://curia.europa.eu/juris/liste.jsf?language=en&amp;jur=C,T,F&amp;num=C-235/14&amp;td=ALL" TargetMode="External"/><Relationship Id="rId404" Type="http://schemas.openxmlformats.org/officeDocument/2006/relationships/hyperlink" Target="http://eur-lex.europa.eu/legal-content/EN/TXT/?qid=1490177421380&amp;uri=CELEX:32006L0021" TargetMode="External"/><Relationship Id="rId446" Type="http://schemas.openxmlformats.org/officeDocument/2006/relationships/hyperlink" Target="http://eur-lex.europa.eu/legal-content/EN/TXT/?qid=1490088711085&amp;uri=CELEX:32014L0017" TargetMode="External"/><Relationship Id="rId250" Type="http://schemas.openxmlformats.org/officeDocument/2006/relationships/hyperlink" Target="http://eur-lex.europa.eu/legal-content/EN/TXT/?qid=1490087596517&amp;uri=CELEX:32008D0616" TargetMode="External"/><Relationship Id="rId292" Type="http://schemas.openxmlformats.org/officeDocument/2006/relationships/hyperlink" Target="http://curia.europa.eu/juris/liste.jsf?language=en&amp;jur=C,T,F&amp;num=C-328/16&amp;td=ALL" TargetMode="External"/><Relationship Id="rId306" Type="http://schemas.openxmlformats.org/officeDocument/2006/relationships/hyperlink" Target="http://eur-lex.europa.eu/legal-content/EN/TXT/?qid=1490094897385&amp;uri=CELEX:32014L0024" TargetMode="External"/><Relationship Id="rId488" Type="http://schemas.openxmlformats.org/officeDocument/2006/relationships/hyperlink" Target="http://eur-lex.europa.eu/legal-content/EN/TXT/?qid=1490106409641&amp;uri=CELEX:32013L0056" TargetMode="External"/><Relationship Id="rId45" Type="http://schemas.openxmlformats.org/officeDocument/2006/relationships/hyperlink" Target="http://curia.europa.eu/jcms/upload/docs/application/pdf/2016-06/cp160066en.pdfhttp:/curia.europa.eu/jcms/upload/docs/application/pdf/2016-06/cp160067en.pdf" TargetMode="External"/><Relationship Id="rId87" Type="http://schemas.openxmlformats.org/officeDocument/2006/relationships/hyperlink" Target="http://eur-lex.europa.eu/legal-content/EN/TXT/?uri=uriserv:OJ.L_.2014.094.01.0001.01.ENG" TargetMode="External"/><Relationship Id="rId110" Type="http://schemas.openxmlformats.org/officeDocument/2006/relationships/hyperlink" Target="http://eur-lex.europa.eu/legal-content/EN/TXT/?qid=1490088374229&amp;uri=CELEX:32008L0050" TargetMode="External"/><Relationship Id="rId348" Type="http://schemas.openxmlformats.org/officeDocument/2006/relationships/hyperlink" Target="http://europa.eu/rapid/press-release_MEMO-16-319_en.htm" TargetMode="External"/><Relationship Id="rId513" Type="http://schemas.openxmlformats.org/officeDocument/2006/relationships/hyperlink" Target="http://eur-lex.europa.eu/legal-content/EN/TXT/?qid=1490089893422&amp;uri=CELEX:32013L0034" TargetMode="External"/><Relationship Id="rId555" Type="http://schemas.openxmlformats.org/officeDocument/2006/relationships/hyperlink" Target="http://curia.europa.eu/juris/liste.jsf?pro=&amp;nat=or&amp;oqp=&amp;dates=&amp;lg=&amp;language=en&amp;jur=C%2CT%2CF&amp;cit=none%252CC%252CCJ%252CR%252C2008E%252C%252C%252C%252C%252C%252C%252C%252C%252C%252Ctrue%252Cfalse%252Cfalse&amp;num=C-182%252F15&amp;td=%3BALL&amp;pcs=Oor&amp;avg=&amp;page=1&amp;mat=or&amp;jge=&amp;for=&amp;cid=819194" TargetMode="External"/><Relationship Id="rId152" Type="http://schemas.openxmlformats.org/officeDocument/2006/relationships/hyperlink" Target="http://eur-lex.europa.eu/legal-content/EN/TXT/?qid=1490093192250&amp;uri=CELEX:32007R0715" TargetMode="External"/><Relationship Id="rId194" Type="http://schemas.openxmlformats.org/officeDocument/2006/relationships/hyperlink" Target="http://curia.europa.eu/juris/liste.jsf?language=en&amp;jur=C,T,F&amp;num=C-522/14&amp;td=ALL" TargetMode="External"/><Relationship Id="rId208" Type="http://schemas.openxmlformats.org/officeDocument/2006/relationships/hyperlink" Target="http://eur-lex.europa.eu/legal-content/EN/TXT/?qid=1490091018700&amp;uri=CELEX:32012L0027" TargetMode="External"/><Relationship Id="rId415" Type="http://schemas.openxmlformats.org/officeDocument/2006/relationships/hyperlink" Target="http://europa.eu/rapid/press-release_MEMO-16-3125_en.htm" TargetMode="External"/><Relationship Id="rId457" Type="http://schemas.openxmlformats.org/officeDocument/2006/relationships/hyperlink" Target="http://europa.eu/rapid/press-release_MEMO-16-3125_en.htm" TargetMode="External"/><Relationship Id="rId261" Type="http://schemas.openxmlformats.org/officeDocument/2006/relationships/hyperlink" Target="http://eur-lex.europa.eu/legal-content/EN/TXT/?qid=1490094001627&amp;uri=CELEX:32007L0060" TargetMode="External"/><Relationship Id="rId499" Type="http://schemas.openxmlformats.org/officeDocument/2006/relationships/hyperlink" Target="http://eur-lex.europa.eu/legal-content/AUTO/?uri=CELEX:31999L0031&amp;qid=1490110556879&amp;rid=4" TargetMode="External"/><Relationship Id="rId14" Type="http://schemas.openxmlformats.org/officeDocument/2006/relationships/hyperlink" Target="http://eur-lex.europa.eu/legal-content/EN/TXT/?qid=1490115894463&amp;uri=CELEX:32013L0036" TargetMode="External"/><Relationship Id="rId56" Type="http://schemas.openxmlformats.org/officeDocument/2006/relationships/hyperlink" Target="http://europa.eu/rapid/press-release_MEMO-16-2490_en.htm" TargetMode="External"/><Relationship Id="rId317" Type="http://schemas.openxmlformats.org/officeDocument/2006/relationships/hyperlink" Target="http://curia.europa.eu/juris/liste.jsf?language=en&amp;jur=C,T,F&amp;num=T-169/08&amp;td=ALL" TargetMode="External"/><Relationship Id="rId359" Type="http://schemas.openxmlformats.org/officeDocument/2006/relationships/hyperlink" Target="http://europa.eu/rapid/press-release_IP-16-4214_en.htm" TargetMode="External"/><Relationship Id="rId524" Type="http://schemas.openxmlformats.org/officeDocument/2006/relationships/hyperlink" Target="http://eur-lex.europa.eu/legal-content/EN/TXT/?qid=1490090094526&amp;uri=CELEX:32014L0023" TargetMode="External"/><Relationship Id="rId98" Type="http://schemas.openxmlformats.org/officeDocument/2006/relationships/hyperlink" Target="http://europa.eu/rapid/press-release_IP-16-322_EN.htm" TargetMode="External"/><Relationship Id="rId121" Type="http://schemas.openxmlformats.org/officeDocument/2006/relationships/hyperlink" Target="http://curia.europa.eu/juris/liste.jsf?language=en&amp;jur=C,T,F&amp;num=C-541/16&amp;td=ALL" TargetMode="External"/><Relationship Id="rId163" Type="http://schemas.openxmlformats.org/officeDocument/2006/relationships/hyperlink" Target="http://eur-lex.europa.eu/legal-content/EN/TXT/?qid=1490093351557&amp;uri=CELEX:32006L0126" TargetMode="External"/><Relationship Id="rId219" Type="http://schemas.openxmlformats.org/officeDocument/2006/relationships/hyperlink" Target="http://eur-lex.europa.eu/legal-content/EN/TXT/?qid=1490091349824&amp;uri=CELEX:32012L0018" TargetMode="External"/><Relationship Id="rId370" Type="http://schemas.openxmlformats.org/officeDocument/2006/relationships/hyperlink" Target="http://eur-lex.europa.eu/legal-content/EN/TXT/?qid=1490105621947&amp;uri=CELEX:32011L0061" TargetMode="External"/><Relationship Id="rId426" Type="http://schemas.openxmlformats.org/officeDocument/2006/relationships/hyperlink" Target="http://curia.europa.eu/juris/liste.jsf?language=en&amp;jur=C,T,F&amp;num=C-313/15&amp;td=ALL" TargetMode="External"/><Relationship Id="rId230" Type="http://schemas.openxmlformats.org/officeDocument/2006/relationships/hyperlink" Target="http://europa.eu/rapid/press-release_MEMO-16-4211_en.htm" TargetMode="External"/><Relationship Id="rId468" Type="http://schemas.openxmlformats.org/officeDocument/2006/relationships/hyperlink" Target="http://europa.eu/rapid/press-release_MEMO-16-2490_en.htm" TargetMode="External"/><Relationship Id="rId25" Type="http://schemas.openxmlformats.org/officeDocument/2006/relationships/hyperlink" Target="http://eur-lex.europa.eu/legal-content/EN/TXT/?qid=1490116013790&amp;uri=CELEX:32014L0024" TargetMode="External"/><Relationship Id="rId67" Type="http://schemas.openxmlformats.org/officeDocument/2006/relationships/hyperlink" Target="http://eur-lex.europa.eu/legal-content/EN/TXT/?uri=OJ%3AJOL_2014_094_R_0243_01" TargetMode="External"/><Relationship Id="rId272" Type="http://schemas.openxmlformats.org/officeDocument/2006/relationships/hyperlink" Target="http://eur-lex.europa.eu/legal-content/EN/TXT/?qid=1456927136179&amp;uri=CELEX:32006L0123" TargetMode="External"/><Relationship Id="rId328" Type="http://schemas.openxmlformats.org/officeDocument/2006/relationships/hyperlink" Target="http://eur-lex.europa.eu/legal-content/EN/TXT/?qid=1490104404820&amp;uri=CELEX:32014L0040" TargetMode="External"/><Relationship Id="rId535" Type="http://schemas.openxmlformats.org/officeDocument/2006/relationships/hyperlink" Target="http://eur-lex.europa.eu/legal-content/EN/TXT/?qid=1490090479149&amp;uri=CELEX:32013L0014" TargetMode="External"/><Relationship Id="rId132" Type="http://schemas.openxmlformats.org/officeDocument/2006/relationships/hyperlink" Target="http://eur-lex.europa.eu/legal-content/EN/TXT/?qid=1490092660349&amp;uri=CELEX:32014L0027" TargetMode="External"/><Relationship Id="rId174" Type="http://schemas.openxmlformats.org/officeDocument/2006/relationships/hyperlink" Target="http://curia.europa.eu/juris/liste.jsf?language=en&amp;jur=C,T,F&amp;num=C-438/14&amp;td=ALL" TargetMode="External"/><Relationship Id="rId381" Type="http://schemas.openxmlformats.org/officeDocument/2006/relationships/hyperlink" Target="http://eur-lex.europa.eu/legal-content/EN/TXT/?qid=1490105943734&amp;uri=CELEX:31999L0031" TargetMode="External"/><Relationship Id="rId241" Type="http://schemas.openxmlformats.org/officeDocument/2006/relationships/hyperlink" Target="http://europa.eu/rapid/press-release_MEMO-16-3644_en.htm" TargetMode="External"/><Relationship Id="rId437" Type="http://schemas.openxmlformats.org/officeDocument/2006/relationships/hyperlink" Target="http://europa.eu/rapid/press-release_MEMO-16-1452_en.htm" TargetMode="External"/><Relationship Id="rId479" Type="http://schemas.openxmlformats.org/officeDocument/2006/relationships/hyperlink" Target="http://eur-lex.europa.eu/legal-content/EN/TXT/?qid=1490106091565&amp;uri=CELEX:32001L0013" TargetMode="External"/><Relationship Id="rId15" Type="http://schemas.openxmlformats.org/officeDocument/2006/relationships/hyperlink" Target="http://europa.eu/rapid/press-release_MEMO-16-1452_en.htm" TargetMode="External"/><Relationship Id="rId36" Type="http://schemas.openxmlformats.org/officeDocument/2006/relationships/hyperlink" Target="http://eur-lex.europa.eu/legal-content/EN/TXT/?qid=1490116332370&amp;uri=CELEX:31996L0075" TargetMode="External"/><Relationship Id="rId57" Type="http://schemas.openxmlformats.org/officeDocument/2006/relationships/hyperlink" Target="http://eur-lex.europa.eu/legal-content/EN/TXT/?qid=1490090781793&amp;uri=CELEX:31991L0676" TargetMode="External"/><Relationship Id="rId262" Type="http://schemas.openxmlformats.org/officeDocument/2006/relationships/hyperlink" Target="http://europa.eu/rapid/press-release_MEMO-16-3644_en.htm" TargetMode="External"/><Relationship Id="rId283" Type="http://schemas.openxmlformats.org/officeDocument/2006/relationships/hyperlink" Target="http://curia.europa.eu/juris/liste.jsf?language=en&amp;jur=C,T,F&amp;num=C-202/16&amp;td=ALL" TargetMode="External"/><Relationship Id="rId318" Type="http://schemas.openxmlformats.org/officeDocument/2006/relationships/hyperlink" Target="http://curia.europa.eu/juris/liste.jsf?language=en&amp;jur=C,T,F&amp;num=T-421/09&amp;td=ALL" TargetMode="External"/><Relationship Id="rId339" Type="http://schemas.openxmlformats.org/officeDocument/2006/relationships/hyperlink" Target="http://eur-lex.europa.eu/legal-content/EN/TXT/?qid=1490104615651&amp;uri=CELEX:32009L0072" TargetMode="External"/><Relationship Id="rId490" Type="http://schemas.openxmlformats.org/officeDocument/2006/relationships/hyperlink" Target="http://eur-lex.europa.eu/legal-content/AUTO/?uri=CELEX:32011L0061&amp;qid=1490106510190&amp;rid=1" TargetMode="External"/><Relationship Id="rId504" Type="http://schemas.openxmlformats.org/officeDocument/2006/relationships/hyperlink" Target="http://curia.europa.eu/juris/liste.jsf?language=en&amp;jur=C,T,F&amp;num=C-458/14&amp;td=ALL" TargetMode="External"/><Relationship Id="rId525" Type="http://schemas.openxmlformats.org/officeDocument/2006/relationships/hyperlink" Target="http://eur-lex.europa.eu/legal-content/EN/TXT/?qid=1490090195147&amp;uri=CELEX:32014L0025" TargetMode="External"/><Relationship Id="rId546" Type="http://schemas.openxmlformats.org/officeDocument/2006/relationships/hyperlink" Target="http://europa.eu/rapid/press-release_MEMO-16-319_en.htm" TargetMode="External"/><Relationship Id="rId78" Type="http://schemas.openxmlformats.org/officeDocument/2006/relationships/hyperlink" Target="http://curia.europa.eu/juris/liste.jsf?pro=&amp;nat=or&amp;oqp=&amp;dates=&amp;lg=&amp;language=en&amp;jur=C%2CT%2CF&amp;cit=none%252CC%252CCJ%252CR%252C2008E%252C%252C%252C%252C%252C%252C%252C%252C%252C%252Ctrue%252Cfalse%252Cfalse&amp;num=C-554%252F14&amp;td=%3BALL&amp;pcs=Oor&amp;avg=&amp;page=1&amp;mat=or&amp;jge=&amp;for=&amp;cid=898910" TargetMode="External"/><Relationship Id="rId99" Type="http://schemas.openxmlformats.org/officeDocument/2006/relationships/hyperlink" Target="http://europa.eu/rapid/press-release_MEMO-16-319_EN.htm" TargetMode="External"/><Relationship Id="rId101" Type="http://schemas.openxmlformats.org/officeDocument/2006/relationships/hyperlink" Target="http://eur-lex.europa.eu/legal-content/EN/TXT/?qid=1490091648375&amp;uri=CELEX:32006L0118" TargetMode="External"/><Relationship Id="rId122" Type="http://schemas.openxmlformats.org/officeDocument/2006/relationships/hyperlink" Target="http://europa.eu/rapid/press-release_MEMO-16-2097_en.htm" TargetMode="External"/><Relationship Id="rId143" Type="http://schemas.openxmlformats.org/officeDocument/2006/relationships/hyperlink" Target="http://europa.eu/rapid/press-release_IP-16-2101_en.htm" TargetMode="External"/><Relationship Id="rId164" Type="http://schemas.openxmlformats.org/officeDocument/2006/relationships/hyperlink" Target="http://curia.europa.eu/juris/liste.jsf?language=en&amp;jur=C,T,F&amp;num=C-30/16&amp;td=ALL" TargetMode="External"/><Relationship Id="rId185" Type="http://schemas.openxmlformats.org/officeDocument/2006/relationships/hyperlink" Target="http://eur-lex.europa.eu/legal-content/EN/TXT/?qid=1487856146510&amp;uri=CELEX:32008R0543" TargetMode="External"/><Relationship Id="rId350" Type="http://schemas.openxmlformats.org/officeDocument/2006/relationships/hyperlink" Target="http://europa.eu/rapid/press-release_IP-16-3646_en.htm" TargetMode="External"/><Relationship Id="rId371" Type="http://schemas.openxmlformats.org/officeDocument/2006/relationships/hyperlink" Target="http://eur-lex.europa.eu/legal-content/EN/TXT/?qid=1490105652550&amp;uri=CELEX:32006R1967" TargetMode="External"/><Relationship Id="rId406" Type="http://schemas.openxmlformats.org/officeDocument/2006/relationships/hyperlink" Target="http://eur-lex.europa.eu/legal-content/EN/TXT/?qid=1490091921049&amp;uri=CELEX:32009L0073" TargetMode="External"/><Relationship Id="rId9" Type="http://schemas.openxmlformats.org/officeDocument/2006/relationships/hyperlink" Target="http://eur-lex.europa.eu/legal-content/EN/TXT/?qid=1490115814018&amp;uri=CELEX:32009L0073" TargetMode="External"/><Relationship Id="rId210" Type="http://schemas.openxmlformats.org/officeDocument/2006/relationships/hyperlink" Target="http://europa.eu/rapid/press-release_MEMO-16-1452_en.htm" TargetMode="External"/><Relationship Id="rId392" Type="http://schemas.openxmlformats.org/officeDocument/2006/relationships/hyperlink" Target="http://curia.europa.eu/juris/liste.jsf?language=en&amp;jur=C,T,F&amp;num=C-304/14&amp;td=ALL" TargetMode="External"/><Relationship Id="rId427" Type="http://schemas.openxmlformats.org/officeDocument/2006/relationships/hyperlink" Target="http://eur-lex.europa.eu/legal-content/EN/TXT/?qid=1490092383361&amp;uri=CELEX:32001L0042" TargetMode="External"/><Relationship Id="rId448" Type="http://schemas.openxmlformats.org/officeDocument/2006/relationships/hyperlink" Target="http://europa.eu/rapid/press-release_MEMO-16-4211_en.htm" TargetMode="External"/><Relationship Id="rId469" Type="http://schemas.openxmlformats.org/officeDocument/2006/relationships/hyperlink" Target="http://eur-lex.europa.eu/legal-content/EN/TXT/?qid=1490105771086&amp;uri=CELEX:32008D0615" TargetMode="External"/><Relationship Id="rId26" Type="http://schemas.openxmlformats.org/officeDocument/2006/relationships/hyperlink" Target="http://eur-lex.europa.eu/legal-content/EN/TXT/?qid=1490116035981&amp;uri=CELEX:32014L0025" TargetMode="External"/><Relationship Id="rId231" Type="http://schemas.openxmlformats.org/officeDocument/2006/relationships/hyperlink" Target="http://eur-lex.europa.eu/legal-content/EN/TXT/?qid=1490104467808&amp;uri=CELEX:52008AP0615" TargetMode="External"/><Relationship Id="rId252" Type="http://schemas.openxmlformats.org/officeDocument/2006/relationships/hyperlink" Target="http://eur-lex.europa.eu/legal-content/EN/TXT/?qid=1490093739264&amp;uri=CELEX:32013L0032" TargetMode="External"/><Relationship Id="rId273" Type="http://schemas.openxmlformats.org/officeDocument/2006/relationships/hyperlink" Target="http://europa.eu/rapid/press-release_IP-16-323_en.htm" TargetMode="External"/><Relationship Id="rId294" Type="http://schemas.openxmlformats.org/officeDocument/2006/relationships/hyperlink" Target="http://eur-lex.europa.eu/legal-content/EN/TXT/?qid=1490100300908&amp;uri=CELEX:32013R0603" TargetMode="External"/><Relationship Id="rId308" Type="http://schemas.openxmlformats.org/officeDocument/2006/relationships/hyperlink" Target="http://europa.eu/rapid/press-release_MEMO-16-1823_en.htm" TargetMode="External"/><Relationship Id="rId329" Type="http://schemas.openxmlformats.org/officeDocument/2006/relationships/hyperlink" Target="http://europa.eu/rapid/press-release_MEMO-16-4211_en.htm" TargetMode="External"/><Relationship Id="rId480" Type="http://schemas.openxmlformats.org/officeDocument/2006/relationships/hyperlink" Target="http://eur-lex.europa.eu/legal-content/EN/TXT/?qid=1490106122768&amp;uri=CELEX:32001L0014" TargetMode="External"/><Relationship Id="rId515" Type="http://schemas.openxmlformats.org/officeDocument/2006/relationships/hyperlink" Target="http://eur-lex.europa.eu/legal-content/EN/TXT/?qid=1490089934460&amp;uri=CELEX:32009L0018" TargetMode="External"/><Relationship Id="rId536" Type="http://schemas.openxmlformats.org/officeDocument/2006/relationships/hyperlink" Target="http://curia.europa.eu/juris/liste.jsf?language=en&amp;jur=C,T,F&amp;num=C-515/14&amp;td=ALL" TargetMode="External"/><Relationship Id="rId47" Type="http://schemas.openxmlformats.org/officeDocument/2006/relationships/hyperlink" Target="http://europa.eu/rapid/press-release_MEMO-16-4211_en.htm" TargetMode="External"/><Relationship Id="rId68" Type="http://schemas.openxmlformats.org/officeDocument/2006/relationships/hyperlink" Target="http://europa.eu/rapid/press-release_MEMO-16-1823_en.htm" TargetMode="External"/><Relationship Id="rId89" Type="http://schemas.openxmlformats.org/officeDocument/2006/relationships/hyperlink" Target="http://eur-lex.europa.eu/legal-content/EN/TXT/?qid=1490091130288&amp;uri=CELEX:32014L0025" TargetMode="External"/><Relationship Id="rId112" Type="http://schemas.openxmlformats.org/officeDocument/2006/relationships/hyperlink" Target="http://eur-lex.europa.eu/legal-content/EN/TXT/?qid=1490088652562&amp;uri=CELEX:32012L0027" TargetMode="External"/><Relationship Id="rId133" Type="http://schemas.openxmlformats.org/officeDocument/2006/relationships/hyperlink" Target="http://eur-lex.europa.eu/legal-content/EN/TXT/?qid=1490092802997&amp;uri=CELEX:32008R1272" TargetMode="External"/><Relationship Id="rId154" Type="http://schemas.openxmlformats.org/officeDocument/2006/relationships/hyperlink" Target="http://eur-lex.europa.eu/legal-content/EN/TXT/?qid=1490093273231&amp;uri=CELEX:31992L0043" TargetMode="External"/><Relationship Id="rId175" Type="http://schemas.openxmlformats.org/officeDocument/2006/relationships/hyperlink" Target="http://curia.europa.eu/jcms/jcms/p1_238783/en/" TargetMode="External"/><Relationship Id="rId340" Type="http://schemas.openxmlformats.org/officeDocument/2006/relationships/hyperlink" Target="http://eur-lex.europa.eu/legal-content/EN/TXT/?qid=1490104649663&amp;uri=CELEX:32009L0073" TargetMode="External"/><Relationship Id="rId361" Type="http://schemas.openxmlformats.org/officeDocument/2006/relationships/hyperlink" Target="http://europa.eu/rapid/press-release_MEMO-16-3125_en.htm" TargetMode="External"/><Relationship Id="rId557" Type="http://schemas.openxmlformats.org/officeDocument/2006/relationships/hyperlink" Target="http://eur-lex.europa.eu/legal-content/EN/TXT/?qid=1490804032501&amp;uri=CELEX:32002L0047" TargetMode="External"/><Relationship Id="rId196" Type="http://schemas.openxmlformats.org/officeDocument/2006/relationships/hyperlink" Target="http://curia.europa.eu/juris/liste.jsf?language=en&amp;jur=C,T,F&amp;num=C-123/15&amp;td=ALL" TargetMode="External"/><Relationship Id="rId200" Type="http://schemas.openxmlformats.org/officeDocument/2006/relationships/hyperlink" Target="http://curia.europa.eu/juris/liste.jsf?language=en&amp;jur=C,T,F&amp;num=C-399/14&amp;td=ALL" TargetMode="External"/><Relationship Id="rId382" Type="http://schemas.openxmlformats.org/officeDocument/2006/relationships/hyperlink" Target="http://curia.europa.eu/juris/liste.jsf?language=en&amp;jur=C,T,F&amp;num=C-454/14&amp;td=ALL" TargetMode="External"/><Relationship Id="rId417" Type="http://schemas.openxmlformats.org/officeDocument/2006/relationships/hyperlink" Target="http://eur-lex.europa.eu/legal-content/EN/TXT/?qid=1490092203340&amp;uri=CELEX:32014L0059" TargetMode="External"/><Relationship Id="rId438" Type="http://schemas.openxmlformats.org/officeDocument/2006/relationships/hyperlink" Target="http://eur-lex.europa.eu/legal-content/EN/TXT/?qid=1490088520660&amp;uri=CELEX:32008L0098" TargetMode="External"/><Relationship Id="rId459" Type="http://schemas.openxmlformats.org/officeDocument/2006/relationships/hyperlink" Target="http://europa.eu/rapid/press-release_MEMO-16-2097_en.htm" TargetMode="External"/><Relationship Id="rId16" Type="http://schemas.openxmlformats.org/officeDocument/2006/relationships/hyperlink" Target="http://europa.eu/rapid/press-release_IP-16-1827_en.htm" TargetMode="External"/><Relationship Id="rId221" Type="http://schemas.openxmlformats.org/officeDocument/2006/relationships/hyperlink" Target="http://eur-lex.europa.eu/legal-content/EN/TXT/?qid=1490091402974&amp;uri=CELEX:32014L0059" TargetMode="External"/><Relationship Id="rId242" Type="http://schemas.openxmlformats.org/officeDocument/2006/relationships/hyperlink" Target="http://eur-lex.europa.eu/legal-content/EN/TXT/?qid=1490104831283&amp;uri=CELEX:32009L0018" TargetMode="External"/><Relationship Id="rId263" Type="http://schemas.openxmlformats.org/officeDocument/2006/relationships/hyperlink" Target="http://eur-lex.europa.eu/legal-content/EN/TXT/?qid=1490094034599&amp;uri=CELEX:32013L0030" TargetMode="External"/><Relationship Id="rId284" Type="http://schemas.openxmlformats.org/officeDocument/2006/relationships/hyperlink" Target="http://europa.eu/rapid/press-release_IP-15-6224_en.htm" TargetMode="External"/><Relationship Id="rId319" Type="http://schemas.openxmlformats.org/officeDocument/2006/relationships/hyperlink" Target="http://eur-lex.europa.eu/legal-content/EN/TXT/?qid=1490095116423&amp;uri=CELEX:31998L0059" TargetMode="External"/><Relationship Id="rId470" Type="http://schemas.openxmlformats.org/officeDocument/2006/relationships/hyperlink" Target="http://eur-lex.europa.eu/legal-content/EN/TXT/?qid=1490105815649&amp;uri=CELEX:32008D0616" TargetMode="External"/><Relationship Id="rId491" Type="http://schemas.openxmlformats.org/officeDocument/2006/relationships/hyperlink" Target="http://eur-lex.europa.eu/legal-content/AUTO/?uri=CELEX:32006L0126&amp;qid=1490106516252&amp;rid=1" TargetMode="External"/><Relationship Id="rId505" Type="http://schemas.openxmlformats.org/officeDocument/2006/relationships/hyperlink" Target="http://curia.europa.eu/juris/liste.jsf?language=en&amp;jur=C,T,F&amp;num=C-67/15&amp;td=ALL" TargetMode="External"/><Relationship Id="rId526" Type="http://schemas.openxmlformats.org/officeDocument/2006/relationships/hyperlink" Target="http://europa.eu/rapid/press-release_MEMO-16-4211_en.htm" TargetMode="External"/><Relationship Id="rId37" Type="http://schemas.openxmlformats.org/officeDocument/2006/relationships/hyperlink" Target="http://curia.europa.eu/juris/liste.jsf?language=en&amp;jur=C,T,F&amp;num=C-92/15&amp;td=ALL" TargetMode="External"/><Relationship Id="rId58" Type="http://schemas.openxmlformats.org/officeDocument/2006/relationships/hyperlink" Target="http://europa.eu/rapid/press-release_MEMO-16-3125_en.htm" TargetMode="External"/><Relationship Id="rId79" Type="http://schemas.openxmlformats.org/officeDocument/2006/relationships/hyperlink" Target="http://curia.europa.eu/jcms/jcms/p1_238630/en/" TargetMode="External"/><Relationship Id="rId102" Type="http://schemas.openxmlformats.org/officeDocument/2006/relationships/hyperlink" Target="http://eur-lex.europa.eu/legal-content/EN/TXT/?qid=1490091687077&amp;uri=CELEX:32008L0105" TargetMode="External"/><Relationship Id="rId123" Type="http://schemas.openxmlformats.org/officeDocument/2006/relationships/hyperlink" Target="http://eur-lex.europa.eu/legal-content/EN/TXT/?qid=1490090078502&amp;uri=CELEX:32012L0018" TargetMode="External"/><Relationship Id="rId144" Type="http://schemas.openxmlformats.org/officeDocument/2006/relationships/hyperlink" Target="http://europa.eu/rapid/press-release_IP-16-1456_en.htm" TargetMode="External"/><Relationship Id="rId330" Type="http://schemas.openxmlformats.org/officeDocument/2006/relationships/hyperlink" Target="http://eur-lex.europa.eu/legal-content/EN/TXT/?qid=1490104435761&amp;uri=CELEX:32008L0098" TargetMode="External"/><Relationship Id="rId547" Type="http://schemas.openxmlformats.org/officeDocument/2006/relationships/hyperlink" Target="http://eur-lex.europa.eu/legal-content/EN/TXT/?uri=uriserv:OJ.L_.2014.094.01.0001.01.ENG" TargetMode="External"/><Relationship Id="rId90" Type="http://schemas.openxmlformats.org/officeDocument/2006/relationships/hyperlink" Target="http://europa.eu/rapid/press-release_MEMO-16-1823_en.htm" TargetMode="External"/><Relationship Id="rId165" Type="http://schemas.openxmlformats.org/officeDocument/2006/relationships/hyperlink" Target="http://europa.eu/rapid/press-release_IP-15-6229_en.htm" TargetMode="External"/><Relationship Id="rId186" Type="http://schemas.openxmlformats.org/officeDocument/2006/relationships/hyperlink" Target="http://curia.europa.eu/juris/liste.jsf?pro=&amp;nat=or&amp;oqp=&amp;dates=&amp;lg=&amp;language=en&amp;jur=C%2CT%2CF&amp;cit=none%252CC%252CCJ%252CR%252C2008E%252C%252C%252C%252C%252C%252C%252C%252C%252C%252Ctrue%252Cfalse%252Cfalse&amp;num=C-134%252F15&amp;td=%3BALL&amp;pcs=Oor&amp;avg=&amp;page=1&amp;mat=or&amp;jge=&amp;for=&amp;cid=700601" TargetMode="External"/><Relationship Id="rId351" Type="http://schemas.openxmlformats.org/officeDocument/2006/relationships/hyperlink" Target="http://europa.eu/rapid/press-release_MEMO-16-3644_en.htm" TargetMode="External"/><Relationship Id="rId372" Type="http://schemas.openxmlformats.org/officeDocument/2006/relationships/hyperlink" Target="http://eur-lex.europa.eu/legal-content/EN/TXT/?qid=1490105690022&amp;uri=CELEX:32006L0126" TargetMode="External"/><Relationship Id="rId393" Type="http://schemas.openxmlformats.org/officeDocument/2006/relationships/hyperlink" Target="http://curia.europa.eu/jcms/jcms/Jo2_7052/en/?types=com.jalios.jcms.Content&amp;typesOff=generated.RecueilPublication&amp;textSearch=true&amp;catName=true&amp;searchInFiles=true&amp;langs=user&amp;text=95%2F2016&amp;opSearch=Search&amp;csrftoken=bpEBlaeuovriazel&amp;jsp=plugins%2FCuriaPlugin%2Fjsp%2Fquery.jsp" TargetMode="External"/><Relationship Id="rId407" Type="http://schemas.openxmlformats.org/officeDocument/2006/relationships/hyperlink" Target="http://europa.eu/rapid/press-release_MEMO-16-2490_en.htm" TargetMode="External"/><Relationship Id="rId428" Type="http://schemas.openxmlformats.org/officeDocument/2006/relationships/hyperlink" Target="http://curia.europa.eu/juris/liste.jsf?language=en&amp;jur=C,T,F&amp;num=C-379/15&amp;td=ALL" TargetMode="External"/><Relationship Id="rId449" Type="http://schemas.openxmlformats.org/officeDocument/2006/relationships/hyperlink" Target="http://eur-lex.europa.eu/legal-content/EN/TXT/?qid=1490088743484&amp;uri=CELEX:32014L0089" TargetMode="External"/><Relationship Id="rId211" Type="http://schemas.openxmlformats.org/officeDocument/2006/relationships/hyperlink" Target="http://eur-lex.europa.eu/legal-content/EN/TXT/?qid=1490091054897&amp;uri=CELEX:32011L0016" TargetMode="External"/><Relationship Id="rId232" Type="http://schemas.openxmlformats.org/officeDocument/2006/relationships/hyperlink" Target="http://eur-lex.europa.eu/legal-content/EN/TXT/?qid=1490104514276&amp;uri=CELEX:52008AP0616" TargetMode="External"/><Relationship Id="rId253" Type="http://schemas.openxmlformats.org/officeDocument/2006/relationships/hyperlink" Target="http://eur-lex.europa.eu/legal-content/EN/TXT/?qid=1490093784026&amp;uri=CELEX:32013L0033" TargetMode="External"/><Relationship Id="rId274" Type="http://schemas.openxmlformats.org/officeDocument/2006/relationships/hyperlink" Target="http://europa.eu/rapid/press-release_MEMO-16-319_en.htm" TargetMode="External"/><Relationship Id="rId295" Type="http://schemas.openxmlformats.org/officeDocument/2006/relationships/hyperlink" Target="http://europa.eu/rapid/press-release_MEMO-16-4211_en.htm" TargetMode="External"/><Relationship Id="rId309" Type="http://schemas.openxmlformats.org/officeDocument/2006/relationships/hyperlink" Target="http://eur-lex.europa.eu/legal-content/EN/TXT/?qid=1490095039542&amp;uri=CELEX:32009R1071" TargetMode="External"/><Relationship Id="rId460" Type="http://schemas.openxmlformats.org/officeDocument/2006/relationships/hyperlink" Target="http://europa.eu/rapid/press-release_MEMO-16-1452_en.htm" TargetMode="External"/><Relationship Id="rId481" Type="http://schemas.openxmlformats.org/officeDocument/2006/relationships/hyperlink" Target="http://eur-lex.europa.eu/legal-content/EN/TXT/?qid=1490106153357&amp;uri=CELEX:32009L0012" TargetMode="External"/><Relationship Id="rId516" Type="http://schemas.openxmlformats.org/officeDocument/2006/relationships/hyperlink" Target="http://eur-lex.europa.eu/legal-content/EN/TXT/?qid=1490089968737&amp;uri=CELEX:32009L0016" TargetMode="External"/><Relationship Id="rId27" Type="http://schemas.openxmlformats.org/officeDocument/2006/relationships/hyperlink" Target="http://europa.eu/rapid/press-release_MEMO-16-1823_en.htm" TargetMode="External"/><Relationship Id="rId48" Type="http://schemas.openxmlformats.org/officeDocument/2006/relationships/hyperlink" Target="http://eur-lex.europa.eu/legal-content/EN/TXT/?qid=1490117166167&amp;uri=CELEX:32003L0109" TargetMode="External"/><Relationship Id="rId69" Type="http://schemas.openxmlformats.org/officeDocument/2006/relationships/hyperlink" Target="http://europa.eu/rapid/press-release_IP-16-1827_en.htm" TargetMode="External"/><Relationship Id="rId113" Type="http://schemas.openxmlformats.org/officeDocument/2006/relationships/hyperlink" Target="http://europa.eu/rapid/press-release_MEMO-16-3125_en.htm" TargetMode="External"/><Relationship Id="rId134" Type="http://schemas.openxmlformats.org/officeDocument/2006/relationships/hyperlink" Target="http://eur-lex.europa.eu/legal-content/EN/TXT/?qid=1490093002532&amp;uri=CELEX:32013L0030" TargetMode="External"/><Relationship Id="rId320" Type="http://schemas.openxmlformats.org/officeDocument/2006/relationships/hyperlink" Target="http://curia.europa.eu/juris/liste.jsf?language=en&amp;jur=C,T,F&amp;num=C-201/15&amp;td=ALL" TargetMode="External"/><Relationship Id="rId537" Type="http://schemas.openxmlformats.org/officeDocument/2006/relationships/hyperlink" Target="http://eur-lex.europa.eu/legal-content/EN/TXT/?qid=1490103863998&amp;uri=CELEX:32011L0070" TargetMode="External"/><Relationship Id="rId558" Type="http://schemas.openxmlformats.org/officeDocument/2006/relationships/hyperlink" Target="http://curia.europa.eu/juris/liste.jsf?pro=&amp;lgrec=en&amp;nat=or&amp;oqp=&amp;dates=&amp;lg=&amp;language=en&amp;jur=C%2CT%2CF&amp;cit=none%252CC%252CCJ%252CR%252C2008E%252C%252C%252C%252C%252C%252C%252C%252C%252C%252Ctrue%252Cfalse%252Cfalse&amp;num=C-156%252F15&amp;td=%3BALL&amp;pcs=Oor&amp;avg=&amp;page=1&amp;mat=or&amp;jge=&amp;for=&amp;cid=819194" TargetMode="External"/><Relationship Id="rId80" Type="http://schemas.openxmlformats.org/officeDocument/2006/relationships/hyperlink" Target="http://eur-lex.europa.eu/legal-content/EN/TXT/?qid=1490090881474&amp;uri=CELEX:32008L0050" TargetMode="External"/><Relationship Id="rId155" Type="http://schemas.openxmlformats.org/officeDocument/2006/relationships/hyperlink" Target="http://curia.europa.eu/juris/liste.jsf?language=en&amp;jur=C,T,F&amp;num=C-142/16&amp;td=ALL" TargetMode="External"/><Relationship Id="rId176" Type="http://schemas.openxmlformats.org/officeDocument/2006/relationships/hyperlink" Target="http://curia.europa.eu/juris/liste.jsf?language=en&amp;jur=C,T,F&amp;num=C-404/15&amp;td=ALL" TargetMode="External"/><Relationship Id="rId197" Type="http://schemas.openxmlformats.org/officeDocument/2006/relationships/hyperlink" Target="http://eur-lex.europa.eu/legal-content/EN/TXT/?qid=1490104072209&amp;uri=CELEX:31993R2454" TargetMode="External"/><Relationship Id="rId341" Type="http://schemas.openxmlformats.org/officeDocument/2006/relationships/hyperlink" Target="http://europa.eu/rapid/press-release_MEMO-16-3125_en.htm" TargetMode="External"/><Relationship Id="rId362" Type="http://schemas.openxmlformats.org/officeDocument/2006/relationships/hyperlink" Target="http://eur-lex.europa.eu/legal-content/EN/TXT/?qid=1490105384030&amp;uri=CELEX:32014L0089" TargetMode="External"/><Relationship Id="rId383" Type="http://schemas.openxmlformats.org/officeDocument/2006/relationships/hyperlink" Target="http://eur-lex.europa.eu/legal-content/EN/TXT/?qid=1490105981999&amp;uri=CELEX:32006R1083" TargetMode="External"/><Relationship Id="rId418" Type="http://schemas.openxmlformats.org/officeDocument/2006/relationships/hyperlink" Target="http://eur-lex.europa.eu/legal-content/EN/TXT/?qid=1490092252921&amp;uri=CELEX:32014L0049" TargetMode="External"/><Relationship Id="rId439" Type="http://schemas.openxmlformats.org/officeDocument/2006/relationships/hyperlink" Target="http://europa.eu/rapid/press-release_MEMO-16-2490_en.htm" TargetMode="External"/><Relationship Id="rId201" Type="http://schemas.openxmlformats.org/officeDocument/2006/relationships/hyperlink" Target="http://curia.europa.eu/juris/liste.jsf?language=en&amp;jur=C,T,F&amp;num=C-645/15&amp;td=ALL" TargetMode="External"/><Relationship Id="rId222" Type="http://schemas.openxmlformats.org/officeDocument/2006/relationships/hyperlink" Target="http://eur-lex.europa.eu/legal-content/EN/TXT/?qid=1490091437246&amp;uri=CELEX:32014L0049" TargetMode="External"/><Relationship Id="rId243" Type="http://schemas.openxmlformats.org/officeDocument/2006/relationships/hyperlink" Target="http://eur-lex.europa.eu/legal-content/EN/TXT/?qid=1490104856469&amp;uri=CELEX:32014L0024" TargetMode="External"/><Relationship Id="rId264" Type="http://schemas.openxmlformats.org/officeDocument/2006/relationships/hyperlink" Target="http://europa.eu/rapid/press-release_MEMO-16-319_en.htm" TargetMode="External"/><Relationship Id="rId285" Type="http://schemas.openxmlformats.org/officeDocument/2006/relationships/hyperlink" Target="http://eur-lex.europa.eu/legal-content/EN/TXT/?qid=1490094446641&amp;uri=CELEX:32010L0031" TargetMode="External"/><Relationship Id="rId450" Type="http://schemas.openxmlformats.org/officeDocument/2006/relationships/hyperlink" Target="http://eur-lex.europa.eu/legal-content/EN/TXT/?qid=1490088778022&amp;uri=CELEX:31992L0083" TargetMode="External"/><Relationship Id="rId471" Type="http://schemas.openxmlformats.org/officeDocument/2006/relationships/hyperlink" Target="http://europa.eu/rapid/search-result.htm?quickSearch=1&amp;text=MEMO%2F16%2F3125" TargetMode="External"/><Relationship Id="rId506" Type="http://schemas.openxmlformats.org/officeDocument/2006/relationships/hyperlink" Target="http://curia.europa.eu/jcms/jcms/p1_215749/en/" TargetMode="External"/><Relationship Id="rId17" Type="http://schemas.openxmlformats.org/officeDocument/2006/relationships/hyperlink" Target="http://europa.eu/rapid/press-release_MEMO-16-1823_en.htm" TargetMode="External"/><Relationship Id="rId38" Type="http://schemas.openxmlformats.org/officeDocument/2006/relationships/hyperlink" Target="http://eur-lex.europa.eu/legal-content/EN/TXT/?qid=1490116692164&amp;uri=CELEX:31992L0043" TargetMode="External"/><Relationship Id="rId59" Type="http://schemas.openxmlformats.org/officeDocument/2006/relationships/hyperlink" Target="http://eur-lex.europa.eu/legal-content/EN/TXT/?qid=1490089893422&amp;uri=CELEX:32013L0034" TargetMode="External"/><Relationship Id="rId103" Type="http://schemas.openxmlformats.org/officeDocument/2006/relationships/hyperlink" Target="http://eur-lex.europa.eu/legal-content/EN/TXT/?qid=1490091724075&amp;uri=CELEX:32012L0018" TargetMode="External"/><Relationship Id="rId124" Type="http://schemas.openxmlformats.org/officeDocument/2006/relationships/hyperlink" Target="http://eur-lex.europa.eu/legal-content/EN/TXT/?qid=1490090145407&amp;uri=CELEX:32002L0022" TargetMode="External"/><Relationship Id="rId310" Type="http://schemas.openxmlformats.org/officeDocument/2006/relationships/hyperlink" Target="http://eur-lex.europa.eu/legal-content/EN/TXT/?qid=1490094963598&amp;uri=CELEX:32009L0012" TargetMode="External"/><Relationship Id="rId492" Type="http://schemas.openxmlformats.org/officeDocument/2006/relationships/hyperlink" Target="http://eur-lex.europa.eu/legal-content/EN/TXT/?qid=1490106537959&amp;uri=CELEX:32009L0018" TargetMode="External"/><Relationship Id="rId527" Type="http://schemas.openxmlformats.org/officeDocument/2006/relationships/hyperlink" Target="http://eur-lex.europa.eu/legal-content/EN/TXT/?qid=1490090127564&amp;uri=CELEX:32013L0055" TargetMode="External"/><Relationship Id="rId548" Type="http://schemas.openxmlformats.org/officeDocument/2006/relationships/hyperlink" Target="http://eur-lex.europa.eu/legal-content/EN/TXT/?qid=1490104073544&amp;uri=CELEX:32014L0024" TargetMode="External"/><Relationship Id="rId70" Type="http://schemas.openxmlformats.org/officeDocument/2006/relationships/hyperlink" Target="http://europa.eu/rapid/press-release_MEMO-16-1823_en.htm" TargetMode="External"/><Relationship Id="rId91" Type="http://schemas.openxmlformats.org/officeDocument/2006/relationships/hyperlink" Target="http://eur-lex.europa.eu/legal-content/EN/TXT/?qid=1490091188105&amp;uri=CELEX:32007L0046" TargetMode="External"/><Relationship Id="rId145" Type="http://schemas.openxmlformats.org/officeDocument/2006/relationships/hyperlink" Target="http://eur-lex.europa.eu/legal-content/EN/TXT/?qid=1456927136179&amp;uri=CELEX:32006L0123" TargetMode="External"/><Relationship Id="rId166" Type="http://schemas.openxmlformats.org/officeDocument/2006/relationships/hyperlink" Target="http://europa.eu/rapid/press-release_MEMO-15-6223_en.htm" TargetMode="External"/><Relationship Id="rId187" Type="http://schemas.openxmlformats.org/officeDocument/2006/relationships/hyperlink" Target="http://eur-lex.europa.eu/legal-content/EN/TXT/?qid=1495031531874&amp;uri=CELEX:32000L0013" TargetMode="External"/><Relationship Id="rId331" Type="http://schemas.openxmlformats.org/officeDocument/2006/relationships/hyperlink" Target="http://europa.eu/rapid/press-release_MEMO-16-1452_en.htm" TargetMode="External"/><Relationship Id="rId352" Type="http://schemas.openxmlformats.org/officeDocument/2006/relationships/hyperlink" Target="http://eur-lex.europa.eu/legal-content/EN/TXT/?uri=uriserv:OJ.L_.2014.094.01.0001.01.ENG" TargetMode="External"/><Relationship Id="rId373" Type="http://schemas.openxmlformats.org/officeDocument/2006/relationships/hyperlink" Target="http://eur-lex.europa.eu/legal-content/EN/TXT/?qid=1490105722706&amp;uri=CELEX:32010R1177" TargetMode="External"/><Relationship Id="rId394" Type="http://schemas.openxmlformats.org/officeDocument/2006/relationships/hyperlink" Target="http://curia.europa.eu/juris/liste.jsf?language=en&amp;jur=C,T,F&amp;num=C-558/14&amp;td=ALL" TargetMode="External"/><Relationship Id="rId408" Type="http://schemas.openxmlformats.org/officeDocument/2006/relationships/hyperlink" Target="http://eur-lex.europa.eu/legal-content/EN/TXT/?qid=1490091971068&amp;uri=CELEX:32012L0034" TargetMode="External"/><Relationship Id="rId429" Type="http://schemas.openxmlformats.org/officeDocument/2006/relationships/hyperlink" Target="http://eur-lex.europa.eu/legal-content/EN/TXT/?qid=1490111022996&amp;uri=CELEX:32005L0029" TargetMode="External"/><Relationship Id="rId1" Type="http://schemas.openxmlformats.org/officeDocument/2006/relationships/hyperlink" Target="http://eur-lex.europa.eu/legal-content/EN/TXT/?qid=1490094494272&amp;uri=CELEX:32013L0040" TargetMode="External"/><Relationship Id="rId212" Type="http://schemas.openxmlformats.org/officeDocument/2006/relationships/hyperlink" Target="http://eur-lex.europa.eu/legal-content/EN/TXT/?qid=1490091101926&amp;uri=CELEX:32001L0012" TargetMode="External"/><Relationship Id="rId233" Type="http://schemas.openxmlformats.org/officeDocument/2006/relationships/hyperlink" Target="http://europa.eu/rapid/press-release_MEMO-16-3125_en.htm" TargetMode="External"/><Relationship Id="rId254" Type="http://schemas.openxmlformats.org/officeDocument/2006/relationships/hyperlink" Target="http://eur-lex.europa.eu/legal-content/EN/TXT/?qid=1490093814543&amp;uri=CELEX:32008L0115" TargetMode="External"/><Relationship Id="rId440" Type="http://schemas.openxmlformats.org/officeDocument/2006/relationships/hyperlink" Target="http://eur-lex.europa.eu/legal-content/EN/TXT/?qid=1490088612697&amp;uri=CELEX:32011L0092" TargetMode="External"/><Relationship Id="rId28" Type="http://schemas.openxmlformats.org/officeDocument/2006/relationships/hyperlink" Target="http://eur-lex.europa.eu/legal-content/EN/TXT/?qid=1490116071312&amp;uri=CELEX:32012L0018" TargetMode="External"/><Relationship Id="rId49" Type="http://schemas.openxmlformats.org/officeDocument/2006/relationships/hyperlink" Target="http://eur-lex.europa.eu/legal-content/EN/TXT/?qid=1490117206250&amp;uri=CELEX:32013L0030" TargetMode="External"/><Relationship Id="rId114" Type="http://schemas.openxmlformats.org/officeDocument/2006/relationships/hyperlink" Target="http://europa.eu/rapid/press-release_MEMO-16-1452_en.htm" TargetMode="External"/><Relationship Id="rId275" Type="http://schemas.openxmlformats.org/officeDocument/2006/relationships/hyperlink" Target="http://eur-lex.europa.eu/legal-content/EN/TXT/?qid=1490094268340&amp;uri=CELEX:32005L0036" TargetMode="External"/><Relationship Id="rId296" Type="http://schemas.openxmlformats.org/officeDocument/2006/relationships/hyperlink" Target="http://eur-lex.europa.eu/legal-content/EN/TXT/?qid=1490094494272&amp;uri=CELEX:32013L0040" TargetMode="External"/><Relationship Id="rId300" Type="http://schemas.openxmlformats.org/officeDocument/2006/relationships/hyperlink" Target="http://eur-lex.europa.eu/legal-content/EN/TXT/?qid=1490094666050&amp;uri=CELEX:32012L0018" TargetMode="External"/><Relationship Id="rId461" Type="http://schemas.openxmlformats.org/officeDocument/2006/relationships/hyperlink" Target="http://eur-lex.europa.eu/legal-content/EN/TXT/?qid=1490089344969&amp;uri=CELEX:32014L0059" TargetMode="External"/><Relationship Id="rId482" Type="http://schemas.openxmlformats.org/officeDocument/2006/relationships/hyperlink" Target="http://europa.eu/rapid/press-release_MEMO-16-319_en.htm" TargetMode="External"/><Relationship Id="rId517" Type="http://schemas.openxmlformats.org/officeDocument/2006/relationships/hyperlink" Target="http://europa.eu/rapid/press-release_MEMO-16-319_en.htm" TargetMode="External"/><Relationship Id="rId538" Type="http://schemas.openxmlformats.org/officeDocument/2006/relationships/hyperlink" Target="http://europa.eu/rapid/press-release_MEMO-16-1452_en.htm" TargetMode="External"/><Relationship Id="rId60" Type="http://schemas.openxmlformats.org/officeDocument/2006/relationships/hyperlink" Target="http://europa.eu/rapid/press-release_MEMO-16-2097_en.htm" TargetMode="External"/><Relationship Id="rId81" Type="http://schemas.openxmlformats.org/officeDocument/2006/relationships/hyperlink" Target="http://eur-lex.europa.eu/legal-content/EN/TXT/?qid=1490090930727&amp;uri=CELEX:32004L0035" TargetMode="External"/><Relationship Id="rId135" Type="http://schemas.openxmlformats.org/officeDocument/2006/relationships/hyperlink" Target="http://europa.eu/rapid/press-release_MEMO-16-319_en.htm" TargetMode="External"/><Relationship Id="rId156" Type="http://schemas.openxmlformats.org/officeDocument/2006/relationships/hyperlink" Target="http://europa.eu/rapid/press-release_IP-15-4669_en.htm" TargetMode="External"/><Relationship Id="rId177" Type="http://schemas.openxmlformats.org/officeDocument/2006/relationships/hyperlink" Target="http://curia.europa.eu/juris/liste.jsf?language=en&amp;jur=C,T,F&amp;num=C-659/15&amp;td=ALL" TargetMode="External"/><Relationship Id="rId198" Type="http://schemas.openxmlformats.org/officeDocument/2006/relationships/hyperlink" Target="http://curia.europa.eu/juris/liste.jsf?language=en&amp;jur=C,T,F&amp;num=C-80/15&amp;td=ALL" TargetMode="External"/><Relationship Id="rId321" Type="http://schemas.openxmlformats.org/officeDocument/2006/relationships/hyperlink" Target="http://curia.europa.eu/jcms/jcms/p1_268743/en/" TargetMode="External"/><Relationship Id="rId342" Type="http://schemas.openxmlformats.org/officeDocument/2006/relationships/hyperlink" Target="http://eur-lex.europa.eu/legal-content/EN/TXT/?qid=1490104720123&amp;uri=CELEX:32014L0017" TargetMode="External"/><Relationship Id="rId363" Type="http://schemas.openxmlformats.org/officeDocument/2006/relationships/hyperlink" Target="http://curia.europa.eu/juris/liste.jsf?language=en&amp;jur=C,T,F&amp;num=C-388/16&amp;td=ALL" TargetMode="External"/><Relationship Id="rId384" Type="http://schemas.openxmlformats.org/officeDocument/2006/relationships/hyperlink" Target="http://curia.europa.eu/juris/liste.jsf?language=en&amp;jur=C,T,F&amp;num=C-139/15%20P&amp;td=ALL" TargetMode="External"/><Relationship Id="rId419" Type="http://schemas.openxmlformats.org/officeDocument/2006/relationships/hyperlink" Target="http://eur-lex.europa.eu/legal-content/EN/TXT/?qid=1490092312075&amp;uri=CELEX:32006L0126" TargetMode="External"/><Relationship Id="rId202" Type="http://schemas.openxmlformats.org/officeDocument/2006/relationships/hyperlink" Target="http://eur-lex.europa.eu/legal-content/EN/TXT/?qid=1490093669992&amp;uri=CELEX:31993R2454" TargetMode="External"/><Relationship Id="rId223" Type="http://schemas.openxmlformats.org/officeDocument/2006/relationships/hyperlink" Target="http://eur-lex.europa.eu/legal-content/EN/TXT/?qid=1490091472182&amp;uri=CELEX:32013L0014" TargetMode="External"/><Relationship Id="rId244" Type="http://schemas.openxmlformats.org/officeDocument/2006/relationships/hyperlink" Target="http://eur-lex.europa.eu/legal-content/EN/TXT/?qid=1490104882020&amp;uri=CELEX:32014L0025" TargetMode="External"/><Relationship Id="rId430" Type="http://schemas.openxmlformats.org/officeDocument/2006/relationships/hyperlink" Target="http://curia.europa.eu/juris/liste.jsf?pro=&amp;nat=or&amp;oqp=&amp;dates=&amp;lg=&amp;language=en&amp;jur=C%2CT%2CF&amp;cit=none%252CC%252CCJ%252CR%252C2008E%252C%252C%252C%252C%252C%252C%252C%252C%252C%252Ctrue%252Cfalse%252Cfalse&amp;num=C-310%252F15&amp;td=%3BALL&amp;pcs=Oor&amp;avg=&amp;page=1&amp;mat=or&amp;jge=&amp;for=&amp;cid=606861" TargetMode="External"/><Relationship Id="rId18" Type="http://schemas.openxmlformats.org/officeDocument/2006/relationships/hyperlink" Target="http://eur-lex.europa.eu/legal-content/EN/TXT/?qid=1456831762410&amp;uri=CELEX:32009L0012" TargetMode="External"/><Relationship Id="rId39" Type="http://schemas.openxmlformats.org/officeDocument/2006/relationships/hyperlink" Target="http://curia.europa.eu/juris/liste.jsf?language=en&amp;jur=C,T,F&amp;num=C-387/15&amp;td=ALL" TargetMode="External"/><Relationship Id="rId265" Type="http://schemas.openxmlformats.org/officeDocument/2006/relationships/hyperlink" Target="http://eur-lex.europa.eu/legal-content/EN/TXT/?qid=1490094070553&amp;uri=CELEX:32014L0017" TargetMode="External"/><Relationship Id="rId286" Type="http://schemas.openxmlformats.org/officeDocument/2006/relationships/hyperlink" Target="http://curia.europa.eu/juris/liste.jsf?language=en&amp;jur=C,T,F&amp;num=C-160/16&amp;td=ALL" TargetMode="External"/><Relationship Id="rId451" Type="http://schemas.openxmlformats.org/officeDocument/2006/relationships/hyperlink" Target="http://europa.eu/rapid/press-release_MEMO-16-4211_en.htm" TargetMode="External"/><Relationship Id="rId472" Type="http://schemas.openxmlformats.org/officeDocument/2006/relationships/hyperlink" Target="http://eur-lex.europa.eu/legal-content/EN/TXT/?qid=1490105888217&amp;uri=CELEX:32008L0115" TargetMode="External"/><Relationship Id="rId493" Type="http://schemas.openxmlformats.org/officeDocument/2006/relationships/hyperlink" Target="http://eur-lex.europa.eu/legal-content/AUTO/?uri=CELEX:31992R3577&amp;qid=1490106627139&amp;rid=1" TargetMode="External"/><Relationship Id="rId507" Type="http://schemas.openxmlformats.org/officeDocument/2006/relationships/hyperlink" Target="http://eur-lex.europa.eu/legal-content/EN/TXT/?qid=1490089772204&amp;uri=CELEX:32013R0098" TargetMode="External"/><Relationship Id="rId528" Type="http://schemas.openxmlformats.org/officeDocument/2006/relationships/hyperlink" Target="http://europa.eu/rapid/press-release_MEMO-16-3125_en.htm" TargetMode="External"/><Relationship Id="rId549" Type="http://schemas.openxmlformats.org/officeDocument/2006/relationships/hyperlink" Target="http://eur-lex.europa.eu/legal-content/EN/TXT/?qid=1490104110053&amp;uri=CELEX:32014L0025" TargetMode="External"/><Relationship Id="rId50" Type="http://schemas.openxmlformats.org/officeDocument/2006/relationships/hyperlink" Target="http://europa.eu/rapid/press-release_MEMO-16-319_en.htm" TargetMode="External"/><Relationship Id="rId104" Type="http://schemas.openxmlformats.org/officeDocument/2006/relationships/hyperlink" Target="http://eur-lex.europa.eu/legal-content/EN/TXT/?qid=1490091759759&amp;uri=CELEX:32014L0059" TargetMode="External"/><Relationship Id="rId125" Type="http://schemas.openxmlformats.org/officeDocument/2006/relationships/hyperlink" Target="http://curia.europa.eu/juris/liste.jsf?language=en&amp;jur=C,T,F&amp;num=C-327/15&amp;td=ALL" TargetMode="External"/><Relationship Id="rId146" Type="http://schemas.openxmlformats.org/officeDocument/2006/relationships/hyperlink" Target="http://europa.eu/rapid/press-release_IP-16-323_en.htm" TargetMode="External"/><Relationship Id="rId167" Type="http://schemas.openxmlformats.org/officeDocument/2006/relationships/hyperlink" Target="http://curia.europa.eu/juris/liste.jsf?language=en&amp;jur=C,T,F&amp;num=C-380/16&amp;td=ALL" TargetMode="External"/><Relationship Id="rId188" Type="http://schemas.openxmlformats.org/officeDocument/2006/relationships/hyperlink" Target="http://curia.europa.eu/juris/liste.jsf?pro=&amp;nat=or&amp;oqp=&amp;dates=&amp;lg=&amp;language=en&amp;jur=C%2CT%2CF&amp;cit=none%252CC%252CCJ%252CR%252C2008E%252C%252C%252C%252C%252C%252C%252C%252C%252C%252Ctrue%252Cfalse%252Cfalse&amp;num=C-113%252F15&amp;td=%3BALL&amp;pcs=Oor&amp;avg=&amp;page=1&amp;mat=or&amp;jge=&amp;for=&amp;cid=604758" TargetMode="External"/><Relationship Id="rId311" Type="http://schemas.openxmlformats.org/officeDocument/2006/relationships/hyperlink" Target="http://eur-lex.europa.eu/legal-content/EN/TXT/?qid=1490095001897&amp;uri=CELEX:31992L0043" TargetMode="External"/><Relationship Id="rId332" Type="http://schemas.openxmlformats.org/officeDocument/2006/relationships/hyperlink" Target="http://eur-lex.europa.eu/legal-content/EN/TXT/?qid=1490104462542&amp;uri=CELEX:31999L0070" TargetMode="External"/><Relationship Id="rId353" Type="http://schemas.openxmlformats.org/officeDocument/2006/relationships/hyperlink" Target="http://eur-lex.europa.eu/legal-content/EN/TXT/?qid=1490104988431&amp;uri=CELEX:32014L0024" TargetMode="External"/><Relationship Id="rId374" Type="http://schemas.openxmlformats.org/officeDocument/2006/relationships/hyperlink" Target="http://eur-lex.europa.eu/legal-content/EN/TXT/?qid=1490105760069&amp;uri=CELEX:32009L0012" TargetMode="External"/><Relationship Id="rId395" Type="http://schemas.openxmlformats.org/officeDocument/2006/relationships/hyperlink" Target="http://eur-lex.europa.eu/legal-content/EN/TXT/?qid=1490106151748&amp;uri=CELEX:32002L0021" TargetMode="External"/><Relationship Id="rId409" Type="http://schemas.openxmlformats.org/officeDocument/2006/relationships/hyperlink" Target="http://europa.eu/rapid/press-release_IP-16-2101_en.htm" TargetMode="External"/><Relationship Id="rId71" Type="http://schemas.openxmlformats.org/officeDocument/2006/relationships/hyperlink" Target="http://eur-lex.europa.eu/legal-content/EN/TXT/?qid=1490116071312&amp;uri=CELEX:32012L0018" TargetMode="External"/><Relationship Id="rId92" Type="http://schemas.openxmlformats.org/officeDocument/2006/relationships/hyperlink" Target="http://eur-lex.europa.eu/legal-content/EN/TXT/?qid=1490091230035&amp;uri=CELEX:32007R0715" TargetMode="External"/><Relationship Id="rId213" Type="http://schemas.openxmlformats.org/officeDocument/2006/relationships/hyperlink" Target="http://eur-lex.europa.eu/legal-content/EN/TXT/?qid=1490091136820&amp;uri=CELEX:32001L0013" TargetMode="External"/><Relationship Id="rId234" Type="http://schemas.openxmlformats.org/officeDocument/2006/relationships/hyperlink" Target="http://eur-lex.europa.eu/legal-content/EN/TXT/?qid=1490104584157&amp;uri=CELEX:31992L0043" TargetMode="External"/><Relationship Id="rId420" Type="http://schemas.openxmlformats.org/officeDocument/2006/relationships/hyperlink" Target="http://eur-lex.europa.eu/legal-content/EN/TXT/?qid=1490098338208&amp;uri=CELEX:31991L0271" TargetMode="External"/><Relationship Id="rId2" Type="http://schemas.openxmlformats.org/officeDocument/2006/relationships/hyperlink" Target="http://europa.eu/rapid/press-release_MEMO-16-4211_en.htm" TargetMode="External"/><Relationship Id="rId29" Type="http://schemas.openxmlformats.org/officeDocument/2006/relationships/hyperlink" Target="http://eur-lex.europa.eu/legal-content/EN/TXT/?qid=1490116108732&amp;uri=CELEX:32010R1177" TargetMode="External"/><Relationship Id="rId255" Type="http://schemas.openxmlformats.org/officeDocument/2006/relationships/hyperlink" Target="http://eur-lex.europa.eu/legal-content/EN/TXT/?qid=1490093849349&amp;uri=CELEX:32002L0020" TargetMode="External"/><Relationship Id="rId276" Type="http://schemas.openxmlformats.org/officeDocument/2006/relationships/hyperlink" Target="http://eur-lex.europa.eu/legal-content/EN/TXT/?qid=1490094304264&amp;uri=CELEX:32013L0055" TargetMode="External"/><Relationship Id="rId297" Type="http://schemas.openxmlformats.org/officeDocument/2006/relationships/hyperlink" Target="http://europa.eu/rapid/press-release_MEMO-16-4211_en.htm" TargetMode="External"/><Relationship Id="rId441" Type="http://schemas.openxmlformats.org/officeDocument/2006/relationships/hyperlink" Target="http://eur-lex.europa.eu/legal-content/EN/TXT/?qid=1490088520660&amp;uri=CELEX:32008L0098" TargetMode="External"/><Relationship Id="rId462" Type="http://schemas.openxmlformats.org/officeDocument/2006/relationships/hyperlink" Target="http://eur-lex.europa.eu/legal-content/EN/TXT/?qid=1490089377545&amp;uri=CELEX:32011L0089" TargetMode="External"/><Relationship Id="rId483" Type="http://schemas.openxmlformats.org/officeDocument/2006/relationships/hyperlink" Target="http://eur-lex.europa.eu/legal-content/EN/TXT/?qid=1490106207333&amp;uri=CELEX:32006L0123" TargetMode="External"/><Relationship Id="rId518" Type="http://schemas.openxmlformats.org/officeDocument/2006/relationships/hyperlink" Target="http://eur-lex.europa.eu/legal-content/EN/TXT/?qid=1490090011432&amp;uri=CELEX:32006L0126" TargetMode="External"/><Relationship Id="rId539" Type="http://schemas.openxmlformats.org/officeDocument/2006/relationships/hyperlink" Target="http://eur-lex.europa.eu/legal-content/EN/TXT/?qid=1490103918002&amp;uri=CELEX:32013L0036" TargetMode="External"/><Relationship Id="rId40" Type="http://schemas.openxmlformats.org/officeDocument/2006/relationships/hyperlink" Target="http://curia.europa.eu/juris/liste.jsf?language=en&amp;jur=C,T,F&amp;num=C-388/15&amp;td=ALL" TargetMode="External"/><Relationship Id="rId115" Type="http://schemas.openxmlformats.org/officeDocument/2006/relationships/hyperlink" Target="http://eur-lex.europa.eu/legal-content/EN/TXT/?qid=1490089283820&amp;uri=CELEX:32006L0126" TargetMode="External"/><Relationship Id="rId136" Type="http://schemas.openxmlformats.org/officeDocument/2006/relationships/hyperlink" Target="http://europa.eu/rapid/press-release_MEMO-16-1452_en.htm" TargetMode="External"/><Relationship Id="rId157" Type="http://schemas.openxmlformats.org/officeDocument/2006/relationships/hyperlink" Target="http://curia.europa.eu/juris/liste.jsf?language=en&amp;jur=C,T,F&amp;num=C-543/16&amp;td=ALL" TargetMode="External"/><Relationship Id="rId178" Type="http://schemas.openxmlformats.org/officeDocument/2006/relationships/hyperlink" Target="http://curia.europa.eu/jcms/jcms/P_192433/en/" TargetMode="External"/><Relationship Id="rId301" Type="http://schemas.openxmlformats.org/officeDocument/2006/relationships/hyperlink" Target="http://eur-lex.europa.eu/legal-content/EN/TXT/?qid=1490094701248&amp;uri=CELEX:32014L0059" TargetMode="External"/><Relationship Id="rId322" Type="http://schemas.openxmlformats.org/officeDocument/2006/relationships/hyperlink" Target="http://eur-lex.europa.eu/legal-content/EN/TXT/?qid=1490104312060&amp;uri=CELEX:31993L0013" TargetMode="External"/><Relationship Id="rId343" Type="http://schemas.openxmlformats.org/officeDocument/2006/relationships/hyperlink" Target="http://europa.eu/rapid/press-release_MEMO-16-3644_en.htm" TargetMode="External"/><Relationship Id="rId364" Type="http://schemas.openxmlformats.org/officeDocument/2006/relationships/hyperlink" Target="http://europa.eu/rapid/press-release_IP-16-1455_EN.htm" TargetMode="External"/><Relationship Id="rId550" Type="http://schemas.openxmlformats.org/officeDocument/2006/relationships/hyperlink" Target="http://europa.eu/rapid/press-release_MEMO-16-1823_en.htm" TargetMode="External"/><Relationship Id="rId61" Type="http://schemas.openxmlformats.org/officeDocument/2006/relationships/hyperlink" Target="http://europa.eu/rapid/press-release_MEMO-16-3644_en.htm" TargetMode="External"/><Relationship Id="rId82" Type="http://schemas.openxmlformats.org/officeDocument/2006/relationships/hyperlink" Target="http://eur-lex.europa.eu/legal-content/EN/TXT/?qid=1487785780771&amp;uri=CELEX:32010R0994" TargetMode="External"/><Relationship Id="rId199" Type="http://schemas.openxmlformats.org/officeDocument/2006/relationships/hyperlink" Target="http://eur-lex.europa.eu/legal-content/EN/TXT/?qid=1490104125799&amp;uri=CELEX:31992L0043" TargetMode="External"/><Relationship Id="rId203" Type="http://schemas.openxmlformats.org/officeDocument/2006/relationships/hyperlink" Target="http://curia.europa.eu/juris/liste.jsf?language=en&amp;jur=C,T,F&amp;num=C-216/15&amp;td=ALL" TargetMode="External"/><Relationship Id="rId385" Type="http://schemas.openxmlformats.org/officeDocument/2006/relationships/hyperlink" Target="http://curia.europa.eu/juris/liste.jsf?language=en&amp;jur=C,T,F&amp;num=C-140/15%20P&amp;td=ALL" TargetMode="External"/><Relationship Id="rId19" Type="http://schemas.openxmlformats.org/officeDocument/2006/relationships/hyperlink" Target="http://europa.eu/rapid/press-release_MEMO-16-319_en.htm" TargetMode="External"/><Relationship Id="rId224" Type="http://schemas.openxmlformats.org/officeDocument/2006/relationships/hyperlink" Target="http://eur-lex.europa.eu/legal-content/EN/TXT/?qid=1490091499118&amp;uri=CELEX:32011L0061" TargetMode="External"/><Relationship Id="rId245" Type="http://schemas.openxmlformats.org/officeDocument/2006/relationships/hyperlink" Target="http://eur-lex.europa.eu/legal-content/EN/TXT/?qid=1490104919183&amp;uri=CELEX:32013L0036" TargetMode="External"/><Relationship Id="rId266" Type="http://schemas.openxmlformats.org/officeDocument/2006/relationships/hyperlink" Target="http://europa.eu/rapid/press-release_MEMO-16-3644_en.htm" TargetMode="External"/><Relationship Id="rId287" Type="http://schemas.openxmlformats.org/officeDocument/2006/relationships/hyperlink" Target="http://europa.eu/rapid/press-release_IP-15-6007_EN.htm" TargetMode="External"/><Relationship Id="rId410" Type="http://schemas.openxmlformats.org/officeDocument/2006/relationships/hyperlink" Target="http://eur-lex.europa.eu/legal-content/EN/TXT/?qid=1490092011262&amp;uri=CELEX:32014L0089" TargetMode="External"/><Relationship Id="rId431" Type="http://schemas.openxmlformats.org/officeDocument/2006/relationships/hyperlink" Target="http://eur-lex.europa.eu/legal-content/EN/TXT/?qid=1490087493710&amp;uri=CELEX:32017R0355" TargetMode="External"/><Relationship Id="rId452" Type="http://schemas.openxmlformats.org/officeDocument/2006/relationships/hyperlink" Target="http://eur-lex.europa.eu/legal-content/EN/TXT/?qid=1490088808847&amp;uri=CELEX:32014L0023" TargetMode="External"/><Relationship Id="rId473" Type="http://schemas.openxmlformats.org/officeDocument/2006/relationships/hyperlink" Target="http://eur-lex.europa.eu/search.html?DTN=0051&amp;DTA=2011&amp;qid=1490105913104&amp;CASE_LAW_SUMMARY=false&amp;DTS_DOM=ALL&amp;excConsLeg=true&amp;type=advanced&amp;SUBDOM_INIT=ALL_ALL&amp;DTS_SUBDOM=ALL_ALL" TargetMode="External"/><Relationship Id="rId494" Type="http://schemas.openxmlformats.org/officeDocument/2006/relationships/hyperlink" Target="http://eur-lex.europa.eu/legal-content/AUTO/?uri=CELEX:32004L0080&amp;qid=1490106608294&amp;rid=6" TargetMode="External"/><Relationship Id="rId508" Type="http://schemas.openxmlformats.org/officeDocument/2006/relationships/hyperlink" Target="http://europa.eu/rapid/press-release_MEMO-16-3125_en.htm" TargetMode="External"/><Relationship Id="rId529" Type="http://schemas.openxmlformats.org/officeDocument/2006/relationships/hyperlink" Target="http://eur-lex.europa.eu/legal-content/EN/TXT/?qid=1490090160560&amp;uri=CELEX:32014L0040" TargetMode="External"/><Relationship Id="rId30" Type="http://schemas.openxmlformats.org/officeDocument/2006/relationships/hyperlink" Target="http://europa.eu/rapid/press-release_MEMO-16-1452_en.htm" TargetMode="External"/><Relationship Id="rId105" Type="http://schemas.openxmlformats.org/officeDocument/2006/relationships/hyperlink" Target="http://eur-lex.europa.eu/legal-content/EN/TXT/?qid=1490091789898&amp;uri=CELEX:32014L0049" TargetMode="External"/><Relationship Id="rId126" Type="http://schemas.openxmlformats.org/officeDocument/2006/relationships/hyperlink" Target="http://curia.europa.eu/juris/liste.jsf?language=en&amp;jur=C,T,F&amp;num=C-561/14&amp;td=ALL" TargetMode="External"/><Relationship Id="rId147" Type="http://schemas.openxmlformats.org/officeDocument/2006/relationships/hyperlink" Target="http://europa.eu/rapid/press-release_MEMO-16-319_en.htm" TargetMode="External"/><Relationship Id="rId168" Type="http://schemas.openxmlformats.org/officeDocument/2006/relationships/hyperlink" Target="http://europa.eu/rapid/press-release_IP-16-1461_EN.htm" TargetMode="External"/><Relationship Id="rId312" Type="http://schemas.openxmlformats.org/officeDocument/2006/relationships/hyperlink" Target="http://curia.europa.eu/juris/liste.jsf?language=en&amp;jur=C,T,F&amp;num=C-504/14&amp;td=ALL" TargetMode="External"/><Relationship Id="rId333" Type="http://schemas.openxmlformats.org/officeDocument/2006/relationships/hyperlink" Target="http://eur-lex.europa.eu/legal-content/EN/TXT/?qid=1490104489367&amp;uri=CELEX:32002L0049" TargetMode="External"/><Relationship Id="rId354" Type="http://schemas.openxmlformats.org/officeDocument/2006/relationships/hyperlink" Target="http://eur-lex.europa.eu/legal-content/EN/TXT/?qid=1490105036222&amp;uri=CELEX:32014L0025" TargetMode="External"/><Relationship Id="rId540" Type="http://schemas.openxmlformats.org/officeDocument/2006/relationships/hyperlink" Target="http://europa.eu/rapid/press-release_MEMO-16-1452_en.htm" TargetMode="External"/><Relationship Id="rId51" Type="http://schemas.openxmlformats.org/officeDocument/2006/relationships/hyperlink" Target="http://europa.eu/rapid/press-release_MEMO-16-1452_en.htm" TargetMode="External"/><Relationship Id="rId72" Type="http://schemas.openxmlformats.org/officeDocument/2006/relationships/hyperlink" Target="http://eur-lex.europa.eu/legal-content/EN/TXT/?qid=1490115894463&amp;uri=CELEX:32013L0036" TargetMode="External"/><Relationship Id="rId93" Type="http://schemas.openxmlformats.org/officeDocument/2006/relationships/hyperlink" Target="http://europa.eu/rapid/press-release_IP-16-4214_en.htm" TargetMode="External"/><Relationship Id="rId189" Type="http://schemas.openxmlformats.org/officeDocument/2006/relationships/hyperlink" Target="http://curia.europa.eu/juris/liste.jsf?pro=&amp;nat=or&amp;oqp=&amp;dates=&amp;lg=&amp;language=en&amp;jur=C%2CT%2CF&amp;cit=none%252CC%252CCJ%252CR%252C2008E%252C%252C%252C%252C%252C%252C%252C%252C%252C%252Ctrue%252Cfalse%252Cfalse&amp;num=C-448%252F14&amp;td=%3BALL&amp;pcs=Oor&amp;avg=&amp;page=1&amp;mat=or&amp;jge=&amp;for=&amp;cid=604758" TargetMode="External"/><Relationship Id="rId375" Type="http://schemas.openxmlformats.org/officeDocument/2006/relationships/hyperlink" Target="http://eur-lex.europa.eu/legal-content/EN/TXT/?qid=1490105806554&amp;uri=CELEX:32004L0049" TargetMode="External"/><Relationship Id="rId396" Type="http://schemas.openxmlformats.org/officeDocument/2006/relationships/hyperlink" Target="http://curia.europa.eu/juris/liste.jsf?language=en&amp;jur=C,T,F&amp;num=C-424/15&amp;td=ALL" TargetMode="External"/><Relationship Id="rId3" Type="http://schemas.openxmlformats.org/officeDocument/2006/relationships/hyperlink" Target="http://eur-lex.europa.eu/legal-content/EN/TXT/?qid=1490108994994&amp;uri=CELEX:32011L0099" TargetMode="External"/><Relationship Id="rId214" Type="http://schemas.openxmlformats.org/officeDocument/2006/relationships/hyperlink" Target="http://eur-lex.europa.eu/legal-content/EN/TXT/?qid=1490091166878&amp;uri=CELEX:32001L0014" TargetMode="External"/><Relationship Id="rId235" Type="http://schemas.openxmlformats.org/officeDocument/2006/relationships/hyperlink" Target="http://europa.eu/rapid/press-release_MEMO-16-1452_en.htm" TargetMode="External"/><Relationship Id="rId256" Type="http://schemas.openxmlformats.org/officeDocument/2006/relationships/hyperlink" Target="http://eur-lex.europa.eu/legal-content/EN/TXT/?qid=1490093880748&amp;uri=CELEX:32002L0021" TargetMode="External"/><Relationship Id="rId277" Type="http://schemas.openxmlformats.org/officeDocument/2006/relationships/hyperlink" Target="http://europa.eu/rapid/press-release_MEMO-16-3125_en.htm" TargetMode="External"/><Relationship Id="rId298" Type="http://schemas.openxmlformats.org/officeDocument/2006/relationships/hyperlink" Target="http://eur-lex.europa.eu/legal-content/EN/TXT/?qid=1490094526636&amp;uri=CELEX:31999L0031" TargetMode="External"/><Relationship Id="rId400" Type="http://schemas.openxmlformats.org/officeDocument/2006/relationships/hyperlink" Target="http://eur-lex.europa.eu/legal-content/EN/TXT/?qid=1490095267676&amp;uri=CELEX:32008L0098" TargetMode="External"/><Relationship Id="rId421" Type="http://schemas.openxmlformats.org/officeDocument/2006/relationships/hyperlink" Target="http://curia.europa.eu/juris/liste.jsf?language=en&amp;jur=C,T,F&amp;num=C-314/15&amp;td=ALL" TargetMode="External"/><Relationship Id="rId442" Type="http://schemas.openxmlformats.org/officeDocument/2006/relationships/hyperlink" Target="http://europa.eu/rapid/press-release_MEMO-16-3644_en.htm" TargetMode="External"/><Relationship Id="rId463" Type="http://schemas.openxmlformats.org/officeDocument/2006/relationships/hyperlink" Target="http://eur-lex.europa.eu/legal-content/EN/TXT/?qid=1490089423200&amp;uri=CELEX:31992R3577" TargetMode="External"/><Relationship Id="rId484" Type="http://schemas.openxmlformats.org/officeDocument/2006/relationships/hyperlink" Target="http://europa.eu/rapid/press-release_MEMO-16-3644_en.htm" TargetMode="External"/><Relationship Id="rId519" Type="http://schemas.openxmlformats.org/officeDocument/2006/relationships/hyperlink" Target="http://europa.eu/rapid/press-release_MEMO-16-2097_en.htm" TargetMode="External"/><Relationship Id="rId116" Type="http://schemas.openxmlformats.org/officeDocument/2006/relationships/hyperlink" Target="http://europa.eu/rapid/press-release_MEMO-16-2097_en.htm" TargetMode="External"/><Relationship Id="rId137" Type="http://schemas.openxmlformats.org/officeDocument/2006/relationships/hyperlink" Target="http://europa.eu/rapid/press-release_MEMO-16-3644_en.htm" TargetMode="External"/><Relationship Id="rId158" Type="http://schemas.openxmlformats.org/officeDocument/2006/relationships/hyperlink" Target="http://europa.eu/rapid/press-release_IP-16-1453_en.htm" TargetMode="External"/><Relationship Id="rId302" Type="http://schemas.openxmlformats.org/officeDocument/2006/relationships/hyperlink" Target="http://eur-lex.europa.eu/legal-content/EN/TXT/?qid=1490094731727&amp;uri=CELEX:32014L0049" TargetMode="External"/><Relationship Id="rId323" Type="http://schemas.openxmlformats.org/officeDocument/2006/relationships/hyperlink" Target="http://europa.eu/rapid/press-release_MEMO-16-1452_en.htm" TargetMode="External"/><Relationship Id="rId344" Type="http://schemas.openxmlformats.org/officeDocument/2006/relationships/hyperlink" Target="http://eur-lex.europa.eu/legal-content/EN/TXT/?qid=1490104822821&amp;uri=CELEX:32013L0050" TargetMode="External"/><Relationship Id="rId530" Type="http://schemas.openxmlformats.org/officeDocument/2006/relationships/hyperlink" Target="http://europa.eu/rapid/press-release_MEMO-16-4211_en.htm" TargetMode="External"/><Relationship Id="rId20" Type="http://schemas.openxmlformats.org/officeDocument/2006/relationships/hyperlink" Target="vhttp://eur-lex.europa.eu/legal-content/EN/TXT/?qid=1490115921326&amp;uri=CELEX:32009L0018" TargetMode="External"/><Relationship Id="rId41" Type="http://schemas.openxmlformats.org/officeDocument/2006/relationships/hyperlink" Target="http://eur-lex.europa.eu/legal-content/EN/TXT/?qid=1490116655080&amp;uri=CELEX:32001L0042" TargetMode="External"/><Relationship Id="rId62" Type="http://schemas.openxmlformats.org/officeDocument/2006/relationships/hyperlink" Target="http://eur-lex.europa.eu/legal-content/EN/TXT/?qid=1456831762410&amp;uri=CELEX:32009L0012" TargetMode="External"/><Relationship Id="rId83" Type="http://schemas.openxmlformats.org/officeDocument/2006/relationships/hyperlink" Target="http://eur-lex.europa.eu/legal-content/EN/TXT/?qid=1490090972357&amp;uri=CELEX:31992L0043" TargetMode="External"/><Relationship Id="rId179" Type="http://schemas.openxmlformats.org/officeDocument/2006/relationships/hyperlink" Target="http://eur-lex.europa.eu/legal-content/EN/TXT/?qid=1490093618035&amp;uri=CELEX:32011L0095" TargetMode="External"/><Relationship Id="rId365" Type="http://schemas.openxmlformats.org/officeDocument/2006/relationships/hyperlink" Target="http://europa.eu/rapid/press-release_MEMO-16-1452_en.htm" TargetMode="External"/><Relationship Id="rId386" Type="http://schemas.openxmlformats.org/officeDocument/2006/relationships/hyperlink" Target="http://curia.europa.eu/juris/liste.jsf?language=en&amp;jur=C,T,F&amp;num=C-154/15&amp;td=ALL" TargetMode="External"/><Relationship Id="rId551" Type="http://schemas.openxmlformats.org/officeDocument/2006/relationships/hyperlink" Target="http://eur-lex.europa.eu/legal-content/EN/TXT/?qid=1490104154870&amp;uri=CELEX:32012L0018" TargetMode="External"/><Relationship Id="rId190" Type="http://schemas.openxmlformats.org/officeDocument/2006/relationships/hyperlink" Target="http://eur-lex.europa.eu/legal-content/EN/TXT/?qid=1490103860193&amp;uri=CELEX:32007R1370" TargetMode="External"/><Relationship Id="rId204" Type="http://schemas.openxmlformats.org/officeDocument/2006/relationships/hyperlink" Target="http://curia.europa.eu/juris/liste.jsf?language=en&amp;jur=C,T,F&amp;num=C-148/15&amp;td=ALL" TargetMode="External"/><Relationship Id="rId225" Type="http://schemas.openxmlformats.org/officeDocument/2006/relationships/hyperlink" Target="http://eur-lex.europa.eu/legal-content/EN/TXT/?qid=1490091530497&amp;uri=CELEX:32006L0126" TargetMode="External"/><Relationship Id="rId246" Type="http://schemas.openxmlformats.org/officeDocument/2006/relationships/hyperlink" Target="http://eur-lex.europa.eu/legal-content/EN/TXT/?qid=1490104959508&amp;uri=CELEX:32014L0059" TargetMode="External"/><Relationship Id="rId267" Type="http://schemas.openxmlformats.org/officeDocument/2006/relationships/hyperlink" Target="http://eur-lex.europa.eu/legal-content/EN/TXT/?qid=1490094104747&amp;uri=CELEX:32014L0056" TargetMode="External"/><Relationship Id="rId288" Type="http://schemas.openxmlformats.org/officeDocument/2006/relationships/hyperlink" Target="http://eur-lex.europa.eu/legal-content/en/ALL/?uri=CELEX:32008L0118" TargetMode="External"/><Relationship Id="rId411" Type="http://schemas.openxmlformats.org/officeDocument/2006/relationships/hyperlink" Target="http://eur-lex.europa.eu/legal-content/EN/ALL/?uri=CELEX%3A32013L0039" TargetMode="External"/><Relationship Id="rId432" Type="http://schemas.openxmlformats.org/officeDocument/2006/relationships/hyperlink" Target="http://eur-lex.europa.eu/legal-content/EN/TXT/?qid=1490087596517&amp;uri=CELEX:32008D0616" TargetMode="External"/><Relationship Id="rId453" Type="http://schemas.openxmlformats.org/officeDocument/2006/relationships/hyperlink" Target="http://eur-lex.europa.eu/legal-content/EN/TXT/?qid=1490088850883&amp;uri=CELEX:32014L0024" TargetMode="External"/><Relationship Id="rId474" Type="http://schemas.openxmlformats.org/officeDocument/2006/relationships/hyperlink" Target="http://www.eea.europa.eu/themes/air/air-quality/resources/glossary/pm10" TargetMode="External"/><Relationship Id="rId509" Type="http://schemas.openxmlformats.org/officeDocument/2006/relationships/hyperlink" Target="http://eur-lex.europa.eu/legal-content/EN/TXT/?qid=1490089821108&amp;uri=CELEX:32008L0098" TargetMode="External"/><Relationship Id="rId106" Type="http://schemas.openxmlformats.org/officeDocument/2006/relationships/hyperlink" Target="http://eur-lex.europa.eu/legal-content/EN/TXT/?qid=1490091817242&amp;uri=CELEX:32011L0098" TargetMode="External"/><Relationship Id="rId127" Type="http://schemas.openxmlformats.org/officeDocument/2006/relationships/hyperlink" Target="http://eur-lex.europa.eu/legal-content/EN/TXT/?qid=1490092479449&amp;uri=CELEX:32013L0032" TargetMode="External"/><Relationship Id="rId313" Type="http://schemas.openxmlformats.org/officeDocument/2006/relationships/hyperlink" Target="http://curia.europa.eu/juris/liste.jsf?language=en&amp;jur=C,T,F&amp;num=C-584/14&amp;td=ALL" TargetMode="External"/><Relationship Id="rId495" Type="http://schemas.openxmlformats.org/officeDocument/2006/relationships/hyperlink" Target="http://curia.europa.eu/juris/liste.jsf?language=en&amp;jur=C,T,F&amp;num=C-601/14&amp;td=ALL" TargetMode="External"/><Relationship Id="rId10" Type="http://schemas.openxmlformats.org/officeDocument/2006/relationships/hyperlink" Target="http://eur-lex.europa.eu/legal-content/EN/TXT/?qid=1490115841326&amp;uri=CELEX:32013L0055" TargetMode="External"/><Relationship Id="rId31" Type="http://schemas.openxmlformats.org/officeDocument/2006/relationships/hyperlink" Target="http://curia.europa.eu/juris/liste.jsf?language=en&amp;jur=C,T,F&amp;num=C-163/14&amp;td=ALL" TargetMode="External"/><Relationship Id="rId52" Type="http://schemas.openxmlformats.org/officeDocument/2006/relationships/hyperlink" Target="http://europa.eu/rapid/press-release_MEMO-16-3644_en.htm" TargetMode="External"/><Relationship Id="rId73" Type="http://schemas.openxmlformats.org/officeDocument/2006/relationships/hyperlink" Target="http://eur-lex.europa.eu/legal-content/EN/TXT/?qid=1490115864503&amp;uri=CELEX:32014L0059" TargetMode="External"/><Relationship Id="rId94" Type="http://schemas.openxmlformats.org/officeDocument/2006/relationships/hyperlink" Target="http://eur-lex.europa.eu/legal-content/EN/TXT/?qid=1490091284626&amp;uri=CELEX:32006L0126" TargetMode="External"/><Relationship Id="rId148" Type="http://schemas.openxmlformats.org/officeDocument/2006/relationships/hyperlink" Target="http://europa.eu/rapid/press-release_IP-16-3646_en.htm" TargetMode="External"/><Relationship Id="rId169" Type="http://schemas.openxmlformats.org/officeDocument/2006/relationships/hyperlink" Target="http://eur-lex.europa.eu/legal-content/EN/TXT/?qid=1490093490628&amp;uri=CELEX:32008R0300" TargetMode="External"/><Relationship Id="rId334" Type="http://schemas.openxmlformats.org/officeDocument/2006/relationships/hyperlink" Target="http://eur-lex.europa.eu/legal-content/EN/TXT/?qid=1490104518473&amp;uri=CELEX:32009L0147" TargetMode="External"/><Relationship Id="rId355" Type="http://schemas.openxmlformats.org/officeDocument/2006/relationships/hyperlink" Target="http://europa.eu/rapid/press-release_MEMO-16-4211_en.htm" TargetMode="External"/><Relationship Id="rId376" Type="http://schemas.openxmlformats.org/officeDocument/2006/relationships/hyperlink" Target="http://eur-lex.europa.eu/legal-content/EN/TXT/?qid=1490105848823&amp;uri=CELEX:31991L0271" TargetMode="External"/><Relationship Id="rId397" Type="http://schemas.openxmlformats.org/officeDocument/2006/relationships/hyperlink" Target="http://curia.europa.eu/juris/liste.jsf?language=en&amp;jur=C,T,F&amp;num=C-264/15%20P&amp;td=ALL" TargetMode="External"/><Relationship Id="rId520" Type="http://schemas.openxmlformats.org/officeDocument/2006/relationships/hyperlink" Target="http://eur-lex.europa.eu/legal-content/EN/TXT/?qid=1490090041121&amp;uri=CELEX:32014L0089" TargetMode="External"/><Relationship Id="rId541" Type="http://schemas.openxmlformats.org/officeDocument/2006/relationships/hyperlink" Target="http://eur-lex.europa.eu/legal-content/EN/TXT/?qid=1490103969912&amp;uri=CELEX:32013L0050" TargetMode="External"/><Relationship Id="rId4" Type="http://schemas.openxmlformats.org/officeDocument/2006/relationships/hyperlink" Target="http://europa.eu/rapid/press-release_MEMO-16-2490_en.htm" TargetMode="External"/><Relationship Id="rId180" Type="http://schemas.openxmlformats.org/officeDocument/2006/relationships/hyperlink" Target="http://curia.europa.eu/juris/liste.jsf?language=en&amp;jur=C,T,F&amp;num=C-443/14&amp;td=ALL" TargetMode="External"/><Relationship Id="rId215" Type="http://schemas.openxmlformats.org/officeDocument/2006/relationships/hyperlink" Target="http://eur-lex.europa.eu/legal-content/EN/TXT/?uri=uriserv:OJ.L_.2014.094.01.0001.01.ENG" TargetMode="External"/><Relationship Id="rId236" Type="http://schemas.openxmlformats.org/officeDocument/2006/relationships/hyperlink" Target="http://europa.eu/rapid/press-release_MEMO-16-3125_en.htm" TargetMode="External"/><Relationship Id="rId257" Type="http://schemas.openxmlformats.org/officeDocument/2006/relationships/hyperlink" Target="http://eur-lex.europa.eu/legal-content/EN/TXT/?qid=1490093921423&amp;uri=CELEX:31992L0043" TargetMode="External"/><Relationship Id="rId278" Type="http://schemas.openxmlformats.org/officeDocument/2006/relationships/hyperlink" Target="http://eur-lex.europa.eu/legal-content/EN/TXT/?qid=1490094341835&amp;uri=CELEX:32007L0046" TargetMode="External"/><Relationship Id="rId401" Type="http://schemas.openxmlformats.org/officeDocument/2006/relationships/hyperlink" Target="http://europa.eu/rapid/press-release_MEMO-16-3644_en.htm" TargetMode="External"/><Relationship Id="rId422" Type="http://schemas.openxmlformats.org/officeDocument/2006/relationships/hyperlink" Target="http://eur-lex.europa.eu/legal-content/en/ALL/?uri=CELEX%3A32009L0073" TargetMode="External"/><Relationship Id="rId443" Type="http://schemas.openxmlformats.org/officeDocument/2006/relationships/hyperlink" Target="http://eur-lex.europa.eu/legal-content/EN/TXT/?qid=1490088676423&amp;uri=CELEX:32009L0073" TargetMode="External"/><Relationship Id="rId464" Type="http://schemas.openxmlformats.org/officeDocument/2006/relationships/hyperlink" Target="http://eur-lex.europa.eu/legal-content/EN/TXT/?qid=1490089500233&amp;uri=CELEX:32004L0049" TargetMode="External"/><Relationship Id="rId303" Type="http://schemas.openxmlformats.org/officeDocument/2006/relationships/hyperlink" Target="http://eur-lex.europa.eu/legal-content/EN/TXT/?qid=1490094761722&amp;uri=CELEX:32013L0014" TargetMode="External"/><Relationship Id="rId485" Type="http://schemas.openxmlformats.org/officeDocument/2006/relationships/hyperlink" Target="http://eur-lex.europa.eu/legal-content/EN/TXT/?qid=1490106344387&amp;uri=CELEX:32013R0603" TargetMode="External"/><Relationship Id="rId42" Type="http://schemas.openxmlformats.org/officeDocument/2006/relationships/hyperlink" Target="http://curia.europa.eu/juris/liste.jsf?language=en&amp;jur=C,T,F&amp;num=C-290/15&amp;td=ALL" TargetMode="External"/><Relationship Id="rId84" Type="http://schemas.openxmlformats.org/officeDocument/2006/relationships/hyperlink" Target="http://eur-lex.europa.eu/legal-content/EN/TXT/?qid=1490091022168&amp;uri=CELEX:32012L0034" TargetMode="External"/><Relationship Id="rId138" Type="http://schemas.openxmlformats.org/officeDocument/2006/relationships/hyperlink" Target="http://eur-lex.europa.eu/legal-content/EN/TXT/?qid=1490093054632&amp;uri=CELEX:32009L0072" TargetMode="External"/><Relationship Id="rId345" Type="http://schemas.openxmlformats.org/officeDocument/2006/relationships/hyperlink" Target="http://europa.eu/rapid/press-release_MEMO-16-3644_en.htm" TargetMode="External"/><Relationship Id="rId387" Type="http://schemas.openxmlformats.org/officeDocument/2006/relationships/hyperlink" Target="http://curia.europa.eu/juris/liste.jsf?language=en&amp;jur=C,T,F&amp;num=C-307/15&amp;td=ALL" TargetMode="External"/><Relationship Id="rId510" Type="http://schemas.openxmlformats.org/officeDocument/2006/relationships/hyperlink" Target="http://europa.eu/rapid/press-release_MEMO-16-4211_en.htm" TargetMode="External"/><Relationship Id="rId552" Type="http://schemas.openxmlformats.org/officeDocument/2006/relationships/hyperlink" Target="http://eur-lex.europa.eu/legal-content/EN/TXT/?qid=1490104190666&amp;uri=CELEX:32014L0059" TargetMode="External"/><Relationship Id="rId191" Type="http://schemas.openxmlformats.org/officeDocument/2006/relationships/hyperlink" Target="http://curia.europa.eu/juris/liste.jsf?language=en&amp;jur=C,T,F&amp;num=C-292/15&amp;td=ALL" TargetMode="External"/><Relationship Id="rId205" Type="http://schemas.openxmlformats.org/officeDocument/2006/relationships/hyperlink" Target="http://curia.europa.eu/jcms/jcms/p1_236832/en/" TargetMode="External"/><Relationship Id="rId247" Type="http://schemas.openxmlformats.org/officeDocument/2006/relationships/hyperlink" Target="http://eur-lex.europa.eu/legal-content/EN/TXT/?qid=1490104983206&amp;uri=CELEX:32014L0049" TargetMode="External"/><Relationship Id="rId412" Type="http://schemas.openxmlformats.org/officeDocument/2006/relationships/hyperlink" Target="http://europa.eu/rapid/press-release_MEMO-16-1452_en.htm" TargetMode="External"/><Relationship Id="rId107" Type="http://schemas.openxmlformats.org/officeDocument/2006/relationships/hyperlink" Target="http://eur-lex.europa.eu/legal-content/EN/TXT/?qid=1490091979883&amp;uri=CELEX:32009R1071" TargetMode="External"/><Relationship Id="rId289" Type="http://schemas.openxmlformats.org/officeDocument/2006/relationships/hyperlink" Target="http://curia.europa.eu/juris/liste.jsf?language=en&amp;jur=C,T,F&amp;num=C-590/16&amp;td=ALL" TargetMode="External"/><Relationship Id="rId454" Type="http://schemas.openxmlformats.org/officeDocument/2006/relationships/hyperlink" Target="http://eur-lex.europa.eu/legal-content/EN/TXT/?qid=1490088883562&amp;uri=CELEX:32014L0025" TargetMode="External"/><Relationship Id="rId496" Type="http://schemas.openxmlformats.org/officeDocument/2006/relationships/hyperlink" Target="http://curia.europa.eu/jcms/upload/docs/application/pdf/2016-10/cp160109en.pdf" TargetMode="External"/><Relationship Id="rId11" Type="http://schemas.openxmlformats.org/officeDocument/2006/relationships/hyperlink" Target="http://europa.eu/rapid/press-release_MEMO-16-3125_en.htm" TargetMode="External"/><Relationship Id="rId53" Type="http://schemas.openxmlformats.org/officeDocument/2006/relationships/hyperlink" Target="http://eur-lex.europa.eu/legal-content/EN/TXT/?qid=1490094446641&amp;uri=CELEX:32010L0031" TargetMode="External"/><Relationship Id="rId149" Type="http://schemas.openxmlformats.org/officeDocument/2006/relationships/hyperlink" Target="http://europa.eu/rapid/press-release_MEMO-16-3644_en.htm" TargetMode="External"/><Relationship Id="rId314" Type="http://schemas.openxmlformats.org/officeDocument/2006/relationships/hyperlink" Target="http://curia.europa.eu/jcms/jcms/p1_220330/en/" TargetMode="External"/><Relationship Id="rId356" Type="http://schemas.openxmlformats.org/officeDocument/2006/relationships/hyperlink" Target="http://europa.eu/rapid/press-release_MEMO-16-1823_en.htm" TargetMode="External"/><Relationship Id="rId398" Type="http://schemas.openxmlformats.org/officeDocument/2006/relationships/hyperlink" Target="http://curia.europa.eu/juris/liste.jsf?language=en&amp;jur=C,T,F&amp;num=C-265/15%20P&amp;td=ALL" TargetMode="External"/><Relationship Id="rId521" Type="http://schemas.openxmlformats.org/officeDocument/2006/relationships/hyperlink" Target="http://eur-lex.europa.eu/legal-content/EN/TXT/?qid=1456927136179&amp;uri=CELEX:32006L0123" TargetMode="External"/><Relationship Id="rId95" Type="http://schemas.openxmlformats.org/officeDocument/2006/relationships/hyperlink" Target="http://curia.europa.eu/juris/liste.jsf?language=en&amp;jur=C,T,F&amp;num=C-314/16&amp;td=ALL" TargetMode="External"/><Relationship Id="rId160" Type="http://schemas.openxmlformats.org/officeDocument/2006/relationships/hyperlink" Target="http://europa.eu/rapid/press-release_MEMO-16-2097_en.htm" TargetMode="External"/><Relationship Id="rId216" Type="http://schemas.openxmlformats.org/officeDocument/2006/relationships/hyperlink" Target="http://eur-lex.europa.eu/legal-content/EN/TXT/?qid=1490091199729&amp;uri=CELEX:32014L0024" TargetMode="External"/><Relationship Id="rId423" Type="http://schemas.openxmlformats.org/officeDocument/2006/relationships/hyperlink" Target="http://curia.europa.eu/juris/liste.jsf?language=en&amp;jur=C,T,F&amp;num=C-121/15&amp;td=ALL" TargetMode="External"/><Relationship Id="rId258" Type="http://schemas.openxmlformats.org/officeDocument/2006/relationships/hyperlink" Target="http://europa.eu/rapid/press-release_MEMO-16-319_en.htm" TargetMode="External"/><Relationship Id="rId465" Type="http://schemas.openxmlformats.org/officeDocument/2006/relationships/hyperlink" Target="http://eur-lex.europa.eu/legal-content/EN/TXT/?qid=1490089613921&amp;uri=CELEX:32000L0060" TargetMode="External"/><Relationship Id="rId22" Type="http://schemas.openxmlformats.org/officeDocument/2006/relationships/hyperlink" Target="http://europa.eu/rapid/press-release_MEMO-16-1452_en.htm" TargetMode="External"/><Relationship Id="rId64" Type="http://schemas.openxmlformats.org/officeDocument/2006/relationships/hyperlink" Target="http://eur-lex.europa.eu/legal-content/EN/TXT/?qid=1490088743484&amp;uri=CELEX:32014L0089" TargetMode="External"/><Relationship Id="rId118" Type="http://schemas.openxmlformats.org/officeDocument/2006/relationships/hyperlink" Target="http://europa.eu/rapid/press-release_IP-16-3646_en.htm" TargetMode="External"/><Relationship Id="rId325" Type="http://schemas.openxmlformats.org/officeDocument/2006/relationships/hyperlink" Target="http://europa.eu/rapid/press-release_MEMO-16-3125_en.htm" TargetMode="External"/><Relationship Id="rId367" Type="http://schemas.openxmlformats.org/officeDocument/2006/relationships/hyperlink" Target="http://eur-lex.europa.eu/legal-content/EN/TXT/?qid=1490105515716&amp;uri=CELEX:32012L0018" TargetMode="External"/><Relationship Id="rId532" Type="http://schemas.openxmlformats.org/officeDocument/2006/relationships/hyperlink" Target="http://eur-lex.europa.eu/legal-content/EN/TXT/?qid=1490090375535&amp;uri=CELEX:32013L0056" TargetMode="External"/><Relationship Id="rId171" Type="http://schemas.openxmlformats.org/officeDocument/2006/relationships/hyperlink" Target="http://eur-lex.europa.eu/legal-content/EN/TXT/?qid=1490093568367&amp;uri=CELEX:32007L0023" TargetMode="External"/><Relationship Id="rId227" Type="http://schemas.openxmlformats.org/officeDocument/2006/relationships/hyperlink" Target="http://eur-lex.europa.eu/legal-content/EN/TXT/?qid=1490104344475&amp;uri=CELEX:32004R0853" TargetMode="External"/><Relationship Id="rId269" Type="http://schemas.openxmlformats.org/officeDocument/2006/relationships/hyperlink" Target="http://europa.eu/rapid/press-release_MEMO-16-2490_en.htm" TargetMode="External"/><Relationship Id="rId434" Type="http://schemas.openxmlformats.org/officeDocument/2006/relationships/hyperlink" Target="http://eur-lex.europa.eu/legal-content/EN/TXT/?qid=1490087998693&amp;uri=CELEX:32014L0040" TargetMode="External"/><Relationship Id="rId476" Type="http://schemas.openxmlformats.org/officeDocument/2006/relationships/hyperlink" Target="http://eur-lex.europa.eu/legal-content/EN/TXT/?qid=1490105978308&amp;uri=CELEX:32002L0049" TargetMode="External"/><Relationship Id="rId33" Type="http://schemas.openxmlformats.org/officeDocument/2006/relationships/hyperlink" Target="http://curia.europa.eu/juris/liste.jsf?pro=&amp;nat=or&amp;oqp=&amp;dates=&amp;lg=&amp;language=en&amp;jur=C%2CT%2CF&amp;cit=none%252CC%252CCJ%252CR%252C2008E%252C%252C%252C%252C%252C%252C%252C%252C%252C%252Ctrue%252Cfalse%252Cfalse&amp;num=C-149%252F15&amp;td=%3BALL&amp;pcs=Oor&amp;avg=&amp;page=1&amp;mat=or&amp;jge=&amp;for=&amp;cid=598986" TargetMode="External"/><Relationship Id="rId129" Type="http://schemas.openxmlformats.org/officeDocument/2006/relationships/hyperlink" Target="http://eur-lex.europa.eu/legal-content/EN/TXT/?qid=1490092579568&amp;uri=CELEX:32002L0049" TargetMode="External"/><Relationship Id="rId280" Type="http://schemas.openxmlformats.org/officeDocument/2006/relationships/hyperlink" Target="http://europa.eu/rapid/press-release_IP-16-4214_en.htm" TargetMode="External"/><Relationship Id="rId336" Type="http://schemas.openxmlformats.org/officeDocument/2006/relationships/hyperlink" Target="http://europa.eu/rapid/press-release_MEMO-16-3644_en.htm" TargetMode="External"/><Relationship Id="rId501" Type="http://schemas.openxmlformats.org/officeDocument/2006/relationships/hyperlink" Target="http://eur-lex.europa.eu/legal-content/AUTO/?uri=CELEX:32001L0042&amp;qid=1490110932253&amp;rid=1" TargetMode="External"/><Relationship Id="rId543" Type="http://schemas.openxmlformats.org/officeDocument/2006/relationships/hyperlink" Target="http://europa.eu/rapid/press-release_IP-16-1827_en.htm" TargetMode="External"/><Relationship Id="rId75" Type="http://schemas.openxmlformats.org/officeDocument/2006/relationships/hyperlink" Target="http://eur-lex.europa.eu/legal-content/EN/TXT/?qid=1490116692164&amp;uri=CELEX:31992L0043" TargetMode="External"/><Relationship Id="rId140" Type="http://schemas.openxmlformats.org/officeDocument/2006/relationships/hyperlink" Target="http://europa.eu/rapid/press-release_MEMO-16-1452_en.htm" TargetMode="External"/><Relationship Id="rId182" Type="http://schemas.openxmlformats.org/officeDocument/2006/relationships/hyperlink" Target="http://curia.europa.eu/jcms/jcms/p1_226397/en/" TargetMode="External"/><Relationship Id="rId378" Type="http://schemas.openxmlformats.org/officeDocument/2006/relationships/hyperlink" Target="http://eur-lex.europa.eu/legal-content/EN/TXT/?qid=1490105896429&amp;uri=CELEX:32009L0147" TargetMode="External"/><Relationship Id="rId403" Type="http://schemas.openxmlformats.org/officeDocument/2006/relationships/hyperlink" Target="http://europa.eu/rapid/press-release_IP-16-4213_en.htm" TargetMode="External"/><Relationship Id="rId6" Type="http://schemas.openxmlformats.org/officeDocument/2006/relationships/hyperlink" Target="http://eur-lex.europa.eu/legal-content/EN/TXT/?qid=1490115678708&amp;uri=CELEX:32008L0050" TargetMode="External"/><Relationship Id="rId238" Type="http://schemas.openxmlformats.org/officeDocument/2006/relationships/hyperlink" Target="http://europa.eu/rapid/press-release_MEMO-16-3644_en.htm" TargetMode="External"/><Relationship Id="rId445" Type="http://schemas.openxmlformats.org/officeDocument/2006/relationships/hyperlink" Target="http://europa.eu/rapid/press-release_MEMO-16-319_en.htm" TargetMode="External"/><Relationship Id="rId487" Type="http://schemas.openxmlformats.org/officeDocument/2006/relationships/hyperlink" Target="http://eur-lex.europa.eu/legal-content/EN/TXT/?qid=1490106381140&amp;uri=CELEX:32009L0147" TargetMode="External"/><Relationship Id="rId291" Type="http://schemas.openxmlformats.org/officeDocument/2006/relationships/hyperlink" Target="http://europa.eu/rapid/press-release_IP-15-4674_EN.htm" TargetMode="External"/><Relationship Id="rId305" Type="http://schemas.openxmlformats.org/officeDocument/2006/relationships/hyperlink" Target="http://eur-lex.europa.eu/legal-content/EN/TXT/?qid=1490094862338&amp;uri=CELEX:32014L0023" TargetMode="External"/><Relationship Id="rId347" Type="http://schemas.openxmlformats.org/officeDocument/2006/relationships/hyperlink" Target="http://eur-lex.europa.eu/legal-content/EN/TXT/?qid=1490104912383&amp;uri=CELEX:32009R1071" TargetMode="External"/><Relationship Id="rId512" Type="http://schemas.openxmlformats.org/officeDocument/2006/relationships/hyperlink" Target="http://europa.eu/rapid/press-release_MEMO-16-3644_en.htm" TargetMode="External"/><Relationship Id="rId44" Type="http://schemas.openxmlformats.org/officeDocument/2006/relationships/hyperlink" Target="http://curia.europa.eu/juris/liste.jsf?language=en&amp;jur=C,T,F&amp;num=C-15/15&amp;td=ALL" TargetMode="External"/><Relationship Id="rId86" Type="http://schemas.openxmlformats.org/officeDocument/2006/relationships/hyperlink" Target="http://europa.eu/rapid/press-release_MEMO-16-319_en.htm" TargetMode="External"/><Relationship Id="rId151" Type="http://schemas.openxmlformats.org/officeDocument/2006/relationships/hyperlink" Target="http://eur-lex.europa.eu/legal-content/EN/TXT/?qid=1490093147271&amp;uri=CELEX:32007L0046" TargetMode="External"/><Relationship Id="rId389" Type="http://schemas.openxmlformats.org/officeDocument/2006/relationships/hyperlink" Target="http://eur-lex.europa.eu/legal-content/EN/TXT/?qid=1490106092464&amp;uri=CELEX:32005L0060" TargetMode="External"/><Relationship Id="rId554" Type="http://schemas.openxmlformats.org/officeDocument/2006/relationships/hyperlink" Target="http://eur-lex.europa.eu/legal-content/EN/TXT/?qid=1490104268288&amp;uri=CELEX:32006L0126" TargetMode="External"/><Relationship Id="rId193" Type="http://schemas.openxmlformats.org/officeDocument/2006/relationships/hyperlink" Target="http://curia.europa.eu/juris/liste.jsf?language=en&amp;jur=C,T,F&amp;num=C-255/15&amp;td=ALL" TargetMode="External"/><Relationship Id="rId207" Type="http://schemas.openxmlformats.org/officeDocument/2006/relationships/hyperlink" Target="http://europa.eu/rapid/press-release_MEMO-16-319_en.htm" TargetMode="External"/><Relationship Id="rId249" Type="http://schemas.openxmlformats.org/officeDocument/2006/relationships/hyperlink" Target="http://eur-lex.europa.eu/legal-content/EN/TXT/?qid=1495033578931&amp;uri=CELEX:32008D0615" TargetMode="External"/><Relationship Id="rId414" Type="http://schemas.openxmlformats.org/officeDocument/2006/relationships/hyperlink" Target="http://eur-lex.europa.eu/legal-content/EN/TXT/?qid=1490092113899&amp;uri=CELEX:32013L0055" TargetMode="External"/><Relationship Id="rId456" Type="http://schemas.openxmlformats.org/officeDocument/2006/relationships/hyperlink" Target="http://eur-lex.europa.eu/legal-content/EN/TXT/?qid=1456927136179&amp;uri=CELEX:32006L0123" TargetMode="External"/><Relationship Id="rId498" Type="http://schemas.openxmlformats.org/officeDocument/2006/relationships/hyperlink" Target="http://eur-lex.europa.eu/legal-content/AUTO/?uri=CELEX:32006L0021&amp;qid=1490109703366&amp;rid=1" TargetMode="External"/><Relationship Id="rId13" Type="http://schemas.openxmlformats.org/officeDocument/2006/relationships/hyperlink" Target="http://europa.eu/rapid/press-release_MEMO-16-1452_en.htm" TargetMode="External"/><Relationship Id="rId109" Type="http://schemas.openxmlformats.org/officeDocument/2006/relationships/hyperlink" Target="http://curia.europa.eu/juris/liste.jsf?language=en&amp;jur=C,T,F&amp;num=C-525/14&amp;td=ALL" TargetMode="External"/><Relationship Id="rId260" Type="http://schemas.openxmlformats.org/officeDocument/2006/relationships/hyperlink" Target="http://europa.eu/rapid/press-release_MEMO-16-3125_en.htm" TargetMode="External"/><Relationship Id="rId316" Type="http://schemas.openxmlformats.org/officeDocument/2006/relationships/hyperlink" Target="http://curia.europa.eu/juris/liste.jsf?language=en&amp;jur=C,T,F&amp;num=C-244/15&amp;td=ALL" TargetMode="External"/><Relationship Id="rId523" Type="http://schemas.openxmlformats.org/officeDocument/2006/relationships/hyperlink" Target="http://europa.eu/rapid/press-release_MEMO-16-319_en.htm" TargetMode="External"/><Relationship Id="rId55" Type="http://schemas.openxmlformats.org/officeDocument/2006/relationships/hyperlink" Target="http://europa.eu/rapid/press-release_MEMO-16-319_en.htm" TargetMode="External"/><Relationship Id="rId97" Type="http://schemas.openxmlformats.org/officeDocument/2006/relationships/hyperlink" Target="http://curia.europa.eu/juris/liste.jsf?language=en&amp;jur=C,T,F&amp;num=C-575/16&amp;td=ALL" TargetMode="External"/><Relationship Id="rId120" Type="http://schemas.openxmlformats.org/officeDocument/2006/relationships/hyperlink" Target="http://eur-lex.europa.eu/legal-content/EN/TXT/?qid=1490089820889&amp;uri=CELEX:32009R1072" TargetMode="External"/><Relationship Id="rId358" Type="http://schemas.openxmlformats.org/officeDocument/2006/relationships/hyperlink" Target="http://eur-lex.europa.eu/legal-content/EN/TXT/?qid=1490105322438&amp;uri=CELEX:32007R0715" TargetMode="External"/><Relationship Id="rId162" Type="http://schemas.openxmlformats.org/officeDocument/2006/relationships/hyperlink" Target="http://curia.europa.eu/juris/liste.jsf?language=en&amp;jur=C,T,F&amp;num=C-58/16&amp;td=ALL" TargetMode="External"/><Relationship Id="rId218" Type="http://schemas.openxmlformats.org/officeDocument/2006/relationships/hyperlink" Target="http://europa.eu/rapid/press-release_MEMO-16-1823_en.htm" TargetMode="External"/><Relationship Id="rId425" Type="http://schemas.openxmlformats.org/officeDocument/2006/relationships/hyperlink" Target="http://eur-lex.europa.eu/legal-content/EN/TXT/?qid=1490098384026&amp;uri=CELEX:31994L0062" TargetMode="External"/><Relationship Id="rId467" Type="http://schemas.openxmlformats.org/officeDocument/2006/relationships/hyperlink" Target="http://eur-lex.europa.eu/legal-content/EN/TXT/?qid=1456332194571&amp;uri=CELEX:32015D0789" TargetMode="External"/><Relationship Id="rId271" Type="http://schemas.openxmlformats.org/officeDocument/2006/relationships/hyperlink" Target="http://eur-lex.europa.eu/legal-content/EN/TXT/?qid=1490094169467&amp;uri=CELEX:32010R1177" TargetMode="External"/><Relationship Id="rId24" Type="http://schemas.openxmlformats.org/officeDocument/2006/relationships/hyperlink" Target="http://eur-lex.europa.eu/legal-content/EN/TXT/?uri=uriserv:OJ.L_.2014.094.01.0001.01.ENG" TargetMode="External"/><Relationship Id="rId66" Type="http://schemas.openxmlformats.org/officeDocument/2006/relationships/hyperlink" Target="http://eur-lex.europa.eu/legal-content/EN/TXT/?qid=1490116013790&amp;uri=CELEX:32014L0024" TargetMode="External"/><Relationship Id="rId131" Type="http://schemas.openxmlformats.org/officeDocument/2006/relationships/hyperlink" Target="http://europa.eu/rapid/press-release_MEMO-16-1452_en.htm" TargetMode="External"/><Relationship Id="rId327" Type="http://schemas.openxmlformats.org/officeDocument/2006/relationships/hyperlink" Target="http://europa.eu/rapid/press-release_MEMO-16-3125_en.htm" TargetMode="External"/><Relationship Id="rId369" Type="http://schemas.openxmlformats.org/officeDocument/2006/relationships/hyperlink" Target="http://eur-lex.europa.eu/legal-content/EN/TXT/?qid=1490105595393&amp;uri=CELEX:32014L0049" TargetMode="External"/><Relationship Id="rId534" Type="http://schemas.openxmlformats.org/officeDocument/2006/relationships/hyperlink" Target="http://eur-lex.europa.eu/legal-content/EN/TXT/?qid=1490090448045&amp;uri=CELEX:32011R0492" TargetMode="External"/><Relationship Id="rId173" Type="http://schemas.openxmlformats.org/officeDocument/2006/relationships/hyperlink" Target="http://curia.europa.eu/juris/liste.jsf?language=en&amp;jur=C,T,F&amp;num=C-299/14&amp;td=ALL" TargetMode="External"/><Relationship Id="rId229" Type="http://schemas.openxmlformats.org/officeDocument/2006/relationships/hyperlink" Target="http://eur-lex.europa.eu/legal-content/EN/TXT/?qid=1490104417468&amp;uri=CELEX:32013L0040" TargetMode="External"/><Relationship Id="rId380" Type="http://schemas.openxmlformats.org/officeDocument/2006/relationships/hyperlink" Target="http://curia.europa.eu/juris/liste.jsf?language=en&amp;jur=C,T,F&amp;num=C-461/14&amp;td=ALL" TargetMode="External"/><Relationship Id="rId436" Type="http://schemas.openxmlformats.org/officeDocument/2006/relationships/hyperlink" Target="http://eur-lex.europa.eu/legal-content/EN/TXT/?qid=1490088418753&amp;uri=CELEX:32008L0098" TargetMode="External"/><Relationship Id="rId240" Type="http://schemas.openxmlformats.org/officeDocument/2006/relationships/hyperlink" Target="http://europa.eu/rapid/press-release_MEMO-16-2097_en.htm" TargetMode="External"/><Relationship Id="rId478" Type="http://schemas.openxmlformats.org/officeDocument/2006/relationships/hyperlink" Target="http://eur-lex.europa.eu/legal-content/EN/TXT/?qid=1490106043148&amp;uri=CELEX:32001L0012" TargetMode="External"/><Relationship Id="rId35" Type="http://schemas.openxmlformats.org/officeDocument/2006/relationships/hyperlink" Target="http://curia.europa.eu/juris/liste.jsf?language=en&amp;jur=C,T,F&amp;num=C-261/15&amp;td=ALL" TargetMode="External"/><Relationship Id="rId77" Type="http://schemas.openxmlformats.org/officeDocument/2006/relationships/hyperlink" Target="http://curia.europa.eu/juris/liste.jsf?language=en&amp;jur=C,T,F&amp;num=C-141/14&amp;td=ALL" TargetMode="External"/><Relationship Id="rId100" Type="http://schemas.openxmlformats.org/officeDocument/2006/relationships/hyperlink" Target="http://eur-lex.europa.eu/legal-content/EN/TXT/?qid=1490091614976&amp;uri=CELEX:32008L0098" TargetMode="External"/><Relationship Id="rId282" Type="http://schemas.openxmlformats.org/officeDocument/2006/relationships/hyperlink" Target="http://eur-lex.europa.eu/legal-content/EN/TXT/?qid=1490094412842&amp;uri=CELEX:31991L0271" TargetMode="External"/><Relationship Id="rId338" Type="http://schemas.openxmlformats.org/officeDocument/2006/relationships/hyperlink" Target="http://europa.eu/rapid/press-release_MEMO-16-319_en.htm" TargetMode="External"/><Relationship Id="rId503" Type="http://schemas.openxmlformats.org/officeDocument/2006/relationships/hyperlink" Target="http://eur-lex.europa.eu/legal-content/AUTO/?uri=CELEX:32006L0123&amp;qid=1490111023108&amp;rid=1" TargetMode="External"/><Relationship Id="rId545" Type="http://schemas.openxmlformats.org/officeDocument/2006/relationships/hyperlink" Target="http://eur-lex.europa.eu/legal-content/EN/TXT/?qid=1490104034810&amp;uri=CELEX:32012L0034" TargetMode="External"/><Relationship Id="rId8" Type="http://schemas.openxmlformats.org/officeDocument/2006/relationships/hyperlink" Target="http://eur-lex.europa.eu/legal-content/EN/TXT/?qid=1490115791957&amp;uri=CELEX:32009L0072" TargetMode="External"/><Relationship Id="rId142" Type="http://schemas.openxmlformats.org/officeDocument/2006/relationships/hyperlink" Target="http://eur-lex.europa.eu/legal-content/EN/TXT/?qid=1456831717066&amp;uri=CELEX:32014R1321" TargetMode="External"/><Relationship Id="rId184" Type="http://schemas.openxmlformats.org/officeDocument/2006/relationships/hyperlink" Target="http://curia.europa.eu/juris/liste.jsf?language=en&amp;jur=C,T,F&amp;num=C-187/15&amp;td=ALL" TargetMode="External"/><Relationship Id="rId391" Type="http://schemas.openxmlformats.org/officeDocument/2006/relationships/hyperlink" Target="http://curia.europa.eu/juris/liste.jsf?language=en&amp;jur=C,T,F&amp;num=C-165/14&amp;td=ALL" TargetMode="External"/><Relationship Id="rId405" Type="http://schemas.openxmlformats.org/officeDocument/2006/relationships/hyperlink" Target="http://eur-lex.europa.eu/legal-content/EN/TXT/?qid=1490091855462&amp;uri=CELEX:32009L0072" TargetMode="External"/><Relationship Id="rId447" Type="http://schemas.openxmlformats.org/officeDocument/2006/relationships/hyperlink" Target="http://europa.eu/rapid/press-release_MEMO-16-3644_en.htm" TargetMode="External"/><Relationship Id="rId251" Type="http://schemas.openxmlformats.org/officeDocument/2006/relationships/hyperlink" Target="http://europa.eu/rapid/press-release_MEMO-16-3125_en.htm" TargetMode="External"/><Relationship Id="rId489" Type="http://schemas.openxmlformats.org/officeDocument/2006/relationships/hyperlink" Target="http://eur-lex.europa.eu/legal-content/EN/TXT/?qid=1490106409641&amp;uri=CELEX:32013L0056" TargetMode="External"/><Relationship Id="rId46" Type="http://schemas.openxmlformats.org/officeDocument/2006/relationships/hyperlink" Target="http://eur-lex.europa.eu/legal-content/EN/TXT/?qid=1490094494272&amp;uri=CELEX:32013L0040" TargetMode="External"/><Relationship Id="rId293" Type="http://schemas.openxmlformats.org/officeDocument/2006/relationships/hyperlink" Target="http://europa.eu/rapid/press-release_IP-15-6009_en.htm" TargetMode="External"/><Relationship Id="rId307" Type="http://schemas.openxmlformats.org/officeDocument/2006/relationships/hyperlink" Target="http://eur-lex.europa.eu/legal-content/EN/TXT/?qid=1490094929858&amp;uri=CELEX:32014L0025" TargetMode="External"/><Relationship Id="rId349" Type="http://schemas.openxmlformats.org/officeDocument/2006/relationships/hyperlink" Target="http://eur-lex.europa.eu/legal-content/EN/TXT/?qid=1456927136179&amp;uri=CELEX:32006L0123" TargetMode="External"/><Relationship Id="rId514" Type="http://schemas.openxmlformats.org/officeDocument/2006/relationships/hyperlink" Target="http://europa.eu/rapid/press-release_MEMO-16-2097_en.htm" TargetMode="External"/><Relationship Id="rId556" Type="http://schemas.openxmlformats.org/officeDocument/2006/relationships/hyperlink" Target="http://curia.europa.eu/jcms/upload/docs/application/pdf/2016-09/cp160084en.pdf" TargetMode="External"/><Relationship Id="rId88" Type="http://schemas.openxmlformats.org/officeDocument/2006/relationships/hyperlink" Target="http://eur-lex.europa.eu/legal-content/EN/TXT/?qid=1490091093298&amp;uri=CELEX:32014L0024" TargetMode="External"/><Relationship Id="rId111" Type="http://schemas.openxmlformats.org/officeDocument/2006/relationships/hyperlink" Target="http://eur-lex.europa.eu/legal-content/EN/TXT/?qid=1490088455985&amp;uri=CELEX:32004L0035" TargetMode="External"/><Relationship Id="rId153" Type="http://schemas.openxmlformats.org/officeDocument/2006/relationships/hyperlink" Target="http://europa.eu/rapid/press-release_IP-16-4214_en.htm" TargetMode="External"/><Relationship Id="rId195" Type="http://schemas.openxmlformats.org/officeDocument/2006/relationships/hyperlink" Target="http://curia.europa.eu/juris/liste.jsf?language=en&amp;jur=C,T,F&amp;num=C-478/15&amp;td=ALL" TargetMode="External"/><Relationship Id="rId209" Type="http://schemas.openxmlformats.org/officeDocument/2006/relationships/hyperlink" Target="http://europa.eu/rapid/press-release_MEMO-16-3125_en.htm" TargetMode="External"/><Relationship Id="rId360" Type="http://schemas.openxmlformats.org/officeDocument/2006/relationships/hyperlink" Target="http://eur-lex.europa.eu/legal-content/EN/TXT/?qid=1490105351479&amp;uri=CELEX:32013L0055" TargetMode="External"/><Relationship Id="rId416" Type="http://schemas.openxmlformats.org/officeDocument/2006/relationships/hyperlink" Target="http://eur-lex.europa.eu/legal-content/EN/TXT/?qid=1490092162915&amp;uri=CELEX:32013L0036" TargetMode="External"/><Relationship Id="rId220" Type="http://schemas.openxmlformats.org/officeDocument/2006/relationships/hyperlink" Target="http://eur-lex.europa.eu/legal-content/EN/TXT/?qid=1490091376552&amp;uri=CELEX:32013L0036" TargetMode="External"/><Relationship Id="rId458" Type="http://schemas.openxmlformats.org/officeDocument/2006/relationships/hyperlink" Target="http://eur-lex.europa.eu/legal-content/EN/TXT/?qid=1490089252387&amp;uri=CELEX:32006L0126"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Worksheet100.xlsx"/><Relationship Id="rId1" Type="http://schemas.openxmlformats.org/officeDocument/2006/relationships/themeOverride" Target="../theme/themeOverride100.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Worksheet101.xlsx"/><Relationship Id="rId1" Type="http://schemas.openxmlformats.org/officeDocument/2006/relationships/themeOverride" Target="../theme/themeOverride101.xml"/></Relationships>
</file>

<file path=word/charts/_rels/chart102.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2.xlsx"/><Relationship Id="rId1" Type="http://schemas.openxmlformats.org/officeDocument/2006/relationships/themeOverride" Target="../theme/themeOverride102.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103.xlsx"/><Relationship Id="rId1" Type="http://schemas.openxmlformats.org/officeDocument/2006/relationships/themeOverride" Target="../theme/themeOverride103.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Worksheet104.xlsx"/><Relationship Id="rId1" Type="http://schemas.openxmlformats.org/officeDocument/2006/relationships/themeOverride" Target="../theme/themeOverride104.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Worksheet105.xlsx"/><Relationship Id="rId1" Type="http://schemas.openxmlformats.org/officeDocument/2006/relationships/themeOverride" Target="../theme/themeOverride105.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Excel_Worksheet106.xlsx"/><Relationship Id="rId1" Type="http://schemas.openxmlformats.org/officeDocument/2006/relationships/themeOverride" Target="../theme/themeOverride106.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Excel_Worksheet107.xlsx"/><Relationship Id="rId1" Type="http://schemas.openxmlformats.org/officeDocument/2006/relationships/themeOverride" Target="../theme/themeOverride107.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Excel_Worksheet108.xlsx"/><Relationship Id="rId1" Type="http://schemas.openxmlformats.org/officeDocument/2006/relationships/themeOverride" Target="../theme/themeOverride108.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Excel_Worksheet109.xlsx"/><Relationship Id="rId1" Type="http://schemas.openxmlformats.org/officeDocument/2006/relationships/themeOverride" Target="../theme/themeOverride10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Excel_Worksheet110.xlsx"/><Relationship Id="rId1" Type="http://schemas.openxmlformats.org/officeDocument/2006/relationships/themeOverride" Target="../theme/themeOverride110.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Excel_Worksheet111.xlsx"/><Relationship Id="rId1" Type="http://schemas.openxmlformats.org/officeDocument/2006/relationships/themeOverride" Target="../theme/themeOverride111.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Excel_Worksheet112.xlsx"/><Relationship Id="rId1" Type="http://schemas.openxmlformats.org/officeDocument/2006/relationships/themeOverride" Target="../theme/themeOverride112.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Excel_Worksheet113.xlsx"/><Relationship Id="rId1" Type="http://schemas.openxmlformats.org/officeDocument/2006/relationships/themeOverride" Target="../theme/themeOverride113.xml"/></Relationships>
</file>

<file path=word/charts/_rels/chart114.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4.xlsx"/><Relationship Id="rId1" Type="http://schemas.openxmlformats.org/officeDocument/2006/relationships/themeOverride" Target="../theme/themeOverride114.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Excel_Worksheet115.xlsx"/><Relationship Id="rId1" Type="http://schemas.openxmlformats.org/officeDocument/2006/relationships/themeOverride" Target="../theme/themeOverride115.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Excel_Worksheet116.xlsx"/><Relationship Id="rId1" Type="http://schemas.openxmlformats.org/officeDocument/2006/relationships/themeOverride" Target="../theme/themeOverride116.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Excel_Worksheet117.xlsx"/><Relationship Id="rId1" Type="http://schemas.openxmlformats.org/officeDocument/2006/relationships/themeOverride" Target="../theme/themeOverride117.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Excel_Worksheet118.xlsx"/><Relationship Id="rId1" Type="http://schemas.openxmlformats.org/officeDocument/2006/relationships/themeOverride" Target="../theme/themeOverride118.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Excel_Worksheet119.xlsx"/><Relationship Id="rId1" Type="http://schemas.openxmlformats.org/officeDocument/2006/relationships/themeOverride" Target="../theme/themeOverride11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20.xml.rels><?xml version="1.0" encoding="UTF-8" standalone="yes"?>
<Relationships xmlns="http://schemas.openxmlformats.org/package/2006/relationships"><Relationship Id="rId2" Type="http://schemas.openxmlformats.org/officeDocument/2006/relationships/package" Target="../embeddings/Microsoft_Excel_Worksheet120.xlsx"/><Relationship Id="rId1" Type="http://schemas.openxmlformats.org/officeDocument/2006/relationships/themeOverride" Target="../theme/themeOverride120.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Excel_Worksheet121.xlsx"/><Relationship Id="rId1" Type="http://schemas.openxmlformats.org/officeDocument/2006/relationships/themeOverride" Target="../theme/themeOverride121.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Excel_Worksheet122.xlsx"/><Relationship Id="rId1" Type="http://schemas.openxmlformats.org/officeDocument/2006/relationships/themeOverride" Target="../theme/themeOverride122.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Microsoft_Excel_Worksheet123.xlsx"/><Relationship Id="rId1" Type="http://schemas.openxmlformats.org/officeDocument/2006/relationships/themeOverride" Target="../theme/themeOverride123.xml"/></Relationships>
</file>

<file path=word/charts/_rels/chart124.xml.rels><?xml version="1.0" encoding="UTF-8" standalone="yes"?>
<Relationships xmlns="http://schemas.openxmlformats.org/package/2006/relationships"><Relationship Id="rId2" Type="http://schemas.openxmlformats.org/officeDocument/2006/relationships/package" Target="../embeddings/Microsoft_Excel_Worksheet124.xlsx"/><Relationship Id="rId1" Type="http://schemas.openxmlformats.org/officeDocument/2006/relationships/themeOverride" Target="../theme/themeOverride124.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Microsoft_Excel_Worksheet125.xlsx"/><Relationship Id="rId1" Type="http://schemas.openxmlformats.org/officeDocument/2006/relationships/themeOverride" Target="../theme/themeOverride125.xml"/></Relationships>
</file>

<file path=word/charts/_rels/chart126.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6.xlsx"/><Relationship Id="rId1" Type="http://schemas.openxmlformats.org/officeDocument/2006/relationships/themeOverride" Target="../theme/themeOverride126.xml"/></Relationships>
</file>

<file path=word/charts/_rels/chart127.xml.rels><?xml version="1.0" encoding="UTF-8" standalone="yes"?>
<Relationships xmlns="http://schemas.openxmlformats.org/package/2006/relationships"><Relationship Id="rId2" Type="http://schemas.openxmlformats.org/officeDocument/2006/relationships/package" Target="../embeddings/Microsoft_Excel_Worksheet127.xlsx"/><Relationship Id="rId1" Type="http://schemas.openxmlformats.org/officeDocument/2006/relationships/themeOverride" Target="../theme/themeOverride127.xml"/></Relationships>
</file>

<file path=word/charts/_rels/chart128.xml.rels><?xml version="1.0" encoding="UTF-8" standalone="yes"?>
<Relationships xmlns="http://schemas.openxmlformats.org/package/2006/relationships"><Relationship Id="rId2" Type="http://schemas.openxmlformats.org/officeDocument/2006/relationships/package" Target="../embeddings/Microsoft_Excel_Worksheet128.xlsx"/><Relationship Id="rId1" Type="http://schemas.openxmlformats.org/officeDocument/2006/relationships/themeOverride" Target="../theme/themeOverride128.xml"/></Relationships>
</file>

<file path=word/charts/_rels/chart129.xml.rels><?xml version="1.0" encoding="UTF-8" standalone="yes"?>
<Relationships xmlns="http://schemas.openxmlformats.org/package/2006/relationships"><Relationship Id="rId2" Type="http://schemas.openxmlformats.org/officeDocument/2006/relationships/package" Target="../embeddings/Microsoft_Excel_Worksheet129.xlsx"/><Relationship Id="rId1" Type="http://schemas.openxmlformats.org/officeDocument/2006/relationships/themeOverride" Target="../theme/themeOverride12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30.xml.rels><?xml version="1.0" encoding="UTF-8" standalone="yes"?>
<Relationships xmlns="http://schemas.openxmlformats.org/package/2006/relationships"><Relationship Id="rId2" Type="http://schemas.openxmlformats.org/officeDocument/2006/relationships/package" Target="../embeddings/Microsoft_Excel_Worksheet130.xlsx"/><Relationship Id="rId1" Type="http://schemas.openxmlformats.org/officeDocument/2006/relationships/themeOverride" Target="../theme/themeOverride130.xml"/></Relationships>
</file>

<file path=word/charts/_rels/chart131.xml.rels><?xml version="1.0" encoding="UTF-8" standalone="yes"?>
<Relationships xmlns="http://schemas.openxmlformats.org/package/2006/relationships"><Relationship Id="rId2" Type="http://schemas.openxmlformats.org/officeDocument/2006/relationships/package" Target="../embeddings/Microsoft_Excel_Worksheet131.xlsx"/><Relationship Id="rId1" Type="http://schemas.openxmlformats.org/officeDocument/2006/relationships/themeOverride" Target="../theme/themeOverride131.xml"/></Relationships>
</file>

<file path=word/charts/_rels/chart132.xml.rels><?xml version="1.0" encoding="UTF-8" standalone="yes"?>
<Relationships xmlns="http://schemas.openxmlformats.org/package/2006/relationships"><Relationship Id="rId2" Type="http://schemas.openxmlformats.org/officeDocument/2006/relationships/package" Target="../embeddings/Microsoft_Excel_Worksheet132.xlsx"/><Relationship Id="rId1" Type="http://schemas.openxmlformats.org/officeDocument/2006/relationships/themeOverride" Target="../theme/themeOverride132.xml"/></Relationships>
</file>

<file path=word/charts/_rels/chart133.xml.rels><?xml version="1.0" encoding="UTF-8" standalone="yes"?>
<Relationships xmlns="http://schemas.openxmlformats.org/package/2006/relationships"><Relationship Id="rId2" Type="http://schemas.openxmlformats.org/officeDocument/2006/relationships/package" Target="../embeddings/Microsoft_Excel_Worksheet133.xlsx"/><Relationship Id="rId1" Type="http://schemas.openxmlformats.org/officeDocument/2006/relationships/themeOverride" Target="../theme/themeOverride133.xml"/></Relationships>
</file>

<file path=word/charts/_rels/chart134.xml.rels><?xml version="1.0" encoding="UTF-8" standalone="yes"?>
<Relationships xmlns="http://schemas.openxmlformats.org/package/2006/relationships"><Relationship Id="rId2" Type="http://schemas.openxmlformats.org/officeDocument/2006/relationships/package" Target="../embeddings/Microsoft_Excel_Worksheet134.xlsx"/><Relationship Id="rId1" Type="http://schemas.openxmlformats.org/officeDocument/2006/relationships/themeOverride" Target="../theme/themeOverride134.xml"/></Relationships>
</file>

<file path=word/charts/_rels/chart135.xml.rels><?xml version="1.0" encoding="UTF-8" standalone="yes"?>
<Relationships xmlns="http://schemas.openxmlformats.org/package/2006/relationships"><Relationship Id="rId2" Type="http://schemas.openxmlformats.org/officeDocument/2006/relationships/package" Target="../embeddings/Microsoft_Excel_Worksheet135.xlsx"/><Relationship Id="rId1" Type="http://schemas.openxmlformats.org/officeDocument/2006/relationships/themeOverride" Target="../theme/themeOverride135.xml"/></Relationships>
</file>

<file path=word/charts/_rels/chart136.xml.rels><?xml version="1.0" encoding="UTF-8" standalone="yes"?>
<Relationships xmlns="http://schemas.openxmlformats.org/package/2006/relationships"><Relationship Id="rId2" Type="http://schemas.openxmlformats.org/officeDocument/2006/relationships/package" Target="../embeddings/Microsoft_Excel_Worksheet136.xlsx"/><Relationship Id="rId1" Type="http://schemas.openxmlformats.org/officeDocument/2006/relationships/themeOverride" Target="../theme/themeOverride136.xml"/></Relationships>
</file>

<file path=word/charts/_rels/chart137.xml.rels><?xml version="1.0" encoding="UTF-8" standalone="yes"?>
<Relationships xmlns="http://schemas.openxmlformats.org/package/2006/relationships"><Relationship Id="rId2" Type="http://schemas.openxmlformats.org/officeDocument/2006/relationships/package" Target="../embeddings/Microsoft_Excel_Worksheet137.xlsx"/><Relationship Id="rId1" Type="http://schemas.openxmlformats.org/officeDocument/2006/relationships/themeOverride" Target="../theme/themeOverride137.xml"/></Relationships>
</file>

<file path=word/charts/_rels/chart138.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38.xlsx"/><Relationship Id="rId1" Type="http://schemas.openxmlformats.org/officeDocument/2006/relationships/themeOverride" Target="../theme/themeOverride138.xml"/></Relationships>
</file>

<file path=word/charts/_rels/chart139.xml.rels><?xml version="1.0" encoding="UTF-8" standalone="yes"?>
<Relationships xmlns="http://schemas.openxmlformats.org/package/2006/relationships"><Relationship Id="rId1" Type="http://schemas.openxmlformats.org/officeDocument/2006/relationships/themeOverride" Target="../theme/themeOverride13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40.xml.rels><?xml version="1.0" encoding="UTF-8" standalone="yes"?>
<Relationships xmlns="http://schemas.openxmlformats.org/package/2006/relationships"><Relationship Id="rId2" Type="http://schemas.openxmlformats.org/officeDocument/2006/relationships/package" Target="../embeddings/Microsoft_Excel_Worksheet139.xlsx"/><Relationship Id="rId1" Type="http://schemas.openxmlformats.org/officeDocument/2006/relationships/themeOverride" Target="../theme/themeOverride140.xml"/></Relationships>
</file>

<file path=word/charts/_rels/chart141.xml.rels><?xml version="1.0" encoding="UTF-8" standalone="yes"?>
<Relationships xmlns="http://schemas.openxmlformats.org/package/2006/relationships"><Relationship Id="rId2" Type="http://schemas.openxmlformats.org/officeDocument/2006/relationships/package" Target="../embeddings/Microsoft_Excel_Worksheet140.xlsx"/><Relationship Id="rId1" Type="http://schemas.openxmlformats.org/officeDocument/2006/relationships/themeOverride" Target="../theme/themeOverride141.xml"/></Relationships>
</file>

<file path=word/charts/_rels/chart142.xml.rels><?xml version="1.0" encoding="UTF-8" standalone="yes"?>
<Relationships xmlns="http://schemas.openxmlformats.org/package/2006/relationships"><Relationship Id="rId2" Type="http://schemas.openxmlformats.org/officeDocument/2006/relationships/package" Target="../embeddings/Microsoft_Excel_Worksheet141.xlsx"/><Relationship Id="rId1" Type="http://schemas.openxmlformats.org/officeDocument/2006/relationships/themeOverride" Target="../theme/themeOverride142.xml"/></Relationships>
</file>

<file path=word/charts/_rels/chart143.xml.rels><?xml version="1.0" encoding="UTF-8" standalone="yes"?>
<Relationships xmlns="http://schemas.openxmlformats.org/package/2006/relationships"><Relationship Id="rId2" Type="http://schemas.openxmlformats.org/officeDocument/2006/relationships/package" Target="../embeddings/Microsoft_Excel_Worksheet142.xlsx"/><Relationship Id="rId1" Type="http://schemas.openxmlformats.org/officeDocument/2006/relationships/themeOverride" Target="../theme/themeOverride143.xml"/></Relationships>
</file>

<file path=word/charts/_rels/chart144.xml.rels><?xml version="1.0" encoding="UTF-8" standalone="yes"?>
<Relationships xmlns="http://schemas.openxmlformats.org/package/2006/relationships"><Relationship Id="rId2" Type="http://schemas.openxmlformats.org/officeDocument/2006/relationships/package" Target="../embeddings/Microsoft_Excel_Worksheet143.xlsx"/><Relationship Id="rId1" Type="http://schemas.openxmlformats.org/officeDocument/2006/relationships/themeOverride" Target="../theme/themeOverride144.xml"/></Relationships>
</file>

<file path=word/charts/_rels/chart145.xml.rels><?xml version="1.0" encoding="UTF-8" standalone="yes"?>
<Relationships xmlns="http://schemas.openxmlformats.org/package/2006/relationships"><Relationship Id="rId2" Type="http://schemas.openxmlformats.org/officeDocument/2006/relationships/package" Target="../embeddings/Microsoft_Excel_Worksheet144.xlsx"/><Relationship Id="rId1" Type="http://schemas.openxmlformats.org/officeDocument/2006/relationships/themeOverride" Target="../theme/themeOverride145.xml"/></Relationships>
</file>

<file path=word/charts/_rels/chart146.xml.rels><?xml version="1.0" encoding="UTF-8" standalone="yes"?>
<Relationships xmlns="http://schemas.openxmlformats.org/package/2006/relationships"><Relationship Id="rId2" Type="http://schemas.openxmlformats.org/officeDocument/2006/relationships/package" Target="../embeddings/Microsoft_Excel_Worksheet145.xlsx"/><Relationship Id="rId1" Type="http://schemas.openxmlformats.org/officeDocument/2006/relationships/themeOverride" Target="../theme/themeOverride146.xml"/></Relationships>
</file>

<file path=word/charts/_rels/chart147.xml.rels><?xml version="1.0" encoding="UTF-8" standalone="yes"?>
<Relationships xmlns="http://schemas.openxmlformats.org/package/2006/relationships"><Relationship Id="rId2" Type="http://schemas.openxmlformats.org/officeDocument/2006/relationships/package" Target="../embeddings/Microsoft_Excel_Worksheet146.xlsx"/><Relationship Id="rId1" Type="http://schemas.openxmlformats.org/officeDocument/2006/relationships/themeOverride" Target="../theme/themeOverride147.xml"/></Relationships>
</file>

<file path=word/charts/_rels/chart148.xml.rels><?xml version="1.0" encoding="UTF-8" standalone="yes"?>
<Relationships xmlns="http://schemas.openxmlformats.org/package/2006/relationships"><Relationship Id="rId2" Type="http://schemas.openxmlformats.org/officeDocument/2006/relationships/package" Target="../embeddings/Microsoft_Excel_Worksheet147.xlsx"/><Relationship Id="rId1" Type="http://schemas.openxmlformats.org/officeDocument/2006/relationships/themeOverride" Target="../theme/themeOverride148.xml"/></Relationships>
</file>

<file path=word/charts/_rels/chart149.xml.rels><?xml version="1.0" encoding="UTF-8" standalone="yes"?>
<Relationships xmlns="http://schemas.openxmlformats.org/package/2006/relationships"><Relationship Id="rId2" Type="http://schemas.openxmlformats.org/officeDocument/2006/relationships/package" Target="../embeddings/Microsoft_Excel_Worksheet148.xlsx"/><Relationship Id="rId1" Type="http://schemas.openxmlformats.org/officeDocument/2006/relationships/themeOverride" Target="../theme/themeOverride14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50.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49.xlsx"/><Relationship Id="rId1" Type="http://schemas.openxmlformats.org/officeDocument/2006/relationships/themeOverride" Target="../theme/themeOverride150.xml"/></Relationships>
</file>

<file path=word/charts/_rels/chart151.xml.rels><?xml version="1.0" encoding="UTF-8" standalone="yes"?>
<Relationships xmlns="http://schemas.openxmlformats.org/package/2006/relationships"><Relationship Id="rId2" Type="http://schemas.openxmlformats.org/officeDocument/2006/relationships/package" Target="../embeddings/Microsoft_Excel_Worksheet150.xlsx"/><Relationship Id="rId1" Type="http://schemas.openxmlformats.org/officeDocument/2006/relationships/themeOverride" Target="../theme/themeOverride151.xml"/></Relationships>
</file>

<file path=word/charts/_rels/chart152.xml.rels><?xml version="1.0" encoding="UTF-8" standalone="yes"?>
<Relationships xmlns="http://schemas.openxmlformats.org/package/2006/relationships"><Relationship Id="rId2" Type="http://schemas.openxmlformats.org/officeDocument/2006/relationships/package" Target="../embeddings/Microsoft_Excel_Worksheet151.xlsx"/><Relationship Id="rId1" Type="http://schemas.openxmlformats.org/officeDocument/2006/relationships/themeOverride" Target="../theme/themeOverride152.xml"/></Relationships>
</file>

<file path=word/charts/_rels/chart153.xml.rels><?xml version="1.0" encoding="UTF-8" standalone="yes"?>
<Relationships xmlns="http://schemas.openxmlformats.org/package/2006/relationships"><Relationship Id="rId2" Type="http://schemas.openxmlformats.org/officeDocument/2006/relationships/package" Target="../embeddings/Microsoft_Excel_Worksheet152.xlsx"/><Relationship Id="rId1" Type="http://schemas.openxmlformats.org/officeDocument/2006/relationships/themeOverride" Target="../theme/themeOverride153.xml"/></Relationships>
</file>

<file path=word/charts/_rels/chart154.xml.rels><?xml version="1.0" encoding="UTF-8" standalone="yes"?>
<Relationships xmlns="http://schemas.openxmlformats.org/package/2006/relationships"><Relationship Id="rId2" Type="http://schemas.openxmlformats.org/officeDocument/2006/relationships/package" Target="../embeddings/Microsoft_Excel_Worksheet153.xlsx"/><Relationship Id="rId1" Type="http://schemas.openxmlformats.org/officeDocument/2006/relationships/themeOverride" Target="../theme/themeOverride154.xml"/></Relationships>
</file>

<file path=word/charts/_rels/chart155.xml.rels><?xml version="1.0" encoding="UTF-8" standalone="yes"?>
<Relationships xmlns="http://schemas.openxmlformats.org/package/2006/relationships"><Relationship Id="rId2" Type="http://schemas.openxmlformats.org/officeDocument/2006/relationships/package" Target="../embeddings/Microsoft_Excel_Worksheet154.xlsx"/><Relationship Id="rId1" Type="http://schemas.openxmlformats.org/officeDocument/2006/relationships/themeOverride" Target="../theme/themeOverride155.xml"/></Relationships>
</file>

<file path=word/charts/_rels/chart156.xml.rels><?xml version="1.0" encoding="UTF-8" standalone="yes"?>
<Relationships xmlns="http://schemas.openxmlformats.org/package/2006/relationships"><Relationship Id="rId2" Type="http://schemas.openxmlformats.org/officeDocument/2006/relationships/package" Target="../embeddings/Microsoft_Excel_Worksheet155.xlsx"/><Relationship Id="rId1" Type="http://schemas.openxmlformats.org/officeDocument/2006/relationships/themeOverride" Target="../theme/themeOverride156.xml"/></Relationships>
</file>

<file path=word/charts/_rels/chart157.xml.rels><?xml version="1.0" encoding="UTF-8" standalone="yes"?>
<Relationships xmlns="http://schemas.openxmlformats.org/package/2006/relationships"><Relationship Id="rId2" Type="http://schemas.openxmlformats.org/officeDocument/2006/relationships/package" Target="../embeddings/Microsoft_Excel_Worksheet156.xlsx"/><Relationship Id="rId1" Type="http://schemas.openxmlformats.org/officeDocument/2006/relationships/themeOverride" Target="../theme/themeOverride157.xml"/></Relationships>
</file>

<file path=word/charts/_rels/chart158.xml.rels><?xml version="1.0" encoding="UTF-8" standalone="yes"?>
<Relationships xmlns="http://schemas.openxmlformats.org/package/2006/relationships"><Relationship Id="rId2" Type="http://schemas.openxmlformats.org/officeDocument/2006/relationships/package" Target="../embeddings/Microsoft_Excel_Worksheet157.xlsx"/><Relationship Id="rId1" Type="http://schemas.openxmlformats.org/officeDocument/2006/relationships/themeOverride" Target="../theme/themeOverride158.xml"/></Relationships>
</file>

<file path=word/charts/_rels/chart159.xml.rels><?xml version="1.0" encoding="UTF-8" standalone="yes"?>
<Relationships xmlns="http://schemas.openxmlformats.org/package/2006/relationships"><Relationship Id="rId2" Type="http://schemas.openxmlformats.org/officeDocument/2006/relationships/package" Target="../embeddings/Microsoft_Excel_Worksheet158.xlsx"/><Relationship Id="rId1" Type="http://schemas.openxmlformats.org/officeDocument/2006/relationships/themeOverride" Target="../theme/themeOverride15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60.xml.rels><?xml version="1.0" encoding="UTF-8" standalone="yes"?>
<Relationships xmlns="http://schemas.openxmlformats.org/package/2006/relationships"><Relationship Id="rId2" Type="http://schemas.openxmlformats.org/officeDocument/2006/relationships/package" Target="../embeddings/Microsoft_Excel_Worksheet159.xlsx"/><Relationship Id="rId1" Type="http://schemas.openxmlformats.org/officeDocument/2006/relationships/themeOverride" Target="../theme/themeOverride160.xml"/></Relationships>
</file>

<file path=word/charts/_rels/chart161.xml.rels><?xml version="1.0" encoding="UTF-8" standalone="yes"?>
<Relationships xmlns="http://schemas.openxmlformats.org/package/2006/relationships"><Relationship Id="rId2" Type="http://schemas.openxmlformats.org/officeDocument/2006/relationships/package" Target="../embeddings/Microsoft_Excel_Worksheet160.xlsx"/><Relationship Id="rId1" Type="http://schemas.openxmlformats.org/officeDocument/2006/relationships/themeOverride" Target="../theme/themeOverride161.xml"/></Relationships>
</file>

<file path=word/charts/_rels/chart162.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161.xlsx"/><Relationship Id="rId1" Type="http://schemas.openxmlformats.org/officeDocument/2006/relationships/themeOverride" Target="../theme/themeOverride162.xml"/></Relationships>
</file>

<file path=word/charts/_rels/chart163.xml.rels><?xml version="1.0" encoding="UTF-8" standalone="yes"?>
<Relationships xmlns="http://schemas.openxmlformats.org/package/2006/relationships"><Relationship Id="rId2" Type="http://schemas.openxmlformats.org/officeDocument/2006/relationships/package" Target="../embeddings/Microsoft_Excel_Worksheet162.xlsx"/><Relationship Id="rId1" Type="http://schemas.openxmlformats.org/officeDocument/2006/relationships/themeOverride" Target="../theme/themeOverride163.xml"/></Relationships>
</file>

<file path=word/charts/_rels/chart164.xml.rels><?xml version="1.0" encoding="UTF-8" standalone="yes"?>
<Relationships xmlns="http://schemas.openxmlformats.org/package/2006/relationships"><Relationship Id="rId2" Type="http://schemas.openxmlformats.org/officeDocument/2006/relationships/package" Target="../embeddings/Microsoft_Excel_Worksheet163.xlsx"/><Relationship Id="rId1" Type="http://schemas.openxmlformats.org/officeDocument/2006/relationships/themeOverride" Target="../theme/themeOverride164.xml"/></Relationships>
</file>

<file path=word/charts/_rels/chart165.xml.rels><?xml version="1.0" encoding="UTF-8" standalone="yes"?>
<Relationships xmlns="http://schemas.openxmlformats.org/package/2006/relationships"><Relationship Id="rId2" Type="http://schemas.openxmlformats.org/officeDocument/2006/relationships/package" Target="../embeddings/Microsoft_Excel_Worksheet164.xlsx"/><Relationship Id="rId1" Type="http://schemas.openxmlformats.org/officeDocument/2006/relationships/themeOverride" Target="../theme/themeOverride165.xml"/></Relationships>
</file>

<file path=word/charts/_rels/chart166.xml.rels><?xml version="1.0" encoding="UTF-8" standalone="yes"?>
<Relationships xmlns="http://schemas.openxmlformats.org/package/2006/relationships"><Relationship Id="rId2" Type="http://schemas.openxmlformats.org/officeDocument/2006/relationships/package" Target="../embeddings/Microsoft_Excel_Worksheet165.xlsx"/><Relationship Id="rId1" Type="http://schemas.openxmlformats.org/officeDocument/2006/relationships/themeOverride" Target="../theme/themeOverride166.xml"/></Relationships>
</file>

<file path=word/charts/_rels/chart167.xml.rels><?xml version="1.0" encoding="UTF-8" standalone="yes"?>
<Relationships xmlns="http://schemas.openxmlformats.org/package/2006/relationships"><Relationship Id="rId2" Type="http://schemas.openxmlformats.org/officeDocument/2006/relationships/package" Target="../embeddings/Microsoft_Excel_Worksheet166.xlsx"/><Relationship Id="rId1" Type="http://schemas.openxmlformats.org/officeDocument/2006/relationships/themeOverride" Target="../theme/themeOverride167.xml"/></Relationships>
</file>

<file path=word/charts/_rels/chart168.xml.rels><?xml version="1.0" encoding="UTF-8" standalone="yes"?>
<Relationships xmlns="http://schemas.openxmlformats.org/package/2006/relationships"><Relationship Id="rId2" Type="http://schemas.openxmlformats.org/officeDocument/2006/relationships/package" Target="../embeddings/Microsoft_Excel_Worksheet167.xlsx"/><Relationship Id="rId1" Type="http://schemas.openxmlformats.org/officeDocument/2006/relationships/themeOverride" Target="../theme/themeOverride168.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6.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78.xlsx"/><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9.xlsx"/><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0.xlsx"/><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Worksheet91.xlsx"/><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Worksheet92.xlsx"/><Relationship Id="rId1" Type="http://schemas.openxmlformats.org/officeDocument/2006/relationships/themeOverride" Target="../theme/themeOverride92.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Worksheet93.xlsx"/><Relationship Id="rId1" Type="http://schemas.openxmlformats.org/officeDocument/2006/relationships/themeOverride" Target="../theme/themeOverride93.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Worksheet94.xlsx"/><Relationship Id="rId1" Type="http://schemas.openxmlformats.org/officeDocument/2006/relationships/themeOverride" Target="../theme/themeOverride94.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Excel_Worksheet95.xlsx"/><Relationship Id="rId1" Type="http://schemas.openxmlformats.org/officeDocument/2006/relationships/themeOverride" Target="../theme/themeOverride95.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Worksheet96.xlsx"/><Relationship Id="rId1" Type="http://schemas.openxmlformats.org/officeDocument/2006/relationships/themeOverride" Target="../theme/themeOverride96.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7.xlsx"/><Relationship Id="rId1" Type="http://schemas.openxmlformats.org/officeDocument/2006/relationships/themeOverride" Target="../theme/themeOverride97.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Worksheet98.xlsx"/><Relationship Id="rId1" Type="http://schemas.openxmlformats.org/officeDocument/2006/relationships/themeOverride" Target="../theme/themeOverride98.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9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80946076430702E-2"/>
          <c:y val="5.5813953488372092E-2"/>
          <c:w val="0.89092585489306109"/>
          <c:h val="0.83976585414414306"/>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4356304635474283E-2"/>
                  <c:y val="5.9792632941430265E-2"/>
                </c:manualLayout>
              </c:layout>
              <c:dLblPos val="r"/>
              <c:showLegendKey val="0"/>
              <c:showVal val="1"/>
              <c:showCatName val="0"/>
              <c:showSerName val="0"/>
              <c:showPercent val="0"/>
              <c:showBubbleSize val="0"/>
            </c:dLbl>
            <c:dLbl>
              <c:idx val="2"/>
              <c:layout>
                <c:manualLayout>
                  <c:x val="-4.9807162534435262E-2"/>
                  <c:y val="-7.7226027397260269E-2"/>
                </c:manualLayout>
              </c:layout>
              <c:dLblPos val="r"/>
              <c:showLegendKey val="0"/>
              <c:showVal val="1"/>
              <c:showCatName val="0"/>
              <c:showSerName val="0"/>
              <c:showPercent val="0"/>
              <c:showBubbleSize val="0"/>
            </c:dLbl>
            <c:dLbl>
              <c:idx val="3"/>
              <c:layout>
                <c:manualLayout>
                  <c:x val="-4.4297520661157025E-2"/>
                  <c:y val="6.5468036529680362E-2"/>
                </c:manualLayout>
              </c:layout>
              <c:dLblPos val="r"/>
              <c:showLegendKey val="0"/>
              <c:showVal val="1"/>
              <c:showCatName val="0"/>
              <c:showSerName val="0"/>
              <c:showPercent val="0"/>
              <c:showBubbleSize val="0"/>
            </c:dLbl>
            <c:dLbl>
              <c:idx val="4"/>
              <c:layout>
                <c:manualLayout>
                  <c:x val="-4.7052341597796039E-2"/>
                  <c:y val="-6.5810502283105032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108</c:v>
                </c:pt>
                <c:pt idx="1">
                  <c:v>89</c:v>
                </c:pt>
                <c:pt idx="2">
                  <c:v>124</c:v>
                </c:pt>
                <c:pt idx="3">
                  <c:v>106</c:v>
                </c:pt>
                <c:pt idx="4">
                  <c:v>134</c:v>
                </c:pt>
              </c:numCache>
            </c:numRef>
          </c:val>
          <c:smooth val="0"/>
        </c:ser>
        <c:dLbls>
          <c:showLegendKey val="0"/>
          <c:showVal val="1"/>
          <c:showCatName val="0"/>
          <c:showSerName val="0"/>
          <c:showPercent val="0"/>
          <c:showBubbleSize val="0"/>
        </c:dLbls>
        <c:marker val="1"/>
        <c:smooth val="0"/>
        <c:axId val="69925504"/>
        <c:axId val="52536448"/>
      </c:lineChart>
      <c:catAx>
        <c:axId val="699255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52536448"/>
        <c:crosses val="autoZero"/>
        <c:auto val="1"/>
        <c:lblAlgn val="ctr"/>
        <c:lblOffset val="100"/>
        <c:noMultiLvlLbl val="0"/>
      </c:catAx>
      <c:valAx>
        <c:axId val="52536448"/>
        <c:scaling>
          <c:orientation val="minMax"/>
          <c:min val="7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9925504"/>
        <c:crosses val="autoZero"/>
        <c:crossBetween val="between"/>
      </c:valAx>
      <c:spPr>
        <a:noFill/>
        <a:ln>
          <a:noFill/>
        </a:ln>
        <a:effectLst/>
        <a:scene3d>
          <a:camera prst="orthographicFront"/>
          <a:lightRig rig="threePt" dir="t"/>
        </a:scene3d>
        <a:sp3d>
          <a:bevelT w="6350"/>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4.1997792494481233E-2"/>
                  <c:y val="6.6957026713124271E-2"/>
                </c:manualLayout>
              </c:layout>
              <c:dLblPos val="r"/>
              <c:showLegendKey val="0"/>
              <c:showVal val="1"/>
              <c:showCatName val="0"/>
              <c:showSerName val="0"/>
              <c:showPercent val="0"/>
              <c:showBubbleSize val="0"/>
            </c:dLbl>
            <c:dLbl>
              <c:idx val="3"/>
              <c:layout>
                <c:manualLayout>
                  <c:x val="-3.9238410596026493E-2"/>
                  <c:y val="6.6957026713124271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34</c:v>
                </c:pt>
                <c:pt idx="1">
                  <c:v>23</c:v>
                </c:pt>
                <c:pt idx="2">
                  <c:v>36</c:v>
                </c:pt>
                <c:pt idx="3">
                  <c:v>23</c:v>
                </c:pt>
                <c:pt idx="4">
                  <c:v>48</c:v>
                </c:pt>
              </c:numCache>
            </c:numRef>
          </c:val>
          <c:smooth val="0"/>
        </c:ser>
        <c:dLbls>
          <c:showLegendKey val="0"/>
          <c:showVal val="0"/>
          <c:showCatName val="0"/>
          <c:showSerName val="0"/>
          <c:showPercent val="0"/>
          <c:showBubbleSize val="0"/>
        </c:dLbls>
        <c:marker val="1"/>
        <c:smooth val="0"/>
        <c:axId val="80247808"/>
        <c:axId val="80257792"/>
      </c:lineChart>
      <c:catAx>
        <c:axId val="80247808"/>
        <c:scaling>
          <c:orientation val="minMax"/>
        </c:scaling>
        <c:delete val="0"/>
        <c:axPos val="b"/>
        <c:numFmt formatCode="General" sourceLinked="1"/>
        <c:majorTickMark val="none"/>
        <c:minorTickMark val="none"/>
        <c:tickLblPos val="nextTo"/>
        <c:spPr>
          <a:noFill/>
          <a:ln w="12710"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0257792"/>
        <c:crosses val="autoZero"/>
        <c:auto val="1"/>
        <c:lblAlgn val="ctr"/>
        <c:lblOffset val="100"/>
        <c:noMultiLvlLbl val="0"/>
      </c:catAx>
      <c:valAx>
        <c:axId val="80257792"/>
        <c:scaling>
          <c:orientation val="minMax"/>
          <c:min val="15"/>
        </c:scaling>
        <c:delete val="1"/>
        <c:axPos val="l"/>
        <c:majorGridlines>
          <c:spPr>
            <a:ln w="9533" cap="flat" cmpd="sng" algn="ctr">
              <a:solidFill>
                <a:schemeClr val="tx1">
                  <a:lumMod val="15000"/>
                  <a:lumOff val="85000"/>
                </a:schemeClr>
              </a:solidFill>
              <a:round/>
            </a:ln>
            <a:effectLst/>
          </c:spPr>
        </c:majorGridlines>
        <c:numFmt formatCode="General" sourceLinked="1"/>
        <c:majorTickMark val="none"/>
        <c:minorTickMark val="none"/>
        <c:tickLblPos val="nextTo"/>
        <c:crossAx val="80247808"/>
        <c:crosses val="autoZero"/>
        <c:crossBetween val="between"/>
      </c:valAx>
      <c:spPr>
        <a:noFill/>
        <a:ln w="25421">
          <a:noFill/>
        </a:ln>
      </c:spPr>
    </c:plotArea>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107</c:v>
                </c:pt>
                <c:pt idx="1">
                  <c:v>107</c:v>
                </c:pt>
                <c:pt idx="2">
                  <c:v>91</c:v>
                </c:pt>
                <c:pt idx="3">
                  <c:v>78</c:v>
                </c:pt>
                <c:pt idx="4">
                  <c:v>74</c:v>
                </c:pt>
              </c:numCache>
            </c:numRef>
          </c:val>
          <c:smooth val="0"/>
        </c:ser>
        <c:dLbls>
          <c:showLegendKey val="0"/>
          <c:showVal val="0"/>
          <c:showCatName val="0"/>
          <c:showSerName val="0"/>
          <c:showPercent val="0"/>
          <c:showBubbleSize val="0"/>
        </c:dLbls>
        <c:marker val="1"/>
        <c:smooth val="0"/>
        <c:axId val="102037760"/>
        <c:axId val="102055936"/>
      </c:lineChart>
      <c:catAx>
        <c:axId val="1020377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055936"/>
        <c:crosses val="autoZero"/>
        <c:auto val="1"/>
        <c:lblAlgn val="ctr"/>
        <c:lblOffset val="100"/>
        <c:noMultiLvlLbl val="0"/>
      </c:catAx>
      <c:valAx>
        <c:axId val="1020559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2037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53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Spain</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spPr>
            <a:scene3d>
              <a:camera prst="orthographicFront"/>
              <a:lightRig rig="threePt" dir="t"/>
            </a:scene3d>
            <a:sp3d>
              <a:bevelT w="63500" h="25400"/>
            </a:sp3d>
          </c:spPr>
          <c:dPt>
            <c:idx val="0"/>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FFD617"/>
              </a:solidFill>
              <a:scene3d>
                <a:camera prst="orthographicFront"/>
                <a:lightRig rig="threePt" dir="t"/>
              </a:scene3d>
              <a:sp3d>
                <a:bevelT w="63500" h="25400"/>
              </a:sp3d>
            </c:spPr>
          </c:dPt>
          <c:dPt>
            <c:idx val="5"/>
            <c:bubble3D val="0"/>
            <c:spPr>
              <a:solidFill>
                <a:srgbClr val="000099"/>
              </a:solidFill>
              <a:scene3d>
                <a:camera prst="orthographicFront"/>
                <a:lightRig rig="threePt" dir="t"/>
              </a:scene3d>
              <a:sp3d>
                <a:bevelT w="63500" h="25400"/>
              </a:sp3d>
            </c:spPr>
          </c:dPt>
          <c:dLbls>
            <c:dLbl>
              <c:idx val="0"/>
              <c:layout>
                <c:manualLayout>
                  <c:x val="-5.4798660035916312E-3"/>
                  <c:y val="-6.6154135458677418E-2"/>
                </c:manualLayout>
              </c:layout>
              <c:dLblPos val="bestFit"/>
              <c:showLegendKey val="1"/>
              <c:showVal val="1"/>
              <c:showCatName val="1"/>
              <c:showSerName val="0"/>
              <c:showPercent val="0"/>
              <c:showBubbleSize val="0"/>
              <c:separator>
</c:separator>
            </c:dLbl>
            <c:dLbl>
              <c:idx val="1"/>
              <c:layout>
                <c:manualLayout>
                  <c:x val="-3.2896679444674677E-2"/>
                  <c:y val="0.13207861212470393"/>
                </c:manualLayout>
              </c:layout>
              <c:dLblPos val="bestFit"/>
              <c:showLegendKey val="1"/>
              <c:showVal val="1"/>
              <c:showCatName val="1"/>
              <c:showSerName val="0"/>
              <c:showPercent val="0"/>
              <c:showBubbleSize val="0"/>
              <c:separator>
</c:separator>
            </c:dLbl>
            <c:dLbl>
              <c:idx val="2"/>
              <c:layout>
                <c:manualLayout>
                  <c:x val="5.4792184694018508E-3"/>
                  <c:y val="-8.1238797132065804E-2"/>
                </c:manualLayout>
              </c:layout>
              <c:dLblPos val="bestFit"/>
              <c:showLegendKey val="1"/>
              <c:showVal val="1"/>
              <c:showCatName val="1"/>
              <c:showSerName val="0"/>
              <c:showPercent val="0"/>
              <c:showBubbleSize val="0"/>
              <c:separator>
</c:separator>
            </c:dLbl>
            <c:dLbl>
              <c:idx val="3"/>
              <c:layout>
                <c:manualLayout>
                  <c:x val="3.5637907514850117E-2"/>
                  <c:y val="-1.1042826963702707E-3"/>
                </c:manualLayout>
              </c:layout>
              <c:dLblPos val="bestFit"/>
              <c:showLegendKey val="1"/>
              <c:showVal val="1"/>
              <c:showCatName val="1"/>
              <c:showSerName val="0"/>
              <c:showPercent val="0"/>
              <c:showBubbleSize val="0"/>
              <c:separator>
</c:separator>
            </c:dLbl>
            <c:dLbl>
              <c:idx val="4"/>
              <c:layout>
                <c:manualLayout>
                  <c:x val="1.9188380646498134E-2"/>
                  <c:y val="0"/>
                </c:manualLayout>
              </c:layout>
              <c:dLblPos val="bestFit"/>
              <c:showLegendKey val="1"/>
              <c:showVal val="1"/>
              <c:showCatName val="1"/>
              <c:showSerName val="0"/>
              <c:showPercent val="0"/>
              <c:showBubbleSize val="0"/>
              <c:separator>
</c:separator>
            </c:dLbl>
            <c:dLbl>
              <c:idx val="5"/>
              <c:layout>
                <c:manualLayout>
                  <c:x val="-8.2236842105263153E-3"/>
                  <c:y val="-7.113821138211382E-2"/>
                </c:manualLayout>
              </c:layout>
              <c:dLblPos val="bestFit"/>
              <c:showLegendKey val="1"/>
              <c:showVal val="1"/>
              <c:showCatName val="1"/>
              <c:showSerName val="0"/>
              <c:showPercent val="0"/>
              <c:showBubbleSize val="0"/>
              <c:separator>
</c:separator>
            </c:dLbl>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Blad1!$A$3:$A$7</c:f>
              <c:strCache>
                <c:ptCount val="5"/>
                <c:pt idx="0">
                  <c:v>Other</c:v>
                </c:pt>
                <c:pt idx="1">
                  <c:v>Internal market, industry, entrepreneurship and SMEs</c:v>
                </c:pt>
                <c:pt idx="2">
                  <c:v>Environment</c:v>
                </c:pt>
                <c:pt idx="3">
                  <c:v>Taxation and customs</c:v>
                </c:pt>
                <c:pt idx="4">
                  <c:v>Employment</c:v>
                </c:pt>
              </c:strCache>
            </c:strRef>
          </c:cat>
          <c:val>
            <c:numRef>
              <c:f>Blad1!$B$3:$B$7</c:f>
              <c:numCache>
                <c:formatCode>General</c:formatCode>
                <c:ptCount val="5"/>
                <c:pt idx="0">
                  <c:v>20</c:v>
                </c:pt>
                <c:pt idx="1">
                  <c:v>12</c:v>
                </c:pt>
                <c:pt idx="2">
                  <c:v>8</c:v>
                </c:pt>
                <c:pt idx="3">
                  <c:v>7</c:v>
                </c:pt>
                <c:pt idx="4">
                  <c:v>6</c:v>
                </c:pt>
              </c:numCache>
            </c:numRef>
          </c:val>
          <c:extLst/>
        </c:ser>
        <c:dLbls>
          <c:showLegendKey val="0"/>
          <c:showVal val="0"/>
          <c:showCatName val="0"/>
          <c:showSerName val="0"/>
          <c:showPercent val="0"/>
          <c:showBubbleSize val="0"/>
          <c:showLeaderLines val="0"/>
        </c:dLbls>
        <c:firstSliceAng val="21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2277777777777775E-2"/>
                  <c:y val="-6.0726643598615931E-2"/>
                </c:manualLayout>
              </c:layout>
              <c:dLblPos val="r"/>
              <c:showLegendKey val="0"/>
              <c:showVal val="1"/>
              <c:showCatName val="0"/>
              <c:showSerName val="0"/>
              <c:showPercent val="0"/>
              <c:showBubbleSize val="0"/>
            </c:dLbl>
            <c:dLbl>
              <c:idx val="1"/>
              <c:layout>
                <c:manualLayout>
                  <c:x val="-3.95E-2"/>
                  <c:y val="-5.6671189507010382E-2"/>
                </c:manualLayout>
              </c:layout>
              <c:dLblPos val="r"/>
              <c:showLegendKey val="0"/>
              <c:showVal val="1"/>
              <c:showCatName val="0"/>
              <c:showSerName val="0"/>
              <c:showPercent val="0"/>
              <c:showBubbleSize val="0"/>
            </c:dLbl>
            <c:dLbl>
              <c:idx val="2"/>
              <c:layout>
                <c:manualLayout>
                  <c:x val="-4.2277777777777775E-2"/>
                  <c:y val="-5.2138248198157502E-2"/>
                </c:manualLayout>
              </c:layout>
              <c:dLblPos val="r"/>
              <c:showLegendKey val="0"/>
              <c:showVal val="1"/>
              <c:showCatName val="0"/>
              <c:showSerName val="0"/>
              <c:showPercent val="0"/>
              <c:showBubbleSize val="0"/>
            </c:dLbl>
            <c:dLbl>
              <c:idx val="3"/>
              <c:layout>
                <c:manualLayout>
                  <c:x val="-4.2277996500437447E-2"/>
                  <c:y val="-5.6660212482472938E-2"/>
                </c:manualLayout>
              </c:layout>
              <c:dLblPos val="r"/>
              <c:showLegendKey val="0"/>
              <c:showVal val="1"/>
              <c:showCatName val="0"/>
              <c:showSerName val="0"/>
              <c:showPercent val="0"/>
              <c:showBubbleSize val="0"/>
            </c:dLbl>
            <c:dLbl>
              <c:idx val="4"/>
              <c:layout>
                <c:manualLayout>
                  <c:x val="-3.95E-2"/>
                  <c:y val="-5.4959630911188009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74</c:v>
                </c:pt>
                <c:pt idx="1">
                  <c:v>72</c:v>
                </c:pt>
                <c:pt idx="2">
                  <c:v>74</c:v>
                </c:pt>
                <c:pt idx="3">
                  <c:v>78</c:v>
                </c:pt>
                <c:pt idx="4">
                  <c:v>81</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102433920"/>
        <c:axId val="102435456"/>
      </c:lineChart>
      <c:catAx>
        <c:axId val="1024339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435456"/>
        <c:crosses val="autoZero"/>
        <c:auto val="1"/>
        <c:lblAlgn val="ctr"/>
        <c:lblOffset val="100"/>
        <c:noMultiLvlLbl val="0"/>
      </c:catAx>
      <c:valAx>
        <c:axId val="102435456"/>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2433920"/>
        <c:crosses val="autoZero"/>
        <c:crossBetween val="between"/>
      </c:valAx>
      <c:spPr>
        <a:noFill/>
        <a:ln>
          <a:noFill/>
        </a:ln>
        <a:effectLst/>
      </c:spPr>
    </c:plotArea>
    <c:legend>
      <c:legendPos val="b"/>
      <c:legendEntry>
        <c:idx val="0"/>
        <c:delete val="1"/>
      </c:legendEntry>
      <c:legendEntry>
        <c:idx val="1"/>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Entry>
      <c:layout>
        <c:manualLayout>
          <c:xMode val="edge"/>
          <c:yMode val="edge"/>
          <c:x val="5.5865154028662524E-2"/>
          <c:y val="0.81578604535132138"/>
          <c:w val="0.88826947953329416"/>
          <c:h val="0.1841128053857316"/>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Spain</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6.9618110236220471E-2"/>
                  <c:y val="-7.8881650380021734E-2"/>
                </c:manualLayout>
              </c:layout>
              <c:dLblPos val="r"/>
              <c:showLegendKey val="0"/>
              <c:showVal val="1"/>
              <c:showCatName val="0"/>
              <c:showSerName val="0"/>
              <c:showPercent val="0"/>
              <c:showBubbleSize val="0"/>
            </c:dLbl>
            <c:dLbl>
              <c:idx val="1"/>
              <c:layout>
                <c:manualLayout>
                  <c:x val="-5.8506999125109364E-2"/>
                  <c:y val="6.7698154180238876E-2"/>
                </c:manualLayout>
              </c:layout>
              <c:dLblPos val="r"/>
              <c:showLegendKey val="0"/>
              <c:showVal val="1"/>
              <c:showCatName val="0"/>
              <c:showSerName val="0"/>
              <c:showPercent val="0"/>
              <c:showBubbleSize val="0"/>
            </c:dLbl>
            <c:dLbl>
              <c:idx val="3"/>
              <c:layout>
                <c:manualLayout>
                  <c:x val="-5.0967629046369201E-2"/>
                  <c:y val="8.1245564988415536E-2"/>
                </c:manualLayout>
              </c:layout>
              <c:dLblPos val="r"/>
              <c:showLegendKey val="0"/>
              <c:showVal val="1"/>
              <c:showCatName val="0"/>
              <c:showSerName val="0"/>
              <c:showPercent val="0"/>
              <c:showBubbleSize val="0"/>
            </c:dLbl>
            <c:dLbl>
              <c:idx val="4"/>
              <c:layout>
                <c:manualLayout>
                  <c:x val="-4.7395888013998251E-2"/>
                  <c:y val="-7.3452768729641724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0.78</c:v>
                </c:pt>
                <c:pt idx="1">
                  <c:v>0.65</c:v>
                </c:pt>
                <c:pt idx="2">
                  <c:v>0.69</c:v>
                </c:pt>
                <c:pt idx="3">
                  <c:v>0.69</c:v>
                </c:pt>
                <c:pt idx="4">
                  <c:v>0.75</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0"/>
              <c:layout>
                <c:manualLayout>
                  <c:x val="-5.8506999125109364E-2"/>
                  <c:y val="7.343283582089552E-2"/>
                </c:manualLayout>
              </c:layout>
              <c:dLblPos val="r"/>
              <c:showLegendKey val="0"/>
              <c:showVal val="1"/>
              <c:showCatName val="0"/>
              <c:showSerName val="0"/>
              <c:showPercent val="0"/>
              <c:showBubbleSize val="0"/>
            </c:dLbl>
            <c:dLbl>
              <c:idx val="4"/>
              <c:layout>
                <c:manualLayout>
                  <c:x val="-4.4618110236220469E-2"/>
                  <c:y val="6.8023887079261672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102483072"/>
        <c:axId val="102484608"/>
      </c:lineChart>
      <c:catAx>
        <c:axId val="1024830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484608"/>
        <c:crosses val="autoZero"/>
        <c:auto val="1"/>
        <c:lblAlgn val="ctr"/>
        <c:lblOffset val="100"/>
        <c:noMultiLvlLbl val="0"/>
      </c:catAx>
      <c:valAx>
        <c:axId val="102484608"/>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2483072"/>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91</c:v>
                </c:pt>
                <c:pt idx="1">
                  <c:v>90</c:v>
                </c:pt>
                <c:pt idx="2">
                  <c:v>86</c:v>
                </c:pt>
                <c:pt idx="3">
                  <c:v>83</c:v>
                </c:pt>
                <c:pt idx="4">
                  <c:v>91</c:v>
                </c:pt>
              </c:numCache>
            </c:numRef>
          </c:val>
          <c:smooth val="0"/>
        </c:ser>
        <c:dLbls>
          <c:showLegendKey val="0"/>
          <c:showVal val="1"/>
          <c:showCatName val="0"/>
          <c:showSerName val="0"/>
          <c:showPercent val="0"/>
          <c:showBubbleSize val="0"/>
        </c:dLbls>
        <c:marker val="1"/>
        <c:smooth val="0"/>
        <c:axId val="102811136"/>
        <c:axId val="102838656"/>
      </c:lineChart>
      <c:catAx>
        <c:axId val="1028111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838656"/>
        <c:crosses val="autoZero"/>
        <c:auto val="1"/>
        <c:lblAlgn val="ctr"/>
        <c:lblOffset val="100"/>
        <c:noMultiLvlLbl val="0"/>
      </c:catAx>
      <c:valAx>
        <c:axId val="102838656"/>
        <c:scaling>
          <c:orientation val="minMax"/>
          <c:min val="7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2811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46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Spain</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4.7152820539695432E-2"/>
                  <c:y val="0.16047244094488189"/>
                </c:manualLayout>
              </c:layout>
              <c:dLblPos val="bestFit"/>
              <c:showLegendKey val="1"/>
              <c:showVal val="1"/>
              <c:showCatName val="1"/>
              <c:showSerName val="0"/>
              <c:showPercent val="0"/>
              <c:showBubbleSize val="0"/>
              <c:separator>
</c:separator>
            </c:dLbl>
            <c:dLbl>
              <c:idx val="2"/>
              <c:layout>
                <c:manualLayout>
                  <c:x val="-3.3277870216306155E-2"/>
                  <c:y val="-5.4649111484015318E-3"/>
                </c:manualLayout>
              </c:layout>
              <c:dLblPos val="bestFit"/>
              <c:showLegendKey val="1"/>
              <c:showVal val="1"/>
              <c:showCatName val="1"/>
              <c:showSerName val="0"/>
              <c:showPercent val="0"/>
              <c:showBubbleSize val="0"/>
              <c:separator>
</c:separator>
            </c:dLbl>
            <c:dLbl>
              <c:idx val="3"/>
              <c:layout>
                <c:manualLayout>
                  <c:x val="3.7278202121573405E-3"/>
                  <c:y val="-3.9632545931758533E-3"/>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6.6555740432612309E-2"/>
                  <c:y val="-0.15847037562927585"/>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Blad1!$A$2:$A$6</c:f>
              <c:strCache>
                <c:ptCount val="5"/>
                <c:pt idx="0">
                  <c:v>Policy Area</c:v>
                </c:pt>
                <c:pt idx="1">
                  <c:v>Internal market, industry, entrepreneurship and SMEs</c:v>
                </c:pt>
                <c:pt idx="2">
                  <c:v>Health and food safety</c:v>
                </c:pt>
                <c:pt idx="3">
                  <c:v>Financial stability, financial services and capital markets union</c:v>
                </c:pt>
                <c:pt idx="4">
                  <c:v>Other</c:v>
                </c:pt>
              </c:strCache>
            </c:strRef>
          </c:cat>
          <c:val>
            <c:numRef>
              <c:f>Blad1!$B$2:$B$6</c:f>
              <c:numCache>
                <c:formatCode>General</c:formatCode>
                <c:ptCount val="5"/>
                <c:pt idx="0">
                  <c:v>0</c:v>
                </c:pt>
                <c:pt idx="1">
                  <c:v>14</c:v>
                </c:pt>
                <c:pt idx="2">
                  <c:v>8</c:v>
                </c:pt>
                <c:pt idx="3">
                  <c:v>7</c:v>
                </c:pt>
                <c:pt idx="4">
                  <c:v>17</c:v>
                </c:pt>
              </c:numCache>
            </c:numRef>
          </c:val>
          <c:extLst/>
        </c:ser>
        <c:dLbls>
          <c:showLegendKey val="0"/>
          <c:showVal val="0"/>
          <c:showCatName val="1"/>
          <c:showSerName val="0"/>
          <c:showPercent val="0"/>
          <c:showBubbleSize val="0"/>
          <c:showLeaderLines val="0"/>
        </c:dLbls>
        <c:firstSliceAng val="283"/>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0"/>
              <c:layout>
                <c:manualLayout>
                  <c:x val="-4.2177298553155051E-2"/>
                  <c:y val="5.2549913458960047E-2"/>
                </c:manualLayout>
              </c:layout>
              <c:dLblPos val="r"/>
              <c:showLegendKey val="0"/>
              <c:showVal val="1"/>
              <c:showCatName val="0"/>
              <c:showSerName val="0"/>
              <c:showPercent val="0"/>
              <c:showBubbleSize val="0"/>
            </c:dLbl>
            <c:dLbl>
              <c:idx val="1"/>
              <c:layout>
                <c:manualLayout>
                  <c:x val="-4.7729505941541003E-2"/>
                  <c:y val="4.6678530508763902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12</c:v>
                </c:pt>
                <c:pt idx="1">
                  <c:v>13</c:v>
                </c:pt>
                <c:pt idx="2">
                  <c:v>19</c:v>
                </c:pt>
                <c:pt idx="3">
                  <c:v>21</c:v>
                </c:pt>
                <c:pt idx="4">
                  <c:v>32</c:v>
                </c:pt>
              </c:numCache>
            </c:numRef>
          </c:val>
          <c:smooth val="0"/>
        </c:ser>
        <c:dLbls>
          <c:showLegendKey val="0"/>
          <c:showVal val="1"/>
          <c:showCatName val="0"/>
          <c:showSerName val="0"/>
          <c:showPercent val="0"/>
          <c:showBubbleSize val="0"/>
        </c:dLbls>
        <c:marker val="1"/>
        <c:smooth val="0"/>
        <c:axId val="102882688"/>
        <c:axId val="102902016"/>
      </c:lineChart>
      <c:catAx>
        <c:axId val="102882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902016"/>
        <c:crosses val="autoZero"/>
        <c:auto val="1"/>
        <c:lblAlgn val="ctr"/>
        <c:lblOffset val="100"/>
        <c:noMultiLvlLbl val="0"/>
      </c:catAx>
      <c:valAx>
        <c:axId val="102902016"/>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2882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0"/>
              <c:layout>
                <c:manualLayout>
                  <c:x val="-4.2177352873276792E-2"/>
                  <c:y val="-7.6448672320085093E-2"/>
                </c:manualLayout>
              </c:layout>
              <c:dLblPos val="r"/>
              <c:showLegendKey val="0"/>
              <c:showVal val="1"/>
              <c:showCatName val="0"/>
              <c:showSerName val="0"/>
              <c:showPercent val="0"/>
              <c:showBubbleSize val="0"/>
            </c:dLbl>
            <c:dLbl>
              <c:idx val="1"/>
              <c:layout>
                <c:manualLayout>
                  <c:x val="-4.4956350090182153E-2"/>
                  <c:y val="8.2798241551075472E-2"/>
                </c:manualLayout>
              </c:layout>
              <c:dLblPos val="r"/>
              <c:showLegendKey val="0"/>
              <c:showVal val="1"/>
              <c:showCatName val="0"/>
              <c:showSerName val="0"/>
              <c:showPercent val="0"/>
              <c:showBubbleSize val="0"/>
            </c:dLbl>
            <c:dLbl>
              <c:idx val="2"/>
              <c:layout>
                <c:manualLayout>
                  <c:x val="-2.834165280088741E-2"/>
                  <c:y val="-5.9494324045407651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16</c:v>
                </c:pt>
                <c:pt idx="1">
                  <c:v>20</c:v>
                </c:pt>
                <c:pt idx="2">
                  <c:v>24</c:v>
                </c:pt>
                <c:pt idx="3">
                  <c:v>16</c:v>
                </c:pt>
                <c:pt idx="4">
                  <c:v>34</c:v>
                </c:pt>
              </c:numCache>
            </c:numRef>
          </c:val>
          <c:smooth val="0"/>
        </c:ser>
        <c:dLbls>
          <c:showLegendKey val="0"/>
          <c:showVal val="1"/>
          <c:showCatName val="0"/>
          <c:showSerName val="0"/>
          <c:showPercent val="0"/>
          <c:showBubbleSize val="0"/>
        </c:dLbls>
        <c:marker val="1"/>
        <c:smooth val="0"/>
        <c:axId val="102941440"/>
        <c:axId val="102944128"/>
      </c:lineChart>
      <c:catAx>
        <c:axId val="1029414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944128"/>
        <c:crosses val="autoZero"/>
        <c:auto val="1"/>
        <c:lblAlgn val="ctr"/>
        <c:lblOffset val="100"/>
        <c:noMultiLvlLbl val="0"/>
      </c:catAx>
      <c:valAx>
        <c:axId val="102944128"/>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294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34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Spain</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3.5987870702208734E-2"/>
                  <c:y val="5.8823529411764705E-2"/>
                </c:manualLayout>
              </c:layout>
              <c:dLblPos val="bestFit"/>
              <c:showLegendKey val="1"/>
              <c:showVal val="1"/>
              <c:showCatName val="1"/>
              <c:showSerName val="0"/>
              <c:showPercent val="0"/>
              <c:showBubbleSize val="0"/>
              <c:separator>
</c:separator>
            </c:dLbl>
            <c:dLbl>
              <c:idx val="1"/>
              <c:layout>
                <c:manualLayout>
                  <c:x val="6.9213732004429679E-2"/>
                  <c:y val="-4.9019607843137254E-2"/>
                </c:manualLayout>
              </c:layout>
              <c:dLblPos val="bestFit"/>
              <c:showLegendKey val="1"/>
              <c:showVal val="1"/>
              <c:showCatName val="1"/>
              <c:showSerName val="0"/>
              <c:showPercent val="0"/>
              <c:showBubbleSize val="0"/>
              <c:separator>
</c:separator>
            </c:dLbl>
            <c:dLbl>
              <c:idx val="2"/>
              <c:layout>
                <c:manualLayout>
                  <c:x val="1.5979107262754946E-4"/>
                  <c:y val="0"/>
                </c:manualLayout>
              </c:layout>
              <c:dLblPos val="bestFit"/>
              <c:showLegendKey val="1"/>
              <c:showVal val="1"/>
              <c:showCatName val="1"/>
              <c:showSerName val="0"/>
              <c:showPercent val="0"/>
              <c:showBubbleSize val="0"/>
              <c:separator>
</c:separator>
            </c:dLbl>
            <c:dLbl>
              <c:idx val="3"/>
              <c:layout>
                <c:manualLayout>
                  <c:x val="2.4916943521594685E-2"/>
                  <c:y val="4.9019607843137254E-3"/>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Blad1!$A$4:$A$7</c:f>
              <c:strCache>
                <c:ptCount val="4"/>
                <c:pt idx="0">
                  <c:v>Internal market, industry, entrepreneurship and SMEs</c:v>
                </c:pt>
                <c:pt idx="1">
                  <c:v>Health and food safety</c:v>
                </c:pt>
                <c:pt idx="2">
                  <c:v>Financial stability, financial services and capital markets union</c:v>
                </c:pt>
                <c:pt idx="3">
                  <c:v>Other</c:v>
                </c:pt>
              </c:strCache>
            </c:strRef>
          </c:cat>
          <c:val>
            <c:numRef>
              <c:f>Blad1!$B$4:$B$7</c:f>
              <c:numCache>
                <c:formatCode>General</c:formatCode>
                <c:ptCount val="4"/>
                <c:pt idx="0">
                  <c:v>11</c:v>
                </c:pt>
                <c:pt idx="1">
                  <c:v>8</c:v>
                </c:pt>
                <c:pt idx="2">
                  <c:v>6</c:v>
                </c:pt>
                <c:pt idx="3">
                  <c:v>9</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358"/>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375052148518984E-2"/>
          <c:y val="8.6660476632621483E-2"/>
          <c:w val="0.93878241420773845"/>
          <c:h val="0.79582789811624632"/>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7444444444444442E-2"/>
                  <c:y val="-8.351851851851852E-2"/>
                </c:manualLayout>
              </c:layout>
              <c:dLblPos val="r"/>
              <c:showLegendKey val="0"/>
              <c:showVal val="1"/>
              <c:showCatName val="0"/>
              <c:showSerName val="0"/>
              <c:showPercent val="0"/>
              <c:showBubbleSize val="0"/>
            </c:dLbl>
            <c:dLbl>
              <c:idx val="2"/>
              <c:layout>
                <c:manualLayout>
                  <c:x val="-4.7504374453193353E-2"/>
                  <c:y val="8.9099348692524546E-2"/>
                </c:manualLayout>
              </c:layout>
              <c:dLblPos val="r"/>
              <c:showLegendKey val="0"/>
              <c:showVal val="1"/>
              <c:showCatName val="0"/>
              <c:showSerName val="0"/>
              <c:showPercent val="0"/>
              <c:showBubbleSize val="0"/>
            </c:dLbl>
            <c:dLbl>
              <c:idx val="4"/>
              <c:layout>
                <c:manualLayout>
                  <c:x val="-4.7444444444444345E-2"/>
                  <c:y val="-7.1172839506172828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242</c:v>
                </c:pt>
                <c:pt idx="1">
                  <c:v>277</c:v>
                </c:pt>
                <c:pt idx="2">
                  <c:v>245</c:v>
                </c:pt>
                <c:pt idx="3">
                  <c:v>267</c:v>
                </c:pt>
                <c:pt idx="4">
                  <c:v>325</c:v>
                </c:pt>
              </c:numCache>
            </c:numRef>
          </c:val>
          <c:smooth val="0"/>
        </c:ser>
        <c:dLbls>
          <c:showLegendKey val="0"/>
          <c:showVal val="1"/>
          <c:showCatName val="0"/>
          <c:showSerName val="0"/>
          <c:showPercent val="0"/>
          <c:showBubbleSize val="0"/>
        </c:dLbls>
        <c:marker val="1"/>
        <c:smooth val="0"/>
        <c:axId val="103237504"/>
        <c:axId val="103285504"/>
      </c:lineChart>
      <c:catAx>
        <c:axId val="1032375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285504"/>
        <c:crosses val="autoZero"/>
        <c:auto val="1"/>
        <c:lblAlgn val="ctr"/>
        <c:lblOffset val="100"/>
        <c:noMultiLvlLbl val="0"/>
      </c:catAx>
      <c:valAx>
        <c:axId val="103285504"/>
        <c:scaling>
          <c:orientation val="minMax"/>
          <c:min val="19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3237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68166089965398E-2"/>
          <c:y val="7.407407407407407E-2"/>
          <c:w val="0.93909191583610185"/>
          <c:h val="0.79641975308641977"/>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489584150818357E-2"/>
                  <c:y val="6.4629629629629634E-2"/>
                </c:manualLayout>
              </c:layout>
              <c:dLblPos val="r"/>
              <c:showLegendKey val="0"/>
              <c:showVal val="1"/>
              <c:showCatName val="0"/>
              <c:showSerName val="0"/>
              <c:showPercent val="0"/>
              <c:showBubbleSize val="0"/>
            </c:dLbl>
            <c:dLbl>
              <c:idx val="2"/>
              <c:layout>
                <c:manualLayout>
                  <c:x val="-4.4905869324473977E-2"/>
                  <c:y val="-6.7191142191142195E-2"/>
                </c:manualLayout>
              </c:layout>
              <c:dLblPos val="r"/>
              <c:showLegendKey val="0"/>
              <c:showVal val="1"/>
              <c:showCatName val="0"/>
              <c:showSerName val="0"/>
              <c:showPercent val="0"/>
              <c:showBubbleSize val="0"/>
            </c:dLbl>
            <c:dLbl>
              <c:idx val="3"/>
              <c:layout>
                <c:manualLayout>
                  <c:x val="-3.9358742947829199E-2"/>
                  <c:y val="7.9996971532404607E-2"/>
                </c:manualLayout>
              </c:layout>
              <c:dLblPos val="r"/>
              <c:showLegendKey val="0"/>
              <c:showVal val="1"/>
              <c:showCatName val="0"/>
              <c:showSerName val="0"/>
              <c:showPercent val="0"/>
              <c:showBubbleSize val="0"/>
            </c:dLbl>
            <c:dLbl>
              <c:idx val="4"/>
              <c:layout>
                <c:manualLayout>
                  <c:x val="-3.6600221483942416E-2"/>
                  <c:y val="-6.1363636363636363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21</c:v>
                </c:pt>
                <c:pt idx="1">
                  <c:v>23</c:v>
                </c:pt>
                <c:pt idx="2">
                  <c:v>40</c:v>
                </c:pt>
                <c:pt idx="3">
                  <c:v>28</c:v>
                </c:pt>
                <c:pt idx="4">
                  <c:v>43</c:v>
                </c:pt>
              </c:numCache>
            </c:numRef>
          </c:val>
          <c:smooth val="0"/>
        </c:ser>
        <c:dLbls>
          <c:showLegendKey val="0"/>
          <c:showVal val="1"/>
          <c:showCatName val="0"/>
          <c:showSerName val="0"/>
          <c:showPercent val="0"/>
          <c:showBubbleSize val="0"/>
        </c:dLbls>
        <c:marker val="1"/>
        <c:smooth val="0"/>
        <c:axId val="80272384"/>
        <c:axId val="80316288"/>
      </c:lineChart>
      <c:catAx>
        <c:axId val="802723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0316288"/>
        <c:crosses val="autoZero"/>
        <c:auto val="1"/>
        <c:lblAlgn val="ctr"/>
        <c:lblOffset val="100"/>
        <c:noMultiLvlLbl val="0"/>
      </c:catAx>
      <c:valAx>
        <c:axId val="80316288"/>
        <c:scaling>
          <c:orientation val="minMax"/>
          <c:min val="1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0272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325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France</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8.2443283698448583E-3"/>
                  <c:y val="9.98402013628422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1.1006947151408054E-2"/>
                  <c:y val="-6.8311433468292798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4.6776114619335951E-2"/>
                  <c:y val="-1.2005597092161587E-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Mobility and transport</c:v>
                </c:pt>
                <c:pt idx="1">
                  <c:v>Employment</c:v>
                </c:pt>
                <c:pt idx="2">
                  <c:v>Justice and consumers</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79</c:v>
                </c:pt>
                <c:pt idx="1">
                  <c:v>60</c:v>
                </c:pt>
                <c:pt idx="2">
                  <c:v>58</c:v>
                </c:pt>
                <c:pt idx="3">
                  <c:v>128</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334"/>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6.0894991431856144E-2"/>
                  <c:y val="7.0551768715477733E-2"/>
                </c:manualLayout>
              </c:layout>
              <c:dLblPos val="r"/>
              <c:showLegendKey val="0"/>
              <c:showVal val="1"/>
              <c:showCatName val="0"/>
              <c:showSerName val="0"/>
              <c:showPercent val="0"/>
              <c:showBubbleSize val="0"/>
            </c:dLbl>
            <c:dLbl>
              <c:idx val="2"/>
              <c:layout>
                <c:manualLayout>
                  <c:x val="-3.6075651237432019E-2"/>
                  <c:y val="-7.7758620689655153E-2"/>
                </c:manualLayout>
              </c:layout>
              <c:dLblPos val="r"/>
              <c:showLegendKey val="0"/>
              <c:showVal val="1"/>
              <c:showCatName val="0"/>
              <c:showSerName val="0"/>
              <c:showPercent val="0"/>
              <c:showBubbleSize val="0"/>
            </c:dLbl>
            <c:dLbl>
              <c:idx val="3"/>
              <c:layout>
                <c:manualLayout>
                  <c:x val="-4.1928374655647381E-2"/>
                  <c:y val="6.5111940298507573E-2"/>
                </c:manualLayout>
              </c:layout>
              <c:dLblPos val="r"/>
              <c:showLegendKey val="0"/>
              <c:showVal val="1"/>
              <c:showCatName val="0"/>
              <c:showSerName val="0"/>
              <c:showPercent val="0"/>
              <c:showBubbleSize val="0"/>
            </c:dLbl>
            <c:dLbl>
              <c:idx val="4"/>
              <c:layout>
                <c:manualLayout>
                  <c:x val="-4.1928374655647381E-2"/>
                  <c:y val="5.8893034825870758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112</c:v>
                </c:pt>
                <c:pt idx="1">
                  <c:v>110</c:v>
                </c:pt>
                <c:pt idx="2">
                  <c:v>61</c:v>
                </c:pt>
                <c:pt idx="3">
                  <c:v>46</c:v>
                </c:pt>
                <c:pt idx="4">
                  <c:v>53</c:v>
                </c:pt>
              </c:numCache>
            </c:numRef>
          </c:val>
          <c:smooth val="0"/>
        </c:ser>
        <c:dLbls>
          <c:showLegendKey val="0"/>
          <c:showVal val="1"/>
          <c:showCatName val="0"/>
          <c:showSerName val="0"/>
          <c:showPercent val="0"/>
          <c:showBubbleSize val="0"/>
        </c:dLbls>
        <c:marker val="1"/>
        <c:smooth val="0"/>
        <c:axId val="103450496"/>
        <c:axId val="103453440"/>
      </c:lineChart>
      <c:catAx>
        <c:axId val="1034504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453440"/>
        <c:crosses val="autoZero"/>
        <c:auto val="1"/>
        <c:lblAlgn val="ctr"/>
        <c:lblOffset val="100"/>
        <c:noMultiLvlLbl val="0"/>
      </c:catAx>
      <c:valAx>
        <c:axId val="103453440"/>
        <c:scaling>
          <c:orientation val="minMax"/>
          <c:min val="4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3450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1611244875382314E-2"/>
                  <c:y val="-6.6264151682532232E-2"/>
                </c:manualLayout>
              </c:layout>
              <c:dLblPos val="r"/>
              <c:showLegendKey val="0"/>
              <c:showVal val="1"/>
              <c:showCatName val="0"/>
              <c:showSerName val="0"/>
              <c:showPercent val="0"/>
              <c:showBubbleSize val="0"/>
            </c:dLbl>
            <c:dLbl>
              <c:idx val="2"/>
              <c:layout>
                <c:manualLayout>
                  <c:x val="-4.4340036007895704E-2"/>
                  <c:y val="7.7713793238531753E-2"/>
                </c:manualLayout>
              </c:layout>
              <c:dLblPos val="r"/>
              <c:showLegendKey val="0"/>
              <c:showVal val="1"/>
              <c:showCatName val="0"/>
              <c:showSerName val="0"/>
              <c:showPercent val="0"/>
              <c:showBubbleSize val="0"/>
            </c:dLbl>
            <c:dLbl>
              <c:idx val="3"/>
              <c:layout>
                <c:manualLayout>
                  <c:x val="-4.1928374655647381E-2"/>
                  <c:y val="6.5111940298507573E-2"/>
                </c:manualLayout>
              </c:layout>
              <c:dLblPos val="r"/>
              <c:showLegendKey val="0"/>
              <c:showVal val="1"/>
              <c:showCatName val="0"/>
              <c:showSerName val="0"/>
              <c:showPercent val="0"/>
              <c:showBubbleSize val="0"/>
            </c:dLbl>
            <c:dLbl>
              <c:idx val="4"/>
              <c:layout>
                <c:manualLayout>
                  <c:x val="-4.1928374655647381E-2"/>
                  <c:y val="5.8893034825870758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78</c:v>
                </c:pt>
                <c:pt idx="1">
                  <c:v>112</c:v>
                </c:pt>
                <c:pt idx="2">
                  <c:v>76</c:v>
                </c:pt>
                <c:pt idx="3">
                  <c:v>62</c:v>
                </c:pt>
                <c:pt idx="4">
                  <c:v>73</c:v>
                </c:pt>
              </c:numCache>
            </c:numRef>
          </c:val>
          <c:smooth val="0"/>
        </c:ser>
        <c:dLbls>
          <c:showLegendKey val="0"/>
          <c:showVal val="1"/>
          <c:showCatName val="0"/>
          <c:showSerName val="0"/>
          <c:showPercent val="0"/>
          <c:showBubbleSize val="0"/>
        </c:dLbls>
        <c:marker val="1"/>
        <c:smooth val="0"/>
        <c:axId val="103463936"/>
        <c:axId val="103532416"/>
      </c:lineChart>
      <c:catAx>
        <c:axId val="103463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532416"/>
        <c:crosses val="autoZero"/>
        <c:auto val="1"/>
        <c:lblAlgn val="ctr"/>
        <c:lblOffset val="100"/>
        <c:noMultiLvlLbl val="0"/>
      </c:catAx>
      <c:valAx>
        <c:axId val="103532416"/>
        <c:scaling>
          <c:orientation val="minMax"/>
          <c:min val="4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3463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53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France</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2859100877192984"/>
          <c:y val="2.5367833587011668E-2"/>
        </c:manualLayout>
      </c:layout>
      <c:overlay val="0"/>
    </c:title>
    <c:autoTitleDeleted val="0"/>
    <c:plotArea>
      <c:layout/>
      <c:pieChart>
        <c:varyColors val="1"/>
        <c:ser>
          <c:idx val="0"/>
          <c:order val="0"/>
          <c:tx>
            <c:strRef>
              <c:f>Blad1!$A$3:$A$8</c:f>
              <c:strCache>
                <c:ptCount val="1"/>
                <c:pt idx="0">
                  <c:v>Internal market, industry, entrepreneurship and SMEs Environment Taxation and customs Justice and consumers Mobility and transport Other</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FF9900"/>
              </a:solidFill>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layout>
                <c:manualLayout>
                  <c:x val="5.4962574122679108E-3"/>
                  <c:y val="0.10661017626603782"/>
                </c:manualLayout>
              </c:layout>
              <c:spPr/>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1.6445425818483215E-2"/>
                  <c:y val="3.5533496575123232E-2"/>
                </c:manualLayout>
              </c:layout>
              <c:dLblPos val="bestFit"/>
              <c:showLegendKey val="1"/>
              <c:showVal val="1"/>
              <c:showCatName val="1"/>
              <c:showSerName val="0"/>
              <c:showPercent val="0"/>
              <c:showBubbleSize val="0"/>
              <c:separator>
</c:separator>
            </c:dLbl>
            <c:dLbl>
              <c:idx val="2"/>
              <c:layout>
                <c:manualLayout>
                  <c:x val="-3.0113793341621772E-2"/>
                  <c:y val="8.1367630113309011E-2"/>
                </c:manualLayout>
              </c:layout>
              <c:dLblPos val="bestFit"/>
              <c:showLegendKey val="1"/>
              <c:showVal val="1"/>
              <c:showCatName val="1"/>
              <c:showSerName val="0"/>
              <c:showPercent val="0"/>
              <c:showBubbleSize val="0"/>
              <c:separator>
</c:separator>
            </c:dLbl>
            <c:dLbl>
              <c:idx val="3"/>
              <c:layout>
                <c:manualLayout>
                  <c:x val="-1.915967329741677E-2"/>
                  <c:y val="1.8695185967607754E-2"/>
                </c:manualLayout>
              </c:layout>
              <c:dLblPos val="bestFit"/>
              <c:showLegendKey val="1"/>
              <c:showVal val="1"/>
              <c:showCatName val="1"/>
              <c:showSerName val="0"/>
              <c:showPercent val="0"/>
              <c:showBubbleSize val="0"/>
              <c:separator>
</c:separator>
            </c:dLbl>
            <c:dLbl>
              <c:idx val="5"/>
              <c:layout>
                <c:manualLayout>
                  <c:x val="-7.9495614035087717E-2"/>
                  <c:y val="-0.17276422764227642"/>
                </c:manualLayout>
              </c:layout>
              <c:dLblPos val="bestFit"/>
              <c:showLegendKey val="1"/>
              <c:showVal val="1"/>
              <c:showCatName val="1"/>
              <c:showSerName val="0"/>
              <c:showPercent val="0"/>
              <c:showBubbleSize val="0"/>
              <c:separator>
</c:separator>
            </c:dLbl>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Blad1!$A$3:$A$8</c:f>
              <c:strCache>
                <c:ptCount val="6"/>
                <c:pt idx="0">
                  <c:v>Internal market, industry, entrepreneurship and SMEs</c:v>
                </c:pt>
                <c:pt idx="1">
                  <c:v>Environment</c:v>
                </c:pt>
                <c:pt idx="2">
                  <c:v>Taxation and customs</c:v>
                </c:pt>
                <c:pt idx="3">
                  <c:v>Justice and consumers</c:v>
                </c:pt>
                <c:pt idx="4">
                  <c:v>Mobility and transport</c:v>
                </c:pt>
                <c:pt idx="5">
                  <c:v>Other</c:v>
                </c:pt>
              </c:strCache>
              <c:extLst>
                <c:ext xmlns:c15="http://schemas.microsoft.com/office/drawing/2012/chart" uri="{02D57815-91ED-43cb-92C2-25804820EDAC}">
                  <c15:fullRef>
                    <c15:sqref>Blad1!$A$2:$A$6</c15:sqref>
                  </c15:fullRef>
                </c:ext>
              </c:extLst>
            </c:strRef>
          </c:cat>
          <c:val>
            <c:numRef>
              <c:f>Blad1!$B$3:$B$8</c:f>
              <c:numCache>
                <c:formatCode>General</c:formatCode>
                <c:ptCount val="6"/>
                <c:pt idx="0">
                  <c:v>8</c:v>
                </c:pt>
                <c:pt idx="1">
                  <c:v>7</c:v>
                </c:pt>
                <c:pt idx="2">
                  <c:v>7</c:v>
                </c:pt>
                <c:pt idx="3">
                  <c:v>6</c:v>
                </c:pt>
                <c:pt idx="4">
                  <c:v>6</c:v>
                </c:pt>
                <c:pt idx="5">
                  <c:v>19</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6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83</c:v>
                </c:pt>
                <c:pt idx="1">
                  <c:v>93</c:v>
                </c:pt>
                <c:pt idx="2">
                  <c:v>95</c:v>
                </c:pt>
                <c:pt idx="3">
                  <c:v>85</c:v>
                </c:pt>
                <c:pt idx="4">
                  <c:v>108</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102957440"/>
        <c:axId val="102958976"/>
      </c:lineChart>
      <c:catAx>
        <c:axId val="1029574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958976"/>
        <c:crosses val="autoZero"/>
        <c:auto val="1"/>
        <c:lblAlgn val="ctr"/>
        <c:lblOffset val="100"/>
        <c:noMultiLvlLbl val="0"/>
      </c:catAx>
      <c:valAx>
        <c:axId val="102958976"/>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2957440"/>
        <c:crosses val="autoZero"/>
        <c:crossBetween val="between"/>
      </c:valAx>
      <c:spPr>
        <a:noFill/>
        <a:ln>
          <a:noFill/>
        </a:ln>
        <a:effectLst/>
      </c:spPr>
    </c:plotArea>
    <c:legend>
      <c:legendPos val="b"/>
      <c:legendEntry>
        <c:idx val="0"/>
        <c:delete val="1"/>
      </c:legendEntry>
      <c:layout>
        <c:manualLayout>
          <c:xMode val="edge"/>
          <c:yMode val="edge"/>
          <c:x val="5.5865154028662524E-2"/>
          <c:y val="0.73532331959315456"/>
          <c:w val="0.88826947953329416"/>
          <c:h val="0.26467668040684544"/>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France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7.0122919958388291E-2"/>
                  <c:y val="-6.7261181278514687E-2"/>
                </c:manualLayout>
              </c:layout>
              <c:dLblPos val="r"/>
              <c:showLegendKey val="0"/>
              <c:showVal val="1"/>
              <c:showCatName val="0"/>
              <c:showSerName val="0"/>
              <c:showPercent val="0"/>
              <c:showBubbleSize val="0"/>
            </c:dLbl>
            <c:dLbl>
              <c:idx val="2"/>
              <c:layout>
                <c:manualLayout>
                  <c:x val="-5.1217229687085135E-2"/>
                  <c:y val="-6.2853405908154095E-2"/>
                </c:manualLayout>
              </c:layout>
              <c:dLblPos val="r"/>
              <c:showLegendKey val="0"/>
              <c:showVal val="1"/>
              <c:showCatName val="0"/>
              <c:showSerName val="0"/>
              <c:showPercent val="0"/>
              <c:showBubbleSize val="0"/>
            </c:dLbl>
            <c:dLbl>
              <c:idx val="3"/>
              <c:layout>
                <c:manualLayout>
                  <c:x val="-5.0953891957535156E-2"/>
                  <c:y val="5.195176945163734E-2"/>
                </c:manualLayout>
              </c:layout>
              <c:dLblPos val="r"/>
              <c:showLegendKey val="0"/>
              <c:showVal val="1"/>
              <c:showCatName val="0"/>
              <c:showSerName val="0"/>
              <c:showPercent val="0"/>
              <c:showBubbleSize val="0"/>
            </c:dLbl>
            <c:dLbl>
              <c:idx val="4"/>
              <c:layout>
                <c:manualLayout>
                  <c:x val="-5.2688003551794829E-2"/>
                  <c:y val="-5.8892617449664418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0.62</c:v>
                </c:pt>
                <c:pt idx="1">
                  <c:v>0.73</c:v>
                </c:pt>
                <c:pt idx="2">
                  <c:v>0.75</c:v>
                </c:pt>
                <c:pt idx="3">
                  <c:v>0.68</c:v>
                </c:pt>
                <c:pt idx="4">
                  <c:v>0.74</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1"/>
              <c:layout>
                <c:manualLayout>
                  <c:x val="-3.8868213612601905E-2"/>
                  <c:y val="6.4485458612975388E-2"/>
                </c:manualLayout>
              </c:layout>
              <c:dLblPos val="r"/>
              <c:showLegendKey val="0"/>
              <c:showVal val="1"/>
              <c:showCatName val="0"/>
              <c:showSerName val="0"/>
              <c:showPercent val="0"/>
              <c:showBubbleSize val="0"/>
            </c:dLbl>
            <c:dLbl>
              <c:idx val="2"/>
              <c:layout>
                <c:manualLayout>
                  <c:x val="-4.355858792294158E-2"/>
                  <c:y val="7.8728169245106491E-2"/>
                </c:manualLayout>
              </c:layout>
              <c:dLblPos val="r"/>
              <c:showLegendKey val="0"/>
              <c:showVal val="1"/>
              <c:showCatName val="0"/>
              <c:showSerName val="0"/>
              <c:showPercent val="0"/>
              <c:showBubbleSize val="0"/>
            </c:dLbl>
            <c:dLbl>
              <c:idx val="3"/>
              <c:layout>
                <c:manualLayout>
                  <c:x val="-4.0794714093574123E-2"/>
                  <c:y val="-7.7871285384628924E-2"/>
                </c:manualLayout>
              </c:layout>
              <c:dLblPos val="r"/>
              <c:showLegendKey val="0"/>
              <c:showVal val="1"/>
              <c:showCatName val="0"/>
              <c:showSerName val="0"/>
              <c:showPercent val="0"/>
              <c:showBubbleSize val="0"/>
            </c:dLbl>
            <c:dLbl>
              <c:idx val="4"/>
              <c:layout>
                <c:manualLayout>
                  <c:x val="-4.4396129588279078E-2"/>
                  <c:y val="7.0078299776286351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103002112"/>
        <c:axId val="103003648"/>
      </c:lineChart>
      <c:catAx>
        <c:axId val="103002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003648"/>
        <c:crosses val="autoZero"/>
        <c:auto val="1"/>
        <c:lblAlgn val="ctr"/>
        <c:lblOffset val="100"/>
        <c:noMultiLvlLbl val="0"/>
      </c:catAx>
      <c:valAx>
        <c:axId val="103003648"/>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3002112"/>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4"/>
              <c:layout>
                <c:manualLayout>
                  <c:x val="-3.9434276206322796E-2"/>
                  <c:y val="-4.3127147766323023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63</c:v>
                </c:pt>
                <c:pt idx="1">
                  <c:v>77</c:v>
                </c:pt>
                <c:pt idx="2">
                  <c:v>78</c:v>
                </c:pt>
                <c:pt idx="3">
                  <c:v>80</c:v>
                </c:pt>
                <c:pt idx="4">
                  <c:v>83</c:v>
                </c:pt>
              </c:numCache>
            </c:numRef>
          </c:val>
          <c:smooth val="0"/>
        </c:ser>
        <c:dLbls>
          <c:showLegendKey val="0"/>
          <c:showVal val="1"/>
          <c:showCatName val="0"/>
          <c:showSerName val="0"/>
          <c:showPercent val="0"/>
          <c:showBubbleSize val="0"/>
        </c:dLbls>
        <c:marker val="1"/>
        <c:smooth val="0"/>
        <c:axId val="103084416"/>
        <c:axId val="103087104"/>
      </c:lineChart>
      <c:catAx>
        <c:axId val="1030844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087104"/>
        <c:crosses val="autoZero"/>
        <c:auto val="1"/>
        <c:lblAlgn val="ctr"/>
        <c:lblOffset val="100"/>
        <c:noMultiLvlLbl val="0"/>
      </c:catAx>
      <c:valAx>
        <c:axId val="103087104"/>
        <c:scaling>
          <c:orientation val="minMax"/>
          <c:min val="5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308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39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France</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3.606019713426005E-2"/>
                  <c:y val="0.15500796007056494"/>
                </c:manualLayout>
              </c:layout>
              <c:dLblPos val="bestFit"/>
              <c:showLegendKey val="1"/>
              <c:showVal val="1"/>
              <c:showCatName val="1"/>
              <c:showSerName val="0"/>
              <c:showPercent val="0"/>
              <c:showBubbleSize val="0"/>
              <c:separator>
</c:separator>
            </c:dLbl>
            <c:dLbl>
              <c:idx val="2"/>
              <c:layout>
                <c:manualLayout>
                  <c:x val="-3.6051026067665005E-2"/>
                  <c:y val="0.12568306010928962"/>
                </c:manualLayout>
              </c:layout>
              <c:dLblPos val="bestFit"/>
              <c:showLegendKey val="1"/>
              <c:showVal val="1"/>
              <c:showCatName val="1"/>
              <c:showSerName val="0"/>
              <c:showPercent val="0"/>
              <c:showBubbleSize val="0"/>
              <c:separator>
</c:separator>
            </c:dLbl>
            <c:dLbl>
              <c:idx val="3"/>
              <c:layout>
                <c:manualLayout>
                  <c:x val="-4.5914289831907448E-3"/>
                  <c:y val="6.9657071554580265E-3"/>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2.773134015486001E-2"/>
                  <c:y val="-8.6054816918377003E-7"/>
                </c:manualLayout>
              </c:layout>
              <c:dLblPos val="bestFit"/>
              <c:showLegendKey val="1"/>
              <c:showVal val="1"/>
              <c:showCatName val="1"/>
              <c:showSerName val="0"/>
              <c:showPercent val="0"/>
              <c:showBubbleSize val="0"/>
              <c:separator>
</c:separator>
            </c:dLbl>
            <c:dLbl>
              <c:idx val="5"/>
              <c:layout>
                <c:manualLayout>
                  <c:x val="-6.1009647088623074E-2"/>
                  <c:y val="-0.25136612021857924"/>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Blad1!$A$2:$A$7</c:f>
              <c:strCache>
                <c:ptCount val="6"/>
                <c:pt idx="0">
                  <c:v>Policy Area</c:v>
                </c:pt>
                <c:pt idx="1">
                  <c:v>Internal market, industry, entrepreneurship and SMEs</c:v>
                </c:pt>
                <c:pt idx="2">
                  <c:v>Financial stability, financial services and capital markets union</c:v>
                </c:pt>
                <c:pt idx="3">
                  <c:v>Environment</c:v>
                </c:pt>
                <c:pt idx="4">
                  <c:v>Mobility and transport</c:v>
                </c:pt>
                <c:pt idx="5">
                  <c:v>Other</c:v>
                </c:pt>
              </c:strCache>
            </c:strRef>
          </c:cat>
          <c:val>
            <c:numRef>
              <c:f>Blad1!$B$2:$B$7</c:f>
              <c:numCache>
                <c:formatCode>General</c:formatCode>
                <c:ptCount val="6"/>
                <c:pt idx="0">
                  <c:v>0</c:v>
                </c:pt>
                <c:pt idx="1">
                  <c:v>11</c:v>
                </c:pt>
                <c:pt idx="2">
                  <c:v>6</c:v>
                </c:pt>
                <c:pt idx="3">
                  <c:v>5</c:v>
                </c:pt>
                <c:pt idx="4">
                  <c:v>5</c:v>
                </c:pt>
                <c:pt idx="5">
                  <c:v>12</c:v>
                </c:pt>
              </c:numCache>
            </c:numRef>
          </c:val>
          <c:extLst/>
        </c:ser>
        <c:dLbls>
          <c:showLegendKey val="0"/>
          <c:showVal val="0"/>
          <c:showCatName val="1"/>
          <c:showSerName val="0"/>
          <c:showPercent val="0"/>
          <c:showBubbleSize val="0"/>
          <c:showLeaderLines val="0"/>
        </c:dLbls>
        <c:firstSliceAng val="28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4950454404513909E-2"/>
                  <c:y val="7.5943769740646927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10</c:v>
                </c:pt>
                <c:pt idx="1">
                  <c:v>13</c:v>
                </c:pt>
                <c:pt idx="2">
                  <c:v>17</c:v>
                </c:pt>
                <c:pt idx="3">
                  <c:v>24</c:v>
                </c:pt>
                <c:pt idx="4">
                  <c:v>35</c:v>
                </c:pt>
              </c:numCache>
            </c:numRef>
          </c:val>
          <c:smooth val="0"/>
        </c:ser>
        <c:dLbls>
          <c:showLegendKey val="0"/>
          <c:showVal val="1"/>
          <c:showCatName val="0"/>
          <c:showSerName val="0"/>
          <c:showPercent val="0"/>
          <c:showBubbleSize val="0"/>
        </c:dLbls>
        <c:marker val="1"/>
        <c:smooth val="0"/>
        <c:axId val="103201024"/>
        <c:axId val="103212160"/>
      </c:lineChart>
      <c:catAx>
        <c:axId val="1032010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212160"/>
        <c:crosses val="autoZero"/>
        <c:auto val="1"/>
        <c:lblAlgn val="ctr"/>
        <c:lblOffset val="100"/>
        <c:noMultiLvlLbl val="0"/>
      </c:catAx>
      <c:valAx>
        <c:axId val="103212160"/>
        <c:scaling>
          <c:orientation val="minMax"/>
          <c:min val="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3201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4950454404513909E-2"/>
                  <c:y val="7.0294052226522533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14</c:v>
                </c:pt>
                <c:pt idx="1">
                  <c:v>15</c:v>
                </c:pt>
                <c:pt idx="2">
                  <c:v>19</c:v>
                </c:pt>
                <c:pt idx="3">
                  <c:v>22</c:v>
                </c:pt>
                <c:pt idx="4">
                  <c:v>33</c:v>
                </c:pt>
              </c:numCache>
            </c:numRef>
          </c:val>
          <c:smooth val="0"/>
        </c:ser>
        <c:dLbls>
          <c:showLegendKey val="0"/>
          <c:showVal val="1"/>
          <c:showCatName val="0"/>
          <c:showSerName val="0"/>
          <c:showPercent val="0"/>
          <c:showBubbleSize val="0"/>
        </c:dLbls>
        <c:marker val="1"/>
        <c:smooth val="0"/>
        <c:axId val="103689600"/>
        <c:axId val="103717120"/>
      </c:lineChart>
      <c:catAx>
        <c:axId val="1036896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717120"/>
        <c:crosses val="autoZero"/>
        <c:auto val="1"/>
        <c:lblAlgn val="ctr"/>
        <c:lblOffset val="100"/>
        <c:noMultiLvlLbl val="0"/>
      </c:catAx>
      <c:valAx>
        <c:axId val="103717120"/>
        <c:scaling>
          <c:orientation val="minMax"/>
          <c:min val="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3689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43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Belgium</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121528413599462"/>
          <c:y val="2.9411764705882353E-2"/>
        </c:manualLayout>
      </c:layout>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A676"/>
              </a:solidFill>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6.6442130780164102E-2"/>
                  <c:y val="0.10784313725490197"/>
                </c:manualLayout>
              </c:layout>
              <c:dLblPos val="bestFit"/>
              <c:showLegendKey val="1"/>
              <c:showVal val="1"/>
              <c:showCatName val="1"/>
              <c:showSerName val="0"/>
              <c:showPercent val="0"/>
              <c:showBubbleSize val="0"/>
              <c:separator>
</c:separator>
            </c:dLbl>
            <c:dLbl>
              <c:idx val="1"/>
              <c:layout>
                <c:manualLayout>
                  <c:x val="-4.1528239202657809E-2"/>
                  <c:y val="5.3921568627450983E-2"/>
                </c:manualLayout>
              </c:layout>
              <c:dLblPos val="bestFit"/>
              <c:showLegendKey val="1"/>
              <c:showVal val="1"/>
              <c:showCatName val="1"/>
              <c:showSerName val="0"/>
              <c:showPercent val="0"/>
              <c:showBubbleSize val="0"/>
              <c:separator>
</c:separator>
            </c:dLbl>
            <c:dLbl>
              <c:idx val="2"/>
              <c:layout>
                <c:manualLayout>
                  <c:x val="7.8731437640062428E-3"/>
                  <c:y val="-2.9411764705882353E-2"/>
                </c:manualLayout>
              </c:layout>
              <c:dLblPos val="bestFit"/>
              <c:showLegendKey val="1"/>
              <c:showVal val="1"/>
              <c:showCatName val="1"/>
              <c:showSerName val="0"/>
              <c:showPercent val="0"/>
              <c:showBubbleSize val="0"/>
              <c:separator>
</c:separator>
            </c:dLbl>
            <c:dLbl>
              <c:idx val="3"/>
              <c:layout>
                <c:manualLayout>
                  <c:x val="1.6611295681063124E-2"/>
                  <c:y val="0"/>
                </c:manualLayout>
              </c:layout>
              <c:dLblPos val="bestFit"/>
              <c:showLegendKey val="1"/>
              <c:showVal val="1"/>
              <c:showCatName val="1"/>
              <c:showSerName val="0"/>
              <c:showPercent val="0"/>
              <c:showBubbleSize val="0"/>
              <c:separator>
</c:separator>
            </c:dLbl>
            <c:dLbl>
              <c:idx val="4"/>
              <c:layout>
                <c:manualLayout>
                  <c:x val="-4.152823920265783E-2"/>
                  <c:y val="-0.20588235294117646"/>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Blad1!$A$4:$A$8</c:f>
              <c:strCache>
                <c:ptCount val="5"/>
                <c:pt idx="0">
                  <c:v>Health and food safety</c:v>
                </c:pt>
                <c:pt idx="1">
                  <c:v>Internal market, industry, entrepreneurship and SMEs</c:v>
                </c:pt>
                <c:pt idx="2">
                  <c:v>Financial stability, financial services and capital markets union</c:v>
                </c:pt>
                <c:pt idx="3">
                  <c:v>Environment</c:v>
                </c:pt>
                <c:pt idx="4">
                  <c:v>Other</c:v>
                </c:pt>
              </c:strCache>
            </c:strRef>
          </c:cat>
          <c:val>
            <c:numRef>
              <c:f>Blad1!$B$4:$B$8</c:f>
              <c:numCache>
                <c:formatCode>General</c:formatCode>
                <c:ptCount val="5"/>
                <c:pt idx="0">
                  <c:v>9</c:v>
                </c:pt>
                <c:pt idx="1">
                  <c:v>7</c:v>
                </c:pt>
                <c:pt idx="2">
                  <c:v>7</c:v>
                </c:pt>
                <c:pt idx="3">
                  <c:v>5</c:v>
                </c:pt>
                <c:pt idx="4">
                  <c:v>15</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30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33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France</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780443142281634"/>
          <c:y val="1.9607843137254902E-2"/>
        </c:manualLayout>
      </c:layout>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scene3d>
                <a:camera prst="orthographicFront"/>
                <a:lightRig rig="threePt" dir="t"/>
              </a:scene3d>
              <a:sp3d>
                <a:bevelT w="63500" h="25400"/>
              </a:sp3d>
            </c:spPr>
          </c:dPt>
          <c:dPt>
            <c:idx val="4"/>
            <c:bubble3D val="0"/>
            <c:spPr>
              <a:solidFill>
                <a:srgbClr val="996633"/>
              </a:solidFill>
              <a:scene3d>
                <a:camera prst="orthographicFront"/>
                <a:lightRig rig="threePt" dir="t"/>
              </a:scene3d>
              <a:sp3d>
                <a:bevelT w="63500" h="25400"/>
              </a:sp3d>
            </c:spPr>
          </c:dPt>
          <c:dPt>
            <c:idx val="5"/>
            <c:bubble3D val="0"/>
            <c:spPr>
              <a:solidFill>
                <a:srgbClr val="E75113"/>
              </a:solidFill>
              <a:scene3d>
                <a:camera prst="orthographicFront"/>
                <a:lightRig rig="threePt" dir="t"/>
              </a:scene3d>
              <a:sp3d>
                <a:bevelT w="63500" h="25400"/>
              </a:sp3d>
            </c:spPr>
          </c:dPt>
          <c:dPt>
            <c:idx val="6"/>
            <c:bubble3D val="0"/>
            <c:spPr>
              <a:solidFill>
                <a:srgbClr val="37ACDE"/>
              </a:solidFill>
              <a:scene3d>
                <a:camera prst="orthographicFront"/>
                <a:lightRig rig="threePt" dir="t"/>
              </a:scene3d>
              <a:sp3d>
                <a:bevelT w="63500" h="25400"/>
              </a:sp3d>
            </c:spPr>
          </c:dPt>
          <c:dPt>
            <c:idx val="7"/>
            <c:bubble3D val="0"/>
            <c:spPr>
              <a:solidFill>
                <a:srgbClr val="808AA4"/>
              </a:solidFill>
              <a:scene3d>
                <a:camera prst="orthographicFront"/>
                <a:lightRig rig="threePt" dir="t"/>
              </a:scene3d>
              <a:sp3d>
                <a:bevelT w="63500" h="25400"/>
              </a:sp3d>
            </c:spPr>
          </c:dPt>
          <c:dLbls>
            <c:dLbl>
              <c:idx val="0"/>
              <c:layout>
                <c:manualLayout>
                  <c:x val="3.5996372546454949E-2"/>
                  <c:y val="0.16666628068550257"/>
                </c:manualLayout>
              </c:layout>
              <c:dLblPos val="bestFit"/>
              <c:showLegendKey val="1"/>
              <c:showVal val="1"/>
              <c:showCatName val="1"/>
              <c:showSerName val="0"/>
              <c:showPercent val="0"/>
              <c:showBubbleSize val="0"/>
              <c:separator>
</c:separator>
            </c:dLbl>
            <c:dLbl>
              <c:idx val="1"/>
              <c:layout>
                <c:manualLayout>
                  <c:x val="0"/>
                  <c:y val="-1.4705882352941176E-2"/>
                </c:manualLayout>
              </c:layout>
              <c:dLblPos val="bestFit"/>
              <c:showLegendKey val="1"/>
              <c:showVal val="1"/>
              <c:showCatName val="1"/>
              <c:showSerName val="0"/>
              <c:showPercent val="0"/>
              <c:showBubbleSize val="0"/>
              <c:separator>
</c:separator>
            </c:dLbl>
            <c:dLbl>
              <c:idx val="2"/>
              <c:layout>
                <c:manualLayout>
                  <c:x val="1.1235514165380491E-2"/>
                  <c:y val="-3.4314111471360195E-2"/>
                </c:manualLayout>
              </c:layout>
              <c:dLblPos val="bestFit"/>
              <c:showLegendKey val="1"/>
              <c:showVal val="1"/>
              <c:showCatName val="1"/>
              <c:showSerName val="0"/>
              <c:showPercent val="0"/>
              <c:showBubbleSize val="0"/>
              <c:separator>
</c:separator>
            </c:dLbl>
            <c:dLbl>
              <c:idx val="3"/>
              <c:layout>
                <c:manualLayout>
                  <c:x val="-1.3842746400885935E-2"/>
                  <c:y val="-0.31372549019607843"/>
                </c:manualLayout>
              </c:layout>
              <c:dLblPos val="bestFit"/>
              <c:showLegendKey val="1"/>
              <c:showVal val="1"/>
              <c:showCatName val="1"/>
              <c:showSerName val="0"/>
              <c:showPercent val="0"/>
              <c:showBubbleSize val="0"/>
              <c:separator>
</c:separator>
            </c:dLbl>
            <c:dLbl>
              <c:idx val="4"/>
              <c:layout>
                <c:manualLayout>
                  <c:x val="2.7685492801771618E-3"/>
                  <c:y val="2.4509803921568606E-2"/>
                </c:manualLayout>
              </c:layout>
              <c:dLblPos val="bestFit"/>
              <c:showLegendKey val="1"/>
              <c:showVal val="1"/>
              <c:showCatName val="1"/>
              <c:showSerName val="0"/>
              <c:showPercent val="0"/>
              <c:showBubbleSize val="0"/>
              <c:separator>
</c:separator>
            </c:dLbl>
            <c:dLbl>
              <c:idx val="5"/>
              <c:layout>
                <c:manualLayout>
                  <c:x val="1.6611295681063173E-2"/>
                  <c:y val="1.4705882352941176E-2"/>
                </c:manualLayout>
              </c:layout>
              <c:dLblPos val="bestFit"/>
              <c:showLegendKey val="1"/>
              <c:showVal val="1"/>
              <c:showCatName val="1"/>
              <c:showSerName val="0"/>
              <c:showPercent val="0"/>
              <c:showBubbleSize val="0"/>
              <c:separator>
</c:separator>
            </c:dLbl>
            <c:dLbl>
              <c:idx val="6"/>
              <c:layout>
                <c:manualLayout>
                  <c:x val="3.875968992248062E-2"/>
                  <c:y val="0.10294117647058823"/>
                </c:manualLayout>
              </c:layout>
              <c:dLblPos val="bestFit"/>
              <c:showLegendKey val="1"/>
              <c:showVal val="1"/>
              <c:showCatName val="1"/>
              <c:showSerName val="0"/>
              <c:showPercent val="0"/>
              <c:showBubbleSize val="0"/>
              <c:separator>
</c:separator>
            </c:dLbl>
            <c:dLbl>
              <c:idx val="7"/>
              <c:layout>
                <c:manualLayout>
                  <c:x val="8.3056478405315621E-3"/>
                  <c:y val="7.8431372549019607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Blad1!$A$4:$A$7</c:f>
              <c:strCache>
                <c:ptCount val="4"/>
                <c:pt idx="0">
                  <c:v>Internal market, industry, entrepreneurship and SMEs</c:v>
                </c:pt>
                <c:pt idx="1">
                  <c:v>Financial stability, financial services and capital markets union</c:v>
                </c:pt>
                <c:pt idx="2">
                  <c:v>Environment</c:v>
                </c:pt>
                <c:pt idx="3">
                  <c:v>Other</c:v>
                </c:pt>
              </c:strCache>
            </c:strRef>
          </c:cat>
          <c:val>
            <c:numRef>
              <c:f>Blad1!$B$4:$B$7</c:f>
              <c:numCache>
                <c:formatCode>General</c:formatCode>
                <c:ptCount val="4"/>
                <c:pt idx="0">
                  <c:v>9</c:v>
                </c:pt>
                <c:pt idx="1">
                  <c:v>6</c:v>
                </c:pt>
                <c:pt idx="2">
                  <c:v>4</c:v>
                </c:pt>
                <c:pt idx="3">
                  <c:v>14</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32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Blad1!$A$3:$A$6</c:f>
              <c:numCache>
                <c:formatCode>General</c:formatCode>
                <c:ptCount val="4"/>
                <c:pt idx="0">
                  <c:v>2013</c:v>
                </c:pt>
                <c:pt idx="1">
                  <c:v>2014</c:v>
                </c:pt>
                <c:pt idx="2">
                  <c:v>2015</c:v>
                </c:pt>
                <c:pt idx="3">
                  <c:v>2016</c:v>
                </c:pt>
              </c:numCache>
            </c:numRef>
          </c:cat>
          <c:val>
            <c:numRef>
              <c:f>Blad1!$B$3:$B$6</c:f>
              <c:numCache>
                <c:formatCode>General</c:formatCode>
                <c:ptCount val="4"/>
                <c:pt idx="0">
                  <c:v>37</c:v>
                </c:pt>
                <c:pt idx="1">
                  <c:v>105</c:v>
                </c:pt>
                <c:pt idx="2">
                  <c:v>89</c:v>
                </c:pt>
                <c:pt idx="3">
                  <c:v>50</c:v>
                </c:pt>
              </c:numCache>
            </c:numRef>
          </c:val>
          <c:smooth val="0"/>
        </c:ser>
        <c:dLbls>
          <c:showLegendKey val="0"/>
          <c:showVal val="0"/>
          <c:showCatName val="0"/>
          <c:showSerName val="0"/>
          <c:showPercent val="0"/>
          <c:showBubbleSize val="0"/>
        </c:dLbls>
        <c:marker val="1"/>
        <c:smooth val="0"/>
        <c:axId val="103975936"/>
        <c:axId val="103981824"/>
      </c:lineChart>
      <c:catAx>
        <c:axId val="103975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981824"/>
        <c:crosses val="autoZero"/>
        <c:auto val="1"/>
        <c:lblAlgn val="ctr"/>
        <c:lblOffset val="100"/>
        <c:noMultiLvlLbl val="0"/>
      </c:catAx>
      <c:valAx>
        <c:axId val="1039818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3975936"/>
        <c:crosses val="autoZero"/>
        <c:crossBetween val="between"/>
      </c:valAx>
      <c:spPr>
        <a:noFill/>
        <a:ln>
          <a:noFill/>
        </a:ln>
        <a:effectLst/>
        <a:scene3d>
          <a:camera prst="orthographicFront"/>
          <a:lightRig rig="threePt" dir="t"/>
        </a:scene3d>
        <a:sp3d>
          <a:bevelT w="6350"/>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50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Croatia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2.2201224846894137E-2"/>
                  <c:y val="5.4286681906697144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0"/>
                  <c:y val="-0.10106087545508424"/>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7.4475940507436569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1.1111111111111112E-2"/>
                  <c:y val="-0.2096774193548386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Justice and consumers</c:v>
                </c:pt>
                <c:pt idx="1">
                  <c:v>Internal market, industry, entrepreneurship and SMEs</c:v>
                </c:pt>
                <c:pt idx="2">
                  <c:v>Employment</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12</c:v>
                </c:pt>
                <c:pt idx="1">
                  <c:v>9</c:v>
                </c:pt>
                <c:pt idx="2">
                  <c:v>8</c:v>
                </c:pt>
                <c:pt idx="3">
                  <c:v>21</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34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Blad1!$A$3:$A$6</c:f>
              <c:numCache>
                <c:formatCode>General</c:formatCode>
                <c:ptCount val="4"/>
                <c:pt idx="0">
                  <c:v>2013</c:v>
                </c:pt>
                <c:pt idx="1">
                  <c:v>2014</c:v>
                </c:pt>
                <c:pt idx="2">
                  <c:v>2015</c:v>
                </c:pt>
                <c:pt idx="3">
                  <c:v>2016</c:v>
                </c:pt>
              </c:numCache>
            </c:numRef>
          </c:cat>
          <c:val>
            <c:numRef>
              <c:f>Blad1!$B$3:$B$6</c:f>
              <c:numCache>
                <c:formatCode>General</c:formatCode>
                <c:ptCount val="4"/>
                <c:pt idx="0">
                  <c:v>18</c:v>
                </c:pt>
                <c:pt idx="1">
                  <c:v>43</c:v>
                </c:pt>
                <c:pt idx="2">
                  <c:v>35</c:v>
                </c:pt>
                <c:pt idx="3">
                  <c:v>30</c:v>
                </c:pt>
              </c:numCache>
            </c:numRef>
          </c:val>
          <c:smooth val="0"/>
        </c:ser>
        <c:dLbls>
          <c:showLegendKey val="0"/>
          <c:showVal val="0"/>
          <c:showCatName val="0"/>
          <c:showSerName val="0"/>
          <c:showPercent val="0"/>
          <c:showBubbleSize val="0"/>
        </c:dLbls>
        <c:marker val="1"/>
        <c:smooth val="0"/>
        <c:axId val="104258560"/>
        <c:axId val="104264448"/>
      </c:lineChart>
      <c:catAx>
        <c:axId val="104258560"/>
        <c:scaling>
          <c:orientation val="minMax"/>
        </c:scaling>
        <c:delete val="0"/>
        <c:axPos val="b"/>
        <c:numFmt formatCode="General" sourceLinked="1"/>
        <c:majorTickMark val="none"/>
        <c:minorTickMark val="none"/>
        <c:tickLblPos val="nextTo"/>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264448"/>
        <c:crosses val="autoZero"/>
        <c:auto val="1"/>
        <c:lblAlgn val="ctr"/>
        <c:lblOffset val="100"/>
        <c:noMultiLvlLbl val="0"/>
      </c:catAx>
      <c:valAx>
        <c:axId val="104264448"/>
        <c:scaling>
          <c:orientation val="minMax"/>
        </c:scaling>
        <c:delete val="1"/>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crossAx val="104258560"/>
        <c:crosses val="autoZero"/>
        <c:crossBetween val="between"/>
      </c:valAx>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Blad1!$A$3:$A$6</c:f>
              <c:numCache>
                <c:formatCode>General</c:formatCode>
                <c:ptCount val="4"/>
                <c:pt idx="0">
                  <c:v>2013</c:v>
                </c:pt>
                <c:pt idx="1">
                  <c:v>2014</c:v>
                </c:pt>
                <c:pt idx="2">
                  <c:v>2015</c:v>
                </c:pt>
                <c:pt idx="3">
                  <c:v>2016</c:v>
                </c:pt>
              </c:numCache>
            </c:numRef>
          </c:cat>
          <c:val>
            <c:numRef>
              <c:f>Blad1!$B$3:$B$6</c:f>
              <c:numCache>
                <c:formatCode>General</c:formatCode>
                <c:ptCount val="4"/>
                <c:pt idx="0">
                  <c:v>14</c:v>
                </c:pt>
                <c:pt idx="1">
                  <c:v>37</c:v>
                </c:pt>
                <c:pt idx="2">
                  <c:v>36</c:v>
                </c:pt>
                <c:pt idx="3">
                  <c:v>34</c:v>
                </c:pt>
              </c:numCache>
            </c:numRef>
          </c:val>
          <c:smooth val="0"/>
        </c:ser>
        <c:dLbls>
          <c:showLegendKey val="0"/>
          <c:showVal val="0"/>
          <c:showCatName val="0"/>
          <c:showSerName val="0"/>
          <c:showPercent val="0"/>
          <c:showBubbleSize val="0"/>
        </c:dLbls>
        <c:marker val="1"/>
        <c:smooth val="0"/>
        <c:axId val="104395136"/>
        <c:axId val="104396672"/>
      </c:lineChart>
      <c:catAx>
        <c:axId val="104395136"/>
        <c:scaling>
          <c:orientation val="minMax"/>
        </c:scaling>
        <c:delete val="0"/>
        <c:axPos val="b"/>
        <c:numFmt formatCode="General" sourceLinked="1"/>
        <c:majorTickMark val="none"/>
        <c:minorTickMark val="none"/>
        <c:tickLblPos val="nextTo"/>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396672"/>
        <c:crosses val="autoZero"/>
        <c:auto val="1"/>
        <c:lblAlgn val="ctr"/>
        <c:lblOffset val="100"/>
        <c:noMultiLvlLbl val="0"/>
      </c:catAx>
      <c:valAx>
        <c:axId val="104396672"/>
        <c:scaling>
          <c:orientation val="minMax"/>
        </c:scaling>
        <c:delete val="1"/>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crossAx val="104395136"/>
        <c:crosses val="autoZero"/>
        <c:crossBetween val="between"/>
      </c:valAx>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30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Croatia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996633"/>
              </a:solidFill>
              <a:scene3d>
                <a:camera prst="orthographicFront"/>
                <a:lightRig rig="threePt" dir="t"/>
              </a:scene3d>
              <a:sp3d>
                <a:bevelT w="63500" h="25400"/>
              </a:sp3d>
            </c:spPr>
          </c:dPt>
          <c:dPt>
            <c:idx val="5"/>
            <c:bubble3D val="0"/>
            <c:spPr>
              <a:solidFill>
                <a:srgbClr val="FF9900"/>
              </a:solidFill>
              <a:scene3d>
                <a:camera prst="orthographicFront"/>
                <a:lightRig rig="threePt" dir="t"/>
              </a:scene3d>
              <a:sp3d>
                <a:bevelT w="63500" h="25400"/>
              </a:sp3d>
            </c:spPr>
          </c:dPt>
          <c:dLbls>
            <c:dLbl>
              <c:idx val="0"/>
              <c:layout>
                <c:manualLayout>
                  <c:x val="3.563855504903992E-2"/>
                  <c:y val="-0.11705196530311759"/>
                </c:manualLayout>
              </c:layout>
              <c:spPr/>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1.3704197748307802E-2"/>
                  <c:y val="-0.24393764803789769"/>
                </c:manualLayout>
              </c:layout>
              <c:dLblPos val="bestFit"/>
              <c:showLegendKey val="1"/>
              <c:showVal val="1"/>
              <c:showCatName val="1"/>
              <c:showSerName val="0"/>
              <c:showPercent val="0"/>
              <c:showBubbleSize val="0"/>
              <c:separator>
</c:separator>
            </c:dLbl>
            <c:dLbl>
              <c:idx val="2"/>
              <c:layout>
                <c:manualLayout>
                  <c:x val="8.2204465395772901E-3"/>
                  <c:y val="7.1199827155751877E-2"/>
                </c:manualLayout>
              </c:layout>
              <c:dLblPos val="bestFit"/>
              <c:showLegendKey val="1"/>
              <c:showVal val="1"/>
              <c:showCatName val="1"/>
              <c:showSerName val="0"/>
              <c:showPercent val="0"/>
              <c:showBubbleSize val="0"/>
              <c:separator>
</c:separator>
            </c:dLbl>
            <c:dLbl>
              <c:idx val="3"/>
              <c:layout>
                <c:manualLayout>
                  <c:x val="-1.6445425818483215E-2"/>
                  <c:y val="0.10052173356379233"/>
                </c:manualLayout>
              </c:layout>
              <c:spPr/>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Blad1!$A$3:$A$8</c:f>
              <c:strCache>
                <c:ptCount val="4"/>
                <c:pt idx="0">
                  <c:v>Environment</c:v>
                </c:pt>
                <c:pt idx="1">
                  <c:v>Other</c:v>
                </c:pt>
                <c:pt idx="2">
                  <c:v>Mobility and transport</c:v>
                </c:pt>
                <c:pt idx="3">
                  <c:v>Internal market, industry, entrepreneurship and SMEs</c:v>
                </c:pt>
              </c:strCache>
              <c:extLst>
                <c:ext xmlns:c15="http://schemas.microsoft.com/office/drawing/2012/chart" uri="{02D57815-91ED-43cb-92C2-25804820EDAC}">
                  <c15:fullRef>
                    <c15:sqref>Blad1!$A$2:$A$6</c15:sqref>
                  </c15:fullRef>
                </c:ext>
              </c:extLst>
            </c:strRef>
          </c:cat>
          <c:val>
            <c:numRef>
              <c:f>Blad1!$B$3:$B$8</c:f>
              <c:numCache>
                <c:formatCode>General</c:formatCode>
                <c:ptCount val="6"/>
                <c:pt idx="0">
                  <c:v>8</c:v>
                </c:pt>
                <c:pt idx="1">
                  <c:v>13</c:v>
                </c:pt>
                <c:pt idx="2">
                  <c:v>5</c:v>
                </c:pt>
                <c:pt idx="3">
                  <c:v>4</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9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04714364947311E-2"/>
          <c:y val="6.8965517241379309E-2"/>
          <c:w val="0.93899057127010543"/>
          <c:h val="0.62713186713729752"/>
        </c:manualLayout>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Blad1!$A$3:$A$6</c:f>
              <c:numCache>
                <c:formatCode>General</c:formatCode>
                <c:ptCount val="4"/>
                <c:pt idx="0">
                  <c:v>2013</c:v>
                </c:pt>
                <c:pt idx="1">
                  <c:v>2014</c:v>
                </c:pt>
                <c:pt idx="2">
                  <c:v>2015</c:v>
                </c:pt>
                <c:pt idx="3">
                  <c:v>2016</c:v>
                </c:pt>
              </c:numCache>
            </c:numRef>
          </c:cat>
          <c:val>
            <c:numRef>
              <c:f>Blad1!$B$3:$B$6</c:f>
              <c:numCache>
                <c:formatCode>General</c:formatCode>
                <c:ptCount val="4"/>
                <c:pt idx="0">
                  <c:v>61</c:v>
                </c:pt>
                <c:pt idx="1">
                  <c:v>65</c:v>
                </c:pt>
                <c:pt idx="2">
                  <c:v>66</c:v>
                </c:pt>
                <c:pt idx="3">
                  <c:v>65</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Blad1!$A$3:$A$6</c:f>
              <c:numCache>
                <c:formatCode>General</c:formatCode>
                <c:ptCount val="4"/>
                <c:pt idx="0">
                  <c:v>2013</c:v>
                </c:pt>
                <c:pt idx="1">
                  <c:v>2014</c:v>
                </c:pt>
                <c:pt idx="2">
                  <c:v>2015</c:v>
                </c:pt>
                <c:pt idx="3">
                  <c:v>2016</c:v>
                </c:pt>
              </c:numCache>
            </c:numRef>
          </c:cat>
          <c:val>
            <c:numRef>
              <c:f>Blad1!$C$3:$C$6</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104514304"/>
        <c:axId val="104515840"/>
      </c:lineChart>
      <c:catAx>
        <c:axId val="104514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515840"/>
        <c:crosses val="autoZero"/>
        <c:auto val="1"/>
        <c:lblAlgn val="ctr"/>
        <c:lblOffset val="100"/>
        <c:noMultiLvlLbl val="0"/>
      </c:catAx>
      <c:valAx>
        <c:axId val="104515840"/>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4514304"/>
        <c:crosses val="autoZero"/>
        <c:crossBetween val="between"/>
      </c:valAx>
      <c:spPr>
        <a:noFill/>
        <a:ln>
          <a:noFill/>
        </a:ln>
        <a:effectLst/>
      </c:spPr>
    </c:plotArea>
    <c:legend>
      <c:legendPos val="b"/>
      <c:legendEntry>
        <c:idx val="0"/>
        <c:delete val="1"/>
      </c:legendEntry>
      <c:layout>
        <c:manualLayout>
          <c:xMode val="edge"/>
          <c:yMode val="edge"/>
          <c:x val="4.4772492040824341E-2"/>
          <c:y val="0.76430310435333515"/>
          <c:w val="0.88826947953329416"/>
          <c:h val="0.23019413521585666"/>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Croatia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3"/>
              <c:layout>
                <c:manualLayout>
                  <c:x val="-5.0962961992479724E-2"/>
                  <c:y val="5.7465990166722117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Blad1!$A$3:$A$6</c:f>
              <c:numCache>
                <c:formatCode>General</c:formatCode>
                <c:ptCount val="4"/>
                <c:pt idx="0">
                  <c:v>2013</c:v>
                </c:pt>
                <c:pt idx="1">
                  <c:v>2014</c:v>
                </c:pt>
                <c:pt idx="2">
                  <c:v>2015</c:v>
                </c:pt>
                <c:pt idx="3">
                  <c:v>2016</c:v>
                </c:pt>
              </c:numCache>
            </c:numRef>
          </c:cat>
          <c:val>
            <c:numRef>
              <c:f>Blad1!$B$3:$B$6</c:f>
              <c:numCache>
                <c:formatCode>0%</c:formatCode>
                <c:ptCount val="4"/>
                <c:pt idx="0">
                  <c:v>1</c:v>
                </c:pt>
                <c:pt idx="1">
                  <c:v>0.65</c:v>
                </c:pt>
                <c:pt idx="2">
                  <c:v>0.67</c:v>
                </c:pt>
                <c:pt idx="3">
                  <c:v>0.65</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Blad1!$A$3:$A$6</c:f>
              <c:numCache>
                <c:formatCode>General</c:formatCode>
                <c:ptCount val="4"/>
                <c:pt idx="0">
                  <c:v>2013</c:v>
                </c:pt>
                <c:pt idx="1">
                  <c:v>2014</c:v>
                </c:pt>
                <c:pt idx="2">
                  <c:v>2015</c:v>
                </c:pt>
                <c:pt idx="3">
                  <c:v>2016</c:v>
                </c:pt>
              </c:numCache>
            </c:numRef>
          </c:cat>
          <c:val>
            <c:numRef>
              <c:f>Blad1!$C$3:$C$6</c:f>
              <c:numCache>
                <c:formatCode>0%</c:formatCode>
                <c:ptCount val="4"/>
                <c:pt idx="0">
                  <c:v>0.7</c:v>
                </c:pt>
                <c:pt idx="1">
                  <c:v>0.75</c:v>
                </c:pt>
                <c:pt idx="2">
                  <c:v>0.75</c:v>
                </c:pt>
                <c:pt idx="3">
                  <c:v>0.72</c:v>
                </c:pt>
              </c:numCache>
            </c:numRef>
          </c:val>
          <c:smooth val="0"/>
        </c:ser>
        <c:dLbls>
          <c:showLegendKey val="0"/>
          <c:showVal val="0"/>
          <c:showCatName val="0"/>
          <c:showSerName val="0"/>
          <c:showPercent val="0"/>
          <c:showBubbleSize val="0"/>
        </c:dLbls>
        <c:marker val="1"/>
        <c:smooth val="0"/>
        <c:axId val="104579456"/>
        <c:axId val="104580992"/>
      </c:lineChart>
      <c:catAx>
        <c:axId val="1045794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580992"/>
        <c:crosses val="autoZero"/>
        <c:auto val="1"/>
        <c:lblAlgn val="ctr"/>
        <c:lblOffset val="100"/>
        <c:noMultiLvlLbl val="0"/>
      </c:catAx>
      <c:valAx>
        <c:axId val="104580992"/>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4579456"/>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Blad1!$A$4:$A$6</c:f>
              <c:numCache>
                <c:formatCode>General</c:formatCode>
                <c:ptCount val="3"/>
                <c:pt idx="0">
                  <c:v>2014</c:v>
                </c:pt>
                <c:pt idx="1">
                  <c:v>2015</c:v>
                </c:pt>
                <c:pt idx="2">
                  <c:v>2016</c:v>
                </c:pt>
              </c:numCache>
            </c:numRef>
          </c:cat>
          <c:val>
            <c:numRef>
              <c:f>Blad1!$B$4:$B$6</c:f>
              <c:numCache>
                <c:formatCode>General</c:formatCode>
                <c:ptCount val="3"/>
                <c:pt idx="0">
                  <c:v>10</c:v>
                </c:pt>
                <c:pt idx="1">
                  <c:v>21</c:v>
                </c:pt>
                <c:pt idx="2">
                  <c:v>44</c:v>
                </c:pt>
              </c:numCache>
            </c:numRef>
          </c:val>
          <c:smooth val="0"/>
        </c:ser>
        <c:dLbls>
          <c:dLblPos val="t"/>
          <c:showLegendKey val="0"/>
          <c:showVal val="1"/>
          <c:showCatName val="0"/>
          <c:showSerName val="0"/>
          <c:showPercent val="0"/>
          <c:showBubbleSize val="0"/>
        </c:dLbls>
        <c:marker val="1"/>
        <c:smooth val="0"/>
        <c:axId val="104698624"/>
        <c:axId val="104701312"/>
      </c:lineChart>
      <c:catAx>
        <c:axId val="104698624"/>
        <c:scaling>
          <c:orientation val="minMax"/>
        </c:scaling>
        <c:delete val="0"/>
        <c:axPos val="b"/>
        <c:numFmt formatCode="General" sourceLinked="1"/>
        <c:majorTickMark val="none"/>
        <c:minorTickMark val="none"/>
        <c:tickLblPos val="nextTo"/>
        <c:spPr>
          <a:noFill/>
          <a:ln w="12710"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701312"/>
        <c:crosses val="autoZero"/>
        <c:auto val="1"/>
        <c:lblAlgn val="ctr"/>
        <c:lblOffset val="100"/>
        <c:noMultiLvlLbl val="0"/>
      </c:catAx>
      <c:valAx>
        <c:axId val="104701312"/>
        <c:scaling>
          <c:orientation val="minMax"/>
        </c:scaling>
        <c:delete val="1"/>
        <c:axPos val="l"/>
        <c:majorGridlines>
          <c:spPr>
            <a:ln w="9533" cap="flat" cmpd="sng" algn="ctr">
              <a:solidFill>
                <a:schemeClr val="tx1">
                  <a:lumMod val="15000"/>
                  <a:lumOff val="85000"/>
                </a:schemeClr>
              </a:solidFill>
              <a:round/>
            </a:ln>
            <a:effectLst/>
          </c:spPr>
        </c:majorGridlines>
        <c:numFmt formatCode="General" sourceLinked="1"/>
        <c:majorTickMark val="none"/>
        <c:minorTickMark val="none"/>
        <c:tickLblPos val="nextTo"/>
        <c:crossAx val="104698624"/>
        <c:crosses val="autoZero"/>
        <c:crossBetween val="between"/>
      </c:valAx>
      <c:spPr>
        <a:noFill/>
        <a:ln w="25421">
          <a:noFill/>
        </a:ln>
      </c:spPr>
    </c:plotArea>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32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Croatia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5940798581541699"/>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37ACDE"/>
              </a:solidFill>
              <a:scene3d>
                <a:camera prst="orthographicFront"/>
                <a:lightRig rig="threePt" dir="t"/>
              </a:scene3d>
              <a:sp3d>
                <a:bevelT w="63500" h="25400"/>
              </a:sp3d>
            </c:spPr>
          </c:dPt>
          <c:dPt>
            <c:idx val="6"/>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2.763766426035348E-3"/>
                  <c:y val="0.15122628114108688"/>
                </c:manualLayout>
              </c:layout>
              <c:dLblPos val="bestFit"/>
              <c:showLegendKey val="1"/>
              <c:showVal val="1"/>
              <c:showCatName val="1"/>
              <c:showSerName val="0"/>
              <c:showPercent val="0"/>
              <c:showBubbleSize val="0"/>
              <c:separator>
</c:separator>
            </c:dLbl>
            <c:dLbl>
              <c:idx val="2"/>
              <c:layout>
                <c:manualLayout>
                  <c:x val="0"/>
                  <c:y val="6.5573770491803282E-2"/>
                </c:manualLayout>
              </c:layout>
              <c:dLblPos val="bestFit"/>
              <c:showLegendKey val="1"/>
              <c:showVal val="1"/>
              <c:showCatName val="1"/>
              <c:showSerName val="0"/>
              <c:showPercent val="0"/>
              <c:showBubbleSize val="0"/>
              <c:separator>
</c:separator>
            </c:dLbl>
            <c:dLbl>
              <c:idx val="3"/>
              <c:layout>
                <c:manualLayout>
                  <c:x val="-1.8457208239984976E-2"/>
                  <c:y val="0.12718385611634611"/>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5.546311702717693E-3"/>
                  <c:y val="2.185792349726776E-2"/>
                </c:manualLayout>
              </c:layout>
              <c:dLblPos val="bestFit"/>
              <c:showLegendKey val="1"/>
              <c:showVal val="1"/>
              <c:showCatName val="1"/>
              <c:showSerName val="0"/>
              <c:showPercent val="0"/>
              <c:showBubbleSize val="0"/>
              <c:separator>
</c:separator>
            </c:dLbl>
            <c:dLbl>
              <c:idx val="5"/>
              <c:layout>
                <c:manualLayout>
                  <c:x val="-2.7762128735571946E-3"/>
                  <c:y val="-4.3027408459188502E-7"/>
                </c:manualLayout>
              </c:layout>
              <c:dLblPos val="bestFit"/>
              <c:showLegendKey val="1"/>
              <c:showVal val="1"/>
              <c:showCatName val="1"/>
              <c:showSerName val="0"/>
              <c:showPercent val="0"/>
              <c:showBubbleSize val="0"/>
              <c:separator>
</c:separator>
            </c:dLbl>
            <c:dLbl>
              <c:idx val="6"/>
              <c:layout>
                <c:manualLayout>
                  <c:x val="-4.1597337770382672E-2"/>
                  <c:y val="-0.22404371584699453"/>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Blad1!$A$2:$A$8</c:f>
              <c:strCache>
                <c:ptCount val="7"/>
                <c:pt idx="0">
                  <c:v>Policy Area</c:v>
                </c:pt>
                <c:pt idx="1">
                  <c:v>Internal market, industry, entrepreneurship and SMEs</c:v>
                </c:pt>
                <c:pt idx="2">
                  <c:v>Health and food safety</c:v>
                </c:pt>
                <c:pt idx="3">
                  <c:v>Financial stability, financial services and capital markets union</c:v>
                </c:pt>
                <c:pt idx="4">
                  <c:v>Environment</c:v>
                </c:pt>
                <c:pt idx="5">
                  <c:v>Migration and home affairs</c:v>
                </c:pt>
                <c:pt idx="6">
                  <c:v>Other</c:v>
                </c:pt>
              </c:strCache>
            </c:strRef>
          </c:cat>
          <c:val>
            <c:numRef>
              <c:f>Blad1!$B$2:$B$8</c:f>
              <c:numCache>
                <c:formatCode>General</c:formatCode>
                <c:ptCount val="7"/>
                <c:pt idx="0">
                  <c:v>0</c:v>
                </c:pt>
                <c:pt idx="1">
                  <c:v>5</c:v>
                </c:pt>
                <c:pt idx="2">
                  <c:v>5</c:v>
                </c:pt>
                <c:pt idx="3">
                  <c:v>4</c:v>
                </c:pt>
                <c:pt idx="4">
                  <c:v>4</c:v>
                </c:pt>
                <c:pt idx="5">
                  <c:v>3</c:v>
                </c:pt>
                <c:pt idx="6">
                  <c:v>11</c:v>
                </c:pt>
              </c:numCache>
            </c:numRef>
          </c:val>
          <c:extLst/>
        </c:ser>
        <c:ser>
          <c:idx val="1"/>
          <c:order val="1"/>
          <c:tx>
            <c:strRef>
              <c:f>Blad1!$C$1</c:f>
              <c:strCache>
                <c:ptCount val="1"/>
                <c:pt idx="0">
                  <c:v>Column1</c:v>
                </c:pt>
              </c:strCache>
            </c:strRef>
          </c:tx>
          <c:cat>
            <c:strRef>
              <c:f>Blad1!$A$2:$A$8</c:f>
              <c:strCache>
                <c:ptCount val="7"/>
                <c:pt idx="0">
                  <c:v>Policy Area</c:v>
                </c:pt>
                <c:pt idx="1">
                  <c:v>Internal market, industry, entrepreneurship and SMEs</c:v>
                </c:pt>
                <c:pt idx="2">
                  <c:v>Health and food safety</c:v>
                </c:pt>
                <c:pt idx="3">
                  <c:v>Financial stability, financial services and capital markets union</c:v>
                </c:pt>
                <c:pt idx="4">
                  <c:v>Environment</c:v>
                </c:pt>
                <c:pt idx="5">
                  <c:v>Migration and home affairs</c:v>
                </c:pt>
                <c:pt idx="6">
                  <c:v>Other</c:v>
                </c:pt>
              </c:strCache>
            </c:strRef>
          </c:cat>
          <c:val>
            <c:numRef>
              <c:f>Blad1!$C$2:$C$8</c:f>
              <c:numCache>
                <c:formatCode>General</c:formatCode>
                <c:ptCount val="7"/>
              </c:numCache>
            </c:numRef>
          </c:val>
        </c:ser>
        <c:dLbls>
          <c:showLegendKey val="0"/>
          <c:showVal val="0"/>
          <c:showCatName val="1"/>
          <c:showSerName val="0"/>
          <c:showPercent val="0"/>
          <c:showBubbleSize val="0"/>
          <c:showLeaderLines val="0"/>
        </c:dLbls>
        <c:firstSliceAng val="288"/>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80946076430702E-2"/>
          <c:y val="5.5813953488372092E-2"/>
          <c:w val="0.89092585489306109"/>
          <c:h val="0.83976585414414306"/>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4356304635474283E-2"/>
                  <c:y val="7.1208158055585516E-2"/>
                </c:manualLayout>
              </c:layout>
              <c:dLblPos val="r"/>
              <c:showLegendKey val="0"/>
              <c:showVal val="1"/>
              <c:showCatName val="0"/>
              <c:showSerName val="0"/>
              <c:showPercent val="0"/>
              <c:showBubbleSize val="0"/>
            </c:dLbl>
            <c:dLbl>
              <c:idx val="4"/>
              <c:layout>
                <c:manualLayout>
                  <c:x val="-4.7052341597796143E-2"/>
                  <c:y val="-6.0102739726027407E-2"/>
                </c:manualLayout>
              </c:layout>
              <c:dLblPos val="r"/>
              <c:showLegendKey val="0"/>
              <c:showVal val="1"/>
              <c:showCatName val="0"/>
              <c:showSerName val="0"/>
              <c:showPercent val="0"/>
              <c:showBubbleSize val="0"/>
            </c:dLbl>
            <c:dLbl>
              <c:idx val="5"/>
              <c:layout>
                <c:manualLayout>
                  <c:x val="-3.3278236914600551E-2"/>
                  <c:y val="-6.5810502283105018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Blad1!$A$3:$A$8</c:f>
              <c:numCache>
                <c:formatCode>General</c:formatCode>
                <c:ptCount val="6"/>
                <c:pt idx="0">
                  <c:v>2011</c:v>
                </c:pt>
                <c:pt idx="1">
                  <c:v>2012</c:v>
                </c:pt>
                <c:pt idx="2">
                  <c:v>2013</c:v>
                </c:pt>
                <c:pt idx="3">
                  <c:v>2014</c:v>
                </c:pt>
                <c:pt idx="4">
                  <c:v>2015</c:v>
                </c:pt>
                <c:pt idx="5">
                  <c:v>2016</c:v>
                </c:pt>
              </c:numCache>
            </c:numRef>
          </c:cat>
          <c:val>
            <c:numRef>
              <c:f>Blad1!$B$3:$B$8</c:f>
              <c:numCache>
                <c:formatCode>General</c:formatCode>
                <c:ptCount val="6"/>
                <c:pt idx="0">
                  <c:v>97</c:v>
                </c:pt>
                <c:pt idx="1">
                  <c:v>133</c:v>
                </c:pt>
                <c:pt idx="2">
                  <c:v>133</c:v>
                </c:pt>
                <c:pt idx="3">
                  <c:v>133</c:v>
                </c:pt>
                <c:pt idx="4">
                  <c:v>179</c:v>
                </c:pt>
                <c:pt idx="5">
                  <c:v>147</c:v>
                </c:pt>
              </c:numCache>
            </c:numRef>
          </c:val>
          <c:smooth val="0"/>
        </c:ser>
        <c:dLbls>
          <c:showLegendKey val="0"/>
          <c:showVal val="1"/>
          <c:showCatName val="0"/>
          <c:showSerName val="0"/>
          <c:showPercent val="0"/>
          <c:showBubbleSize val="0"/>
        </c:dLbls>
        <c:marker val="1"/>
        <c:smooth val="0"/>
        <c:axId val="80573568"/>
        <c:axId val="80588800"/>
      </c:lineChart>
      <c:catAx>
        <c:axId val="80573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0588800"/>
        <c:crosses val="autoZero"/>
        <c:auto val="1"/>
        <c:lblAlgn val="ctr"/>
        <c:lblOffset val="100"/>
        <c:noMultiLvlLbl val="0"/>
      </c:catAx>
      <c:valAx>
        <c:axId val="80588800"/>
        <c:scaling>
          <c:orientation val="minMax"/>
          <c:min val="7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0573568"/>
        <c:crosses val="autoZero"/>
        <c:crossBetween val="between"/>
      </c:valAx>
      <c:spPr>
        <a:noFill/>
        <a:ln>
          <a:noFill/>
        </a:ln>
        <a:effectLst/>
        <a:scene3d>
          <a:camera prst="orthographicFront"/>
          <a:lightRig rig="threePt" dir="t"/>
        </a:scene3d>
        <a:sp3d>
          <a:bevelT w="6350"/>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2"/>
              <c:layout>
                <c:manualLayout>
                  <c:x val="-3.1346578366445915E-2"/>
                  <c:y val="7.6866666666666666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Blad1!$A$4:$A$7</c:f>
              <c:numCache>
                <c:formatCode>General</c:formatCode>
                <c:ptCount val="4"/>
                <c:pt idx="0">
                  <c:v>2013</c:v>
                </c:pt>
                <c:pt idx="1">
                  <c:v>2014</c:v>
                </c:pt>
                <c:pt idx="2">
                  <c:v>2015</c:v>
                </c:pt>
                <c:pt idx="3">
                  <c:v>2016</c:v>
                </c:pt>
              </c:numCache>
            </c:numRef>
          </c:cat>
          <c:val>
            <c:numRef>
              <c:f>Blad1!$B$4:$B$7</c:f>
              <c:numCache>
                <c:formatCode>General</c:formatCode>
                <c:ptCount val="4"/>
                <c:pt idx="1">
                  <c:v>13</c:v>
                </c:pt>
                <c:pt idx="2">
                  <c:v>6</c:v>
                </c:pt>
                <c:pt idx="3">
                  <c:v>25</c:v>
                </c:pt>
              </c:numCache>
            </c:numRef>
          </c:val>
          <c:smooth val="0"/>
        </c:ser>
        <c:dLbls>
          <c:dLblPos val="t"/>
          <c:showLegendKey val="0"/>
          <c:showVal val="1"/>
          <c:showCatName val="0"/>
          <c:showSerName val="0"/>
          <c:showPercent val="0"/>
          <c:showBubbleSize val="0"/>
        </c:dLbls>
        <c:marker val="1"/>
        <c:smooth val="0"/>
        <c:axId val="105128320"/>
        <c:axId val="105131008"/>
      </c:lineChart>
      <c:catAx>
        <c:axId val="105128320"/>
        <c:scaling>
          <c:orientation val="minMax"/>
        </c:scaling>
        <c:delete val="0"/>
        <c:axPos val="b"/>
        <c:numFmt formatCode="General" sourceLinked="1"/>
        <c:majorTickMark val="none"/>
        <c:minorTickMark val="none"/>
        <c:tickLblPos val="nextTo"/>
        <c:spPr>
          <a:noFill/>
          <a:ln w="12710"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131008"/>
        <c:crosses val="autoZero"/>
        <c:auto val="1"/>
        <c:lblAlgn val="ctr"/>
        <c:lblOffset val="100"/>
        <c:noMultiLvlLbl val="0"/>
      </c:catAx>
      <c:valAx>
        <c:axId val="105131008"/>
        <c:scaling>
          <c:orientation val="minMax"/>
        </c:scaling>
        <c:delete val="1"/>
        <c:axPos val="l"/>
        <c:majorGridlines>
          <c:spPr>
            <a:ln w="9533" cap="flat" cmpd="sng" algn="ctr">
              <a:solidFill>
                <a:schemeClr val="tx1">
                  <a:lumMod val="15000"/>
                  <a:lumOff val="85000"/>
                </a:schemeClr>
              </a:solidFill>
              <a:round/>
            </a:ln>
            <a:effectLst/>
          </c:spPr>
        </c:majorGridlines>
        <c:numFmt formatCode="General" sourceLinked="1"/>
        <c:majorTickMark val="none"/>
        <c:minorTickMark val="none"/>
        <c:tickLblPos val="nextTo"/>
        <c:crossAx val="105128320"/>
        <c:crosses val="autoZero"/>
        <c:crossBetween val="between"/>
      </c:valAx>
      <c:spPr>
        <a:noFill/>
        <a:ln w="25421">
          <a:noFill/>
        </a:ln>
      </c:spPr>
    </c:plotArea>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Blad1!$A$4:$A$7</c:f>
              <c:numCache>
                <c:formatCode>General</c:formatCode>
                <c:ptCount val="4"/>
                <c:pt idx="0">
                  <c:v>2013</c:v>
                </c:pt>
                <c:pt idx="1">
                  <c:v>2014</c:v>
                </c:pt>
                <c:pt idx="2">
                  <c:v>2015</c:v>
                </c:pt>
                <c:pt idx="3">
                  <c:v>2016</c:v>
                </c:pt>
              </c:numCache>
            </c:numRef>
          </c:cat>
          <c:val>
            <c:numRef>
              <c:f>Blad1!$B$4:$B$7</c:f>
              <c:numCache>
                <c:formatCode>General</c:formatCode>
                <c:ptCount val="4"/>
                <c:pt idx="0">
                  <c:v>2</c:v>
                </c:pt>
                <c:pt idx="1">
                  <c:v>6</c:v>
                </c:pt>
                <c:pt idx="2">
                  <c:v>7</c:v>
                </c:pt>
                <c:pt idx="3">
                  <c:v>25</c:v>
                </c:pt>
              </c:numCache>
            </c:numRef>
          </c:val>
          <c:smooth val="0"/>
        </c:ser>
        <c:dLbls>
          <c:dLblPos val="t"/>
          <c:showLegendKey val="0"/>
          <c:showVal val="1"/>
          <c:showCatName val="0"/>
          <c:showSerName val="0"/>
          <c:showPercent val="0"/>
          <c:showBubbleSize val="0"/>
        </c:dLbls>
        <c:marker val="1"/>
        <c:smooth val="0"/>
        <c:axId val="105145856"/>
        <c:axId val="105161088"/>
      </c:lineChart>
      <c:catAx>
        <c:axId val="105145856"/>
        <c:scaling>
          <c:orientation val="minMax"/>
        </c:scaling>
        <c:delete val="0"/>
        <c:axPos val="b"/>
        <c:numFmt formatCode="General" sourceLinked="1"/>
        <c:majorTickMark val="none"/>
        <c:minorTickMark val="none"/>
        <c:tickLblPos val="nextTo"/>
        <c:spPr>
          <a:noFill/>
          <a:ln w="12710"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161088"/>
        <c:crosses val="autoZero"/>
        <c:auto val="1"/>
        <c:lblAlgn val="ctr"/>
        <c:lblOffset val="100"/>
        <c:noMultiLvlLbl val="0"/>
      </c:catAx>
      <c:valAx>
        <c:axId val="105161088"/>
        <c:scaling>
          <c:orientation val="minMax"/>
        </c:scaling>
        <c:delete val="1"/>
        <c:axPos val="l"/>
        <c:majorGridlines>
          <c:spPr>
            <a:ln w="9533" cap="flat" cmpd="sng" algn="ctr">
              <a:solidFill>
                <a:schemeClr val="tx1">
                  <a:lumMod val="15000"/>
                  <a:lumOff val="85000"/>
                </a:schemeClr>
              </a:solidFill>
              <a:round/>
            </a:ln>
            <a:effectLst/>
          </c:spPr>
        </c:majorGridlines>
        <c:numFmt formatCode="General" sourceLinked="1"/>
        <c:majorTickMark val="none"/>
        <c:minorTickMark val="none"/>
        <c:tickLblPos val="nextTo"/>
        <c:crossAx val="105145856"/>
        <c:crosses val="autoZero"/>
        <c:crossBetween val="between"/>
      </c:valAx>
      <c:spPr>
        <a:noFill/>
        <a:ln w="25421">
          <a:noFill/>
        </a:ln>
      </c:spPr>
    </c:plotArea>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25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Croatia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9.9044741500335709E-2"/>
          <c:y val="2.9411764705882353E-2"/>
        </c:manualLayout>
      </c:layout>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scene3d>
                <a:camera prst="orthographicFront"/>
                <a:lightRig rig="threePt" dir="t"/>
              </a:scene3d>
              <a:sp3d>
                <a:bevelT w="63500" h="25400"/>
              </a:sp3d>
            </c:spPr>
          </c:dPt>
          <c:dLbls>
            <c:dLbl>
              <c:idx val="0"/>
              <c:layout>
                <c:manualLayout>
                  <c:x val="1.9383114901335007E-2"/>
                  <c:y val="5.366527713447583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1.6611295681063124E-2"/>
                  <c:y val="9.8039215686274508E-3"/>
                </c:manualLayout>
              </c:layout>
              <c:dLblPos val="bestFit"/>
              <c:showLegendKey val="1"/>
              <c:showVal val="1"/>
              <c:showCatName val="1"/>
              <c:showSerName val="0"/>
              <c:showPercent val="0"/>
              <c:showBubbleSize val="0"/>
              <c:separator>
</c:separator>
            </c:dLbl>
            <c:dLbl>
              <c:idx val="2"/>
              <c:layout>
                <c:manualLayout>
                  <c:x val="2.2308185314045048E-2"/>
                  <c:y val="0"/>
                </c:manualLayout>
              </c:layout>
              <c:dLblPos val="bestFit"/>
              <c:showLegendKey val="1"/>
              <c:showVal val="1"/>
              <c:showCatName val="1"/>
              <c:showSerName val="0"/>
              <c:showPercent val="0"/>
              <c:showBubbleSize val="0"/>
              <c:separator>
</c:separator>
            </c:dLbl>
            <c:dLbl>
              <c:idx val="3"/>
              <c:layout>
                <c:manualLayout>
                  <c:x val="2.4916943521594685E-2"/>
                  <c:y val="-0.4460784313725490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Blad1!$A$4:$A$8</c:f>
              <c:strCache>
                <c:ptCount val="4"/>
                <c:pt idx="0">
                  <c:v>Health and food safety</c:v>
                </c:pt>
                <c:pt idx="1">
                  <c:v>Internal market, industry, entrepreneurship and SMEs</c:v>
                </c:pt>
                <c:pt idx="2">
                  <c:v>Financial stability, financial services and capital markets union</c:v>
                </c:pt>
                <c:pt idx="3">
                  <c:v>Other</c:v>
                </c:pt>
              </c:strCache>
            </c:strRef>
          </c:cat>
          <c:val>
            <c:numRef>
              <c:f>Blad1!$B$4:$B$8</c:f>
              <c:numCache>
                <c:formatCode>General</c:formatCode>
                <c:ptCount val="5"/>
                <c:pt idx="0">
                  <c:v>5</c:v>
                </c:pt>
                <c:pt idx="1">
                  <c:v>4</c:v>
                </c:pt>
                <c:pt idx="2">
                  <c:v>3</c:v>
                </c:pt>
                <c:pt idx="3">
                  <c:v>13</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336"/>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6.1231281198003328E-2"/>
                  <c:y val="-6.1989247311827957E-2"/>
                </c:manualLayout>
              </c:layout>
              <c:dLblPos val="r"/>
              <c:showLegendKey val="0"/>
              <c:showVal val="1"/>
              <c:showCatName val="0"/>
              <c:showSerName val="0"/>
              <c:showPercent val="0"/>
              <c:showBubbleSize val="0"/>
            </c:dLbl>
            <c:dLbl>
              <c:idx val="4"/>
              <c:layout>
                <c:manualLayout>
                  <c:x val="-5.0138657792567841E-2"/>
                  <c:y val="-6.736559139784945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438</c:v>
                </c:pt>
                <c:pt idx="1">
                  <c:v>472</c:v>
                </c:pt>
                <c:pt idx="2">
                  <c:v>475</c:v>
                </c:pt>
                <c:pt idx="3">
                  <c:v>637</c:v>
                </c:pt>
                <c:pt idx="4">
                  <c:v>753</c:v>
                </c:pt>
              </c:numCache>
            </c:numRef>
          </c:val>
          <c:smooth val="0"/>
        </c:ser>
        <c:dLbls>
          <c:showLegendKey val="0"/>
          <c:showVal val="1"/>
          <c:showCatName val="0"/>
          <c:showSerName val="0"/>
          <c:showPercent val="0"/>
          <c:showBubbleSize val="0"/>
        </c:dLbls>
        <c:marker val="1"/>
        <c:smooth val="0"/>
        <c:axId val="105032320"/>
        <c:axId val="105473536"/>
      </c:lineChart>
      <c:catAx>
        <c:axId val="1050323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473536"/>
        <c:crosses val="autoZero"/>
        <c:auto val="1"/>
        <c:lblAlgn val="ctr"/>
        <c:lblOffset val="100"/>
        <c:noMultiLvlLbl val="0"/>
      </c:catAx>
      <c:valAx>
        <c:axId val="105473536"/>
        <c:scaling>
          <c:orientation val="minMax"/>
          <c:min val="37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5032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753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Italy</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6024466619890335"/>
          <c:y val="3.1537450722733243E-2"/>
        </c:manualLayout>
      </c:layout>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6.0501936020373688E-2"/>
                  <c:y val="-0.23575059820992408"/>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5.5005500550055009E-3"/>
                  <c:y val="0.12094604105086233"/>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2.7762618781563197E-3"/>
                  <c:y val="5.783385909568875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6.6008116559687469E-2"/>
                  <c:y val="-0.21750581650479811"/>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Employment</c:v>
                </c:pt>
                <c:pt idx="1">
                  <c:v>Internal market, industry, entrepreneurship and SMEs</c:v>
                </c:pt>
                <c:pt idx="2">
                  <c:v>Environment</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322</c:v>
                </c:pt>
                <c:pt idx="1">
                  <c:v>129</c:v>
                </c:pt>
                <c:pt idx="2">
                  <c:v>76</c:v>
                </c:pt>
                <c:pt idx="3">
                  <c:v>226</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19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107</c:v>
                </c:pt>
                <c:pt idx="1">
                  <c:v>122</c:v>
                </c:pt>
                <c:pt idx="2">
                  <c:v>128</c:v>
                </c:pt>
                <c:pt idx="3">
                  <c:v>68</c:v>
                </c:pt>
                <c:pt idx="4">
                  <c:v>52</c:v>
                </c:pt>
              </c:numCache>
            </c:numRef>
          </c:val>
          <c:smooth val="0"/>
        </c:ser>
        <c:dLbls>
          <c:dLblPos val="b"/>
          <c:showLegendKey val="0"/>
          <c:showVal val="1"/>
          <c:showCatName val="0"/>
          <c:showSerName val="0"/>
          <c:showPercent val="0"/>
          <c:showBubbleSize val="0"/>
        </c:dLbls>
        <c:marker val="1"/>
        <c:smooth val="0"/>
        <c:axId val="105220736"/>
        <c:axId val="105227776"/>
      </c:lineChart>
      <c:catAx>
        <c:axId val="105220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227776"/>
        <c:crosses val="autoZero"/>
        <c:auto val="1"/>
        <c:lblAlgn val="ctr"/>
        <c:lblOffset val="100"/>
        <c:noMultiLvlLbl val="0"/>
      </c:catAx>
      <c:valAx>
        <c:axId val="105227776"/>
        <c:scaling>
          <c:orientation val="minMax"/>
          <c:min val="4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5220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135</c:v>
                </c:pt>
                <c:pt idx="1">
                  <c:v>147</c:v>
                </c:pt>
                <c:pt idx="2">
                  <c:v>139</c:v>
                </c:pt>
                <c:pt idx="3">
                  <c:v>111</c:v>
                </c:pt>
                <c:pt idx="4">
                  <c:v>99</c:v>
                </c:pt>
              </c:numCache>
            </c:numRef>
          </c:val>
          <c:smooth val="0"/>
        </c:ser>
        <c:dLbls>
          <c:dLblPos val="b"/>
          <c:showLegendKey val="0"/>
          <c:showVal val="1"/>
          <c:showCatName val="0"/>
          <c:showSerName val="0"/>
          <c:showPercent val="0"/>
          <c:showBubbleSize val="0"/>
        </c:dLbls>
        <c:marker val="1"/>
        <c:smooth val="0"/>
        <c:axId val="105295872"/>
        <c:axId val="105298560"/>
      </c:lineChart>
      <c:catAx>
        <c:axId val="105295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298560"/>
        <c:crosses val="autoZero"/>
        <c:auto val="1"/>
        <c:lblAlgn val="ctr"/>
        <c:lblOffset val="100"/>
        <c:noMultiLvlLbl val="0"/>
      </c:catAx>
      <c:valAx>
        <c:axId val="105298560"/>
        <c:scaling>
          <c:orientation val="minMax"/>
          <c:min val="4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529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52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Italy</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olidFill>
              <a:srgbClr val="808AA4"/>
            </a:solidFill>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dPt>
          <c:dLbls>
            <c:dLbl>
              <c:idx val="0"/>
              <c:layout>
                <c:manualLayout>
                  <c:x val="2.4679686420776351E-2"/>
                  <c:y val="9.6375472120862934E-2"/>
                </c:manualLayout>
              </c:layout>
              <c:dLblPos val="bestFit"/>
              <c:showLegendKey val="1"/>
              <c:showVal val="1"/>
              <c:showCatName val="1"/>
              <c:showSerName val="0"/>
              <c:showPercent val="0"/>
              <c:showBubbleSize val="0"/>
              <c:separator>
</c:separator>
            </c:dLbl>
            <c:dLbl>
              <c:idx val="1"/>
              <c:layout>
                <c:manualLayout>
                  <c:x val="-3.2896679444674677E-2"/>
                  <c:y val="7.1175020805326158E-2"/>
                </c:manualLayout>
              </c:layout>
              <c:dLblPos val="bestFit"/>
              <c:showLegendKey val="1"/>
              <c:showVal val="1"/>
              <c:showCatName val="1"/>
              <c:showSerName val="0"/>
              <c:showPercent val="0"/>
              <c:showBubbleSize val="0"/>
              <c:separator>
</c:separator>
            </c:dLbl>
            <c:dLbl>
              <c:idx val="2"/>
              <c:layout>
                <c:manualLayout>
                  <c:x val="-1.9135282842934108E-2"/>
                  <c:y val="-6.0934799308623007E-2"/>
                </c:manualLayout>
              </c:layout>
              <c:dLblPos val="bestFit"/>
              <c:showLegendKey val="1"/>
              <c:showVal val="1"/>
              <c:showCatName val="1"/>
              <c:showSerName val="0"/>
              <c:showPercent val="0"/>
              <c:showBubbleSize val="0"/>
              <c:separator>
</c:separator>
            </c:dLbl>
            <c:dLbl>
              <c:idx val="3"/>
              <c:layout>
                <c:manualLayout>
                  <c:x val="2.4544567619836994E-2"/>
                  <c:y val="-5.7035401062672041E-2"/>
                </c:manualLayout>
              </c:layout>
              <c:dLblPos val="bestFit"/>
              <c:showLegendKey val="1"/>
              <c:showVal val="1"/>
              <c:showCatName val="1"/>
              <c:showSerName val="0"/>
              <c:showPercent val="0"/>
              <c:showBubbleSize val="0"/>
              <c:separator>
</c:separator>
            </c:dLbl>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Blad1!$A$3:$A$7</c:f>
              <c:strCache>
                <c:ptCount val="5"/>
                <c:pt idx="0">
                  <c:v>Internal market, industry, entrepreneurship and SMEs</c:v>
                </c:pt>
                <c:pt idx="1">
                  <c:v>Mobility and transport</c:v>
                </c:pt>
                <c:pt idx="2">
                  <c:v>Taxation and customs</c:v>
                </c:pt>
                <c:pt idx="3">
                  <c:v>Environment</c:v>
                </c:pt>
                <c:pt idx="4">
                  <c:v>Other</c:v>
                </c:pt>
              </c:strCache>
              <c:extLst>
                <c:ext xmlns:c15="http://schemas.microsoft.com/office/drawing/2012/chart" uri="{02D57815-91ED-43cb-92C2-25804820EDAC}">
                  <c15:fullRef>
                    <c15:sqref>Blad1!$A$2:$A$6</c15:sqref>
                  </c15:fullRef>
                </c:ext>
              </c:extLst>
            </c:strRef>
          </c:cat>
          <c:val>
            <c:numRef>
              <c:f>Blad1!$B$3:$B$7</c:f>
              <c:numCache>
                <c:formatCode>General</c:formatCode>
                <c:ptCount val="5"/>
                <c:pt idx="0">
                  <c:v>10</c:v>
                </c:pt>
                <c:pt idx="1">
                  <c:v>10</c:v>
                </c:pt>
                <c:pt idx="2">
                  <c:v>9</c:v>
                </c:pt>
                <c:pt idx="3">
                  <c:v>7</c:v>
                </c:pt>
                <c:pt idx="4">
                  <c:v>16</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8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3.9506813757300453E-2"/>
                  <c:y val="-5.5714285714285716E-2"/>
                </c:manualLayout>
              </c:layout>
              <c:dLblPos val="r"/>
              <c:showLegendKey val="0"/>
              <c:showVal val="1"/>
              <c:showCatName val="0"/>
              <c:showSerName val="0"/>
              <c:showPercent val="0"/>
              <c:showBubbleSize val="0"/>
            </c:dLbl>
            <c:dLbl>
              <c:idx val="1"/>
              <c:layout>
                <c:manualLayout>
                  <c:x val="-4.4980587909040491E-2"/>
                  <c:y val="-6.5485074626865675E-2"/>
                </c:manualLayout>
              </c:layout>
              <c:dLblPos val="r"/>
              <c:showLegendKey val="0"/>
              <c:showVal val="1"/>
              <c:showCatName val="0"/>
              <c:showSerName val="0"/>
              <c:showPercent val="0"/>
              <c:showBubbleSize val="0"/>
            </c:dLbl>
            <c:dLbl>
              <c:idx val="2"/>
              <c:layout>
                <c:manualLayout>
                  <c:x val="-3.9434276206322796E-2"/>
                  <c:y val="-7.170398009950249E-2"/>
                </c:manualLayout>
              </c:layout>
              <c:dLblPos val="r"/>
              <c:showLegendKey val="0"/>
              <c:showVal val="1"/>
              <c:showCatName val="0"/>
              <c:showSerName val="0"/>
              <c:showPercent val="0"/>
              <c:showBubbleSize val="0"/>
            </c:dLbl>
            <c:dLbl>
              <c:idx val="3"/>
              <c:layout>
                <c:manualLayout>
                  <c:x val="-3.6681465038845729E-2"/>
                  <c:y val="-6.5363128491620084E-2"/>
                </c:manualLayout>
              </c:layout>
              <c:dLblPos val="r"/>
              <c:showLegendKey val="0"/>
              <c:showVal val="1"/>
              <c:showCatName val="0"/>
              <c:showSerName val="0"/>
              <c:showPercent val="0"/>
              <c:showBubbleSize val="0"/>
            </c:dLbl>
            <c:dLbl>
              <c:idx val="4"/>
              <c:layout>
                <c:manualLayout>
                  <c:x val="-3.9434276206322796E-2"/>
                  <c:y val="-6.5485074626865661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69</c:v>
                </c:pt>
                <c:pt idx="1">
                  <c:v>77</c:v>
                </c:pt>
                <c:pt idx="2">
                  <c:v>78</c:v>
                </c:pt>
                <c:pt idx="3">
                  <c:v>74</c:v>
                </c:pt>
                <c:pt idx="4">
                  <c:v>81</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105431040"/>
        <c:axId val="105432576"/>
      </c:lineChart>
      <c:catAx>
        <c:axId val="1054310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432576"/>
        <c:crosses val="autoZero"/>
        <c:auto val="1"/>
        <c:lblAlgn val="ctr"/>
        <c:lblOffset val="100"/>
        <c:noMultiLvlLbl val="0"/>
      </c:catAx>
      <c:valAx>
        <c:axId val="105432576"/>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5431040"/>
        <c:crosses val="autoZero"/>
        <c:crossBetween val="between"/>
      </c:valAx>
      <c:spPr>
        <a:noFill/>
        <a:ln>
          <a:noFill/>
        </a:ln>
        <a:effectLst/>
      </c:spPr>
    </c:plotArea>
    <c:legend>
      <c:legendPos val="b"/>
      <c:legendEntry>
        <c:idx val="0"/>
        <c:delete val="1"/>
      </c:legendEntry>
      <c:layout>
        <c:manualLayout>
          <c:xMode val="edge"/>
          <c:yMode val="edge"/>
          <c:x val="5.5865154028662524E-2"/>
          <c:y val="0.73532331959315456"/>
          <c:w val="0.88826947953329416"/>
          <c:h val="0.26467668040684544"/>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Italy</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8409649708927813E-2"/>
                  <c:y val="-4.4288681204569053E-2"/>
                </c:manualLayout>
              </c:layout>
              <c:dLblPos val="r"/>
              <c:showLegendKey val="0"/>
              <c:showVal val="1"/>
              <c:showCatName val="0"/>
              <c:showSerName val="0"/>
              <c:showPercent val="0"/>
              <c:showBubbleSize val="0"/>
            </c:dLbl>
            <c:dLbl>
              <c:idx val="1"/>
              <c:layout>
                <c:manualLayout>
                  <c:x val="-4.2726907472672403E-2"/>
                  <c:y val="5.7106646715889484E-2"/>
                </c:manualLayout>
              </c:layout>
              <c:dLblPos val="r"/>
              <c:showLegendKey val="0"/>
              <c:showVal val="1"/>
              <c:showCatName val="0"/>
              <c:showSerName val="0"/>
              <c:showPercent val="0"/>
              <c:showBubbleSize val="0"/>
            </c:dLbl>
            <c:dLbl>
              <c:idx val="3"/>
              <c:layout>
                <c:manualLayout>
                  <c:x val="-4.8189830837757575E-2"/>
                  <c:y val="-5.9905117372626965E-2"/>
                </c:manualLayout>
              </c:layout>
              <c:dLblPos val="r"/>
              <c:showLegendKey val="0"/>
              <c:showVal val="1"/>
              <c:showCatName val="0"/>
              <c:showSerName val="0"/>
              <c:showPercent val="0"/>
              <c:showBubbleSize val="0"/>
            </c:dLbl>
            <c:dLbl>
              <c:idx val="4"/>
              <c:layout>
                <c:manualLayout>
                  <c:x val="-5.5636493857568969E-2"/>
                  <c:y val="-7.0249221183800628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0.71</c:v>
                </c:pt>
                <c:pt idx="1">
                  <c:v>0.7</c:v>
                </c:pt>
                <c:pt idx="2">
                  <c:v>0.75</c:v>
                </c:pt>
                <c:pt idx="3">
                  <c:v>0.76</c:v>
                </c:pt>
                <c:pt idx="4">
                  <c:v>0.89</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0"/>
              <c:layout>
                <c:manualLayout>
                  <c:x val="-5.2863338006210125E-2"/>
                  <c:y val="6.5057113187954305E-2"/>
                </c:manualLayout>
              </c:layout>
              <c:dLblPos val="r"/>
              <c:showLegendKey val="0"/>
              <c:showVal val="1"/>
              <c:showCatName val="0"/>
              <c:showSerName val="0"/>
              <c:showPercent val="0"/>
              <c:showBubbleSize val="0"/>
            </c:dLbl>
            <c:dLbl>
              <c:idx val="1"/>
              <c:layout>
                <c:manualLayout>
                  <c:x val="-4.8379778234875381E-2"/>
                  <c:y val="-6.7729617909910791E-2"/>
                </c:manualLayout>
              </c:layout>
              <c:dLblPos val="r"/>
              <c:showLegendKey val="0"/>
              <c:showVal val="1"/>
              <c:showCatName val="0"/>
              <c:showSerName val="0"/>
              <c:showPercent val="0"/>
              <c:showBubbleSize val="0"/>
            </c:dLbl>
            <c:dLbl>
              <c:idx val="3"/>
              <c:layout>
                <c:manualLayout>
                  <c:x val="-4.5500052493438317E-2"/>
                  <c:y val="5.7119619595215297E-2"/>
                </c:manualLayout>
              </c:layout>
              <c:dLblPos val="r"/>
              <c:showLegendKey val="0"/>
              <c:showVal val="1"/>
              <c:showCatName val="0"/>
              <c:showSerName val="0"/>
              <c:showPercent val="0"/>
              <c:showBubbleSize val="0"/>
            </c:dLbl>
            <c:dLbl>
              <c:idx val="4"/>
              <c:layout>
                <c:manualLayout>
                  <c:x val="-4.7317026303492431E-2"/>
                  <c:y val="5.4672897196261658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105610624"/>
        <c:axId val="105612416"/>
      </c:lineChart>
      <c:catAx>
        <c:axId val="1056106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612416"/>
        <c:crosses val="autoZero"/>
        <c:auto val="1"/>
        <c:lblAlgn val="ctr"/>
        <c:lblOffset val="100"/>
        <c:noMultiLvlLbl val="0"/>
      </c:catAx>
      <c:valAx>
        <c:axId val="105612416"/>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5610624"/>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147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Bulgaria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5.5011997262718396E-2"/>
                  <c:y val="0.14715881335022396"/>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2.7502750275027504E-2"/>
                  <c:y val="-1.049413381686910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2.7762618781563197E-3"/>
                  <c:y val="-1.051524710830694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7.9757975797579761E-2"/>
                  <c:y val="-0.2746098180945047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Justice and consumers</c:v>
                </c:pt>
                <c:pt idx="1">
                  <c:v>Agriculture and rural development</c:v>
                </c:pt>
                <c:pt idx="2">
                  <c:v>Taxation and customs</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43</c:v>
                </c:pt>
                <c:pt idx="1">
                  <c:v>32</c:v>
                </c:pt>
                <c:pt idx="2">
                  <c:v>16</c:v>
                </c:pt>
                <c:pt idx="3">
                  <c:v>56</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86"/>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254815020091449E-2"/>
          <c:y val="6.5986802639472111E-2"/>
          <c:w val="0.93899057127010543"/>
          <c:h val="0.65789620272286109"/>
        </c:manualLayout>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99</c:v>
                </c:pt>
                <c:pt idx="1">
                  <c:v>104</c:v>
                </c:pt>
                <c:pt idx="2">
                  <c:v>89</c:v>
                </c:pt>
                <c:pt idx="3">
                  <c:v>89</c:v>
                </c:pt>
                <c:pt idx="4">
                  <c:v>70</c:v>
                </c:pt>
              </c:numCache>
            </c:numRef>
          </c:val>
          <c:smooth val="0"/>
        </c:ser>
        <c:dLbls>
          <c:showLegendKey val="0"/>
          <c:showVal val="0"/>
          <c:showCatName val="0"/>
          <c:showSerName val="0"/>
          <c:showPercent val="0"/>
          <c:showBubbleSize val="0"/>
        </c:dLbls>
        <c:marker val="1"/>
        <c:smooth val="0"/>
        <c:axId val="105661568"/>
        <c:axId val="105663104"/>
      </c:lineChart>
      <c:catAx>
        <c:axId val="105661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663104"/>
        <c:crosses val="autoZero"/>
        <c:auto val="1"/>
        <c:lblAlgn val="ctr"/>
        <c:lblOffset val="100"/>
        <c:noMultiLvlLbl val="0"/>
      </c:catAx>
      <c:valAx>
        <c:axId val="105663104"/>
        <c:scaling>
          <c:orientation val="minMax"/>
          <c:min val="6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566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19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Italy</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37ACDE"/>
              </a:solidFill>
              <a:scene3d>
                <a:camera prst="orthographicFront"/>
                <a:lightRig rig="threePt" dir="t"/>
              </a:scene3d>
              <a:sp3d>
                <a:bevelT w="63500" h="25400"/>
              </a:sp3d>
            </c:spPr>
          </c:dPt>
          <c:dPt>
            <c:idx val="6"/>
            <c:bubble3D val="0"/>
            <c:spPr>
              <a:solidFill>
                <a:srgbClr val="95C154"/>
              </a:solidFill>
              <a:scene3d>
                <a:camera prst="orthographicFront"/>
                <a:lightRig rig="threePt" dir="t"/>
              </a:scene3d>
              <a:sp3d>
                <a:bevelT w="63500" h="25400"/>
              </a:sp3d>
            </c:spPr>
          </c:dPt>
          <c:dPt>
            <c:idx val="7"/>
            <c:bubble3D val="0"/>
            <c:spPr>
              <a:solidFill>
                <a:srgbClr val="A20000"/>
              </a:solidFill>
              <a:scene3d>
                <a:camera prst="orthographicFront"/>
                <a:lightRig rig="threePt" dir="t"/>
              </a:scene3d>
              <a:sp3d>
                <a:bevelT w="63500" h="25400"/>
              </a:sp3d>
            </c:spPr>
          </c:dPt>
          <c:dPt>
            <c:idx val="8"/>
            <c:bubble3D val="0"/>
            <c:spPr>
              <a:solidFill>
                <a:srgbClr val="1DD3CA"/>
              </a:solidFill>
              <a:scene3d>
                <a:camera prst="orthographicFront"/>
                <a:lightRig rig="threePt" dir="t"/>
              </a:scene3d>
              <a:sp3d>
                <a:bevelT w="63500" h="25400"/>
              </a:sp3d>
            </c:spPr>
          </c:dPt>
          <c:dPt>
            <c:idx val="9"/>
            <c:bubble3D val="0"/>
            <c:spPr>
              <a:solidFill>
                <a:srgbClr val="FF7DFF"/>
              </a:solidFill>
              <a:scene3d>
                <a:camera prst="orthographicFront"/>
                <a:lightRig rig="threePt" dir="t"/>
              </a:scene3d>
              <a:sp3d>
                <a:bevelT w="63500" h="25400"/>
              </a:sp3d>
            </c:spPr>
          </c:dPt>
          <c:dPt>
            <c:idx val="10"/>
            <c:bubble3D val="0"/>
            <c:spPr>
              <a:solidFill>
                <a:srgbClr val="E75113"/>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9.1710665950450039E-6"/>
                  <c:y val="-1.4390947033260187E-2"/>
                </c:manualLayout>
              </c:layout>
              <c:dLblPos val="bestFit"/>
              <c:showLegendKey val="1"/>
              <c:showVal val="1"/>
              <c:showCatName val="1"/>
              <c:showSerName val="0"/>
              <c:showPercent val="0"/>
              <c:showBubbleSize val="0"/>
              <c:separator>
</c:separator>
            </c:dLbl>
            <c:dLbl>
              <c:idx val="2"/>
              <c:layout>
                <c:manualLayout>
                  <c:x val="-3.6063254156458398E-2"/>
                  <c:y val="0.15300546448087432"/>
                </c:manualLayout>
              </c:layout>
              <c:dLblPos val="bestFit"/>
              <c:showLegendKey val="1"/>
              <c:showVal val="1"/>
              <c:showCatName val="1"/>
              <c:showSerName val="0"/>
              <c:showPercent val="0"/>
              <c:showBubbleSize val="0"/>
              <c:separator>
</c:separator>
            </c:dLbl>
            <c:dLbl>
              <c:idx val="3"/>
              <c:layout>
                <c:manualLayout>
                  <c:x val="-2.399915276813365E-2"/>
                  <c:y val="1.2430188029774967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1.1092623405435386E-2"/>
                  <c:y val="8.1966782840669508E-2"/>
                </c:manualLayout>
              </c:layout>
              <c:dLblPos val="bestFit"/>
              <c:showLegendKey val="1"/>
              <c:showVal val="1"/>
              <c:showCatName val="1"/>
              <c:showSerName val="0"/>
              <c:showPercent val="0"/>
              <c:showBubbleSize val="0"/>
              <c:separator>
</c:separator>
            </c:dLbl>
            <c:dLbl>
              <c:idx val="5"/>
              <c:layout>
                <c:manualLayout>
                  <c:x val="0.11092601569562541"/>
                  <c:y val="4.9179897594767867E-2"/>
                </c:manualLayout>
              </c:layout>
              <c:dLblPos val="bestFit"/>
              <c:showLegendKey val="1"/>
              <c:showVal val="1"/>
              <c:showCatName val="1"/>
              <c:showSerName val="0"/>
              <c:showPercent val="0"/>
              <c:showBubbleSize val="0"/>
              <c:separator>
</c:separator>
            </c:dLbl>
            <c:dLbl>
              <c:idx val="6"/>
              <c:layout>
                <c:manualLayout>
                  <c:x val="-1.6638935108153077E-2"/>
                  <c:y val="8.1936663654748068E-2"/>
                </c:manualLayout>
              </c:layout>
              <c:dLblPos val="bestFit"/>
              <c:showLegendKey val="1"/>
              <c:showVal val="1"/>
              <c:showCatName val="1"/>
              <c:showSerName val="0"/>
              <c:showPercent val="0"/>
              <c:showBubbleSize val="0"/>
              <c:separator>
</c:separator>
            </c:dLbl>
            <c:dLbl>
              <c:idx val="7"/>
              <c:layout>
                <c:manualLayout>
                  <c:x val="0.1192457016084304"/>
                  <c:y val="4.9180327868852458E-2"/>
                </c:manualLayout>
              </c:layout>
              <c:dLblPos val="bestFit"/>
              <c:showLegendKey val="1"/>
              <c:showVal val="1"/>
              <c:showCatName val="1"/>
              <c:showSerName val="0"/>
              <c:showPercent val="0"/>
              <c:showBubbleSize val="0"/>
              <c:separator>
</c:separator>
            </c:dLbl>
            <c:dLbl>
              <c:idx val="8"/>
              <c:layout>
                <c:manualLayout>
                  <c:x val="2.7731558513588465E-3"/>
                  <c:y val="4.9180327868852458E-2"/>
                </c:manualLayout>
              </c:layout>
              <c:dLblPos val="bestFit"/>
              <c:showLegendKey val="1"/>
              <c:showVal val="1"/>
              <c:showCatName val="1"/>
              <c:showSerName val="0"/>
              <c:showPercent val="0"/>
              <c:showBubbleSize val="0"/>
              <c:separator>
</c:separator>
            </c:dLbl>
            <c:dLbl>
              <c:idx val="9"/>
              <c:layout>
                <c:manualLayout>
                  <c:x val="1.3865779256794232E-2"/>
                  <c:y val="6.0109289617486336E-2"/>
                </c:manualLayout>
              </c:layout>
              <c:dLblPos val="bestFit"/>
              <c:showLegendKey val="1"/>
              <c:showVal val="1"/>
              <c:showCatName val="1"/>
              <c:showSerName val="0"/>
              <c:showPercent val="0"/>
              <c:showBubbleSize val="0"/>
              <c:separator>
</c:separator>
            </c:dLbl>
            <c:dLbl>
              <c:idx val="10"/>
              <c:layout>
                <c:manualLayout>
                  <c:x val="-8.3194675540765387E-3"/>
                  <c:y val="1.092896174863388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Blad1!$A$2:$A$12</c:f>
              <c:strCache>
                <c:ptCount val="11"/>
                <c:pt idx="0">
                  <c:v>Policy Area</c:v>
                </c:pt>
                <c:pt idx="1">
                  <c:v>Internal market, industry, entrepreneurship and SMEs</c:v>
                </c:pt>
                <c:pt idx="2">
                  <c:v>Financial stability, financial services and capital markets union</c:v>
                </c:pt>
                <c:pt idx="3">
                  <c:v>Environment</c:v>
                </c:pt>
                <c:pt idx="4">
                  <c:v>Mobility and transport</c:v>
                </c:pt>
                <c:pt idx="5">
                  <c:v>Migration and home affairs</c:v>
                </c:pt>
                <c:pt idx="6">
                  <c:v>Communication networks</c:v>
                </c:pt>
                <c:pt idx="7">
                  <c:v>Taxation and customs</c:v>
                </c:pt>
                <c:pt idx="8">
                  <c:v>Martitime affairs and fisheries</c:v>
                </c:pt>
                <c:pt idx="9">
                  <c:v>Health and food safety</c:v>
                </c:pt>
                <c:pt idx="10">
                  <c:v>Energy</c:v>
                </c:pt>
              </c:strCache>
            </c:strRef>
          </c:cat>
          <c:val>
            <c:numRef>
              <c:f>Blad1!$B$2:$B$12</c:f>
              <c:numCache>
                <c:formatCode>General</c:formatCode>
                <c:ptCount val="11"/>
                <c:pt idx="0">
                  <c:v>0</c:v>
                </c:pt>
                <c:pt idx="1">
                  <c:v>9</c:v>
                </c:pt>
                <c:pt idx="2">
                  <c:v>2</c:v>
                </c:pt>
                <c:pt idx="3">
                  <c:v>1</c:v>
                </c:pt>
                <c:pt idx="4">
                  <c:v>1</c:v>
                </c:pt>
                <c:pt idx="5">
                  <c:v>1</c:v>
                </c:pt>
                <c:pt idx="6">
                  <c:v>1</c:v>
                </c:pt>
                <c:pt idx="7">
                  <c:v>1</c:v>
                </c:pt>
                <c:pt idx="8">
                  <c:v>1</c:v>
                </c:pt>
                <c:pt idx="9">
                  <c:v>1</c:v>
                </c:pt>
                <c:pt idx="10">
                  <c:v>1</c:v>
                </c:pt>
              </c:numCache>
            </c:numRef>
          </c:val>
          <c:extLst/>
        </c:ser>
        <c:dLbls>
          <c:showLegendKey val="0"/>
          <c:showVal val="0"/>
          <c:showCatName val="1"/>
          <c:showSerName val="0"/>
          <c:showPercent val="0"/>
          <c:showBubbleSize val="0"/>
          <c:showLeaderLines val="0"/>
        </c:dLbls>
        <c:firstSliceAng val="148"/>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277777777777775E-2"/>
                  <c:y val="-6.8246187363834407E-2"/>
                </c:manualLayout>
              </c:layout>
              <c:dLblPos val="r"/>
              <c:showLegendKey val="0"/>
              <c:showVal val="1"/>
              <c:showCatName val="0"/>
              <c:showSerName val="0"/>
              <c:showPercent val="0"/>
              <c:showBubbleSize val="0"/>
            </c:dLbl>
            <c:dLbl>
              <c:idx val="3"/>
              <c:layout>
                <c:manualLayout>
                  <c:x val="-3.1166666666666665E-2"/>
                  <c:y val="-5.7352941176470586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17</c:v>
                </c:pt>
                <c:pt idx="1">
                  <c:v>24</c:v>
                </c:pt>
                <c:pt idx="2">
                  <c:v>15</c:v>
                </c:pt>
                <c:pt idx="3">
                  <c:v>20</c:v>
                </c:pt>
                <c:pt idx="4">
                  <c:v>14</c:v>
                </c:pt>
              </c:numCache>
            </c:numRef>
          </c:val>
          <c:smooth val="0"/>
        </c:ser>
        <c:dLbls>
          <c:showLegendKey val="0"/>
          <c:showVal val="0"/>
          <c:showCatName val="0"/>
          <c:showSerName val="0"/>
          <c:showPercent val="0"/>
          <c:showBubbleSize val="0"/>
        </c:dLbls>
        <c:marker val="1"/>
        <c:smooth val="0"/>
        <c:axId val="105739392"/>
        <c:axId val="105740928"/>
      </c:lineChart>
      <c:catAx>
        <c:axId val="1057393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740928"/>
        <c:crosses val="autoZero"/>
        <c:auto val="1"/>
        <c:lblAlgn val="ctr"/>
        <c:lblOffset val="100"/>
        <c:noMultiLvlLbl val="0"/>
      </c:catAx>
      <c:valAx>
        <c:axId val="105740928"/>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5739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0"/>
              <c:layout>
                <c:manualLayout>
                  <c:x val="-4.2277777777777775E-2"/>
                  <c:y val="-7.9139433551198249E-2"/>
                </c:manualLayout>
              </c:layout>
              <c:dLblPos val="r"/>
              <c:showLegendKey val="0"/>
              <c:showVal val="1"/>
              <c:showCatName val="0"/>
              <c:showSerName val="0"/>
              <c:showPercent val="0"/>
              <c:showBubbleSize val="0"/>
            </c:dLbl>
            <c:dLbl>
              <c:idx val="1"/>
              <c:layout>
                <c:manualLayout>
                  <c:x val="-3.1166666666666665E-2"/>
                  <c:y val="-8.0314960629921259E-2"/>
                </c:manualLayout>
              </c:layout>
              <c:dLblPos val="r"/>
              <c:showLegendKey val="0"/>
              <c:showVal val="1"/>
              <c:showCatName val="0"/>
              <c:showSerName val="0"/>
              <c:showPercent val="0"/>
              <c:showBubbleSize val="0"/>
            </c:dLbl>
            <c:dLbl>
              <c:idx val="2"/>
              <c:layout>
                <c:manualLayout>
                  <c:x val="-4.2277777777777775E-2"/>
                  <c:y val="-7.3692810457516245E-2"/>
                </c:manualLayout>
              </c:layout>
              <c:dLblPos val="r"/>
              <c:showLegendKey val="0"/>
              <c:showVal val="1"/>
              <c:showCatName val="0"/>
              <c:showSerName val="0"/>
              <c:showPercent val="0"/>
              <c:showBubbleSize val="0"/>
            </c:dLbl>
            <c:dLbl>
              <c:idx val="3"/>
              <c:layout>
                <c:manualLayout>
                  <c:x val="-4.2277777777777775E-2"/>
                  <c:y val="-9.5479302832244012E-2"/>
                </c:manualLayout>
              </c:layout>
              <c:dLblPos val="r"/>
              <c:showLegendKey val="0"/>
              <c:showVal val="1"/>
              <c:showCatName val="0"/>
              <c:showSerName val="0"/>
              <c:showPercent val="0"/>
              <c:showBubbleSize val="0"/>
            </c:dLbl>
            <c:dLbl>
              <c:idx val="4"/>
              <c:layout>
                <c:manualLayout>
                  <c:x val="-3.3944444444444444E-2"/>
                  <c:y val="-9.5479302832244012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36</c:v>
                </c:pt>
                <c:pt idx="1">
                  <c:v>28</c:v>
                </c:pt>
                <c:pt idx="2">
                  <c:v>22</c:v>
                </c:pt>
                <c:pt idx="3">
                  <c:v>18</c:v>
                </c:pt>
                <c:pt idx="4">
                  <c:v>15</c:v>
                </c:pt>
              </c:numCache>
            </c:numRef>
          </c:val>
          <c:smooth val="0"/>
        </c:ser>
        <c:dLbls>
          <c:showLegendKey val="0"/>
          <c:showVal val="1"/>
          <c:showCatName val="0"/>
          <c:showSerName val="0"/>
          <c:showPercent val="0"/>
          <c:showBubbleSize val="0"/>
        </c:dLbls>
        <c:marker val="1"/>
        <c:smooth val="0"/>
        <c:axId val="105804928"/>
        <c:axId val="105816064"/>
      </c:lineChart>
      <c:catAx>
        <c:axId val="105804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816064"/>
        <c:crosses val="autoZero"/>
        <c:auto val="1"/>
        <c:lblAlgn val="ctr"/>
        <c:lblOffset val="100"/>
        <c:noMultiLvlLbl val="0"/>
      </c:catAx>
      <c:valAx>
        <c:axId val="105816064"/>
        <c:scaling>
          <c:orientation val="minMax"/>
          <c:min val="1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5804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15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Italy</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0966921286002042"/>
          <c:y val="2.9411764705882353E-2"/>
        </c:manualLayout>
      </c:layout>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9900"/>
              </a:solidFill>
              <a:scene3d>
                <a:camera prst="orthographicFront"/>
                <a:lightRig rig="threePt" dir="t"/>
              </a:scene3d>
              <a:sp3d>
                <a:bevelT w="63500" h="25400"/>
              </a:sp3d>
            </c:spPr>
          </c:dPt>
          <c:dPt>
            <c:idx val="4"/>
            <c:bubble3D val="0"/>
            <c:spPr>
              <a:solidFill>
                <a:srgbClr val="95C154"/>
              </a:solidFill>
              <a:scene3d>
                <a:camera prst="orthographicFront"/>
                <a:lightRig rig="threePt" dir="t"/>
              </a:scene3d>
              <a:sp3d>
                <a:bevelT w="63500" h="25400"/>
              </a:sp3d>
            </c:spPr>
          </c:dPt>
          <c:dLbls>
            <c:dLbl>
              <c:idx val="0"/>
              <c:layout>
                <c:manualLayout>
                  <c:x val="-4.429373653874661E-2"/>
                  <c:y val="-0.43830322680253203"/>
                </c:manualLayout>
              </c:layout>
              <c:dLblPos val="bestFit"/>
              <c:showLegendKey val="1"/>
              <c:showVal val="1"/>
              <c:showCatName val="1"/>
              <c:showSerName val="0"/>
              <c:showPercent val="0"/>
              <c:showBubbleSize val="0"/>
              <c:separator>
</c:separator>
            </c:dLbl>
            <c:dLbl>
              <c:idx val="1"/>
              <c:layout>
                <c:manualLayout>
                  <c:x val="-2.7687672761835002E-3"/>
                  <c:y val="5.8823529411764795E-2"/>
                </c:manualLayout>
              </c:layout>
              <c:dLblPos val="bestFit"/>
              <c:showLegendKey val="1"/>
              <c:showVal val="1"/>
              <c:showCatName val="1"/>
              <c:showSerName val="0"/>
              <c:showPercent val="0"/>
              <c:showBubbleSize val="0"/>
              <c:separator>
</c:separator>
            </c:dLbl>
            <c:dLbl>
              <c:idx val="2"/>
              <c:layout>
                <c:manualLayout>
                  <c:x val="-2.664085593951919E-2"/>
                  <c:y val="9.8038829705110395E-2"/>
                </c:manualLayout>
              </c:layout>
              <c:dLblPos val="bestFit"/>
              <c:showLegendKey val="1"/>
              <c:showVal val="1"/>
              <c:showCatName val="1"/>
              <c:showSerName val="0"/>
              <c:showPercent val="0"/>
              <c:showBubbleSize val="0"/>
              <c:separator>
</c:separator>
            </c:dLbl>
            <c:dLbl>
              <c:idx val="3"/>
              <c:layout>
                <c:manualLayout>
                  <c:x val="-3.5991140642303431E-2"/>
                  <c:y val="3.9215686274509803E-2"/>
                </c:manualLayout>
              </c:layout>
              <c:dLblPos val="bestFit"/>
              <c:showLegendKey val="1"/>
              <c:showVal val="1"/>
              <c:showCatName val="1"/>
              <c:showSerName val="0"/>
              <c:showPercent val="0"/>
              <c:showBubbleSize val="0"/>
              <c:separator>
</c:separator>
            </c:dLbl>
            <c:dLbl>
              <c:idx val="4"/>
              <c:layout>
                <c:manualLayout>
                  <c:x val="1.3842746400885935E-2"/>
                  <c:y val="9.8039215686274508E-3"/>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Blad1!$A$4:$A$8</c:f>
              <c:strCache>
                <c:ptCount val="5"/>
                <c:pt idx="0">
                  <c:v>Internal market, industry, entrepreneurship and SMEs</c:v>
                </c:pt>
                <c:pt idx="1">
                  <c:v>Financial stability, financial services and capital markets union</c:v>
                </c:pt>
                <c:pt idx="2">
                  <c:v>Health and food safety</c:v>
                </c:pt>
                <c:pt idx="3">
                  <c:v>Mobility and transport</c:v>
                </c:pt>
                <c:pt idx="4">
                  <c:v>Communication networks</c:v>
                </c:pt>
              </c:strCache>
            </c:strRef>
          </c:cat>
          <c:val>
            <c:numRef>
              <c:f>Blad1!$B$4:$B$8</c:f>
              <c:numCache>
                <c:formatCode>General</c:formatCode>
                <c:ptCount val="5"/>
                <c:pt idx="0">
                  <c:v>9</c:v>
                </c:pt>
                <c:pt idx="1">
                  <c:v>2</c:v>
                </c:pt>
                <c:pt idx="2">
                  <c:v>1</c:v>
                </c:pt>
                <c:pt idx="3">
                  <c:v>1</c:v>
                </c:pt>
                <c:pt idx="4">
                  <c:v>1</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36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3.6418732782369144E-2"/>
                  <c:y val="-6.5810502283105018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83</c:v>
                </c:pt>
                <c:pt idx="1">
                  <c:v>85</c:v>
                </c:pt>
                <c:pt idx="2">
                  <c:v>62</c:v>
                </c:pt>
                <c:pt idx="3">
                  <c:v>43</c:v>
                </c:pt>
                <c:pt idx="4">
                  <c:v>62</c:v>
                </c:pt>
              </c:numCache>
            </c:numRef>
          </c:val>
          <c:smooth val="0"/>
        </c:ser>
        <c:dLbls>
          <c:showLegendKey val="0"/>
          <c:showVal val="0"/>
          <c:showCatName val="0"/>
          <c:showSerName val="0"/>
          <c:showPercent val="0"/>
          <c:showBubbleSize val="0"/>
        </c:dLbls>
        <c:marker val="1"/>
        <c:smooth val="0"/>
        <c:axId val="105962880"/>
        <c:axId val="106091648"/>
      </c:lineChart>
      <c:catAx>
        <c:axId val="1059628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091648"/>
        <c:crosses val="autoZero"/>
        <c:auto val="1"/>
        <c:lblAlgn val="ctr"/>
        <c:lblOffset val="100"/>
        <c:noMultiLvlLbl val="0"/>
      </c:catAx>
      <c:valAx>
        <c:axId val="1060916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5962880"/>
        <c:crosses val="autoZero"/>
        <c:crossBetween val="between"/>
      </c:valAx>
      <c:spPr>
        <a:noFill/>
        <a:ln>
          <a:noFill/>
        </a:ln>
        <a:effectLst/>
        <a:scene3d>
          <a:camera prst="orthographicFront"/>
          <a:lightRig rig="threePt" dir="t"/>
        </a:scene3d>
        <a:sp3d>
          <a:bevelT w="6350"/>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62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Cyprus</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5398096896303801"/>
          <c:y val="3.1537450722733243E-2"/>
        </c:manualLayout>
      </c:layout>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2.4745978534861362E-2"/>
                  <c:y val="0.12087069557945636"/>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8.2508250825082501E-3"/>
                  <c:y val="5.2787368455914623E-3"/>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2.4778462098178321E-2"/>
                  <c:y val="-3.6803778865181283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1.3751591694602531E-2"/>
                  <c:y val="6.3091482649842268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Financial stability, financial services and capital markets union </c:v>
                </c:pt>
                <c:pt idx="1">
                  <c:v>Environment</c:v>
                </c:pt>
                <c:pt idx="2">
                  <c:v>Justice and consumers</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16</c:v>
                </c:pt>
                <c:pt idx="1">
                  <c:v>10</c:v>
                </c:pt>
                <c:pt idx="2">
                  <c:v>8</c:v>
                </c:pt>
                <c:pt idx="3">
                  <c:v>28</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332"/>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2137320044296787E-2"/>
                  <c:y val="-5.9693877551020402E-2"/>
                </c:manualLayout>
              </c:layout>
              <c:dLblPos val="r"/>
              <c:showLegendKey val="0"/>
              <c:showVal val="1"/>
              <c:showCatName val="0"/>
              <c:showSerName val="0"/>
              <c:showPercent val="0"/>
              <c:showBubbleSize val="0"/>
            </c:dLbl>
            <c:dLbl>
              <c:idx val="2"/>
              <c:layout>
                <c:manualLayout>
                  <c:x val="-5.0184642617347251E-2"/>
                  <c:y val="6.9280179263306374E-2"/>
                </c:manualLayout>
              </c:layout>
              <c:dLblPos val="r"/>
              <c:showLegendKey val="0"/>
              <c:showVal val="1"/>
              <c:showCatName val="0"/>
              <c:showSerName val="0"/>
              <c:showPercent val="0"/>
              <c:showBubbleSize val="0"/>
            </c:dLbl>
            <c:dLbl>
              <c:idx val="3"/>
              <c:layout>
                <c:manualLayout>
                  <c:x val="-4.4902163392366655E-2"/>
                  <c:y val="8.7377470673308699E-2"/>
                </c:manualLayout>
              </c:layout>
              <c:dLblPos val="r"/>
              <c:showLegendKey val="0"/>
              <c:showVal val="1"/>
              <c:showCatName val="0"/>
              <c:showSerName val="0"/>
              <c:showPercent val="0"/>
              <c:showBubbleSize val="0"/>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38</c:v>
                </c:pt>
                <c:pt idx="1">
                  <c:v>43</c:v>
                </c:pt>
                <c:pt idx="2">
                  <c:v>31</c:v>
                </c:pt>
                <c:pt idx="3">
                  <c:v>31</c:v>
                </c:pt>
                <c:pt idx="4">
                  <c:v>27</c:v>
                </c:pt>
              </c:numCache>
            </c:numRef>
          </c:val>
          <c:smooth val="0"/>
        </c:ser>
        <c:dLbls>
          <c:showLegendKey val="0"/>
          <c:showVal val="0"/>
          <c:showCatName val="0"/>
          <c:showSerName val="0"/>
          <c:showPercent val="0"/>
          <c:showBubbleSize val="0"/>
        </c:dLbls>
        <c:marker val="1"/>
        <c:smooth val="0"/>
        <c:axId val="106196352"/>
        <c:axId val="106206336"/>
      </c:lineChart>
      <c:catAx>
        <c:axId val="106196352"/>
        <c:scaling>
          <c:orientation val="minMax"/>
        </c:scaling>
        <c:delete val="0"/>
        <c:axPos val="b"/>
        <c:numFmt formatCode="General" sourceLinked="1"/>
        <c:majorTickMark val="none"/>
        <c:minorTickMark val="none"/>
        <c:tickLblPos val="nextTo"/>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206336"/>
        <c:crosses val="autoZero"/>
        <c:auto val="1"/>
        <c:lblAlgn val="ctr"/>
        <c:lblOffset val="100"/>
        <c:noMultiLvlLbl val="0"/>
      </c:catAx>
      <c:valAx>
        <c:axId val="106206336"/>
        <c:scaling>
          <c:orientation val="minMax"/>
          <c:min val="20"/>
        </c:scaling>
        <c:delete val="1"/>
        <c:axPos val="l"/>
        <c:majorGridlines>
          <c:spPr>
            <a:ln w="9526" cap="flat" cmpd="sng" algn="ctr">
              <a:solidFill>
                <a:schemeClr val="tx1">
                  <a:lumMod val="15000"/>
                  <a:lumOff val="85000"/>
                </a:schemeClr>
              </a:solidFill>
              <a:round/>
            </a:ln>
            <a:effectLst/>
          </c:spPr>
        </c:majorGridlines>
        <c:numFmt formatCode="General" sourceLinked="1"/>
        <c:majorTickMark val="out"/>
        <c:minorTickMark val="none"/>
        <c:tickLblPos val="nextTo"/>
        <c:crossAx val="106196352"/>
        <c:crosses val="autoZero"/>
        <c:crossBetween val="between"/>
      </c:valAx>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2137320044296787E-2"/>
                  <c:y val="-5.9693877551020402E-2"/>
                </c:manualLayout>
              </c:layout>
              <c:dLblPos val="r"/>
              <c:showLegendKey val="0"/>
              <c:showVal val="1"/>
              <c:showCatName val="0"/>
              <c:showSerName val="0"/>
              <c:showPercent val="0"/>
              <c:showBubbleSize val="0"/>
            </c:dLbl>
            <c:dLbl>
              <c:idx val="2"/>
              <c:layout>
                <c:manualLayout>
                  <c:x val="-5.0184642617347251E-2"/>
                  <c:y val="6.9280179263306374E-2"/>
                </c:manualLayout>
              </c:layout>
              <c:dLblPos val="r"/>
              <c:showLegendKey val="0"/>
              <c:showVal val="1"/>
              <c:showCatName val="0"/>
              <c:showSerName val="0"/>
              <c:showPercent val="0"/>
              <c:showBubbleSize val="0"/>
            </c:dLbl>
            <c:dLbl>
              <c:idx val="3"/>
              <c:layout>
                <c:manualLayout>
                  <c:x val="-4.4902163392366655E-2"/>
                  <c:y val="8.7377470673308699E-2"/>
                </c:manualLayout>
              </c:layout>
              <c:dLblPos val="r"/>
              <c:showLegendKey val="0"/>
              <c:showVal val="1"/>
              <c:showCatName val="0"/>
              <c:showSerName val="0"/>
              <c:showPercent val="0"/>
              <c:showBubbleSize val="0"/>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32</c:v>
                </c:pt>
                <c:pt idx="1">
                  <c:v>40</c:v>
                </c:pt>
                <c:pt idx="2">
                  <c:v>37</c:v>
                </c:pt>
                <c:pt idx="3">
                  <c:v>36</c:v>
                </c:pt>
                <c:pt idx="4">
                  <c:v>40</c:v>
                </c:pt>
              </c:numCache>
            </c:numRef>
          </c:val>
          <c:smooth val="0"/>
        </c:ser>
        <c:dLbls>
          <c:showLegendKey val="0"/>
          <c:showVal val="0"/>
          <c:showCatName val="0"/>
          <c:showSerName val="0"/>
          <c:showPercent val="0"/>
          <c:showBubbleSize val="0"/>
        </c:dLbls>
        <c:marker val="1"/>
        <c:smooth val="0"/>
        <c:axId val="106251008"/>
        <c:axId val="106252544"/>
      </c:lineChart>
      <c:catAx>
        <c:axId val="106251008"/>
        <c:scaling>
          <c:orientation val="minMax"/>
        </c:scaling>
        <c:delete val="0"/>
        <c:axPos val="b"/>
        <c:numFmt formatCode="General" sourceLinked="1"/>
        <c:majorTickMark val="none"/>
        <c:minorTickMark val="none"/>
        <c:tickLblPos val="nextTo"/>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252544"/>
        <c:crosses val="autoZero"/>
        <c:auto val="1"/>
        <c:lblAlgn val="ctr"/>
        <c:lblOffset val="100"/>
        <c:noMultiLvlLbl val="0"/>
      </c:catAx>
      <c:valAx>
        <c:axId val="106252544"/>
        <c:scaling>
          <c:orientation val="minMax"/>
          <c:min val="20"/>
        </c:scaling>
        <c:delete val="1"/>
        <c:axPos val="l"/>
        <c:majorGridlines>
          <c:spPr>
            <a:ln w="9526" cap="flat" cmpd="sng" algn="ctr">
              <a:solidFill>
                <a:schemeClr val="tx1">
                  <a:lumMod val="15000"/>
                  <a:lumOff val="85000"/>
                </a:schemeClr>
              </a:solidFill>
              <a:round/>
            </a:ln>
            <a:effectLst/>
          </c:spPr>
        </c:majorGridlines>
        <c:numFmt formatCode="General" sourceLinked="1"/>
        <c:majorTickMark val="out"/>
        <c:minorTickMark val="none"/>
        <c:tickLblPos val="nextTo"/>
        <c:crossAx val="106251008"/>
        <c:crosses val="autoZero"/>
        <c:crossBetween val="between"/>
      </c:valAx>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27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Cyprus</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996633"/>
              </a:solidFill>
              <a:scene3d>
                <a:camera prst="orthographicFront"/>
                <a:lightRig rig="threePt" dir="t"/>
              </a:scene3d>
              <a:sp3d>
                <a:bevelT w="63500" h="25400"/>
              </a:sp3d>
            </c:spPr>
          </c:dPt>
          <c:dPt>
            <c:idx val="5"/>
            <c:bubble3D val="0"/>
            <c:spPr>
              <a:solidFill>
                <a:srgbClr val="A20000"/>
              </a:solidFill>
              <a:scene3d>
                <a:camera prst="orthographicFront"/>
                <a:lightRig rig="threePt" dir="t"/>
              </a:scene3d>
              <a:sp3d>
                <a:bevelT w="63500" h="25400"/>
              </a:sp3d>
            </c:spPr>
          </c:dPt>
          <c:dPt>
            <c:idx val="6"/>
            <c:bubble3D val="0"/>
            <c:spPr>
              <a:solidFill>
                <a:srgbClr val="808AA4"/>
              </a:solidFill>
              <a:scene3d>
                <a:camera prst="orthographicFront"/>
                <a:lightRig rig="threePt" dir="t"/>
              </a:scene3d>
              <a:sp3d>
                <a:bevelT w="63500" h="25400"/>
              </a:sp3d>
            </c:spPr>
          </c:dPt>
          <c:dLbls>
            <c:dLbl>
              <c:idx val="0"/>
              <c:layout>
                <c:manualLayout>
                  <c:x val="1.3708730487636414E-2"/>
                  <c:y val="-6.1072834645669337E-2"/>
                </c:manualLayout>
              </c:layout>
              <c:dLblPos val="bestFit"/>
              <c:showLegendKey val="1"/>
              <c:showVal val="1"/>
              <c:showCatName val="1"/>
              <c:showSerName val="0"/>
              <c:showPercent val="0"/>
              <c:showBubbleSize val="0"/>
              <c:separator>
</c:separator>
            </c:dLbl>
            <c:dLbl>
              <c:idx val="1"/>
              <c:layout>
                <c:manualLayout>
                  <c:x val="-4.1120363655200998E-2"/>
                  <c:y val="7.6184303181614496E-2"/>
                </c:manualLayout>
              </c:layout>
              <c:dLblPos val="bestFit"/>
              <c:showLegendKey val="1"/>
              <c:showVal val="1"/>
              <c:showCatName val="1"/>
              <c:showSerName val="0"/>
              <c:showPercent val="0"/>
              <c:showBubbleSize val="0"/>
              <c:separator>
</c:separator>
            </c:dLbl>
            <c:dLbl>
              <c:idx val="2"/>
              <c:layout>
                <c:manualLayout>
                  <c:x val="-2.4674290302527973E-2"/>
                  <c:y val="1.5305918315088663E-2"/>
                </c:manualLayout>
              </c:layout>
              <c:dLblPos val="bestFit"/>
              <c:showLegendKey val="1"/>
              <c:showVal val="1"/>
              <c:showCatName val="1"/>
              <c:showSerName val="0"/>
              <c:showPercent val="0"/>
              <c:showBubbleSize val="0"/>
              <c:separator>
</c:separator>
            </c:dLbl>
            <c:dLbl>
              <c:idx val="3"/>
              <c:layout>
                <c:manualLayout>
                  <c:x val="-1.9186653888658655E-2"/>
                  <c:y val="1.413961974265412E-2"/>
                </c:manualLayout>
              </c:layout>
              <c:spPr/>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4"/>
              <c:layout>
                <c:manualLayout>
                  <c:x val="8.2236842105263153E-3"/>
                  <c:y val="-2.032520325203252E-2"/>
                </c:manualLayout>
              </c:layout>
              <c:dLblPos val="bestFit"/>
              <c:showLegendKey val="1"/>
              <c:showVal val="1"/>
              <c:showCatName val="1"/>
              <c:showSerName val="0"/>
              <c:showPercent val="0"/>
              <c:showBubbleSize val="0"/>
              <c:separator>
</c:separator>
            </c:dLbl>
            <c:dLbl>
              <c:idx val="5"/>
              <c:layout>
                <c:manualLayout>
                  <c:x val="1.6447368421052631E-2"/>
                  <c:y val="0"/>
                </c:manualLayout>
              </c:layout>
              <c:dLblPos val="bestFit"/>
              <c:showLegendKey val="1"/>
              <c:showVal val="1"/>
              <c:showCatName val="1"/>
              <c:showSerName val="0"/>
              <c:showPercent val="0"/>
              <c:showBubbleSize val="0"/>
              <c:separator>
</c:separator>
            </c:dLbl>
            <c:dLbl>
              <c:idx val="6"/>
              <c:layout>
                <c:manualLayout>
                  <c:x val="-3.0153508771929825E-2"/>
                  <c:y val="-5.589430894308943E-2"/>
                </c:manualLayout>
              </c:layout>
              <c:dLblPos val="bestFit"/>
              <c:showLegendKey val="1"/>
              <c:showVal val="1"/>
              <c:showCatName val="1"/>
              <c:showSerName val="0"/>
              <c:showPercent val="0"/>
              <c:showBubbleSize val="0"/>
              <c:separator>
</c:separator>
            </c:dLbl>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Blad1!$A$3:$A$9</c:f>
              <c:strCache>
                <c:ptCount val="7"/>
                <c:pt idx="0">
                  <c:v>Environment</c:v>
                </c:pt>
                <c:pt idx="1">
                  <c:v>Mobility and transport</c:v>
                </c:pt>
                <c:pt idx="2">
                  <c:v>Energy</c:v>
                </c:pt>
                <c:pt idx="3">
                  <c:v>Internal market, industry, entrepreneurship and SMEs</c:v>
                </c:pt>
                <c:pt idx="4">
                  <c:v>Justice and consumers</c:v>
                </c:pt>
                <c:pt idx="5">
                  <c:v>Taxation and customs</c:v>
                </c:pt>
                <c:pt idx="6">
                  <c:v>Other</c:v>
                </c:pt>
              </c:strCache>
              <c:extLst>
                <c:ext xmlns:c15="http://schemas.microsoft.com/office/drawing/2012/chart" uri="{02D57815-91ED-43cb-92C2-25804820EDAC}">
                  <c15:fullRef>
                    <c15:sqref>Blad1!$A$2:$A$6</c15:sqref>
                  </c15:fullRef>
                </c:ext>
              </c:extLst>
            </c:strRef>
          </c:cat>
          <c:val>
            <c:numRef>
              <c:f>Blad1!$B$3:$B$9</c:f>
              <c:numCache>
                <c:formatCode>General</c:formatCode>
                <c:ptCount val="7"/>
                <c:pt idx="0">
                  <c:v>6</c:v>
                </c:pt>
                <c:pt idx="1">
                  <c:v>4</c:v>
                </c:pt>
                <c:pt idx="2">
                  <c:v>3</c:v>
                </c:pt>
                <c:pt idx="3">
                  <c:v>3</c:v>
                </c:pt>
                <c:pt idx="4">
                  <c:v>3</c:v>
                </c:pt>
                <c:pt idx="5">
                  <c:v>3</c:v>
                </c:pt>
                <c:pt idx="6">
                  <c:v>5</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41"/>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3.9368770764119598E-2"/>
                  <c:y val="-5.4024943310657603E-2"/>
                </c:manualLayout>
              </c:layout>
              <c:dLblPos val="r"/>
              <c:showLegendKey val="0"/>
              <c:showVal val="1"/>
              <c:showCatName val="0"/>
              <c:showSerName val="0"/>
              <c:showPercent val="0"/>
              <c:showBubbleSize val="0"/>
            </c:dLbl>
            <c:dLbl>
              <c:idx val="2"/>
              <c:layout>
                <c:manualLayout>
                  <c:x val="-4.1878994776815691E-2"/>
                  <c:y val="6.3610798650168734E-2"/>
                </c:manualLayout>
              </c:layout>
              <c:dLblPos val="r"/>
              <c:showLegendKey val="0"/>
              <c:showVal val="1"/>
              <c:showCatName val="0"/>
              <c:showSerName val="0"/>
              <c:showPercent val="0"/>
              <c:showBubbleSize val="0"/>
            </c:dLbl>
            <c:dLbl>
              <c:idx val="3"/>
              <c:layout>
                <c:manualLayout>
                  <c:x val="-5.0439261952721026E-2"/>
                  <c:y val="7.0370667952220259E-2"/>
                </c:manualLayout>
              </c:layout>
              <c:dLblPos val="r"/>
              <c:showLegendKey val="0"/>
              <c:showVal val="1"/>
              <c:showCatName val="0"/>
              <c:showSerName val="0"/>
              <c:showPercent val="0"/>
              <c:showBubbleSize val="0"/>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Blad1!$A$3:$A$6</c:f>
              <c:numCache>
                <c:formatCode>General</c:formatCode>
                <c:ptCount val="4"/>
                <c:pt idx="0">
                  <c:v>2012</c:v>
                </c:pt>
                <c:pt idx="1">
                  <c:v>2013</c:v>
                </c:pt>
                <c:pt idx="2">
                  <c:v>2014</c:v>
                </c:pt>
                <c:pt idx="3">
                  <c:v>2015</c:v>
                </c:pt>
              </c:numCache>
            </c:numRef>
          </c:cat>
          <c:val>
            <c:numRef>
              <c:f>Blad1!$B$3:$B$6</c:f>
              <c:numCache>
                <c:formatCode>General</c:formatCode>
                <c:ptCount val="4"/>
                <c:pt idx="0">
                  <c:v>65</c:v>
                </c:pt>
                <c:pt idx="1">
                  <c:v>44</c:v>
                </c:pt>
                <c:pt idx="2">
                  <c:v>44</c:v>
                </c:pt>
                <c:pt idx="3">
                  <c:v>35</c:v>
                </c:pt>
              </c:numCache>
            </c:numRef>
          </c:val>
          <c:smooth val="0"/>
        </c:ser>
        <c:dLbls>
          <c:showLegendKey val="0"/>
          <c:showVal val="0"/>
          <c:showCatName val="0"/>
          <c:showSerName val="0"/>
          <c:showPercent val="0"/>
          <c:showBubbleSize val="0"/>
        </c:dLbls>
        <c:marker val="1"/>
        <c:smooth val="0"/>
        <c:axId val="82889728"/>
        <c:axId val="82895616"/>
      </c:lineChart>
      <c:catAx>
        <c:axId val="82889728"/>
        <c:scaling>
          <c:orientation val="minMax"/>
        </c:scaling>
        <c:delete val="0"/>
        <c:axPos val="b"/>
        <c:numFmt formatCode="General" sourceLinked="1"/>
        <c:majorTickMark val="none"/>
        <c:minorTickMark val="none"/>
        <c:tickLblPos val="nextTo"/>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2895616"/>
        <c:crosses val="autoZero"/>
        <c:auto val="1"/>
        <c:lblAlgn val="ctr"/>
        <c:lblOffset val="100"/>
        <c:noMultiLvlLbl val="0"/>
      </c:catAx>
      <c:valAx>
        <c:axId val="82895616"/>
        <c:scaling>
          <c:orientation val="minMax"/>
          <c:min val="20"/>
        </c:scaling>
        <c:delete val="1"/>
        <c:axPos val="l"/>
        <c:majorGridlines>
          <c:spPr>
            <a:ln w="9526" cap="flat" cmpd="sng" algn="ctr">
              <a:solidFill>
                <a:schemeClr val="tx1">
                  <a:lumMod val="15000"/>
                  <a:lumOff val="85000"/>
                </a:schemeClr>
              </a:solidFill>
              <a:round/>
            </a:ln>
            <a:effectLst/>
          </c:spPr>
        </c:majorGridlines>
        <c:numFmt formatCode="General" sourceLinked="1"/>
        <c:majorTickMark val="out"/>
        <c:minorTickMark val="none"/>
        <c:tickLblPos val="nextTo"/>
        <c:crossAx val="82889728"/>
        <c:crosses val="autoZero"/>
        <c:crossBetween val="between"/>
      </c:valAx>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4.4980587909040491E-2"/>
                  <c:y val="-5.4770114942528737E-2"/>
                </c:manualLayout>
              </c:layout>
              <c:dLblPos val="r"/>
              <c:showLegendKey val="0"/>
              <c:showVal val="1"/>
              <c:showCatName val="0"/>
              <c:showSerName val="0"/>
              <c:showPercent val="0"/>
              <c:showBubbleSize val="0"/>
            </c:dLbl>
            <c:dLbl>
              <c:idx val="3"/>
              <c:layout>
                <c:manualLayout>
                  <c:x val="-4.220743205768164E-2"/>
                  <c:y val="8.3160919540229888E-2"/>
                </c:manualLayout>
              </c:layout>
              <c:dLblPos val="r"/>
              <c:showLegendKey val="0"/>
              <c:showVal val="1"/>
              <c:showCatName val="0"/>
              <c:showSerName val="0"/>
              <c:showPercent val="0"/>
              <c:showBubbleSize val="0"/>
            </c:dLbl>
            <c:dLbl>
              <c:idx val="4"/>
              <c:layout>
                <c:manualLayout>
                  <c:x val="-4.220743205768164E-2"/>
                  <c:y val="-6.0517241379310319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60</c:v>
                </c:pt>
                <c:pt idx="1">
                  <c:v>66</c:v>
                </c:pt>
                <c:pt idx="2">
                  <c:v>93</c:v>
                </c:pt>
                <c:pt idx="3">
                  <c:v>73</c:v>
                </c:pt>
                <c:pt idx="4">
                  <c:v>81</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106452096"/>
        <c:axId val="106453632"/>
      </c:lineChart>
      <c:catAx>
        <c:axId val="106452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453632"/>
        <c:crosses val="autoZero"/>
        <c:auto val="1"/>
        <c:lblAlgn val="ctr"/>
        <c:lblOffset val="100"/>
        <c:noMultiLvlLbl val="0"/>
      </c:catAx>
      <c:valAx>
        <c:axId val="106453632"/>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6452096"/>
        <c:crosses val="autoZero"/>
        <c:crossBetween val="between"/>
      </c:valAx>
      <c:spPr>
        <a:noFill/>
        <a:ln>
          <a:noFill/>
        </a:ln>
        <a:effectLst/>
      </c:spPr>
    </c:plotArea>
    <c:legend>
      <c:legendPos val="b"/>
      <c:legendEntry>
        <c:idx val="0"/>
        <c:delete val="1"/>
      </c:legendEntry>
      <c:layout>
        <c:manualLayout>
          <c:xMode val="edge"/>
          <c:yMode val="edge"/>
          <c:x val="4.4772492040824341E-2"/>
          <c:y val="0.76430310435333515"/>
          <c:w val="0.88826947953329416"/>
          <c:h val="0.23019413521585666"/>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75529847454589E-2"/>
          <c:y val="5.5722834645669288E-2"/>
          <c:w val="0.87779859464322363"/>
          <c:h val="0.69629112999947851"/>
        </c:manualLayout>
      </c:layout>
      <c:lineChart>
        <c:grouping val="standard"/>
        <c:varyColors val="0"/>
        <c:ser>
          <c:idx val="0"/>
          <c:order val="0"/>
          <c:tx>
            <c:strRef>
              <c:f>Blad1!$B$2</c:f>
              <c:strCache>
                <c:ptCount val="1"/>
                <c:pt idx="0">
                  <c:v>Cyprus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454387045213358E-2"/>
                  <c:y val="-5.2593818984547451E-2"/>
                </c:manualLayout>
              </c:layout>
              <c:dLblPos val="r"/>
              <c:showLegendKey val="0"/>
              <c:showVal val="1"/>
              <c:showCatName val="0"/>
              <c:showSerName val="0"/>
              <c:showPercent val="0"/>
              <c:showBubbleSize val="0"/>
            </c:dLbl>
            <c:dLbl>
              <c:idx val="1"/>
              <c:layout>
                <c:manualLayout>
                  <c:x val="-5.2863338006210125E-2"/>
                  <c:y val="6.8818984547461368E-2"/>
                </c:manualLayout>
              </c:layout>
              <c:dLblPos val="r"/>
              <c:showLegendKey val="0"/>
              <c:showVal val="1"/>
              <c:showCatName val="0"/>
              <c:showSerName val="0"/>
              <c:showPercent val="0"/>
              <c:showBubbleSize val="0"/>
            </c:dLbl>
            <c:dLbl>
              <c:idx val="2"/>
              <c:layout>
                <c:manualLayout>
                  <c:x val="-5.0090182154851275E-2"/>
                  <c:y val="-7.4668874172185443E-2"/>
                </c:manualLayout>
              </c:layout>
              <c:dLblPos val="r"/>
              <c:showLegendKey val="0"/>
              <c:showVal val="1"/>
              <c:showCatName val="0"/>
              <c:showSerName val="0"/>
              <c:showPercent val="0"/>
              <c:showBubbleSize val="0"/>
            </c:dLbl>
            <c:dLbl>
              <c:idx val="4"/>
              <c:layout>
                <c:manualLayout>
                  <c:x val="-5.5636493857568969E-2"/>
                  <c:y val="-5.8112582781456951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0.85</c:v>
                </c:pt>
                <c:pt idx="1">
                  <c:v>0.67</c:v>
                </c:pt>
                <c:pt idx="2">
                  <c:v>0.76</c:v>
                </c:pt>
                <c:pt idx="3">
                  <c:v>0.72</c:v>
                </c:pt>
                <c:pt idx="4">
                  <c:v>0.87</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0"/>
              <c:layout>
                <c:manualLayout>
                  <c:x val="-4.454387045213358E-2"/>
                  <c:y val="6.9150110375275936E-2"/>
                </c:manualLayout>
              </c:layout>
              <c:dLblPos val="r"/>
              <c:showLegendKey val="0"/>
              <c:showVal val="1"/>
              <c:showCatName val="0"/>
              <c:showSerName val="0"/>
              <c:showPercent val="0"/>
              <c:showBubbleSize val="0"/>
            </c:dLbl>
            <c:dLbl>
              <c:idx val="1"/>
              <c:layout>
                <c:manualLayout>
                  <c:x val="-5.5636493857568969E-2"/>
                  <c:y val="-7.433774834437086E-2"/>
                </c:manualLayout>
              </c:layout>
              <c:dLblPos val="r"/>
              <c:showLegendKey val="0"/>
              <c:showVal val="1"/>
              <c:showCatName val="0"/>
              <c:showSerName val="0"/>
              <c:showPercent val="0"/>
              <c:showBubbleSize val="0"/>
            </c:dLbl>
            <c:dLbl>
              <c:idx val="2"/>
              <c:layout>
                <c:manualLayout>
                  <c:x val="-4.7317026303492431E-2"/>
                  <c:y val="6.3631346578366499E-2"/>
                </c:manualLayout>
              </c:layout>
              <c:dLblPos val="r"/>
              <c:showLegendKey val="0"/>
              <c:showVal val="1"/>
              <c:showCatName val="0"/>
              <c:showSerName val="0"/>
              <c:showPercent val="0"/>
              <c:showBubbleSize val="0"/>
            </c:dLbl>
            <c:dLbl>
              <c:idx val="4"/>
              <c:layout>
                <c:manualLayout>
                  <c:x val="-5.5636493857568969E-2"/>
                  <c:y val="6.9150110375275936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106533632"/>
        <c:axId val="106535168"/>
      </c:lineChart>
      <c:catAx>
        <c:axId val="106533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535168"/>
        <c:crosses val="autoZero"/>
        <c:auto val="1"/>
        <c:lblAlgn val="ctr"/>
        <c:lblOffset val="100"/>
        <c:noMultiLvlLbl val="0"/>
      </c:catAx>
      <c:valAx>
        <c:axId val="10653516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6533632"/>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43</c:v>
                </c:pt>
                <c:pt idx="1">
                  <c:v>44</c:v>
                </c:pt>
                <c:pt idx="2">
                  <c:v>41</c:v>
                </c:pt>
                <c:pt idx="3">
                  <c:v>47</c:v>
                </c:pt>
                <c:pt idx="4">
                  <c:v>68</c:v>
                </c:pt>
              </c:numCache>
            </c:numRef>
          </c:val>
          <c:smooth val="0"/>
        </c:ser>
        <c:dLbls>
          <c:showLegendKey val="0"/>
          <c:showVal val="1"/>
          <c:showCatName val="0"/>
          <c:showSerName val="0"/>
          <c:showPercent val="0"/>
          <c:showBubbleSize val="0"/>
        </c:dLbls>
        <c:marker val="1"/>
        <c:smooth val="0"/>
        <c:axId val="106587264"/>
        <c:axId val="106602496"/>
      </c:lineChart>
      <c:catAx>
        <c:axId val="1065872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602496"/>
        <c:crosses val="autoZero"/>
        <c:auto val="1"/>
        <c:lblAlgn val="ctr"/>
        <c:lblOffset val="100"/>
        <c:noMultiLvlLbl val="0"/>
      </c:catAx>
      <c:valAx>
        <c:axId val="106602496"/>
        <c:scaling>
          <c:orientation val="minMax"/>
          <c:min val="3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6587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45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Cyprus</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olidFill>
              <a:srgbClr val="7030A0"/>
            </a:solidFill>
            <a:scene3d>
              <a:camera prst="orthographicFront"/>
              <a:lightRig rig="threePt" dir="t"/>
            </a:scene3d>
            <a:sp3d>
              <a:bevelT w="63500" h="25400"/>
            </a:sp3d>
          </c:spPr>
          <c:dPt>
            <c:idx val="0"/>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dPt>
          <c:dLbls>
            <c:dLbl>
              <c:idx val="0"/>
              <c:delete val="1"/>
              <c:extLst>
                <c:ext xmlns:c15="http://schemas.microsoft.com/office/drawing/2012/chart" uri="{CE6537A1-D6FC-4f65-9D91-7224C49458BB}"/>
              </c:extLst>
            </c:dLbl>
            <c:dLbl>
              <c:idx val="1"/>
              <c:layout>
                <c:manualLayout>
                  <c:x val="-3.0513885431542355E-2"/>
                  <c:y val="0.149543479196248"/>
                </c:manualLayout>
              </c:layout>
              <c:dLblPos val="bestFit"/>
              <c:showLegendKey val="1"/>
              <c:showVal val="1"/>
              <c:showCatName val="1"/>
              <c:showSerName val="0"/>
              <c:showPercent val="0"/>
              <c:showBubbleSize val="0"/>
              <c:separator>
</c:separator>
            </c:dLbl>
            <c:dLbl>
              <c:idx val="2"/>
              <c:layout>
                <c:manualLayout>
                  <c:x val="-2.4958402662229616E-2"/>
                  <c:y val="-3.2786885245901641E-2"/>
                </c:manualLayout>
              </c:layout>
              <c:dLblPos val="bestFit"/>
              <c:showLegendKey val="1"/>
              <c:showVal val="1"/>
              <c:showCatName val="1"/>
              <c:showSerName val="0"/>
              <c:showPercent val="0"/>
              <c:showBubbleSize val="0"/>
              <c:separator>
</c:separator>
            </c:dLbl>
            <c:dLbl>
              <c:idx val="3"/>
              <c:layout>
                <c:manualLayout>
                  <c:x val="2.0366973679038874E-2"/>
                  <c:y val="0"/>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6.6554211921513146E-2"/>
                  <c:y val="-0.14754098360655737"/>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Blad1!$A$2:$A$6</c:f>
              <c:strCache>
                <c:ptCount val="5"/>
                <c:pt idx="0">
                  <c:v>Policy Area</c:v>
                </c:pt>
                <c:pt idx="1">
                  <c:v>Internal market, industry, entrepreneurship and SMEs</c:v>
                </c:pt>
                <c:pt idx="2">
                  <c:v>Health and food safety</c:v>
                </c:pt>
                <c:pt idx="3">
                  <c:v>Financial stability, financial services and capital markets union</c:v>
                </c:pt>
                <c:pt idx="4">
                  <c:v>Other</c:v>
                </c:pt>
              </c:strCache>
            </c:strRef>
          </c:cat>
          <c:val>
            <c:numRef>
              <c:f>Blad1!$B$2:$B$6</c:f>
              <c:numCache>
                <c:formatCode>General</c:formatCode>
                <c:ptCount val="5"/>
                <c:pt idx="0">
                  <c:v>0</c:v>
                </c:pt>
                <c:pt idx="1">
                  <c:v>17</c:v>
                </c:pt>
                <c:pt idx="2">
                  <c:v>8</c:v>
                </c:pt>
                <c:pt idx="3">
                  <c:v>6</c:v>
                </c:pt>
                <c:pt idx="4">
                  <c:v>14</c:v>
                </c:pt>
              </c:numCache>
            </c:numRef>
          </c:val>
          <c:extLst/>
        </c:ser>
        <c:dLbls>
          <c:showLegendKey val="0"/>
          <c:showVal val="0"/>
          <c:showCatName val="1"/>
          <c:showSerName val="0"/>
          <c:showPercent val="0"/>
          <c:showBubbleSize val="0"/>
          <c:showLeaderLines val="0"/>
        </c:dLbls>
        <c:firstSliceAng val="262"/>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95954610151343E-2"/>
          <c:y val="5.3963421503949519E-2"/>
          <c:w val="0.91059955285517424"/>
          <c:h val="0.81885607701263097"/>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3.378557779780015E-2"/>
                  <c:y val="0.10481456993448338"/>
                </c:manualLayout>
              </c:layout>
              <c:dLblPos val="r"/>
              <c:showLegendKey val="0"/>
              <c:showVal val="1"/>
              <c:showCatName val="0"/>
              <c:showSerName val="0"/>
              <c:showPercent val="0"/>
              <c:showBubbleSize val="0"/>
            </c:dLbl>
            <c:dLbl>
              <c:idx val="2"/>
              <c:layout>
                <c:manualLayout>
                  <c:x val="-4.4831398562741848E-2"/>
                  <c:y val="7.9325198853960055E-2"/>
                </c:manualLayout>
              </c:layout>
              <c:dLblPos val="r"/>
              <c:showLegendKey val="0"/>
              <c:showVal val="1"/>
              <c:showCatName val="0"/>
              <c:showSerName val="0"/>
              <c:showPercent val="0"/>
              <c:showBubbleSize val="0"/>
            </c:dLbl>
            <c:dLbl>
              <c:idx val="4"/>
              <c:layout>
                <c:manualLayout>
                  <c:x val="-3.377556661138751E-2"/>
                  <c:y val="-9.2430025445292635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25</c:v>
                </c:pt>
                <c:pt idx="1">
                  <c:v>27</c:v>
                </c:pt>
                <c:pt idx="2">
                  <c:v>17</c:v>
                </c:pt>
                <c:pt idx="3">
                  <c:v>25</c:v>
                </c:pt>
                <c:pt idx="4">
                  <c:v>48</c:v>
                </c:pt>
              </c:numCache>
            </c:numRef>
          </c:val>
          <c:smooth val="0"/>
        </c:ser>
        <c:dLbls>
          <c:showLegendKey val="0"/>
          <c:showVal val="1"/>
          <c:showCatName val="0"/>
          <c:showSerName val="0"/>
          <c:showPercent val="0"/>
          <c:showBubbleSize val="0"/>
        </c:dLbls>
        <c:marker val="1"/>
        <c:smooth val="0"/>
        <c:axId val="106691200"/>
        <c:axId val="106722816"/>
      </c:lineChart>
      <c:catAx>
        <c:axId val="1066912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722816"/>
        <c:crosses val="autoZero"/>
        <c:auto val="1"/>
        <c:lblAlgn val="ctr"/>
        <c:lblOffset val="100"/>
        <c:noMultiLvlLbl val="0"/>
      </c:catAx>
      <c:valAx>
        <c:axId val="1067228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669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487532808398944E-2"/>
          <c:y val="4.7619047619047616E-2"/>
          <c:w val="0.91059955285517424"/>
          <c:h val="0.81885607701263097"/>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077451761315908E-2"/>
                  <c:y val="7.3007954158401958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24</c:v>
                </c:pt>
                <c:pt idx="1">
                  <c:v>28</c:v>
                </c:pt>
                <c:pt idx="2">
                  <c:v>30</c:v>
                </c:pt>
                <c:pt idx="3">
                  <c:v>38</c:v>
                </c:pt>
                <c:pt idx="4">
                  <c:v>44</c:v>
                </c:pt>
              </c:numCache>
            </c:numRef>
          </c:val>
          <c:smooth val="0"/>
        </c:ser>
        <c:dLbls>
          <c:showLegendKey val="0"/>
          <c:showVal val="1"/>
          <c:showCatName val="0"/>
          <c:showSerName val="0"/>
          <c:showPercent val="0"/>
          <c:showBubbleSize val="0"/>
        </c:dLbls>
        <c:marker val="1"/>
        <c:smooth val="0"/>
        <c:axId val="1888256"/>
        <c:axId val="1890944"/>
      </c:lineChart>
      <c:catAx>
        <c:axId val="1888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890944"/>
        <c:crosses val="autoZero"/>
        <c:auto val="1"/>
        <c:lblAlgn val="ctr"/>
        <c:lblOffset val="100"/>
        <c:noMultiLvlLbl val="0"/>
      </c:catAx>
      <c:valAx>
        <c:axId val="18909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8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44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Cyprus</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2.2155843703616649E-2"/>
                  <c:y val="0.1448273094303579"/>
                </c:manualLayout>
              </c:layout>
              <c:dLblPos val="bestFit"/>
              <c:showLegendKey val="1"/>
              <c:showVal val="1"/>
              <c:showCatName val="1"/>
              <c:showSerName val="0"/>
              <c:showPercent val="0"/>
              <c:showBubbleSize val="0"/>
              <c:separator>
</c:separator>
            </c:dLbl>
            <c:dLbl>
              <c:idx val="1"/>
              <c:layout>
                <c:manualLayout>
                  <c:x val="-3.321820468958793E-2"/>
                  <c:y val="-4.6426192138826684E-2"/>
                </c:manualLayout>
              </c:layout>
              <c:dLblPos val="bestFit"/>
              <c:showLegendKey val="1"/>
              <c:showVal val="1"/>
              <c:showCatName val="1"/>
              <c:showSerName val="0"/>
              <c:showPercent val="0"/>
              <c:showBubbleSize val="0"/>
              <c:separator>
</c:separator>
            </c:dLbl>
            <c:dLbl>
              <c:idx val="2"/>
              <c:layout>
                <c:manualLayout>
                  <c:x val="1.6766560896305873E-2"/>
                  <c:y val="0"/>
                </c:manualLayout>
              </c:layout>
              <c:dLblPos val="bestFit"/>
              <c:showLegendKey val="1"/>
              <c:showVal val="1"/>
              <c:showCatName val="1"/>
              <c:showSerName val="0"/>
              <c:showPercent val="0"/>
              <c:showBubbleSize val="0"/>
              <c:separator>
</c:separator>
            </c:dLbl>
            <c:dLbl>
              <c:idx val="3"/>
              <c:layout>
                <c:manualLayout>
                  <c:x val="-8.012257174320872E-2"/>
                  <c:y val="-0.127420998980632"/>
                </c:manualLayout>
              </c:layout>
              <c:dLblPos val="bestFit"/>
              <c:showLegendKey val="1"/>
              <c:showVal val="1"/>
              <c:showCatName val="1"/>
              <c:showSerName val="0"/>
              <c:showPercent val="0"/>
              <c:showBubbleSize val="0"/>
              <c:separator>
</c:separator>
            </c:dLbl>
            <c:dLbl>
              <c:idx val="4"/>
              <c:layout>
                <c:manualLayout>
                  <c:x val="5.2602436323366558E-2"/>
                  <c:y val="5.8823529411764684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Blad1!$A$4:$A$7</c:f>
              <c:strCache>
                <c:ptCount val="4"/>
                <c:pt idx="0">
                  <c:v>Internal market, industry, entrepreneurship and SMEs</c:v>
                </c:pt>
                <c:pt idx="1">
                  <c:v>Health and food safety</c:v>
                </c:pt>
                <c:pt idx="2">
                  <c:v>Financial stability, financial services and capital markets union</c:v>
                </c:pt>
                <c:pt idx="3">
                  <c:v>Other</c:v>
                </c:pt>
              </c:strCache>
            </c:strRef>
          </c:cat>
          <c:val>
            <c:numRef>
              <c:f>Blad1!$B$4:$B$7</c:f>
              <c:numCache>
                <c:formatCode>General</c:formatCode>
                <c:ptCount val="4"/>
                <c:pt idx="0">
                  <c:v>17</c:v>
                </c:pt>
                <c:pt idx="1">
                  <c:v>8</c:v>
                </c:pt>
                <c:pt idx="2">
                  <c:v>6</c:v>
                </c:pt>
                <c:pt idx="3">
                  <c:v>13</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258"/>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4980587909040491E-2"/>
                  <c:y val="-5.861008610086102E-2"/>
                </c:manualLayout>
              </c:layout>
              <c:dLblPos val="r"/>
              <c:showLegendKey val="0"/>
              <c:showVal val="1"/>
              <c:showCatName val="0"/>
              <c:showSerName val="0"/>
              <c:showPercent val="0"/>
              <c:showBubbleSize val="0"/>
            </c:dLbl>
            <c:dLbl>
              <c:idx val="2"/>
              <c:layout>
                <c:manualLayout>
                  <c:x val="-5.9722422384389968E-2"/>
                  <c:y val="7.5953743789406392E-2"/>
                </c:manualLayout>
              </c:layout>
              <c:dLblPos val="r"/>
              <c:showLegendKey val="0"/>
              <c:showVal val="1"/>
              <c:showCatName val="0"/>
              <c:showSerName val="0"/>
              <c:showPercent val="0"/>
              <c:showBubbleSize val="0"/>
            </c:dLbl>
            <c:dLbl>
              <c:idx val="4"/>
              <c:layout>
                <c:manualLayout>
                  <c:x val="-2.834165280088741E-2"/>
                  <c:y val="-8.321033210332103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17</c:v>
                </c:pt>
                <c:pt idx="1">
                  <c:v>29</c:v>
                </c:pt>
                <c:pt idx="2">
                  <c:v>18</c:v>
                </c:pt>
                <c:pt idx="3">
                  <c:v>17</c:v>
                </c:pt>
                <c:pt idx="4">
                  <c:v>35</c:v>
                </c:pt>
              </c:numCache>
            </c:numRef>
          </c:val>
          <c:smooth val="0"/>
        </c:ser>
        <c:dLbls>
          <c:showLegendKey val="0"/>
          <c:showVal val="1"/>
          <c:showCatName val="0"/>
          <c:showSerName val="0"/>
          <c:showPercent val="0"/>
          <c:showBubbleSize val="0"/>
        </c:dLbls>
        <c:marker val="1"/>
        <c:smooth val="0"/>
        <c:axId val="107427328"/>
        <c:axId val="107463040"/>
      </c:lineChart>
      <c:catAx>
        <c:axId val="1074273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7463040"/>
        <c:crosses val="autoZero"/>
        <c:auto val="1"/>
        <c:lblAlgn val="ctr"/>
        <c:lblOffset val="100"/>
        <c:noMultiLvlLbl val="0"/>
      </c:catAx>
      <c:valAx>
        <c:axId val="107463040"/>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7427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35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Latvia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1.3744878424850358E-2"/>
                  <c:y val="0.12612831913360989"/>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5.5005500550055009E-3"/>
                  <c:y val="2.6309231062205552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4.6780662318200321E-2"/>
                  <c:y val="-4.1398610662626162E-7"/>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1.65016501650165E-2"/>
                  <c:y val="-5.2576235541535225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4"/>
              <c:layout>
                <c:manualLayout>
                  <c:x val="5.5005500550055009E-3"/>
                  <c:y val="-6.8349106203995799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Blad1!$A$3:$A$7</c:f>
              <c:strCache>
                <c:ptCount val="5"/>
                <c:pt idx="0">
                  <c:v>Internal market, industry, entrepreneurship and SMEs</c:v>
                </c:pt>
                <c:pt idx="1">
                  <c:v>Taxation and customs</c:v>
                </c:pt>
                <c:pt idx="2">
                  <c:v>Justice and consumers</c:v>
                </c:pt>
                <c:pt idx="3">
                  <c:v>Regional and urban policy</c:v>
                </c:pt>
                <c:pt idx="4">
                  <c:v>Other</c:v>
                </c:pt>
              </c:strCache>
              <c:extLst>
                <c:ext xmlns:c15="http://schemas.microsoft.com/office/drawing/2012/chart" uri="{02D57815-91ED-43cb-92C2-25804820EDAC}">
                  <c15:fullRef>
                    <c15:sqref>Blad1!$A$2:$A$6</c15:sqref>
                  </c15:fullRef>
                </c:ext>
              </c:extLst>
            </c:strRef>
          </c:cat>
          <c:val>
            <c:numRef>
              <c:f>Blad1!$B$3:$B$7</c:f>
              <c:numCache>
                <c:formatCode>General</c:formatCode>
                <c:ptCount val="5"/>
                <c:pt idx="0">
                  <c:v>7</c:v>
                </c:pt>
                <c:pt idx="1">
                  <c:v>7</c:v>
                </c:pt>
                <c:pt idx="2">
                  <c:v>6</c:v>
                </c:pt>
                <c:pt idx="3">
                  <c:v>5</c:v>
                </c:pt>
                <c:pt idx="4">
                  <c:v>10</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346"/>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35</c:v>
                </c:pt>
                <c:pt idx="1">
                  <c:v>26</c:v>
                </c:pt>
                <c:pt idx="2">
                  <c:v>25</c:v>
                </c:pt>
                <c:pt idx="3">
                  <c:v>17</c:v>
                </c:pt>
                <c:pt idx="4">
                  <c:v>20</c:v>
                </c:pt>
              </c:numCache>
            </c:numRef>
          </c:val>
          <c:smooth val="0"/>
        </c:ser>
        <c:dLbls>
          <c:showLegendKey val="0"/>
          <c:showVal val="0"/>
          <c:showCatName val="0"/>
          <c:showSerName val="0"/>
          <c:showPercent val="0"/>
          <c:showBubbleSize val="0"/>
        </c:dLbls>
        <c:marker val="1"/>
        <c:smooth val="0"/>
        <c:axId val="107203584"/>
        <c:axId val="107209472"/>
      </c:lineChart>
      <c:catAx>
        <c:axId val="1072035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7209472"/>
        <c:crosses val="autoZero"/>
        <c:auto val="1"/>
        <c:lblAlgn val="ctr"/>
        <c:lblOffset val="100"/>
        <c:noMultiLvlLbl val="0"/>
      </c:catAx>
      <c:valAx>
        <c:axId val="1072094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7203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3.9368770764119598E-2"/>
                  <c:y val="-5.4024943310657603E-2"/>
                </c:manualLayout>
              </c:layout>
              <c:dLblPos val="r"/>
              <c:showLegendKey val="0"/>
              <c:showVal val="1"/>
              <c:showCatName val="0"/>
              <c:showSerName val="0"/>
              <c:showPercent val="0"/>
              <c:showBubbleSize val="0"/>
            </c:dLbl>
            <c:dLbl>
              <c:idx val="2"/>
              <c:layout>
                <c:manualLayout>
                  <c:x val="-4.1878994776815691E-2"/>
                  <c:y val="6.3610798650168734E-2"/>
                </c:manualLayout>
              </c:layout>
              <c:dLblPos val="r"/>
              <c:showLegendKey val="0"/>
              <c:showVal val="1"/>
              <c:showCatName val="0"/>
              <c:showSerName val="0"/>
              <c:showPercent val="0"/>
              <c:showBubbleSize val="0"/>
            </c:dLbl>
            <c:dLbl>
              <c:idx val="3"/>
              <c:layout>
                <c:manualLayout>
                  <c:x val="-5.0439261952721026E-2"/>
                  <c:y val="7.0370667952220259E-2"/>
                </c:manualLayout>
              </c:layout>
              <c:dLblPos val="r"/>
              <c:showLegendKey val="0"/>
              <c:showVal val="1"/>
              <c:showCatName val="0"/>
              <c:showSerName val="0"/>
              <c:showPercent val="0"/>
              <c:showBubbleSize val="0"/>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62</c:v>
                </c:pt>
                <c:pt idx="1">
                  <c:v>57</c:v>
                </c:pt>
                <c:pt idx="2">
                  <c:v>57</c:v>
                </c:pt>
                <c:pt idx="3">
                  <c:v>48</c:v>
                </c:pt>
                <c:pt idx="4">
                  <c:v>43</c:v>
                </c:pt>
              </c:numCache>
            </c:numRef>
          </c:val>
          <c:smooth val="0"/>
        </c:ser>
        <c:dLbls>
          <c:showLegendKey val="0"/>
          <c:showVal val="0"/>
          <c:showCatName val="0"/>
          <c:showSerName val="0"/>
          <c:showPercent val="0"/>
          <c:showBubbleSize val="0"/>
        </c:dLbls>
        <c:marker val="1"/>
        <c:smooth val="0"/>
        <c:axId val="82915328"/>
        <c:axId val="82916864"/>
      </c:lineChart>
      <c:catAx>
        <c:axId val="82915328"/>
        <c:scaling>
          <c:orientation val="minMax"/>
        </c:scaling>
        <c:delete val="0"/>
        <c:axPos val="b"/>
        <c:numFmt formatCode="General" sourceLinked="1"/>
        <c:majorTickMark val="none"/>
        <c:minorTickMark val="none"/>
        <c:tickLblPos val="nextTo"/>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2916864"/>
        <c:crosses val="autoZero"/>
        <c:auto val="1"/>
        <c:lblAlgn val="ctr"/>
        <c:lblOffset val="100"/>
        <c:noMultiLvlLbl val="0"/>
      </c:catAx>
      <c:valAx>
        <c:axId val="82916864"/>
        <c:scaling>
          <c:orientation val="minMax"/>
          <c:min val="20"/>
        </c:scaling>
        <c:delete val="1"/>
        <c:axPos val="l"/>
        <c:majorGridlines>
          <c:spPr>
            <a:ln w="9526" cap="flat" cmpd="sng" algn="ctr">
              <a:solidFill>
                <a:schemeClr val="tx1">
                  <a:lumMod val="15000"/>
                  <a:lumOff val="85000"/>
                </a:schemeClr>
              </a:solidFill>
              <a:round/>
            </a:ln>
            <a:effectLst/>
          </c:spPr>
        </c:majorGridlines>
        <c:numFmt formatCode="General" sourceLinked="1"/>
        <c:majorTickMark val="out"/>
        <c:minorTickMark val="none"/>
        <c:tickLblPos val="nextTo"/>
        <c:crossAx val="82915328"/>
        <c:crosses val="autoZero"/>
        <c:crossBetween val="between"/>
      </c:valAx>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28</c:v>
                </c:pt>
                <c:pt idx="1">
                  <c:v>24</c:v>
                </c:pt>
                <c:pt idx="2">
                  <c:v>23</c:v>
                </c:pt>
                <c:pt idx="3">
                  <c:v>21</c:v>
                </c:pt>
                <c:pt idx="4">
                  <c:v>26</c:v>
                </c:pt>
              </c:numCache>
            </c:numRef>
          </c:val>
          <c:smooth val="0"/>
        </c:ser>
        <c:dLbls>
          <c:showLegendKey val="0"/>
          <c:showVal val="0"/>
          <c:showCatName val="0"/>
          <c:showSerName val="0"/>
          <c:showPercent val="0"/>
          <c:showBubbleSize val="0"/>
        </c:dLbls>
        <c:marker val="1"/>
        <c:smooth val="0"/>
        <c:axId val="107323776"/>
        <c:axId val="107325312"/>
      </c:lineChart>
      <c:catAx>
        <c:axId val="1073237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7325312"/>
        <c:crosses val="autoZero"/>
        <c:auto val="1"/>
        <c:lblAlgn val="ctr"/>
        <c:lblOffset val="100"/>
        <c:noMultiLvlLbl val="0"/>
      </c:catAx>
      <c:valAx>
        <c:axId val="1073253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7323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20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Latvia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FF9900"/>
              </a:solidFill>
              <a:scene3d>
                <a:camera prst="orthographicFront"/>
                <a:lightRig rig="threePt" dir="t"/>
              </a:scene3d>
              <a:sp3d>
                <a:bevelT w="63500" h="25400"/>
              </a:sp3d>
            </c:spPr>
          </c:dPt>
          <c:dPt>
            <c:idx val="5"/>
            <c:bubble3D val="0"/>
            <c:spPr>
              <a:solidFill>
                <a:srgbClr val="E75113"/>
              </a:solidFill>
              <a:scene3d>
                <a:camera prst="orthographicFront"/>
                <a:lightRig rig="threePt" dir="t"/>
              </a:scene3d>
              <a:sp3d>
                <a:bevelT w="63500" h="25400"/>
              </a:sp3d>
            </c:spPr>
          </c:dPt>
          <c:dPt>
            <c:idx val="6"/>
            <c:bubble3D val="0"/>
            <c:spPr>
              <a:solidFill>
                <a:srgbClr val="996633"/>
              </a:solidFill>
              <a:scene3d>
                <a:camera prst="orthographicFront"/>
                <a:lightRig rig="threePt" dir="t"/>
              </a:scene3d>
              <a:sp3d>
                <a:bevelT w="63500" h="25400"/>
              </a:sp3d>
            </c:spPr>
          </c:dPt>
          <c:dPt>
            <c:idx val="7"/>
            <c:bubble3D val="0"/>
            <c:spPr>
              <a:solidFill>
                <a:srgbClr val="A20000"/>
              </a:solidFill>
              <a:scene3d>
                <a:camera prst="orthographicFront"/>
                <a:lightRig rig="threePt" dir="t"/>
              </a:scene3d>
              <a:sp3d>
                <a:bevelT w="63500" h="25400"/>
              </a:sp3d>
            </c:spPr>
          </c:dPt>
          <c:dLbls>
            <c:dLbl>
              <c:idx val="0"/>
              <c:layout>
                <c:manualLayout>
                  <c:x val="-2.1927234424644289E-2"/>
                  <c:y val="-0.17286145253184815"/>
                </c:manualLayout>
              </c:layout>
              <c:dLblPos val="bestFit"/>
              <c:showLegendKey val="1"/>
              <c:showVal val="1"/>
              <c:showCatName val="1"/>
              <c:showSerName val="0"/>
              <c:showPercent val="0"/>
              <c:showBubbleSize val="0"/>
              <c:separator>
</c:separator>
            </c:dLbl>
            <c:dLbl>
              <c:idx val="1"/>
              <c:layout>
                <c:manualLayout>
                  <c:x val="-5.4843987429202927E-3"/>
                  <c:y val="6.602170155559825E-2"/>
                </c:manualLayout>
              </c:layout>
              <c:dLblPos val="bestFit"/>
              <c:showLegendKey val="1"/>
              <c:showVal val="1"/>
              <c:showCatName val="1"/>
              <c:showSerName val="0"/>
              <c:showPercent val="0"/>
              <c:showBubbleSize val="0"/>
              <c:separator>
</c:separator>
            </c:dLbl>
            <c:dLbl>
              <c:idx val="2"/>
              <c:layout>
                <c:manualLayout>
                  <c:x val="-3.563920258322973E-2"/>
                  <c:y val="4.0712422380129315E-2"/>
                </c:manualLayout>
              </c:layout>
              <c:dLblPos val="bestFit"/>
              <c:showLegendKey val="1"/>
              <c:showVal val="1"/>
              <c:showCatName val="1"/>
              <c:showSerName val="0"/>
              <c:showPercent val="0"/>
              <c:showBubbleSize val="0"/>
              <c:separator>
</c:separator>
            </c:dLbl>
            <c:dLbl>
              <c:idx val="3"/>
              <c:layout>
                <c:manualLayout>
                  <c:x val="2.7386379334162175E-3"/>
                  <c:y val="-1.6404999679918059E-2"/>
                </c:manualLayout>
              </c:layout>
              <c:dLblPos val="bestFit"/>
              <c:showLegendKey val="1"/>
              <c:showVal val="1"/>
              <c:showCatName val="1"/>
              <c:showSerName val="0"/>
              <c:showPercent val="0"/>
              <c:showBubbleSize val="0"/>
              <c:separator>
</c:separator>
            </c:dLbl>
            <c:dLbl>
              <c:idx val="4"/>
              <c:layout>
                <c:manualLayout>
                  <c:x val="2.7412280701754384E-3"/>
                  <c:y val="-3.556910569105691E-2"/>
                </c:manualLayout>
              </c:layout>
              <c:dLblPos val="bestFit"/>
              <c:showLegendKey val="1"/>
              <c:showVal val="1"/>
              <c:showCatName val="1"/>
              <c:showSerName val="0"/>
              <c:showPercent val="0"/>
              <c:showBubbleSize val="0"/>
              <c:separator>
</c:separator>
            </c:dLbl>
            <c:dLbl>
              <c:idx val="5"/>
              <c:layout>
                <c:manualLayout>
                  <c:x val="7.1260705898604781E-2"/>
                  <c:y val="0"/>
                </c:manualLayout>
              </c:layout>
              <c:dLblPos val="bestFit"/>
              <c:showLegendKey val="1"/>
              <c:showVal val="1"/>
              <c:showCatName val="1"/>
              <c:showSerName val="0"/>
              <c:showPercent val="0"/>
              <c:showBubbleSize val="0"/>
              <c:separator>
</c:separator>
            </c:dLbl>
            <c:dLbl>
              <c:idx val="6"/>
              <c:layout>
                <c:manualLayout>
                  <c:x val="-9.0729399565795023E-6"/>
                  <c:y val="0"/>
                </c:manualLayout>
              </c:layout>
              <c:dLblPos val="bestFit"/>
              <c:showLegendKey val="1"/>
              <c:showVal val="1"/>
              <c:showCatName val="1"/>
              <c:showSerName val="0"/>
              <c:showPercent val="0"/>
              <c:showBubbleSize val="0"/>
              <c:separator>
</c:separator>
            </c:dLbl>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Blad1!$A$3:$A$8</c:f>
              <c:strCache>
                <c:ptCount val="6"/>
                <c:pt idx="0">
                  <c:v>Other</c:v>
                </c:pt>
                <c:pt idx="1">
                  <c:v>Environment</c:v>
                </c:pt>
                <c:pt idx="2">
                  <c:v>Internal market, industry, entrepreneurship and SMEs</c:v>
                </c:pt>
                <c:pt idx="3">
                  <c:v>Migration and home affairs</c:v>
                </c:pt>
                <c:pt idx="4">
                  <c:v>Mobility and transport</c:v>
                </c:pt>
                <c:pt idx="5">
                  <c:v>Energy</c:v>
                </c:pt>
              </c:strCache>
            </c:strRef>
          </c:cat>
          <c:val>
            <c:numRef>
              <c:f>Blad1!$B$3:$B$8</c:f>
              <c:numCache>
                <c:formatCode>General</c:formatCode>
                <c:ptCount val="6"/>
                <c:pt idx="0">
                  <c:v>5</c:v>
                </c:pt>
                <c:pt idx="1">
                  <c:v>6</c:v>
                </c:pt>
                <c:pt idx="2">
                  <c:v>3</c:v>
                </c:pt>
                <c:pt idx="3">
                  <c:v>2</c:v>
                </c:pt>
                <c:pt idx="4">
                  <c:v>2</c:v>
                </c:pt>
                <c:pt idx="5">
                  <c:v>2</c:v>
                </c:pt>
              </c:numCache>
            </c:numRef>
          </c:val>
          <c:extLst/>
        </c:ser>
        <c:dLbls>
          <c:showLegendKey val="0"/>
          <c:showVal val="0"/>
          <c:showCatName val="0"/>
          <c:showSerName val="0"/>
          <c:showPercent val="0"/>
          <c:showBubbleSize val="0"/>
          <c:showLeaderLines val="0"/>
        </c:dLbls>
        <c:firstSliceAng val="194"/>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333333333333333E-2"/>
          <c:y val="4.2060988433228183E-2"/>
          <c:w val="0.93888888888888888"/>
          <c:h val="0.65889035163979892"/>
        </c:manualLayout>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5055555555555557E-2"/>
                  <c:y val="-6.0620399579390111E-2"/>
                </c:manualLayout>
              </c:layout>
              <c:dLblPos val="r"/>
              <c:showLegendKey val="0"/>
              <c:showVal val="1"/>
              <c:showCatName val="0"/>
              <c:showSerName val="0"/>
              <c:showPercent val="0"/>
              <c:showBubbleSize val="0"/>
            </c:dLbl>
            <c:dLbl>
              <c:idx val="1"/>
              <c:layout>
                <c:manualLayout>
                  <c:x val="-4.1882223445239404E-2"/>
                  <c:y val="-6.6470154753131921E-2"/>
                </c:manualLayout>
              </c:layout>
              <c:dLblPos val="r"/>
              <c:showLegendKey val="0"/>
              <c:showVal val="1"/>
              <c:showCatName val="0"/>
              <c:showSerName val="0"/>
              <c:showPercent val="0"/>
              <c:showBubbleSize val="0"/>
            </c:dLbl>
            <c:dLbl>
              <c:idx val="2"/>
              <c:layout>
                <c:manualLayout>
                  <c:x val="-3.9101049868766405E-2"/>
                  <c:y val="7.0580077332604713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81</c:v>
                </c:pt>
                <c:pt idx="1">
                  <c:v>72</c:v>
                </c:pt>
                <c:pt idx="2">
                  <c:v>64</c:v>
                </c:pt>
                <c:pt idx="3">
                  <c:v>67</c:v>
                </c:pt>
                <c:pt idx="4">
                  <c:v>68</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111767552"/>
        <c:axId val="111769088"/>
      </c:lineChart>
      <c:catAx>
        <c:axId val="1117675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1769088"/>
        <c:crosses val="autoZero"/>
        <c:auto val="1"/>
        <c:lblAlgn val="ctr"/>
        <c:lblOffset val="100"/>
        <c:noMultiLvlLbl val="0"/>
      </c:catAx>
      <c:valAx>
        <c:axId val="111769088"/>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1767552"/>
        <c:crosses val="autoZero"/>
        <c:crossBetween val="between"/>
      </c:valAx>
      <c:spPr>
        <a:noFill/>
        <a:ln>
          <a:noFill/>
        </a:ln>
        <a:effectLst/>
      </c:spPr>
    </c:plotArea>
    <c:legend>
      <c:legendPos val="b"/>
      <c:legendEntry>
        <c:idx val="0"/>
        <c:delete val="1"/>
      </c:legendEntry>
      <c:layout>
        <c:manualLayout>
          <c:xMode val="edge"/>
          <c:yMode val="edge"/>
          <c:x val="5.5865154028662524E-2"/>
          <c:y val="0.80497512437810947"/>
          <c:w val="0.88826947953329416"/>
          <c:h val="0.19502487562189058"/>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Latvia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6.1284776902887139E-2"/>
                  <c:y val="-6.366869918699182E-2"/>
                </c:manualLayout>
              </c:layout>
              <c:dLblPos val="r"/>
              <c:showLegendKey val="0"/>
              <c:showVal val="1"/>
              <c:showCatName val="0"/>
              <c:showSerName val="0"/>
              <c:showPercent val="0"/>
              <c:showBubbleSize val="0"/>
            </c:dLbl>
            <c:dLbl>
              <c:idx val="2"/>
              <c:layout>
                <c:manualLayout>
                  <c:x val="-5.5729221347331583E-2"/>
                  <c:y val="-6.8630442614451975E-2"/>
                </c:manualLayout>
              </c:layout>
              <c:dLblPos val="r"/>
              <c:showLegendKey val="0"/>
              <c:showVal val="1"/>
              <c:showCatName val="0"/>
              <c:showSerName val="0"/>
              <c:showPercent val="0"/>
              <c:showBubbleSize val="0"/>
            </c:dLbl>
            <c:dLbl>
              <c:idx val="3"/>
              <c:layout>
                <c:manualLayout>
                  <c:x val="-4.8189830837757575E-2"/>
                  <c:y val="-5.9905117372626965E-2"/>
                </c:manualLayout>
              </c:layout>
              <c:dLblPos val="r"/>
              <c:showLegendKey val="0"/>
              <c:showVal val="1"/>
              <c:showCatName val="0"/>
              <c:showSerName val="0"/>
              <c:showPercent val="0"/>
              <c:showBubbleSize val="0"/>
            </c:dLbl>
            <c:dLbl>
              <c:idx val="4"/>
              <c:layout>
                <c:manualLayout>
                  <c:x val="-5.8506999125109364E-2"/>
                  <c:y val="-7.3831300813008136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0.63</c:v>
                </c:pt>
                <c:pt idx="1">
                  <c:v>0.71</c:v>
                </c:pt>
                <c:pt idx="2">
                  <c:v>0.89</c:v>
                </c:pt>
                <c:pt idx="3">
                  <c:v>0.79</c:v>
                </c:pt>
                <c:pt idx="4">
                  <c:v>0.73</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1"/>
              <c:layout>
                <c:manualLayout>
                  <c:x val="-5.2951443569553808E-2"/>
                  <c:y val="7.8912601626016265E-2"/>
                </c:manualLayout>
              </c:layout>
              <c:dLblPos val="r"/>
              <c:showLegendKey val="0"/>
              <c:showVal val="1"/>
              <c:showCatName val="0"/>
              <c:showSerName val="0"/>
              <c:showPercent val="0"/>
              <c:showBubbleSize val="0"/>
            </c:dLbl>
            <c:dLbl>
              <c:idx val="2"/>
              <c:layout>
                <c:manualLayout>
                  <c:x val="-5.0173665791776026E-2"/>
                  <c:y val="6.8660797519205466E-2"/>
                </c:manualLayout>
              </c:layout>
              <c:dLblPos val="r"/>
              <c:showLegendKey val="0"/>
              <c:showVal val="1"/>
              <c:showCatName val="0"/>
              <c:showSerName val="0"/>
              <c:showPercent val="0"/>
              <c:showBubbleSize val="0"/>
            </c:dLbl>
            <c:dLbl>
              <c:idx val="3"/>
              <c:layout>
                <c:manualLayout>
                  <c:x val="-5.0173665791776026E-2"/>
                  <c:y val="7.3831300813008136E-2"/>
                </c:manualLayout>
              </c:layout>
              <c:dLblPos val="r"/>
              <c:showLegendKey val="0"/>
              <c:showVal val="1"/>
              <c:showCatName val="0"/>
              <c:showSerName val="0"/>
              <c:showPercent val="0"/>
              <c:showBubbleSize val="0"/>
            </c:dLbl>
            <c:dLbl>
              <c:idx val="4"/>
              <c:layout>
                <c:manualLayout>
                  <c:x val="-5.0173665791776026E-2"/>
                  <c:y val="6.3668699186991876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111844736"/>
        <c:axId val="111846528"/>
      </c:lineChart>
      <c:catAx>
        <c:axId val="111844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1846528"/>
        <c:crosses val="autoZero"/>
        <c:auto val="1"/>
        <c:lblAlgn val="ctr"/>
        <c:lblOffset val="100"/>
        <c:noMultiLvlLbl val="0"/>
      </c:catAx>
      <c:valAx>
        <c:axId val="111846528"/>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11844736"/>
        <c:crosses val="autoZero"/>
        <c:crossBetween val="between"/>
      </c:valAx>
      <c:spPr>
        <a:noFill/>
        <a:ln>
          <a:noFill/>
        </a:ln>
        <a:effectLst/>
      </c:spPr>
    </c:plotArea>
    <c:legend>
      <c:legendPos val="b"/>
      <c:layout>
        <c:manualLayout>
          <c:xMode val="edge"/>
          <c:yMode val="edge"/>
          <c:x val="8.2656824146981625E-2"/>
          <c:y val="0.86742490522018079"/>
          <c:w val="0.83468635170603678"/>
          <c:h val="8.5521093399910375E-2"/>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20</c:v>
                </c:pt>
                <c:pt idx="1">
                  <c:v>20</c:v>
                </c:pt>
                <c:pt idx="2">
                  <c:v>26</c:v>
                </c:pt>
                <c:pt idx="3">
                  <c:v>28</c:v>
                </c:pt>
                <c:pt idx="4">
                  <c:v>38</c:v>
                </c:pt>
              </c:numCache>
            </c:numRef>
          </c:val>
          <c:smooth val="0"/>
        </c:ser>
        <c:dLbls>
          <c:showLegendKey val="0"/>
          <c:showVal val="1"/>
          <c:showCatName val="0"/>
          <c:showSerName val="0"/>
          <c:showPercent val="0"/>
          <c:showBubbleSize val="0"/>
        </c:dLbls>
        <c:marker val="1"/>
        <c:smooth val="0"/>
        <c:axId val="111898624"/>
        <c:axId val="111901312"/>
      </c:lineChart>
      <c:catAx>
        <c:axId val="1118986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1901312"/>
        <c:crosses val="autoZero"/>
        <c:auto val="1"/>
        <c:lblAlgn val="ctr"/>
        <c:lblOffset val="100"/>
        <c:noMultiLvlLbl val="0"/>
      </c:catAx>
      <c:valAx>
        <c:axId val="111901312"/>
        <c:scaling>
          <c:orientation val="minMax"/>
          <c:min val="1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1898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23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Latvia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95C154"/>
              </a:solidFill>
              <a:scene3d>
                <a:camera prst="orthographicFront"/>
                <a:lightRig rig="threePt" dir="t"/>
              </a:scene3d>
              <a:sp3d>
                <a:bevelT w="63500" h="25400"/>
              </a:sp3d>
            </c:spPr>
          </c:dPt>
          <c:dPt>
            <c:idx val="6"/>
            <c:bubble3D val="0"/>
            <c:spPr>
              <a:solidFill>
                <a:srgbClr val="E75113"/>
              </a:solidFill>
              <a:scene3d>
                <a:camera prst="orthographicFront"/>
                <a:lightRig rig="threePt" dir="t"/>
              </a:scene3d>
              <a:sp3d>
                <a:bevelT w="63500" h="25400"/>
              </a:sp3d>
            </c:spPr>
          </c:dPt>
          <c:dPt>
            <c:idx val="7"/>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1.3848092199789502E-2"/>
                  <c:y val="0.13114754098360656"/>
                </c:manualLayout>
              </c:layout>
              <c:dLblPos val="bestFit"/>
              <c:showLegendKey val="1"/>
              <c:showVal val="1"/>
              <c:showCatName val="1"/>
              <c:showSerName val="0"/>
              <c:showPercent val="0"/>
              <c:showBubbleSize val="0"/>
              <c:separator>
</c:separator>
            </c:dLbl>
            <c:dLbl>
              <c:idx val="2"/>
              <c:layout>
                <c:manualLayout>
                  <c:x val="-5.546311702717693E-3"/>
                  <c:y val="5.4644808743169399E-3"/>
                </c:manualLayout>
              </c:layout>
              <c:dLblPos val="bestFit"/>
              <c:showLegendKey val="1"/>
              <c:showVal val="1"/>
              <c:showCatName val="1"/>
              <c:showSerName val="0"/>
              <c:showPercent val="0"/>
              <c:showBubbleSize val="0"/>
              <c:separator>
</c:separator>
            </c:dLbl>
            <c:dLbl>
              <c:idx val="3"/>
              <c:layout>
                <c:manualLayout>
                  <c:x val="3.9779064638550798E-2"/>
                  <c:y val="-3.9632545931758533E-3"/>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1.3865779256794232E-2"/>
                  <c:y val="0"/>
                </c:manualLayout>
              </c:layout>
              <c:dLblPos val="bestFit"/>
              <c:showLegendKey val="1"/>
              <c:showVal val="1"/>
              <c:showCatName val="1"/>
              <c:showSerName val="0"/>
              <c:showPercent val="0"/>
              <c:showBubbleSize val="0"/>
              <c:separator>
</c:separator>
            </c:dLbl>
            <c:dLbl>
              <c:idx val="5"/>
              <c:layout>
                <c:manualLayout>
                  <c:x val="5.546311702717693E-3"/>
                  <c:y val="-3.2786885245901641E-2"/>
                </c:manualLayout>
              </c:layout>
              <c:dLblPos val="bestFit"/>
              <c:showLegendKey val="1"/>
              <c:showVal val="1"/>
              <c:showCatName val="1"/>
              <c:showSerName val="0"/>
              <c:showPercent val="0"/>
              <c:showBubbleSize val="0"/>
            </c:dLbl>
            <c:dLbl>
              <c:idx val="6"/>
              <c:layout>
                <c:manualLayout>
                  <c:x val="-2.4958402662229616E-2"/>
                  <c:y val="-2.7322404371584699E-2"/>
                </c:manualLayout>
              </c:layout>
              <c:dLblPos val="bestFit"/>
              <c:showLegendKey val="1"/>
              <c:showVal val="1"/>
              <c:showCatName val="1"/>
              <c:showSerName val="0"/>
              <c:showPercent val="0"/>
              <c:showBubbleSize val="0"/>
              <c:separator>
</c:separator>
            </c:dLbl>
            <c:dLbl>
              <c:idx val="7"/>
              <c:layout>
                <c:manualLayout>
                  <c:x val="0"/>
                  <c:y val="2.1857923497267735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Blad1!$A$2:$A$9</c:f>
              <c:strCache>
                <c:ptCount val="8"/>
                <c:pt idx="0">
                  <c:v>Policy Area</c:v>
                </c:pt>
                <c:pt idx="1">
                  <c:v>Internal market, industry, entrepreneurship and SMEs</c:v>
                </c:pt>
                <c:pt idx="2">
                  <c:v>Financial stability, financial services and capital markets union</c:v>
                </c:pt>
                <c:pt idx="3">
                  <c:v>Health and food safety</c:v>
                </c:pt>
                <c:pt idx="4">
                  <c:v>Taxation and customs</c:v>
                </c:pt>
                <c:pt idx="5">
                  <c:v>Communication networks</c:v>
                </c:pt>
                <c:pt idx="6">
                  <c:v>Energy</c:v>
                </c:pt>
                <c:pt idx="7">
                  <c:v>Other</c:v>
                </c:pt>
              </c:strCache>
            </c:strRef>
          </c:cat>
          <c:val>
            <c:numRef>
              <c:f>Blad1!$B$2:$B$9</c:f>
              <c:numCache>
                <c:formatCode>General</c:formatCode>
                <c:ptCount val="8"/>
                <c:pt idx="0">
                  <c:v>0</c:v>
                </c:pt>
                <c:pt idx="1">
                  <c:v>5</c:v>
                </c:pt>
                <c:pt idx="2">
                  <c:v>5</c:v>
                </c:pt>
                <c:pt idx="3">
                  <c:v>3</c:v>
                </c:pt>
                <c:pt idx="4">
                  <c:v>3</c:v>
                </c:pt>
                <c:pt idx="5">
                  <c:v>2</c:v>
                </c:pt>
                <c:pt idx="6">
                  <c:v>2</c:v>
                </c:pt>
                <c:pt idx="7">
                  <c:v>3</c:v>
                </c:pt>
              </c:numCache>
            </c:numRef>
          </c:val>
          <c:extLst/>
        </c:ser>
        <c:dLbls>
          <c:showLegendKey val="0"/>
          <c:showVal val="0"/>
          <c:showCatName val="1"/>
          <c:showSerName val="0"/>
          <c:showPercent val="0"/>
          <c:showBubbleSize val="0"/>
          <c:showLeaderLines val="0"/>
        </c:dLbls>
        <c:firstSliceAng val="34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647221454243847E-2"/>
          <c:y val="5.3921568627450983E-2"/>
          <c:w val="0.93917850933361724"/>
          <c:h val="0.83101358653697699"/>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3.378557779780015E-2"/>
                  <c:y val="8.2815994463714446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9</c:v>
                </c:pt>
                <c:pt idx="1">
                  <c:v>8</c:v>
                </c:pt>
                <c:pt idx="2">
                  <c:v>14</c:v>
                </c:pt>
                <c:pt idx="3">
                  <c:v>20</c:v>
                </c:pt>
                <c:pt idx="4">
                  <c:v>32</c:v>
                </c:pt>
              </c:numCache>
            </c:numRef>
          </c:val>
          <c:smooth val="0"/>
        </c:ser>
        <c:dLbls>
          <c:showLegendKey val="0"/>
          <c:showVal val="1"/>
          <c:showCatName val="0"/>
          <c:showSerName val="0"/>
          <c:showPercent val="0"/>
          <c:showBubbleSize val="0"/>
        </c:dLbls>
        <c:marker val="1"/>
        <c:smooth val="0"/>
        <c:axId val="112020096"/>
        <c:axId val="112035328"/>
      </c:lineChart>
      <c:catAx>
        <c:axId val="112020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2035328"/>
        <c:crosses val="autoZero"/>
        <c:auto val="1"/>
        <c:lblAlgn val="ctr"/>
        <c:lblOffset val="100"/>
        <c:noMultiLvlLbl val="0"/>
      </c:catAx>
      <c:valAx>
        <c:axId val="112035328"/>
        <c:scaling>
          <c:orientation val="minMax"/>
          <c:min val="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2020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411155073277532E-2"/>
          <c:y val="5.3849249577011329E-2"/>
          <c:w val="0.93917850933361724"/>
          <c:h val="0.83101358653697699"/>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077451761315908E-2"/>
                  <c:y val="7.7456937657712305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10</c:v>
                </c:pt>
                <c:pt idx="1">
                  <c:v>13</c:v>
                </c:pt>
                <c:pt idx="2">
                  <c:v>11</c:v>
                </c:pt>
                <c:pt idx="3">
                  <c:v>16</c:v>
                </c:pt>
                <c:pt idx="4">
                  <c:v>20</c:v>
                </c:pt>
              </c:numCache>
            </c:numRef>
          </c:val>
          <c:smooth val="0"/>
        </c:ser>
        <c:dLbls>
          <c:showLegendKey val="0"/>
          <c:showVal val="1"/>
          <c:showCatName val="0"/>
          <c:showSerName val="0"/>
          <c:showPercent val="0"/>
          <c:showBubbleSize val="0"/>
        </c:dLbls>
        <c:marker val="1"/>
        <c:smooth val="0"/>
        <c:axId val="112164864"/>
        <c:axId val="112167552"/>
      </c:lineChart>
      <c:catAx>
        <c:axId val="1121648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2167552"/>
        <c:crosses val="autoZero"/>
        <c:auto val="1"/>
        <c:lblAlgn val="ctr"/>
        <c:lblOffset val="100"/>
        <c:noMultiLvlLbl val="0"/>
      </c:catAx>
      <c:valAx>
        <c:axId val="112167552"/>
        <c:scaling>
          <c:orientation val="minMax"/>
          <c:min val="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2164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20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Latvia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121528413599462"/>
          <c:y val="2.9411764705882353E-2"/>
        </c:manualLayout>
      </c:layout>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95C154"/>
              </a:solidFill>
              <a:scene3d>
                <a:camera prst="orthographicFront"/>
                <a:lightRig rig="threePt" dir="t"/>
              </a:scene3d>
              <a:sp3d>
                <a:bevelT w="63500" h="25400"/>
              </a:sp3d>
            </c:spPr>
          </c:dPt>
          <c:dPt>
            <c:idx val="4"/>
            <c:bubble3D val="0"/>
            <c:spPr>
              <a:solidFill>
                <a:srgbClr val="A20000"/>
              </a:solidFill>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layout>
                <c:manualLayout>
                  <c:x val="0.11905088898771375"/>
                  <c:y val="0.15686274509803921"/>
                </c:manualLayout>
              </c:layout>
              <c:dLblPos val="bestFit"/>
              <c:showLegendKey val="1"/>
              <c:showVal val="1"/>
              <c:showCatName val="1"/>
              <c:showSerName val="0"/>
              <c:showPercent val="0"/>
              <c:showBubbleSize val="0"/>
              <c:separator>
</c:separator>
            </c:dLbl>
            <c:dLbl>
              <c:idx val="1"/>
              <c:layout>
                <c:manualLayout>
                  <c:x val="-8.3071738125757542E-3"/>
                  <c:y val="-4.9019607843137254E-3"/>
                </c:manualLayout>
              </c:layout>
              <c:dLblPos val="bestFit"/>
              <c:showLegendKey val="1"/>
              <c:showVal val="1"/>
              <c:showCatName val="1"/>
              <c:showSerName val="0"/>
              <c:showPercent val="0"/>
              <c:showBubbleSize val="0"/>
              <c:separator>
</c:separator>
            </c:dLbl>
            <c:dLbl>
              <c:idx val="2"/>
              <c:layout>
                <c:manualLayout>
                  <c:x val="0.11643886084006941"/>
                  <c:y val="0"/>
                </c:manualLayout>
              </c:layout>
              <c:dLblPos val="bestFit"/>
              <c:showLegendKey val="1"/>
              <c:showVal val="1"/>
              <c:showCatName val="1"/>
              <c:showSerName val="0"/>
              <c:showPercent val="0"/>
              <c:showBubbleSize val="0"/>
              <c:separator>
</c:separator>
            </c:dLbl>
            <c:dLbl>
              <c:idx val="3"/>
              <c:layout>
                <c:manualLayout>
                  <c:x val="-5.5370985603543999E-3"/>
                  <c:y val="0"/>
                </c:manualLayout>
              </c:layout>
              <c:dLblPos val="bestFit"/>
              <c:showLegendKey val="1"/>
              <c:showVal val="1"/>
              <c:showCatName val="1"/>
              <c:showSerName val="0"/>
              <c:showPercent val="0"/>
              <c:showBubbleSize val="0"/>
              <c:separator>
</c:separator>
            </c:dLbl>
            <c:dLbl>
              <c:idx val="4"/>
              <c:layout>
                <c:manualLayout>
                  <c:x val="-2.7685492801771874E-3"/>
                  <c:y val="-4.9019607843137254E-2"/>
                </c:manualLayout>
              </c:layout>
              <c:dLblPos val="bestFit"/>
              <c:showLegendKey val="1"/>
              <c:showVal val="1"/>
              <c:showCatName val="1"/>
              <c:showSerName val="0"/>
              <c:showPercent val="0"/>
              <c:showBubbleSize val="0"/>
              <c:separator>
</c:separator>
            </c:dLbl>
            <c:dLbl>
              <c:idx val="5"/>
              <c:layout>
                <c:manualLayout>
                  <c:x val="0"/>
                  <c:y val="-1.9607843137254857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Blad1!$A$4:$A$9</c:f>
              <c:strCache>
                <c:ptCount val="6"/>
                <c:pt idx="0">
                  <c:v>Internal market, industry, entrepreneurship and SMEs</c:v>
                </c:pt>
                <c:pt idx="1">
                  <c:v>Financial stability, financial services and capital markets union</c:v>
                </c:pt>
                <c:pt idx="2">
                  <c:v>Health and food safety</c:v>
                </c:pt>
                <c:pt idx="3">
                  <c:v>Communication networks</c:v>
                </c:pt>
                <c:pt idx="4">
                  <c:v>Taxation and customs</c:v>
                </c:pt>
                <c:pt idx="5">
                  <c:v>Other</c:v>
                </c:pt>
              </c:strCache>
            </c:strRef>
          </c:cat>
          <c:val>
            <c:numRef>
              <c:f>Blad1!$B$4:$B$9</c:f>
              <c:numCache>
                <c:formatCode>General</c:formatCode>
                <c:ptCount val="6"/>
                <c:pt idx="0">
                  <c:v>5</c:v>
                </c:pt>
                <c:pt idx="1">
                  <c:v>5</c:v>
                </c:pt>
                <c:pt idx="2">
                  <c:v>3</c:v>
                </c:pt>
                <c:pt idx="3">
                  <c:v>2</c:v>
                </c:pt>
                <c:pt idx="4">
                  <c:v>2</c:v>
                </c:pt>
                <c:pt idx="5">
                  <c:v>3</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322"/>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28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Bulgaria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28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layout>
                <c:manualLayout>
                  <c:x val="1.919118662798729E-2"/>
                  <c:y val="2.0227978362460812E-2"/>
                </c:manualLayout>
              </c:layout>
              <c:dLblPos val="bestFit"/>
              <c:showLegendKey val="1"/>
              <c:showVal val="1"/>
              <c:showCatName val="1"/>
              <c:showSerName val="0"/>
              <c:showPercent val="0"/>
              <c:showBubbleSize val="0"/>
              <c:separator>
</c:separator>
            </c:dLbl>
            <c:dLbl>
              <c:idx val="1"/>
              <c:layout>
                <c:manualLayout>
                  <c:x val="-1.9426025694156651E-6"/>
                  <c:y val="8.1265603994622626E-2"/>
                </c:manualLayout>
              </c:layout>
              <c:dLblPos val="bestFit"/>
              <c:showLegendKey val="1"/>
              <c:showVal val="1"/>
              <c:showCatName val="1"/>
              <c:showSerName val="0"/>
              <c:showPercent val="0"/>
              <c:showBubbleSize val="0"/>
              <c:separator>
</c:separator>
            </c:dLbl>
            <c:dLbl>
              <c:idx val="2"/>
              <c:layout>
                <c:manualLayout>
                  <c:x val="-1.6450606092001659E-2"/>
                  <c:y val="2.0386819025670525E-2"/>
                </c:manualLayout>
              </c:layout>
              <c:dLblPos val="bestFit"/>
              <c:showLegendKey val="1"/>
              <c:showVal val="1"/>
              <c:showCatName val="1"/>
              <c:showSerName val="0"/>
              <c:showPercent val="0"/>
              <c:showBubbleSize val="0"/>
              <c:separator>
</c:separator>
            </c:dLbl>
            <c:dLbl>
              <c:idx val="3"/>
              <c:layout>
                <c:manualLayout>
                  <c:x val="1.096685488327117E-2"/>
                  <c:y val="-2.5406904167466871E-2"/>
                </c:manualLayout>
              </c:layout>
              <c:dLblPos val="bestFit"/>
              <c:showLegendKey val="1"/>
              <c:showVal val="1"/>
              <c:showCatName val="1"/>
              <c:showSerName val="0"/>
              <c:showPercent val="0"/>
              <c:showBubbleSize val="0"/>
              <c:separator>
</c:separator>
            </c:dLbl>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Blad1!$A$3:$A$7</c:f>
              <c:strCache>
                <c:ptCount val="5"/>
                <c:pt idx="0">
                  <c:v>Environment</c:v>
                </c:pt>
                <c:pt idx="1">
                  <c:v>Mobility and transport</c:v>
                </c:pt>
                <c:pt idx="2">
                  <c:v>Taxation and customs</c:v>
                </c:pt>
                <c:pt idx="3">
                  <c:v>Agriculture and rural development</c:v>
                </c:pt>
                <c:pt idx="4">
                  <c:v>Other</c:v>
                </c:pt>
              </c:strCache>
              <c:extLst>
                <c:ext xmlns:c15="http://schemas.microsoft.com/office/drawing/2012/chart" uri="{02D57815-91ED-43cb-92C2-25804820EDAC}">
                  <c15:fullRef>
                    <c15:sqref>Blad1!$A$2:$A$6</c15:sqref>
                  </c15:fullRef>
                </c:ext>
              </c:extLst>
            </c:strRef>
          </c:cat>
          <c:val>
            <c:numRef>
              <c:f>Blad1!$B$3:$B$7</c:f>
              <c:numCache>
                <c:formatCode>General</c:formatCode>
                <c:ptCount val="5"/>
                <c:pt idx="0">
                  <c:v>5</c:v>
                </c:pt>
                <c:pt idx="1">
                  <c:v>4</c:v>
                </c:pt>
                <c:pt idx="2">
                  <c:v>4</c:v>
                </c:pt>
                <c:pt idx="3">
                  <c:v>4</c:v>
                </c:pt>
                <c:pt idx="4">
                  <c:v>11</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9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68</c:v>
                </c:pt>
                <c:pt idx="1">
                  <c:v>59</c:v>
                </c:pt>
                <c:pt idx="2">
                  <c:v>64</c:v>
                </c:pt>
                <c:pt idx="3">
                  <c:v>66</c:v>
                </c:pt>
                <c:pt idx="4">
                  <c:v>64</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83045760"/>
        <c:axId val="83055744"/>
      </c:lineChart>
      <c:catAx>
        <c:axId val="830457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3055744"/>
        <c:crosses val="autoZero"/>
        <c:auto val="1"/>
        <c:lblAlgn val="ctr"/>
        <c:lblOffset val="100"/>
        <c:noMultiLvlLbl val="0"/>
      </c:catAx>
      <c:valAx>
        <c:axId val="83055744"/>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3045760"/>
        <c:crosses val="autoZero"/>
        <c:crossBetween val="between"/>
      </c:valAx>
      <c:spPr>
        <a:noFill/>
        <a:ln>
          <a:noFill/>
        </a:ln>
        <a:effectLst/>
      </c:spPr>
    </c:plotArea>
    <c:legend>
      <c:legendPos val="b"/>
      <c:legendEntry>
        <c:idx val="0"/>
        <c:delete val="1"/>
      </c:legendEntry>
      <c:layout>
        <c:manualLayout>
          <c:xMode val="edge"/>
          <c:yMode val="edge"/>
          <c:x val="4.4772492040824341E-2"/>
          <c:y val="0.76430310435333515"/>
          <c:w val="0.88826947953329416"/>
          <c:h val="0.23019413521585666"/>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48358043508383E-2"/>
          <c:y val="7.7241379310344832E-2"/>
          <c:w val="0.93899057127010543"/>
          <c:h val="0.691994750656168"/>
        </c:manualLayout>
      </c:layout>
      <c:lineChart>
        <c:grouping val="standard"/>
        <c:varyColors val="0"/>
        <c:ser>
          <c:idx val="0"/>
          <c:order val="0"/>
          <c:tx>
            <c:strRef>
              <c:f>Blad1!$B$2</c:f>
              <c:strCache>
                <c:ptCount val="1"/>
                <c:pt idx="0">
                  <c:v>Bulgaria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636493857568969E-2"/>
                  <c:y val="-5.2593818984547486E-2"/>
                </c:manualLayout>
              </c:layout>
              <c:dLblPos val="r"/>
              <c:showLegendKey val="0"/>
              <c:showVal val="1"/>
              <c:showCatName val="0"/>
              <c:showSerName val="0"/>
              <c:showPercent val="0"/>
              <c:showBubbleSize val="0"/>
            </c:dLbl>
            <c:dLbl>
              <c:idx val="1"/>
              <c:layout>
                <c:manualLayout>
                  <c:x val="-6.9502273114363203E-2"/>
                  <c:y val="-6.3631346578366471E-2"/>
                </c:manualLayout>
              </c:layout>
              <c:dLblPos val="r"/>
              <c:showLegendKey val="0"/>
              <c:showVal val="1"/>
              <c:showCatName val="0"/>
              <c:showSerName val="0"/>
              <c:showPercent val="0"/>
              <c:showBubbleSize val="0"/>
            </c:dLbl>
            <c:dLbl>
              <c:idx val="2"/>
              <c:layout>
                <c:manualLayout>
                  <c:x val="-5.5636493857568969E-2"/>
                  <c:y val="-6.9150110375275894E-2"/>
                </c:manualLayout>
              </c:layout>
              <c:dLblPos val="r"/>
              <c:showLegendKey val="0"/>
              <c:showVal val="1"/>
              <c:showCatName val="0"/>
              <c:showSerName val="0"/>
              <c:showPercent val="0"/>
              <c:showBubbleSize val="0"/>
            </c:dLbl>
            <c:dLbl>
              <c:idx val="3"/>
              <c:layout>
                <c:manualLayout>
                  <c:x val="-4.8189830837757575E-2"/>
                  <c:y val="-5.9905117372626965E-2"/>
                </c:manualLayout>
              </c:layout>
              <c:dLblPos val="r"/>
              <c:showLegendKey val="0"/>
              <c:showVal val="1"/>
              <c:showCatName val="0"/>
              <c:showSerName val="0"/>
              <c:showPercent val="0"/>
              <c:showBubbleSize val="0"/>
            </c:dLbl>
            <c:dLbl>
              <c:idx val="4"/>
              <c:layout>
                <c:manualLayout>
                  <c:x val="-5.5636493857568865E-2"/>
                  <c:y val="-8.0187637969094935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0.78</c:v>
                </c:pt>
                <c:pt idx="1">
                  <c:v>0.75</c:v>
                </c:pt>
                <c:pt idx="2">
                  <c:v>0.84</c:v>
                </c:pt>
                <c:pt idx="3">
                  <c:v>0.84</c:v>
                </c:pt>
                <c:pt idx="4">
                  <c:v>0.76</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0"/>
              <c:layout>
                <c:manualLayout>
                  <c:x val="-5.0090182154851275E-2"/>
                  <c:y val="6.9150110375275936E-2"/>
                </c:manualLayout>
              </c:layout>
              <c:dLblPos val="r"/>
              <c:showLegendKey val="0"/>
              <c:showVal val="1"/>
              <c:showCatName val="0"/>
              <c:showSerName val="0"/>
              <c:showPercent val="0"/>
              <c:showBubbleSize val="0"/>
            </c:dLbl>
            <c:dLbl>
              <c:idx val="1"/>
              <c:layout>
                <c:manualLayout>
                  <c:x val="-6.3955961411645501E-2"/>
                  <c:y val="6.3631346578366443E-2"/>
                </c:manualLayout>
              </c:layout>
              <c:dLblPos val="r"/>
              <c:showLegendKey val="0"/>
              <c:showVal val="1"/>
              <c:showCatName val="0"/>
              <c:showSerName val="0"/>
              <c:showPercent val="0"/>
              <c:showBubbleSize val="0"/>
            </c:dLbl>
            <c:dLbl>
              <c:idx val="2"/>
              <c:layout>
                <c:manualLayout>
                  <c:x val="-5.2863338006210125E-2"/>
                  <c:y val="6.9150110375275894E-2"/>
                </c:manualLayout>
              </c:layout>
              <c:dLblPos val="r"/>
              <c:showLegendKey val="0"/>
              <c:showVal val="1"/>
              <c:showCatName val="0"/>
              <c:showSerName val="0"/>
              <c:showPercent val="0"/>
              <c:showBubbleSize val="0"/>
            </c:dLbl>
            <c:dLbl>
              <c:idx val="3"/>
              <c:layout>
                <c:manualLayout>
                  <c:x val="-5.0090182154851275E-2"/>
                  <c:y val="6.3631346578366402E-2"/>
                </c:manualLayout>
              </c:layout>
              <c:dLblPos val="r"/>
              <c:showLegendKey val="0"/>
              <c:showVal val="1"/>
              <c:showCatName val="0"/>
              <c:showSerName val="0"/>
              <c:showPercent val="0"/>
              <c:showBubbleSize val="0"/>
            </c:dLbl>
            <c:dLbl>
              <c:idx val="4"/>
              <c:layout>
                <c:manualLayout>
                  <c:x val="-5.0090182154851177E-2"/>
                  <c:y val="6.9150110375275894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83119104"/>
        <c:axId val="83165952"/>
      </c:lineChart>
      <c:catAx>
        <c:axId val="83119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3165952"/>
        <c:crosses val="autoZero"/>
        <c:auto val="1"/>
        <c:lblAlgn val="ctr"/>
        <c:lblOffset val="100"/>
        <c:noMultiLvlLbl val="0"/>
      </c:catAx>
      <c:valAx>
        <c:axId val="83165952"/>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83119104"/>
        <c:crosses val="autoZero"/>
        <c:crossBetween val="between"/>
      </c:valAx>
      <c:spPr>
        <a:noFill/>
        <a:ln>
          <a:noFill/>
        </a:ln>
        <a:effectLst/>
      </c:spPr>
    </c:plotArea>
    <c:legend>
      <c:legendPos val="b"/>
      <c:layout>
        <c:manualLayout>
          <c:xMode val="edge"/>
          <c:yMode val="edge"/>
          <c:x val="6.6878692991994976E-2"/>
          <c:y val="0.85169351072495247"/>
          <c:w val="0.8662426140160101"/>
          <c:h val="9.288383654030001E-2"/>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134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Belgium</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0.21176468040504837"/>
                  <c:y val="0.1471588133502239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8.2508250825082501E-3"/>
                  <c:y val="-5.7813159790357484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4.4030387290697574E-2"/>
                  <c:y val="-5.257623554153522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Taxation and customs</c:v>
                </c:pt>
                <c:pt idx="1">
                  <c:v>Justice and consumers</c:v>
                </c:pt>
                <c:pt idx="2">
                  <c:v>Mobility and transport</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42</c:v>
                </c:pt>
                <c:pt idx="1">
                  <c:v>27</c:v>
                </c:pt>
                <c:pt idx="2">
                  <c:v>16</c:v>
                </c:pt>
                <c:pt idx="3">
                  <c:v>49</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302"/>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3.9417879056508662E-2"/>
                  <c:y val="7.8596314250754237E-2"/>
                </c:manualLayout>
              </c:layout>
              <c:dLblPos val="r"/>
              <c:showLegendKey val="0"/>
              <c:showVal val="1"/>
              <c:showCatName val="0"/>
              <c:showSerName val="0"/>
              <c:showPercent val="0"/>
              <c:showBubbleSize val="0"/>
            </c:dLbl>
            <c:dLbl>
              <c:idx val="2"/>
              <c:layout>
                <c:manualLayout>
                  <c:x val="-4.2025386313465786E-2"/>
                  <c:y val="-6.8356824614005107E-2"/>
                </c:manualLayout>
              </c:layout>
              <c:dLblPos val="r"/>
              <c:showLegendKey val="0"/>
              <c:showVal val="1"/>
              <c:showCatName val="0"/>
              <c:showSerName val="0"/>
              <c:showPercent val="0"/>
              <c:showBubbleSize val="0"/>
            </c:dLbl>
            <c:dLbl>
              <c:idx val="4"/>
              <c:layout>
                <c:manualLayout>
                  <c:x val="-3.3747240618101547E-2"/>
                  <c:y val="-9.8012815124088146E-2"/>
                </c:manualLayout>
              </c:layout>
              <c:dLblPos val="r"/>
              <c:showLegendKey val="0"/>
              <c:showVal val="1"/>
              <c:showCatName val="0"/>
              <c:showSerName val="0"/>
              <c:showPercent val="0"/>
              <c:showBubbleSize val="0"/>
            </c:dLbl>
            <c:spPr>
              <a:noFill/>
              <a:ln w="25421">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46</c:v>
                </c:pt>
                <c:pt idx="1">
                  <c:v>42</c:v>
                </c:pt>
                <c:pt idx="2">
                  <c:v>50</c:v>
                </c:pt>
                <c:pt idx="3">
                  <c:v>39</c:v>
                </c:pt>
                <c:pt idx="4">
                  <c:v>55</c:v>
                </c:pt>
              </c:numCache>
            </c:numRef>
          </c:val>
          <c:smooth val="0"/>
        </c:ser>
        <c:dLbls>
          <c:showLegendKey val="0"/>
          <c:showVal val="0"/>
          <c:showCatName val="0"/>
          <c:showSerName val="0"/>
          <c:showPercent val="0"/>
          <c:showBubbleSize val="0"/>
        </c:dLbls>
        <c:marker val="1"/>
        <c:smooth val="0"/>
        <c:axId val="83194624"/>
        <c:axId val="83196160"/>
      </c:lineChart>
      <c:catAx>
        <c:axId val="83194624"/>
        <c:scaling>
          <c:orientation val="minMax"/>
        </c:scaling>
        <c:delete val="0"/>
        <c:axPos val="b"/>
        <c:numFmt formatCode="General" sourceLinked="1"/>
        <c:majorTickMark val="none"/>
        <c:minorTickMark val="none"/>
        <c:tickLblPos val="nextTo"/>
        <c:spPr>
          <a:noFill/>
          <a:ln w="12710"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3196160"/>
        <c:crosses val="autoZero"/>
        <c:auto val="1"/>
        <c:lblAlgn val="ctr"/>
        <c:lblOffset val="100"/>
        <c:noMultiLvlLbl val="0"/>
      </c:catAx>
      <c:valAx>
        <c:axId val="83196160"/>
        <c:scaling>
          <c:orientation val="minMax"/>
          <c:min val="35"/>
        </c:scaling>
        <c:delete val="1"/>
        <c:axPos val="l"/>
        <c:majorGridlines>
          <c:spPr>
            <a:ln w="9533" cap="flat" cmpd="sng" algn="ctr">
              <a:solidFill>
                <a:schemeClr val="tx1">
                  <a:lumMod val="15000"/>
                  <a:lumOff val="85000"/>
                </a:schemeClr>
              </a:solidFill>
              <a:round/>
            </a:ln>
            <a:effectLst/>
          </c:spPr>
        </c:majorGridlines>
        <c:numFmt formatCode="General" sourceLinked="1"/>
        <c:majorTickMark val="out"/>
        <c:minorTickMark val="none"/>
        <c:tickLblPos val="nextTo"/>
        <c:crossAx val="83194624"/>
        <c:crosses val="autoZero"/>
        <c:crossBetween val="between"/>
      </c:valAx>
      <c:spPr>
        <a:noFill/>
        <a:ln w="25421">
          <a:noFill/>
        </a:ln>
      </c:spPr>
    </c:plotArea>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32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Bulgaria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95C154"/>
              </a:solidFill>
              <a:scene3d>
                <a:camera prst="orthographicFront"/>
                <a:lightRig rig="threePt" dir="t"/>
              </a:scene3d>
              <a:sp3d>
                <a:bevelT w="63500" h="25400"/>
              </a:sp3d>
            </c:spPr>
          </c:dPt>
          <c:dPt>
            <c:idx val="6"/>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9.1710665950450039E-6"/>
                  <c:y val="0.14407899832193108"/>
                </c:manualLayout>
              </c:layout>
              <c:dLblPos val="bestFit"/>
              <c:showLegendKey val="1"/>
              <c:showVal val="1"/>
              <c:showCatName val="1"/>
              <c:showSerName val="0"/>
              <c:showPercent val="0"/>
              <c:showBubbleSize val="0"/>
              <c:separator>
</c:separator>
            </c:dLbl>
            <c:dLbl>
              <c:idx val="2"/>
              <c:layout>
                <c:manualLayout>
                  <c:x val="-2.7731558513588463E-2"/>
                  <c:y val="6.5573340217718684E-2"/>
                </c:manualLayout>
              </c:layout>
              <c:dLblPos val="bestFit"/>
              <c:showLegendKey val="1"/>
              <c:showVal val="1"/>
              <c:showCatName val="1"/>
              <c:showSerName val="0"/>
              <c:showPercent val="0"/>
              <c:showBubbleSize val="0"/>
              <c:separator>
</c:separator>
            </c:dLbl>
            <c:dLbl>
              <c:idx val="3"/>
              <c:layout>
                <c:manualLayout>
                  <c:x val="-1.2911114895995737E-2"/>
                  <c:y val="1.500365732971903E-3"/>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2.7731558513588465E-3"/>
                  <c:y val="-1.6393442622950821E-2"/>
                </c:manualLayout>
              </c:layout>
              <c:dLblPos val="bestFit"/>
              <c:showLegendKey val="1"/>
              <c:showVal val="1"/>
              <c:showCatName val="1"/>
              <c:showSerName val="0"/>
              <c:showPercent val="0"/>
              <c:showBubbleSize val="0"/>
              <c:separator>
</c:separator>
            </c:dLbl>
            <c:dLbl>
              <c:idx val="5"/>
              <c:layout>
                <c:manualLayout>
                  <c:x val="0"/>
                  <c:y val="5.4644808743169399E-3"/>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Blad1!$A$2:$A$8</c:f>
              <c:strCache>
                <c:ptCount val="7"/>
                <c:pt idx="0">
                  <c:v>Policy Area</c:v>
                </c:pt>
                <c:pt idx="1">
                  <c:v>Financial stability, financial services and capital markets union</c:v>
                </c:pt>
                <c:pt idx="2">
                  <c:v>Health and food safety</c:v>
                </c:pt>
                <c:pt idx="3">
                  <c:v>Mobility and transport</c:v>
                </c:pt>
                <c:pt idx="4">
                  <c:v>Internal market, industry, entrepreneurship and SMEs</c:v>
                </c:pt>
                <c:pt idx="5">
                  <c:v>Communication networks</c:v>
                </c:pt>
                <c:pt idx="6">
                  <c:v>Other</c:v>
                </c:pt>
              </c:strCache>
            </c:strRef>
          </c:cat>
          <c:val>
            <c:numRef>
              <c:f>Blad1!$B$2:$B$8</c:f>
              <c:numCache>
                <c:formatCode>General</c:formatCode>
                <c:ptCount val="7"/>
                <c:pt idx="0">
                  <c:v>0</c:v>
                </c:pt>
                <c:pt idx="1">
                  <c:v>5</c:v>
                </c:pt>
                <c:pt idx="2">
                  <c:v>5</c:v>
                </c:pt>
                <c:pt idx="3">
                  <c:v>4</c:v>
                </c:pt>
                <c:pt idx="4">
                  <c:v>3</c:v>
                </c:pt>
                <c:pt idx="5">
                  <c:v>3</c:v>
                </c:pt>
                <c:pt idx="6">
                  <c:v>12</c:v>
                </c:pt>
              </c:numCache>
            </c:numRef>
          </c:val>
          <c:extLst/>
        </c:ser>
        <c:dLbls>
          <c:showLegendKey val="0"/>
          <c:showVal val="0"/>
          <c:showCatName val="1"/>
          <c:showSerName val="0"/>
          <c:showPercent val="0"/>
          <c:showBubbleSize val="0"/>
          <c:showLeaderLines val="0"/>
        </c:dLbls>
        <c:firstSliceAng val="291"/>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12</c:v>
                </c:pt>
                <c:pt idx="1">
                  <c:v>11</c:v>
                </c:pt>
                <c:pt idx="2">
                  <c:v>16</c:v>
                </c:pt>
                <c:pt idx="3">
                  <c:v>18</c:v>
                </c:pt>
                <c:pt idx="4">
                  <c:v>31</c:v>
                </c:pt>
              </c:numCache>
            </c:numRef>
          </c:val>
          <c:smooth val="0"/>
        </c:ser>
        <c:dLbls>
          <c:dLblPos val="t"/>
          <c:showLegendKey val="0"/>
          <c:showVal val="1"/>
          <c:showCatName val="0"/>
          <c:showSerName val="0"/>
          <c:showPercent val="0"/>
          <c:showBubbleSize val="0"/>
        </c:dLbls>
        <c:marker val="1"/>
        <c:smooth val="0"/>
        <c:axId val="83314560"/>
        <c:axId val="83333888"/>
      </c:lineChart>
      <c:catAx>
        <c:axId val="83314560"/>
        <c:scaling>
          <c:orientation val="minMax"/>
        </c:scaling>
        <c:delete val="0"/>
        <c:axPos val="b"/>
        <c:numFmt formatCode="General" sourceLinked="1"/>
        <c:majorTickMark val="none"/>
        <c:minorTickMark val="none"/>
        <c:tickLblPos val="nextTo"/>
        <c:spPr>
          <a:noFill/>
          <a:ln w="12710"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3333888"/>
        <c:crosses val="autoZero"/>
        <c:auto val="1"/>
        <c:lblAlgn val="ctr"/>
        <c:lblOffset val="100"/>
        <c:noMultiLvlLbl val="0"/>
      </c:catAx>
      <c:valAx>
        <c:axId val="83333888"/>
        <c:scaling>
          <c:orientation val="minMax"/>
        </c:scaling>
        <c:delete val="1"/>
        <c:axPos val="l"/>
        <c:majorGridlines>
          <c:spPr>
            <a:ln w="9533" cap="flat" cmpd="sng" algn="ctr">
              <a:solidFill>
                <a:schemeClr val="tx1">
                  <a:lumMod val="15000"/>
                  <a:lumOff val="85000"/>
                </a:schemeClr>
              </a:solidFill>
              <a:round/>
            </a:ln>
            <a:effectLst/>
          </c:spPr>
        </c:majorGridlines>
        <c:numFmt formatCode="General" sourceLinked="1"/>
        <c:majorTickMark val="none"/>
        <c:minorTickMark val="none"/>
        <c:tickLblPos val="nextTo"/>
        <c:crossAx val="83314560"/>
        <c:crosses val="autoZero"/>
        <c:crossBetween val="between"/>
      </c:valAx>
      <c:spPr>
        <a:noFill/>
        <a:ln w="25421">
          <a:noFill/>
        </a:ln>
      </c:spPr>
    </c:plotArea>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0"/>
              <c:layout>
                <c:manualLayout>
                  <c:x val="-4.1528239202657809E-2"/>
                  <c:y val="6.7900748517546419E-2"/>
                </c:manualLayout>
              </c:layout>
              <c:showLegendKey val="0"/>
              <c:showVal val="1"/>
              <c:showCatName val="0"/>
              <c:showSerName val="0"/>
              <c:showPercent val="0"/>
              <c:showBubbleSize val="0"/>
            </c:dLbl>
            <c:dLbl>
              <c:idx val="1"/>
              <c:layout>
                <c:manualLayout>
                  <c:x val="-4.706533776301218E-2"/>
                  <c:y val="8.6419753086419748E-2"/>
                </c:manualLayout>
              </c:layout>
              <c:showLegendKey val="0"/>
              <c:showVal val="1"/>
              <c:showCatName val="0"/>
              <c:showSerName val="0"/>
              <c:showPercent val="0"/>
              <c:showBubbleSize val="0"/>
            </c:dLbl>
            <c:dLbl>
              <c:idx val="2"/>
              <c:layout>
                <c:manualLayout>
                  <c:x val="-3.875968992248062E-2"/>
                  <c:y val="-9.2592592592592587E-2"/>
                </c:manualLayout>
              </c:layout>
              <c:showLegendKey val="0"/>
              <c:showVal val="1"/>
              <c:showCatName val="0"/>
              <c:showSerName val="0"/>
              <c:showPercent val="0"/>
              <c:showBubbleSize val="0"/>
            </c:dLbl>
            <c:dLbl>
              <c:idx val="3"/>
              <c:layout>
                <c:manualLayout>
                  <c:x val="-3.3222591362126248E-2"/>
                  <c:y val="7.407407407407407E-2"/>
                </c:manualLayout>
              </c:layout>
              <c:showLegendKey val="0"/>
              <c:showVal val="1"/>
              <c:showCatName val="0"/>
              <c:showSerName val="0"/>
              <c:showPercent val="0"/>
              <c:showBubbleSize val="0"/>
            </c:dLbl>
            <c:dLbl>
              <c:idx val="4"/>
              <c:layout>
                <c:manualLayout>
                  <c:x val="-4.4296788482835095E-2"/>
                  <c:y val="-7.407407407407407E-2"/>
                </c:manualLayout>
              </c:layout>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13</c:v>
                </c:pt>
                <c:pt idx="1">
                  <c:v>13</c:v>
                </c:pt>
                <c:pt idx="2">
                  <c:v>41</c:v>
                </c:pt>
                <c:pt idx="3">
                  <c:v>20</c:v>
                </c:pt>
                <c:pt idx="4">
                  <c:v>27</c:v>
                </c:pt>
              </c:numCache>
            </c:numRef>
          </c:val>
          <c:smooth val="0"/>
        </c:ser>
        <c:dLbls>
          <c:showLegendKey val="0"/>
          <c:showVal val="0"/>
          <c:showCatName val="0"/>
          <c:showSerName val="0"/>
          <c:showPercent val="0"/>
          <c:showBubbleSize val="0"/>
        </c:dLbls>
        <c:marker val="1"/>
        <c:smooth val="0"/>
        <c:axId val="83407232"/>
        <c:axId val="83408768"/>
      </c:lineChart>
      <c:catAx>
        <c:axId val="83407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3408768"/>
        <c:crosses val="autoZero"/>
        <c:auto val="1"/>
        <c:lblAlgn val="ctr"/>
        <c:lblOffset val="100"/>
        <c:noMultiLvlLbl val="0"/>
      </c:catAx>
      <c:valAx>
        <c:axId val="834087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340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27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Bulgaria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780443142281634"/>
          <c:y val="2.9411764705882353E-2"/>
        </c:manualLayout>
      </c:layout>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9900"/>
              </a:solidFill>
              <a:scene3d>
                <a:camera prst="orthographicFront"/>
                <a:lightRig rig="threePt" dir="t"/>
              </a:scene3d>
              <a:sp3d>
                <a:bevelT w="63500" h="25400"/>
              </a:sp3d>
            </c:spPr>
          </c:dPt>
          <c:dPt>
            <c:idx val="4"/>
            <c:bubble3D val="0"/>
            <c:spPr>
              <a:solidFill>
                <a:srgbClr val="00A676"/>
              </a:solidFill>
              <a:scene3d>
                <a:camera prst="orthographicFront"/>
                <a:lightRig rig="threePt" dir="t"/>
              </a:scene3d>
              <a:sp3d>
                <a:bevelT w="63500" h="25400"/>
              </a:sp3d>
            </c:spPr>
          </c:dPt>
          <c:dPt>
            <c:idx val="5"/>
            <c:bubble3D val="0"/>
            <c:spPr>
              <a:solidFill>
                <a:srgbClr val="95C154"/>
              </a:solidFill>
              <a:scene3d>
                <a:camera prst="orthographicFront"/>
                <a:lightRig rig="threePt" dir="t"/>
              </a:scene3d>
              <a:sp3d>
                <a:bevelT w="63500" h="25400"/>
              </a:sp3d>
            </c:spPr>
          </c:dPt>
          <c:dPt>
            <c:idx val="6"/>
            <c:bubble3D val="0"/>
            <c:spPr>
              <a:solidFill>
                <a:srgbClr val="996633"/>
              </a:solidFill>
              <a:scene3d>
                <a:camera prst="orthographicFront"/>
                <a:lightRig rig="threePt" dir="t"/>
              </a:scene3d>
              <a:sp3d>
                <a:bevelT w="63500" h="25400"/>
              </a:sp3d>
            </c:spPr>
          </c:dPt>
          <c:dPt>
            <c:idx val="7"/>
            <c:bubble3D val="0"/>
            <c:spPr>
              <a:solidFill>
                <a:srgbClr val="FFD617"/>
              </a:solidFill>
              <a:scene3d>
                <a:camera prst="orthographicFront"/>
                <a:lightRig rig="threePt" dir="t"/>
              </a:scene3d>
              <a:sp3d>
                <a:bevelT w="63500" h="25400"/>
              </a:sp3d>
            </c:spPr>
          </c:dPt>
          <c:dPt>
            <c:idx val="8"/>
            <c:bubble3D val="0"/>
            <c:spPr>
              <a:solidFill>
                <a:srgbClr val="808AA4"/>
              </a:solidFill>
              <a:scene3d>
                <a:camera prst="orthographicFront"/>
                <a:lightRig rig="threePt" dir="t"/>
              </a:scene3d>
              <a:sp3d>
                <a:bevelT w="63500" h="25400"/>
              </a:sp3d>
            </c:spPr>
          </c:dPt>
          <c:dLbls>
            <c:dLbl>
              <c:idx val="0"/>
              <c:layout>
                <c:manualLayout>
                  <c:x val="-0.13011898222024573"/>
                  <c:y val="5.8822757449436471E-2"/>
                </c:manualLayout>
              </c:layout>
              <c:dLblPos val="bestFit"/>
              <c:showLegendKey val="1"/>
              <c:showVal val="1"/>
              <c:showCatName val="1"/>
              <c:showSerName val="0"/>
              <c:showPercent val="0"/>
              <c:showBubbleSize val="0"/>
              <c:separator>
</c:separator>
            </c:dLbl>
            <c:dLbl>
              <c:idx val="1"/>
              <c:layout>
                <c:manualLayout>
                  <c:x val="-5.537098560354374E-2"/>
                  <c:y val="-3.8598116411919099E-7"/>
                </c:manualLayout>
              </c:layout>
              <c:dLblPos val="bestFit"/>
              <c:showLegendKey val="1"/>
              <c:showVal val="1"/>
              <c:showCatName val="1"/>
              <c:showSerName val="0"/>
              <c:showPercent val="0"/>
              <c:showBubbleSize val="0"/>
              <c:separator>
</c:separator>
            </c:dLbl>
            <c:dLbl>
              <c:idx val="2"/>
              <c:layout>
                <c:manualLayout>
                  <c:x val="2.2289655653508426E-2"/>
                  <c:y val="-0.10784352323606608"/>
                </c:manualLayout>
              </c:layout>
              <c:dLblPos val="bestFit"/>
              <c:showLegendKey val="1"/>
              <c:showVal val="1"/>
              <c:showCatName val="1"/>
              <c:showSerName val="0"/>
              <c:showPercent val="0"/>
              <c:showBubbleSize val="0"/>
              <c:separator>
</c:separator>
            </c:dLbl>
            <c:dLbl>
              <c:idx val="3"/>
              <c:layout>
                <c:manualLayout>
                  <c:x val="4.9833887043189369E-2"/>
                  <c:y val="0"/>
                </c:manualLayout>
              </c:layout>
              <c:dLblPos val="bestFit"/>
              <c:showLegendKey val="1"/>
              <c:showVal val="1"/>
              <c:showCatName val="1"/>
              <c:showSerName val="0"/>
              <c:showPercent val="0"/>
              <c:showBubbleSize val="0"/>
              <c:separator>
</c:separator>
            </c:dLbl>
            <c:dLbl>
              <c:idx val="4"/>
              <c:layout>
                <c:manualLayout>
                  <c:x val="8.3056478405315621E-3"/>
                  <c:y val="0"/>
                </c:manualLayout>
              </c:layout>
              <c:dLblPos val="bestFit"/>
              <c:showLegendKey val="1"/>
              <c:showVal val="1"/>
              <c:showCatName val="1"/>
              <c:showSerName val="0"/>
              <c:showPercent val="0"/>
              <c:showBubbleSize val="0"/>
              <c:separator>
</c:separator>
            </c:dLbl>
            <c:dLbl>
              <c:idx val="5"/>
              <c:layout>
                <c:manualLayout>
                  <c:x val="-5.5370985603543747E-3"/>
                  <c:y val="-2.9411764705882353E-2"/>
                </c:manualLayout>
              </c:layout>
              <c:dLblPos val="bestFit"/>
              <c:showLegendKey val="1"/>
              <c:showVal val="1"/>
              <c:showCatName val="1"/>
              <c:showSerName val="0"/>
              <c:showPercent val="0"/>
              <c:showBubbleSize val="0"/>
              <c:separator>
</c:separator>
            </c:dLbl>
            <c:dLbl>
              <c:idx val="6"/>
              <c:layout>
                <c:manualLayout>
                  <c:x val="-1.1074197120708749E-2"/>
                  <c:y val="-1.9607843137254902E-2"/>
                </c:manualLayout>
              </c:layout>
              <c:dLblPos val="bestFit"/>
              <c:showLegendKey val="1"/>
              <c:showVal val="1"/>
              <c:showCatName val="1"/>
              <c:showSerName val="0"/>
              <c:showPercent val="0"/>
              <c:showBubbleSize val="0"/>
              <c:separator>
</c:separator>
            </c:dLbl>
            <c:dLbl>
              <c:idx val="7"/>
              <c:layout>
                <c:manualLayout>
                  <c:x val="1.6611295681063124E-2"/>
                  <c:y val="4.9019607843137254E-3"/>
                </c:manualLayout>
              </c:layout>
              <c:dLblPos val="bestFit"/>
              <c:showLegendKey val="1"/>
              <c:showVal val="1"/>
              <c:showCatName val="1"/>
              <c:showSerName val="0"/>
              <c:showPercent val="0"/>
              <c:showBubbleSize val="0"/>
              <c:separator>
</c:separator>
            </c:dLbl>
            <c:dLbl>
              <c:idx val="8"/>
              <c:layout>
                <c:manualLayout>
                  <c:x val="0"/>
                  <c:y val="2.4509803921568627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Blad1!$A$4:$A$12</c:f>
              <c:strCache>
                <c:ptCount val="9"/>
                <c:pt idx="0">
                  <c:v>Health and food safety</c:v>
                </c:pt>
                <c:pt idx="1">
                  <c:v>Financial stability, financial services and capital markets union</c:v>
                </c:pt>
                <c:pt idx="2">
                  <c:v>Internal market, industry, entrepreneurship and SMEs</c:v>
                </c:pt>
                <c:pt idx="3">
                  <c:v>Mobility and transport</c:v>
                </c:pt>
                <c:pt idx="4">
                  <c:v>Environment</c:v>
                </c:pt>
                <c:pt idx="5">
                  <c:v>Communication networks</c:v>
                </c:pt>
                <c:pt idx="6">
                  <c:v>Justice and consumers</c:v>
                </c:pt>
                <c:pt idx="7">
                  <c:v>Employment</c:v>
                </c:pt>
                <c:pt idx="8">
                  <c:v>Other</c:v>
                </c:pt>
              </c:strCache>
            </c:strRef>
          </c:cat>
          <c:val>
            <c:numRef>
              <c:f>Blad1!$B$4:$B$12</c:f>
              <c:numCache>
                <c:formatCode>General</c:formatCode>
                <c:ptCount val="9"/>
                <c:pt idx="0">
                  <c:v>5</c:v>
                </c:pt>
                <c:pt idx="1">
                  <c:v>5</c:v>
                </c:pt>
                <c:pt idx="2">
                  <c:v>3</c:v>
                </c:pt>
                <c:pt idx="3">
                  <c:v>3</c:v>
                </c:pt>
                <c:pt idx="4">
                  <c:v>2</c:v>
                </c:pt>
                <c:pt idx="5">
                  <c:v>2</c:v>
                </c:pt>
                <c:pt idx="6">
                  <c:v>2</c:v>
                </c:pt>
                <c:pt idx="7">
                  <c:v>2</c:v>
                </c:pt>
                <c:pt idx="8">
                  <c:v>3</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32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57</c:v>
                </c:pt>
                <c:pt idx="1">
                  <c:v>56</c:v>
                </c:pt>
                <c:pt idx="2">
                  <c:v>57</c:v>
                </c:pt>
                <c:pt idx="3">
                  <c:v>63</c:v>
                </c:pt>
                <c:pt idx="4">
                  <c:v>67</c:v>
                </c:pt>
              </c:numCache>
            </c:numRef>
          </c:val>
          <c:smooth val="0"/>
        </c:ser>
        <c:dLbls>
          <c:showLegendKey val="0"/>
          <c:showVal val="1"/>
          <c:showCatName val="0"/>
          <c:showSerName val="0"/>
          <c:showPercent val="0"/>
          <c:showBubbleSize val="0"/>
        </c:dLbls>
        <c:marker val="1"/>
        <c:smooth val="0"/>
        <c:axId val="83676160"/>
        <c:axId val="84060032"/>
      </c:lineChart>
      <c:catAx>
        <c:axId val="836761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4060032"/>
        <c:crosses val="autoZero"/>
        <c:auto val="1"/>
        <c:lblAlgn val="ctr"/>
        <c:lblOffset val="100"/>
        <c:noMultiLvlLbl val="0"/>
      </c:catAx>
      <c:valAx>
        <c:axId val="84060032"/>
        <c:scaling>
          <c:orientation val="minMax"/>
          <c:min val="4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3676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67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Czech Republic</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explosion val="1"/>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2.7518558942508424E-2"/>
                  <c:y val="9.458216382258211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4.1254125412541254E-2"/>
                  <c:y val="-0.12090422845409309"/>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2.7528737125681071E-2"/>
                  <c:y val="0"/>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6.6006600660066E-2"/>
                  <c:y val="-0.15772870662460567"/>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Justice and consumers</c:v>
                </c:pt>
                <c:pt idx="1">
                  <c:v>Environment</c:v>
                </c:pt>
                <c:pt idx="2">
                  <c:v>Internal market, industry, entrepreneurship and SMEs</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24</c:v>
                </c:pt>
                <c:pt idx="1">
                  <c:v>14</c:v>
                </c:pt>
                <c:pt idx="2">
                  <c:v>10</c:v>
                </c:pt>
                <c:pt idx="3">
                  <c:v>19</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66"/>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5055555555555557E-2"/>
                  <c:y val="-6.6036655211912945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30</c:v>
                </c:pt>
                <c:pt idx="1">
                  <c:v>40</c:v>
                </c:pt>
                <c:pt idx="2">
                  <c:v>31</c:v>
                </c:pt>
                <c:pt idx="3">
                  <c:v>21</c:v>
                </c:pt>
                <c:pt idx="4">
                  <c:v>19</c:v>
                </c:pt>
              </c:numCache>
            </c:numRef>
          </c:val>
          <c:smooth val="0"/>
        </c:ser>
        <c:dLbls>
          <c:showLegendKey val="0"/>
          <c:showVal val="0"/>
          <c:showCatName val="0"/>
          <c:showSerName val="0"/>
          <c:showPercent val="0"/>
          <c:showBubbleSize val="0"/>
        </c:dLbls>
        <c:marker val="1"/>
        <c:smooth val="0"/>
        <c:axId val="83808256"/>
        <c:axId val="83809792"/>
      </c:lineChart>
      <c:catAx>
        <c:axId val="83808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3809792"/>
        <c:crosses val="autoZero"/>
        <c:auto val="1"/>
        <c:lblAlgn val="ctr"/>
        <c:lblOffset val="100"/>
        <c:noMultiLvlLbl val="0"/>
      </c:catAx>
      <c:valAx>
        <c:axId val="83809792"/>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380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5055555555555557E-2"/>
                  <c:y val="-6.6036655211912945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28</c:v>
                </c:pt>
                <c:pt idx="1">
                  <c:v>34</c:v>
                </c:pt>
                <c:pt idx="2">
                  <c:v>41</c:v>
                </c:pt>
                <c:pt idx="3">
                  <c:v>45</c:v>
                </c:pt>
                <c:pt idx="4">
                  <c:v>39</c:v>
                </c:pt>
              </c:numCache>
            </c:numRef>
          </c:val>
          <c:smooth val="0"/>
        </c:ser>
        <c:dLbls>
          <c:showLegendKey val="0"/>
          <c:showVal val="0"/>
          <c:showCatName val="0"/>
          <c:showSerName val="0"/>
          <c:showPercent val="0"/>
          <c:showBubbleSize val="0"/>
        </c:dLbls>
        <c:marker val="1"/>
        <c:smooth val="0"/>
        <c:axId val="83850752"/>
        <c:axId val="83852288"/>
      </c:lineChart>
      <c:catAx>
        <c:axId val="83850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3852288"/>
        <c:crosses val="autoZero"/>
        <c:auto val="1"/>
        <c:lblAlgn val="ctr"/>
        <c:lblOffset val="100"/>
        <c:noMultiLvlLbl val="0"/>
      </c:catAx>
      <c:valAx>
        <c:axId val="83852288"/>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385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19 EU Pilot files opened against the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Czech Republic</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991491400745959"/>
          <c:y val="2.5367833587011668E-2"/>
        </c:manualLayout>
      </c:layout>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5.4798660035916564E-3"/>
                  <c:y val="0.15234139939824595"/>
                </c:manualLayout>
              </c:layout>
              <c:dLblPos val="bestFit"/>
              <c:showLegendKey val="1"/>
              <c:showVal val="1"/>
              <c:showCatName val="1"/>
              <c:showSerName val="0"/>
              <c:showPercent val="0"/>
              <c:showBubbleSize val="0"/>
              <c:separator>
</c:separator>
            </c:dLbl>
            <c:dLbl>
              <c:idx val="1"/>
              <c:layout>
                <c:manualLayout>
                  <c:x val="-3.0057889556568587E-2"/>
                  <c:y val="-3.5576307534728888E-2"/>
                </c:manualLayout>
              </c:layout>
              <c:dLblPos val="bestFit"/>
              <c:showLegendKey val="1"/>
              <c:showVal val="1"/>
              <c:showCatName val="1"/>
              <c:showSerName val="0"/>
              <c:showPercent val="0"/>
              <c:showBubbleSize val="0"/>
              <c:separator>
</c:separator>
            </c:dLbl>
            <c:dLbl>
              <c:idx val="2"/>
              <c:layout>
                <c:manualLayout>
                  <c:x val="8.2407359441911861E-3"/>
                  <c:y val="-2.5438512259138339E-2"/>
                </c:manualLayout>
              </c:layout>
              <c:dLblPos val="bestFit"/>
              <c:showLegendKey val="1"/>
              <c:showVal val="1"/>
              <c:showCatName val="1"/>
              <c:showSerName val="0"/>
              <c:showPercent val="0"/>
              <c:showBubbleSize val="0"/>
              <c:separator>
</c:separator>
            </c:dLbl>
            <c:dLbl>
              <c:idx val="3"/>
              <c:layout>
                <c:manualLayout>
                  <c:x val="2.7400840931067826E-2"/>
                  <c:y val="0"/>
                </c:manualLayout>
              </c:layout>
              <c:dLblPos val="bestFit"/>
              <c:showLegendKey val="1"/>
              <c:showVal val="1"/>
              <c:showCatName val="1"/>
              <c:showSerName val="0"/>
              <c:showPercent val="0"/>
              <c:showBubbleSize val="0"/>
              <c:separator>
</c:separator>
            </c:dLbl>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Blad1!$A$3:$A$7</c:f>
              <c:strCache>
                <c:ptCount val="5"/>
                <c:pt idx="0">
                  <c:v>Internal market, industry, entrepreneurship and SMEs</c:v>
                </c:pt>
                <c:pt idx="1">
                  <c:v>Environment</c:v>
                </c:pt>
                <c:pt idx="2">
                  <c:v>Energy</c:v>
                </c:pt>
                <c:pt idx="3">
                  <c:v>Migration and home affairs</c:v>
                </c:pt>
                <c:pt idx="4">
                  <c:v>Other</c:v>
                </c:pt>
              </c:strCache>
              <c:extLst>
                <c:ext xmlns:c15="http://schemas.microsoft.com/office/drawing/2012/chart" uri="{02D57815-91ED-43cb-92C2-25804820EDAC}">
                  <c15:fullRef>
                    <c15:sqref>Blad1!$A$2:$A$6</c15:sqref>
                  </c15:fullRef>
                </c:ext>
              </c:extLst>
            </c:strRef>
          </c:cat>
          <c:val>
            <c:numRef>
              <c:f>Blad1!$B$3:$B$7</c:f>
              <c:numCache>
                <c:formatCode>General</c:formatCode>
                <c:ptCount val="5"/>
                <c:pt idx="0">
                  <c:v>6</c:v>
                </c:pt>
                <c:pt idx="1">
                  <c:v>4</c:v>
                </c:pt>
                <c:pt idx="2">
                  <c:v>2</c:v>
                </c:pt>
                <c:pt idx="3">
                  <c:v>2</c:v>
                </c:pt>
                <c:pt idx="4">
                  <c:v>5</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6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4905869324473977E-2"/>
                  <c:y val="-6.5362811791383216E-2"/>
                </c:manualLayout>
              </c:layout>
              <c:dLblPos val="r"/>
              <c:showLegendKey val="0"/>
              <c:showVal val="1"/>
              <c:showCatName val="0"/>
              <c:showSerName val="0"/>
              <c:showPercent val="0"/>
              <c:showBubbleSize val="0"/>
            </c:dLbl>
            <c:dLbl>
              <c:idx val="2"/>
              <c:layout>
                <c:manualLayout>
                  <c:x val="-4.1878929521401924E-2"/>
                  <c:y val="-7.244302400582274E-2"/>
                </c:manualLayout>
              </c:layout>
              <c:dLblPos val="r"/>
              <c:showLegendKey val="0"/>
              <c:showVal val="1"/>
              <c:showCatName val="0"/>
              <c:showSerName val="0"/>
              <c:showPercent val="0"/>
              <c:showBubbleSize val="0"/>
            </c:dLbl>
            <c:dLbl>
              <c:idx val="3"/>
              <c:layout>
                <c:manualLayout>
                  <c:x val="-4.4902163392366655E-2"/>
                  <c:y val="6.4701733711857445E-2"/>
                </c:manualLayout>
              </c:layout>
              <c:dLblPos val="r"/>
              <c:showLegendKey val="0"/>
              <c:showVal val="1"/>
              <c:showCatName val="0"/>
              <c:showSerName val="0"/>
              <c:showPercent val="0"/>
              <c:showBubbleSize val="0"/>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49</c:v>
                </c:pt>
                <c:pt idx="1">
                  <c:v>61</c:v>
                </c:pt>
                <c:pt idx="2">
                  <c:v>57</c:v>
                </c:pt>
                <c:pt idx="3">
                  <c:v>30</c:v>
                </c:pt>
                <c:pt idx="4">
                  <c:v>34</c:v>
                </c:pt>
              </c:numCache>
            </c:numRef>
          </c:val>
          <c:smooth val="0"/>
        </c:ser>
        <c:dLbls>
          <c:showLegendKey val="0"/>
          <c:showVal val="0"/>
          <c:showCatName val="0"/>
          <c:showSerName val="0"/>
          <c:showPercent val="0"/>
          <c:showBubbleSize val="0"/>
        </c:dLbls>
        <c:marker val="1"/>
        <c:smooth val="0"/>
        <c:axId val="76813824"/>
        <c:axId val="76815360"/>
      </c:lineChart>
      <c:catAx>
        <c:axId val="76813824"/>
        <c:scaling>
          <c:orientation val="minMax"/>
        </c:scaling>
        <c:delete val="0"/>
        <c:axPos val="b"/>
        <c:numFmt formatCode="General" sourceLinked="1"/>
        <c:majorTickMark val="none"/>
        <c:minorTickMark val="none"/>
        <c:tickLblPos val="nextTo"/>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76815360"/>
        <c:crosses val="autoZero"/>
        <c:auto val="1"/>
        <c:lblAlgn val="ctr"/>
        <c:lblOffset val="100"/>
        <c:noMultiLvlLbl val="0"/>
      </c:catAx>
      <c:valAx>
        <c:axId val="76815360"/>
        <c:scaling>
          <c:orientation val="minMax"/>
          <c:min val="20"/>
        </c:scaling>
        <c:delete val="1"/>
        <c:axPos val="l"/>
        <c:majorGridlines>
          <c:spPr>
            <a:ln w="9526" cap="flat" cmpd="sng" algn="ctr">
              <a:solidFill>
                <a:schemeClr val="tx1">
                  <a:lumMod val="15000"/>
                  <a:lumOff val="85000"/>
                </a:schemeClr>
              </a:solidFill>
              <a:round/>
            </a:ln>
            <a:effectLst/>
          </c:spPr>
        </c:majorGridlines>
        <c:numFmt formatCode="General" sourceLinked="1"/>
        <c:majorTickMark val="out"/>
        <c:minorTickMark val="none"/>
        <c:tickLblPos val="nextTo"/>
        <c:crossAx val="76813824"/>
        <c:crosses val="autoZero"/>
        <c:crossBetween val="between"/>
      </c:valAx>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0526899611758179E-2"/>
                  <c:y val="6.6264367816091949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71</c:v>
                </c:pt>
                <c:pt idx="1">
                  <c:v>75</c:v>
                </c:pt>
                <c:pt idx="2">
                  <c:v>76</c:v>
                </c:pt>
                <c:pt idx="3">
                  <c:v>83</c:v>
                </c:pt>
                <c:pt idx="4">
                  <c:v>83</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84173568"/>
        <c:axId val="84175104"/>
      </c:lineChart>
      <c:catAx>
        <c:axId val="84173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4175104"/>
        <c:crosses val="autoZero"/>
        <c:auto val="1"/>
        <c:lblAlgn val="ctr"/>
        <c:lblOffset val="100"/>
        <c:noMultiLvlLbl val="0"/>
      </c:catAx>
      <c:valAx>
        <c:axId val="84175104"/>
        <c:scaling>
          <c:orientation val="minMax"/>
          <c:min val="6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4173568"/>
        <c:crosses val="autoZero"/>
        <c:crossBetween val="between"/>
      </c:valAx>
      <c:spPr>
        <a:noFill/>
        <a:ln>
          <a:noFill/>
        </a:ln>
        <a:effectLst/>
      </c:spPr>
    </c:plotArea>
    <c:legend>
      <c:legendPos val="b"/>
      <c:legendEntry>
        <c:idx val="0"/>
        <c:delete val="1"/>
      </c:legendEntry>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Czech Republic</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0.6</c:v>
                </c:pt>
                <c:pt idx="1">
                  <c:v>0.57999999999999996</c:v>
                </c:pt>
                <c:pt idx="2">
                  <c:v>0.64</c:v>
                </c:pt>
                <c:pt idx="3">
                  <c:v>0.7</c:v>
                </c:pt>
                <c:pt idx="4">
                  <c:v>0.44</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84275584"/>
        <c:axId val="84277120"/>
      </c:lineChart>
      <c:catAx>
        <c:axId val="842755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4277120"/>
        <c:crosses val="autoZero"/>
        <c:auto val="1"/>
        <c:lblAlgn val="ctr"/>
        <c:lblOffset val="100"/>
        <c:noMultiLvlLbl val="0"/>
      </c:catAx>
      <c:valAx>
        <c:axId val="84277120"/>
        <c:scaling>
          <c:orientation val="minMax"/>
          <c:min val="0.30000000000000004"/>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84275584"/>
        <c:crosses val="autoZero"/>
        <c:crossBetween val="between"/>
      </c:valAx>
      <c:spPr>
        <a:noFill/>
        <a:ln>
          <a:noFill/>
        </a:ln>
        <a:effectLst/>
      </c:spPr>
    </c:plotArea>
    <c:legend>
      <c:legendPos val="b"/>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0546988614775898E-2"/>
                  <c:y val="7.6912774601804915E-2"/>
                </c:manualLayout>
              </c:layout>
              <c:dLblPos val="r"/>
              <c:showLegendKey val="0"/>
              <c:showVal val="1"/>
              <c:showCatName val="0"/>
              <c:showSerName val="0"/>
              <c:showPercent val="0"/>
              <c:showBubbleSize val="0"/>
            </c:dLbl>
            <c:dLbl>
              <c:idx val="4"/>
              <c:layout>
                <c:manualLayout>
                  <c:x val="-3.6661120354963946E-2"/>
                  <c:y val="-6.5810502283105018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36</c:v>
                </c:pt>
                <c:pt idx="1">
                  <c:v>31</c:v>
                </c:pt>
                <c:pt idx="2">
                  <c:v>38</c:v>
                </c:pt>
                <c:pt idx="3">
                  <c:v>46</c:v>
                </c:pt>
                <c:pt idx="4">
                  <c:v>60</c:v>
                </c:pt>
              </c:numCache>
            </c:numRef>
          </c:val>
          <c:smooth val="0"/>
        </c:ser>
        <c:dLbls>
          <c:showLegendKey val="0"/>
          <c:showVal val="1"/>
          <c:showCatName val="0"/>
          <c:showSerName val="0"/>
          <c:showPercent val="0"/>
          <c:showBubbleSize val="0"/>
        </c:dLbls>
        <c:marker val="1"/>
        <c:smooth val="0"/>
        <c:axId val="84308736"/>
        <c:axId val="84311424"/>
      </c:lineChart>
      <c:catAx>
        <c:axId val="84308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4311424"/>
        <c:crosses val="autoZero"/>
        <c:auto val="1"/>
        <c:lblAlgn val="ctr"/>
        <c:lblOffset val="100"/>
        <c:noMultiLvlLbl val="0"/>
      </c:catAx>
      <c:valAx>
        <c:axId val="84311424"/>
        <c:scaling>
          <c:orientation val="minMax"/>
          <c:min val="2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4308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42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the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Czech Republic</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2.7624562736646274E-3"/>
                  <c:y val="7.6502732240437188E-2"/>
                </c:manualLayout>
              </c:layout>
              <c:dLblPos val="bestFit"/>
              <c:showLegendKey val="1"/>
              <c:showVal val="1"/>
              <c:showCatName val="1"/>
              <c:showSerName val="0"/>
              <c:showPercent val="0"/>
              <c:showBubbleSize val="0"/>
              <c:separator>
</c:separator>
            </c:dLbl>
            <c:dLbl>
              <c:idx val="2"/>
              <c:layout>
                <c:manualLayout>
                  <c:x val="-4.9916805324459232E-2"/>
                  <c:y val="6.0109289617486336E-2"/>
                </c:manualLayout>
              </c:layout>
              <c:dLblPos val="bestFit"/>
              <c:showLegendKey val="1"/>
              <c:showVal val="1"/>
              <c:showCatName val="1"/>
              <c:showSerName val="0"/>
              <c:showPercent val="0"/>
              <c:showBubbleSize val="0"/>
              <c:separator>
</c:separator>
            </c:dLbl>
            <c:dLbl>
              <c:idx val="3"/>
              <c:layout>
                <c:manualLayout>
                  <c:x val="-1.5684270747354585E-2"/>
                  <c:y val="6.7074566498859775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1.6638716749424624E-2"/>
                  <c:y val="1.4686975603459303E-2"/>
                </c:manualLayout>
              </c:layout>
              <c:dLblPos val="bestFit"/>
              <c:showLegendKey val="1"/>
              <c:showVal val="1"/>
              <c:showCatName val="1"/>
              <c:showSerName val="0"/>
              <c:showPercent val="0"/>
              <c:showBubbleSize val="0"/>
              <c:separator>
</c:separator>
            </c:dLbl>
            <c:dLbl>
              <c:idx val="5"/>
              <c:layout>
                <c:manualLayout>
                  <c:x val="-0.10260676650027732"/>
                  <c:y val="-0.1639348565035928"/>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Blad1!$A$2:$A$7</c:f>
              <c:strCache>
                <c:ptCount val="6"/>
                <c:pt idx="0">
                  <c:v>Policy Area</c:v>
                </c:pt>
                <c:pt idx="1">
                  <c:v>Internal market, industry, entrepreneurship and SMEs</c:v>
                </c:pt>
                <c:pt idx="2">
                  <c:v>Health and food safety</c:v>
                </c:pt>
                <c:pt idx="3">
                  <c:v>Financial stability, financial services and capital markets union</c:v>
                </c:pt>
                <c:pt idx="4">
                  <c:v>Environment</c:v>
                </c:pt>
                <c:pt idx="5">
                  <c:v>Other</c:v>
                </c:pt>
              </c:strCache>
            </c:strRef>
          </c:cat>
          <c:val>
            <c:numRef>
              <c:f>Blad1!$B$2:$B$7</c:f>
              <c:numCache>
                <c:formatCode>General</c:formatCode>
                <c:ptCount val="6"/>
                <c:pt idx="0">
                  <c:v>0</c:v>
                </c:pt>
                <c:pt idx="1">
                  <c:v>12</c:v>
                </c:pt>
                <c:pt idx="2">
                  <c:v>7</c:v>
                </c:pt>
                <c:pt idx="3">
                  <c:v>5</c:v>
                </c:pt>
                <c:pt idx="4">
                  <c:v>5</c:v>
                </c:pt>
                <c:pt idx="5">
                  <c:v>13</c:v>
                </c:pt>
              </c:numCache>
            </c:numRef>
          </c:val>
          <c:extLst/>
        </c:ser>
        <c:dLbls>
          <c:showLegendKey val="0"/>
          <c:showVal val="0"/>
          <c:showCatName val="1"/>
          <c:showSerName val="0"/>
          <c:showPercent val="0"/>
          <c:showBubbleSize val="0"/>
          <c:showLeaderLines val="0"/>
        </c:dLbls>
        <c:firstSliceAng val="253"/>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5.0369978628293351E-2"/>
                  <c:y val="7.5448308055452801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11</c:v>
                </c:pt>
                <c:pt idx="1">
                  <c:v>7</c:v>
                </c:pt>
                <c:pt idx="2">
                  <c:v>10</c:v>
                </c:pt>
                <c:pt idx="3">
                  <c:v>17</c:v>
                </c:pt>
                <c:pt idx="4">
                  <c:v>29</c:v>
                </c:pt>
              </c:numCache>
            </c:numRef>
          </c:val>
          <c:smooth val="0"/>
        </c:ser>
        <c:dLbls>
          <c:showLegendKey val="0"/>
          <c:showVal val="1"/>
          <c:showCatName val="0"/>
          <c:showSerName val="0"/>
          <c:showPercent val="0"/>
          <c:showBubbleSize val="0"/>
        </c:dLbls>
        <c:marker val="1"/>
        <c:smooth val="0"/>
        <c:axId val="84429056"/>
        <c:axId val="84432000"/>
      </c:lineChart>
      <c:catAx>
        <c:axId val="844290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4432000"/>
        <c:crosses val="autoZero"/>
        <c:auto val="1"/>
        <c:lblAlgn val="ctr"/>
        <c:lblOffset val="100"/>
        <c:noMultiLvlLbl val="0"/>
      </c:catAx>
      <c:valAx>
        <c:axId val="844320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4429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4842062652616185E-2"/>
                  <c:y val="7.5448308055452898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13</c:v>
                </c:pt>
                <c:pt idx="1">
                  <c:v>12</c:v>
                </c:pt>
                <c:pt idx="2">
                  <c:v>18</c:v>
                </c:pt>
                <c:pt idx="3">
                  <c:v>17</c:v>
                </c:pt>
                <c:pt idx="4">
                  <c:v>33</c:v>
                </c:pt>
              </c:numCache>
            </c:numRef>
          </c:val>
          <c:smooth val="0"/>
        </c:ser>
        <c:dLbls>
          <c:showLegendKey val="0"/>
          <c:showVal val="1"/>
          <c:showCatName val="0"/>
          <c:showSerName val="0"/>
          <c:showPercent val="0"/>
          <c:showBubbleSize val="0"/>
        </c:dLbls>
        <c:marker val="1"/>
        <c:smooth val="0"/>
        <c:axId val="84446592"/>
        <c:axId val="84515072"/>
      </c:lineChart>
      <c:catAx>
        <c:axId val="844465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4515072"/>
        <c:crosses val="autoZero"/>
        <c:auto val="1"/>
        <c:lblAlgn val="ctr"/>
        <c:lblOffset val="100"/>
        <c:noMultiLvlLbl val="0"/>
      </c:catAx>
      <c:valAx>
        <c:axId val="845150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4446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33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the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Czech Republic</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780443142281634"/>
          <c:y val="2.4509803921568627E-2"/>
        </c:manualLayout>
      </c:layout>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scene3d>
                <a:camera prst="orthographicFront"/>
                <a:lightRig rig="threePt" dir="t"/>
              </a:scene3d>
              <a:sp3d>
                <a:bevelT w="63500" h="25400"/>
              </a:sp3d>
            </c:spPr>
          </c:dPt>
          <c:dPt>
            <c:idx val="4"/>
            <c:bubble3D val="0"/>
            <c:spPr>
              <a:solidFill>
                <a:srgbClr val="996633"/>
              </a:solidFill>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layout>
                <c:manualLayout>
                  <c:x val="-4.7062067822917483E-2"/>
                  <c:y val="2.4509803921568627E-2"/>
                </c:manualLayout>
              </c:layout>
              <c:dLblPos val="bestFit"/>
              <c:showLegendKey val="1"/>
              <c:showVal val="1"/>
              <c:showCatName val="1"/>
              <c:showSerName val="0"/>
              <c:showPercent val="0"/>
              <c:showBubbleSize val="0"/>
              <c:separator>
</c:separator>
            </c:dLbl>
            <c:dLbl>
              <c:idx val="1"/>
              <c:layout>
                <c:manualLayout>
                  <c:x val="7.1910124606517203E-2"/>
                  <c:y val="-3.9215686274509803E-2"/>
                </c:manualLayout>
              </c:layout>
              <c:dLblPos val="bestFit"/>
              <c:showLegendKey val="1"/>
              <c:showVal val="1"/>
              <c:showCatName val="1"/>
              <c:showSerName val="0"/>
              <c:showPercent val="0"/>
              <c:showBubbleSize val="0"/>
              <c:separator>
</c:separator>
            </c:dLbl>
            <c:dLbl>
              <c:idx val="2"/>
              <c:layout>
                <c:manualLayout>
                  <c:x val="-1.0919419956226402E-2"/>
                  <c:y val="-3.8598116411919099E-7"/>
                </c:manualLayout>
              </c:layout>
              <c:dLblPos val="bestFit"/>
              <c:showLegendKey val="1"/>
              <c:showVal val="1"/>
              <c:showCatName val="1"/>
              <c:showSerName val="0"/>
              <c:showPercent val="0"/>
              <c:showBubbleSize val="0"/>
              <c:separator>
</c:separator>
            </c:dLbl>
            <c:dLbl>
              <c:idx val="3"/>
              <c:layout>
                <c:manualLayout>
                  <c:x val="-2.4918469493638875E-2"/>
                  <c:y val="9.8039215686274508E-3"/>
                </c:manualLayout>
              </c:layout>
              <c:dLblPos val="bestFit"/>
              <c:showLegendKey val="1"/>
              <c:showVal val="1"/>
              <c:showCatName val="1"/>
              <c:showSerName val="0"/>
              <c:showPercent val="0"/>
              <c:showBubbleSize val="0"/>
              <c:separator>
</c:separator>
            </c:dLbl>
            <c:dLbl>
              <c:idx val="4"/>
              <c:layout>
                <c:manualLayout>
                  <c:x val="8.3133029423953578E-3"/>
                  <c:y val="2.9411764705882353E-2"/>
                </c:manualLayout>
              </c:layout>
              <c:dLblPos val="bestFit"/>
              <c:showLegendKey val="1"/>
              <c:showVal val="1"/>
              <c:showCatName val="1"/>
              <c:showSerName val="0"/>
              <c:showPercent val="0"/>
              <c:showBubbleSize val="0"/>
              <c:separator>
</c:separator>
            </c:dLbl>
            <c:dLbl>
              <c:idx val="5"/>
              <c:layout>
                <c:manualLayout>
                  <c:x val="0"/>
                  <c:y val="3.9215686274509824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Blad1!$A$4:$A$7</c:f>
              <c:strCache>
                <c:ptCount val="4"/>
                <c:pt idx="0">
                  <c:v>Internal market, industry, entrepreneurship and SMEs</c:v>
                </c:pt>
                <c:pt idx="1">
                  <c:v>Health and food safety</c:v>
                </c:pt>
                <c:pt idx="2">
                  <c:v>Financial stability, financial services and capital markets union</c:v>
                </c:pt>
                <c:pt idx="3">
                  <c:v>Other</c:v>
                </c:pt>
              </c:strCache>
            </c:strRef>
          </c:cat>
          <c:val>
            <c:numRef>
              <c:f>Blad1!$B$4:$B$7</c:f>
              <c:numCache>
                <c:formatCode>General</c:formatCode>
                <c:ptCount val="4"/>
                <c:pt idx="0">
                  <c:v>11</c:v>
                </c:pt>
                <c:pt idx="1">
                  <c:v>7</c:v>
                </c:pt>
                <c:pt idx="2">
                  <c:v>5</c:v>
                </c:pt>
                <c:pt idx="3">
                  <c:v>10</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60</c:v>
                </c:pt>
                <c:pt idx="1">
                  <c:v>57</c:v>
                </c:pt>
                <c:pt idx="2">
                  <c:v>60</c:v>
                </c:pt>
                <c:pt idx="3">
                  <c:v>61</c:v>
                </c:pt>
                <c:pt idx="4">
                  <c:v>68</c:v>
                </c:pt>
              </c:numCache>
            </c:numRef>
          </c:val>
          <c:smooth val="0"/>
        </c:ser>
        <c:dLbls>
          <c:showLegendKey val="0"/>
          <c:showVal val="1"/>
          <c:showCatName val="0"/>
          <c:showSerName val="0"/>
          <c:showPercent val="0"/>
          <c:showBubbleSize val="0"/>
        </c:dLbls>
        <c:marker val="1"/>
        <c:smooth val="0"/>
        <c:axId val="94991488"/>
        <c:axId val="94998528"/>
      </c:lineChart>
      <c:catAx>
        <c:axId val="949914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4998528"/>
        <c:crosses val="autoZero"/>
        <c:auto val="1"/>
        <c:lblAlgn val="ctr"/>
        <c:lblOffset val="100"/>
        <c:noMultiLvlLbl val="0"/>
      </c:catAx>
      <c:valAx>
        <c:axId val="949985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4991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68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Denmark</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5.481059917015349E-3"/>
                  <c:y val="3.669821240799158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5.7755775577557754E-2"/>
                  <c:y val="-5.781315979035743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2.9312301308871046E-2"/>
                  <c:y val="-8.4122390852562984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5.7755775577557754E-2"/>
                  <c:y val="-0.1997896950578338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Employment</c:v>
                </c:pt>
                <c:pt idx="1">
                  <c:v>Justice and consumers</c:v>
                </c:pt>
                <c:pt idx="2">
                  <c:v>Taxation and customs</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19</c:v>
                </c:pt>
                <c:pt idx="1">
                  <c:v>18</c:v>
                </c:pt>
                <c:pt idx="2">
                  <c:v>12</c:v>
                </c:pt>
                <c:pt idx="3">
                  <c:v>19</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73"/>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333333333333333E-2"/>
          <c:y val="6.375518010838381E-2"/>
          <c:w val="0.93888888888888888"/>
          <c:h val="0.78939974457215834"/>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2277777777777775E-2"/>
                  <c:y val="-8.6398467432950196E-2"/>
                </c:manualLayout>
              </c:layout>
              <c:dLblPos val="r"/>
              <c:showLegendKey val="0"/>
              <c:showVal val="1"/>
              <c:showCatName val="0"/>
              <c:showSerName val="0"/>
              <c:showPercent val="0"/>
              <c:showBubbleSize val="0"/>
            </c:dLbl>
            <c:dLbl>
              <c:idx val="2"/>
              <c:layout>
                <c:manualLayout>
                  <c:x val="-5.6166666666666663E-2"/>
                  <c:y val="7.9629629629629634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34</c:v>
                </c:pt>
                <c:pt idx="1">
                  <c:v>73</c:v>
                </c:pt>
                <c:pt idx="2">
                  <c:v>42</c:v>
                </c:pt>
                <c:pt idx="3">
                  <c:v>18</c:v>
                </c:pt>
                <c:pt idx="4">
                  <c:v>25</c:v>
                </c:pt>
              </c:numCache>
            </c:numRef>
          </c:val>
          <c:smooth val="0"/>
        </c:ser>
        <c:dLbls>
          <c:dLblPos val="b"/>
          <c:showLegendKey val="0"/>
          <c:showVal val="1"/>
          <c:showCatName val="0"/>
          <c:showSerName val="0"/>
          <c:showPercent val="0"/>
          <c:showBubbleSize val="0"/>
        </c:dLbls>
        <c:marker val="1"/>
        <c:smooth val="0"/>
        <c:axId val="94880896"/>
        <c:axId val="94883840"/>
      </c:lineChart>
      <c:catAx>
        <c:axId val="94880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4883840"/>
        <c:crosses val="autoZero"/>
        <c:auto val="1"/>
        <c:lblAlgn val="ctr"/>
        <c:lblOffset val="100"/>
        <c:noMultiLvlLbl val="0"/>
      </c:catAx>
      <c:valAx>
        <c:axId val="948838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4880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49</c:v>
                </c:pt>
                <c:pt idx="1">
                  <c:v>46</c:v>
                </c:pt>
                <c:pt idx="2">
                  <c:v>51</c:v>
                </c:pt>
                <c:pt idx="3">
                  <c:v>48</c:v>
                </c:pt>
                <c:pt idx="4">
                  <c:v>52</c:v>
                </c:pt>
              </c:numCache>
            </c:numRef>
          </c:val>
          <c:smooth val="0"/>
        </c:ser>
        <c:dLbls>
          <c:showLegendKey val="0"/>
          <c:showVal val="0"/>
          <c:showCatName val="0"/>
          <c:showSerName val="0"/>
          <c:showPercent val="0"/>
          <c:showBubbleSize val="0"/>
        </c:dLbls>
        <c:marker val="1"/>
        <c:smooth val="0"/>
        <c:axId val="77511296"/>
        <c:axId val="77513088"/>
      </c:lineChart>
      <c:catAx>
        <c:axId val="77511296"/>
        <c:scaling>
          <c:orientation val="minMax"/>
        </c:scaling>
        <c:delete val="0"/>
        <c:axPos val="b"/>
        <c:numFmt formatCode="General" sourceLinked="1"/>
        <c:majorTickMark val="none"/>
        <c:minorTickMark val="none"/>
        <c:tickLblPos val="nextTo"/>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77513088"/>
        <c:crosses val="autoZero"/>
        <c:auto val="1"/>
        <c:lblAlgn val="ctr"/>
        <c:lblOffset val="100"/>
        <c:noMultiLvlLbl val="0"/>
      </c:catAx>
      <c:valAx>
        <c:axId val="77513088"/>
        <c:scaling>
          <c:orientation val="minMax"/>
          <c:min val="30"/>
        </c:scaling>
        <c:delete val="1"/>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crossAx val="77511296"/>
        <c:crosses val="autoZero"/>
        <c:crossBetween val="between"/>
      </c:valAx>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333333333333333E-2"/>
          <c:y val="6.375518010838381E-2"/>
          <c:w val="0.93888888888888888"/>
          <c:h val="0.78939974457215834"/>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2277777777777775E-2"/>
                  <c:y val="-8.6398467432950196E-2"/>
                </c:manualLayout>
              </c:layout>
              <c:dLblPos val="r"/>
              <c:showLegendKey val="0"/>
              <c:showVal val="1"/>
              <c:showCatName val="0"/>
              <c:showSerName val="0"/>
              <c:showPercent val="0"/>
              <c:showBubbleSize val="0"/>
            </c:dLbl>
            <c:dLbl>
              <c:idx val="2"/>
              <c:layout>
                <c:manualLayout>
                  <c:x val="-5.6166666666666663E-2"/>
                  <c:y val="7.9629629629629634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26</c:v>
                </c:pt>
                <c:pt idx="1">
                  <c:v>42</c:v>
                </c:pt>
                <c:pt idx="2">
                  <c:v>28</c:v>
                </c:pt>
                <c:pt idx="3">
                  <c:v>24</c:v>
                </c:pt>
                <c:pt idx="4">
                  <c:v>32</c:v>
                </c:pt>
              </c:numCache>
            </c:numRef>
          </c:val>
          <c:smooth val="0"/>
        </c:ser>
        <c:dLbls>
          <c:dLblPos val="b"/>
          <c:showLegendKey val="0"/>
          <c:showVal val="1"/>
          <c:showCatName val="0"/>
          <c:showSerName val="0"/>
          <c:showPercent val="0"/>
          <c:showBubbleSize val="0"/>
        </c:dLbls>
        <c:marker val="1"/>
        <c:smooth val="0"/>
        <c:axId val="94894336"/>
        <c:axId val="94913664"/>
      </c:lineChart>
      <c:catAx>
        <c:axId val="948943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4913664"/>
        <c:crosses val="autoZero"/>
        <c:auto val="1"/>
        <c:lblAlgn val="ctr"/>
        <c:lblOffset val="100"/>
        <c:noMultiLvlLbl val="0"/>
      </c:catAx>
      <c:valAx>
        <c:axId val="949136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4894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25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Denmark</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1.0967490243143646E-2"/>
                  <c:y val="5.5797107816627618E-2"/>
                </c:manualLayout>
              </c:layout>
              <c:dLblPos val="bestFit"/>
              <c:showLegendKey val="1"/>
              <c:showVal val="1"/>
              <c:showCatName val="1"/>
              <c:showSerName val="0"/>
              <c:showPercent val="0"/>
              <c:showBubbleSize val="0"/>
              <c:separator>
</c:separator>
            </c:dLbl>
            <c:dLbl>
              <c:idx val="1"/>
              <c:layout>
                <c:manualLayout>
                  <c:x val="-2.5507335175818255E-2"/>
                  <c:y val="7.6752786093431608E-3"/>
                </c:manualLayout>
              </c:layout>
              <c:dLblPos val="bestFit"/>
              <c:showLegendKey val="1"/>
              <c:showVal val="1"/>
              <c:showCatName val="1"/>
              <c:showSerName val="0"/>
              <c:showPercent val="0"/>
              <c:showBubbleSize val="0"/>
              <c:separator>
</c:separator>
            </c:dLbl>
            <c:dLbl>
              <c:idx val="2"/>
              <c:layout>
                <c:manualLayout>
                  <c:x val="-8.0634788201143729E-3"/>
                  <c:y val="2.2012024854720636E-4"/>
                </c:manualLayout>
              </c:layout>
              <c:dLblPos val="bestFit"/>
              <c:showLegendKey val="1"/>
              <c:showVal val="1"/>
              <c:showCatName val="1"/>
              <c:showSerName val="0"/>
              <c:showPercent val="0"/>
              <c:showBubbleSize val="0"/>
              <c:separator>
</c:separator>
            </c:dLbl>
            <c:dLbl>
              <c:idx val="3"/>
              <c:layout>
                <c:manualLayout>
                  <c:x val="-1.3849489840260033E-2"/>
                  <c:y val="-4.7244094488188004E-3"/>
                </c:manualLayout>
              </c:layout>
              <c:dLblPos val="bestFit"/>
              <c:showLegendKey val="1"/>
              <c:showVal val="1"/>
              <c:showCatName val="1"/>
              <c:showSerName val="0"/>
              <c:showPercent val="0"/>
              <c:showBubbleSize val="0"/>
              <c:separator>
</c:separator>
            </c:dLbl>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Blad1!$A$3:$A$7</c:f>
              <c:strCache>
                <c:ptCount val="5"/>
                <c:pt idx="0">
                  <c:v>Taxation and customs</c:v>
                </c:pt>
                <c:pt idx="1">
                  <c:v>Environment</c:v>
                </c:pt>
                <c:pt idx="2">
                  <c:v>Internal market, industry, entrepreneurship and SMEs</c:v>
                </c:pt>
                <c:pt idx="3">
                  <c:v>Mobility and transport</c:v>
                </c:pt>
                <c:pt idx="4">
                  <c:v>Other</c:v>
                </c:pt>
              </c:strCache>
              <c:extLst>
                <c:ext xmlns:c15="http://schemas.microsoft.com/office/drawing/2012/chart" uri="{02D57815-91ED-43cb-92C2-25804820EDAC}">
                  <c15:fullRef>
                    <c15:sqref>Blad1!$A$2:$A$6</c15:sqref>
                  </c15:fullRef>
                </c:ext>
              </c:extLst>
            </c:strRef>
          </c:cat>
          <c:val>
            <c:numRef>
              <c:f>Blad1!$B$3:$B$7</c:f>
              <c:numCache>
                <c:formatCode>General</c:formatCode>
                <c:ptCount val="5"/>
                <c:pt idx="0">
                  <c:v>8</c:v>
                </c:pt>
                <c:pt idx="1">
                  <c:v>5</c:v>
                </c:pt>
                <c:pt idx="2">
                  <c:v>3</c:v>
                </c:pt>
                <c:pt idx="3">
                  <c:v>3</c:v>
                </c:pt>
                <c:pt idx="4">
                  <c:v>6</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3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258552202786732E-2"/>
                  <c:y val="6.5895607388699054E-2"/>
                </c:manualLayout>
              </c:layout>
              <c:dLblPos val="r"/>
              <c:showLegendKey val="0"/>
              <c:showVal val="1"/>
              <c:showCatName val="0"/>
              <c:showSerName val="0"/>
              <c:showPercent val="0"/>
              <c:showBubbleSize val="0"/>
            </c:dLbl>
            <c:dLbl>
              <c:idx val="1"/>
              <c:layout>
                <c:manualLayout>
                  <c:x val="-3.9788881255614861E-2"/>
                  <c:y val="6.8614371316792946E-2"/>
                </c:manualLayout>
              </c:layout>
              <c:dLblPos val="r"/>
              <c:showLegendKey val="0"/>
              <c:showVal val="1"/>
              <c:showCatName val="0"/>
              <c:showSerName val="0"/>
              <c:showPercent val="0"/>
              <c:showBubbleSize val="0"/>
            </c:dLbl>
            <c:dLbl>
              <c:idx val="2"/>
              <c:layout>
                <c:manualLayout>
                  <c:x val="-4.2581998978315633E-2"/>
                  <c:y val="-6.7884910612588542E-2"/>
                </c:manualLayout>
              </c:layout>
              <c:dLblPos val="r"/>
              <c:showLegendKey val="0"/>
              <c:showVal val="1"/>
              <c:showCatName val="0"/>
              <c:showSerName val="0"/>
              <c:showPercent val="0"/>
              <c:showBubbleSize val="0"/>
            </c:dLbl>
            <c:dLbl>
              <c:idx val="3"/>
              <c:layout>
                <c:manualLayout>
                  <c:x val="-4.2585338556239506E-2"/>
                  <c:y val="-7.8758414360508608E-2"/>
                </c:manualLayout>
              </c:layout>
              <c:dLblPos val="r"/>
              <c:showLegendKey val="0"/>
              <c:showVal val="1"/>
              <c:showCatName val="0"/>
              <c:showSerName val="0"/>
              <c:showPercent val="0"/>
              <c:showBubbleSize val="0"/>
            </c:dLbl>
            <c:dLbl>
              <c:idx val="4"/>
              <c:layout>
                <c:manualLayout>
                  <c:x val="-4.2561521252796421E-2"/>
                  <c:y val="-7.869955156950674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70</c:v>
                </c:pt>
                <c:pt idx="1">
                  <c:v>69</c:v>
                </c:pt>
                <c:pt idx="2">
                  <c:v>81</c:v>
                </c:pt>
                <c:pt idx="3">
                  <c:v>80</c:v>
                </c:pt>
                <c:pt idx="4">
                  <c:v>79</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95115520"/>
        <c:axId val="95129600"/>
      </c:lineChart>
      <c:catAx>
        <c:axId val="951155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5129600"/>
        <c:crosses val="autoZero"/>
        <c:auto val="1"/>
        <c:lblAlgn val="ctr"/>
        <c:lblOffset val="100"/>
        <c:noMultiLvlLbl val="0"/>
      </c:catAx>
      <c:valAx>
        <c:axId val="95129600"/>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5115520"/>
        <c:crosses val="autoZero"/>
        <c:crossBetween val="between"/>
      </c:valAx>
      <c:spPr>
        <a:noFill/>
        <a:ln>
          <a:noFill/>
        </a:ln>
        <a:effectLst/>
      </c:spPr>
    </c:plotArea>
    <c:legend>
      <c:legendPos val="b"/>
      <c:legendEntry>
        <c:idx val="0"/>
        <c:delete val="1"/>
      </c:legendEntry>
      <c:legendEntry>
        <c:idx val="1"/>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Entry>
      <c:layout>
        <c:manualLayout>
          <c:xMode val="edge"/>
          <c:yMode val="edge"/>
          <c:x val="5.5865154028662524E-2"/>
          <c:y val="0.73532331959315456"/>
          <c:w val="0.88826947953329416"/>
          <c:h val="0.26467668040684544"/>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Denmark</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729221347331583E-2"/>
                  <c:y val="-6.3652875710038637E-2"/>
                </c:manualLayout>
              </c:layout>
              <c:dLblPos val="r"/>
              <c:showLegendKey val="0"/>
              <c:showVal val="1"/>
              <c:showCatName val="0"/>
              <c:showSerName val="0"/>
              <c:showPercent val="0"/>
              <c:showBubbleSize val="0"/>
            </c:dLbl>
            <c:dLbl>
              <c:idx val="1"/>
              <c:layout>
                <c:manualLayout>
                  <c:x val="-5.8506999125109364E-2"/>
                  <c:y val="-6.3652875710038637E-2"/>
                </c:manualLayout>
              </c:layout>
              <c:dLblPos val="r"/>
              <c:showLegendKey val="0"/>
              <c:showVal val="1"/>
              <c:showCatName val="0"/>
              <c:showSerName val="0"/>
              <c:showPercent val="0"/>
              <c:showBubbleSize val="0"/>
            </c:dLbl>
            <c:dLbl>
              <c:idx val="2"/>
              <c:layout>
                <c:manualLayout>
                  <c:x val="-5.2951443569553808E-2"/>
                  <c:y val="-5.7607968235201153E-2"/>
                </c:manualLayout>
              </c:layout>
              <c:dLblPos val="r"/>
              <c:showLegendKey val="0"/>
              <c:showVal val="1"/>
              <c:showCatName val="0"/>
              <c:showSerName val="0"/>
              <c:showPercent val="0"/>
              <c:showBubbleSize val="0"/>
            </c:dLbl>
            <c:dLbl>
              <c:idx val="3"/>
              <c:layout>
                <c:manualLayout>
                  <c:x val="-4.8189830837757575E-2"/>
                  <c:y val="-5.9905117372626965E-2"/>
                </c:manualLayout>
              </c:layout>
              <c:dLblPos val="r"/>
              <c:showLegendKey val="0"/>
              <c:showVal val="1"/>
              <c:showCatName val="0"/>
              <c:showSerName val="0"/>
              <c:showPercent val="0"/>
              <c:showBubbleSize val="0"/>
            </c:dLbl>
            <c:dLbl>
              <c:idx val="4"/>
              <c:layout>
                <c:manualLayout>
                  <c:x val="-5.2951443569553808E-2"/>
                  <c:y val="5.7185990338164253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0.74</c:v>
                </c:pt>
                <c:pt idx="1">
                  <c:v>0.83</c:v>
                </c:pt>
                <c:pt idx="2">
                  <c:v>0.8</c:v>
                </c:pt>
                <c:pt idx="3">
                  <c:v>0.82</c:v>
                </c:pt>
                <c:pt idx="4">
                  <c:v>0.65</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0"/>
              <c:layout>
                <c:manualLayout>
                  <c:x val="-4.7395888013998251E-2"/>
                  <c:y val="8.1787122157584546E-2"/>
                </c:manualLayout>
              </c:layout>
              <c:dLblPos val="r"/>
              <c:showLegendKey val="0"/>
              <c:showVal val="1"/>
              <c:showCatName val="0"/>
              <c:showSerName val="0"/>
              <c:showPercent val="0"/>
              <c:showBubbleSize val="0"/>
            </c:dLbl>
            <c:dLbl>
              <c:idx val="1"/>
              <c:layout>
                <c:manualLayout>
                  <c:x val="-5.8506999125109364E-2"/>
                  <c:y val="7.5742690659713591E-2"/>
                </c:manualLayout>
              </c:layout>
              <c:dLblPos val="r"/>
              <c:showLegendKey val="0"/>
              <c:showVal val="1"/>
              <c:showCatName val="0"/>
              <c:showSerName val="0"/>
              <c:showPercent val="0"/>
              <c:showBubbleSize val="0"/>
            </c:dLbl>
            <c:dLbl>
              <c:idx val="2"/>
              <c:layout>
                <c:manualLayout>
                  <c:x val="-4.7395888013998251E-2"/>
                  <c:y val="6.9697783184876114E-2"/>
                </c:manualLayout>
              </c:layout>
              <c:dLblPos val="r"/>
              <c:showLegendKey val="0"/>
              <c:showVal val="1"/>
              <c:showCatName val="0"/>
              <c:showSerName val="0"/>
              <c:showPercent val="0"/>
              <c:showBubbleSize val="0"/>
            </c:dLbl>
            <c:dLbl>
              <c:idx val="3"/>
              <c:layout>
                <c:manualLayout>
                  <c:x val="-4.4618110236220469E-2"/>
                  <c:y val="8.1787534710335119E-2"/>
                </c:manualLayout>
              </c:layout>
              <c:dLblPos val="r"/>
              <c:showLegendKey val="0"/>
              <c:showVal val="1"/>
              <c:showCatName val="0"/>
              <c:showSerName val="0"/>
              <c:showPercent val="0"/>
              <c:showBubbleSize val="0"/>
            </c:dLbl>
            <c:dLbl>
              <c:idx val="4"/>
              <c:layout>
                <c:manualLayout>
                  <c:x val="-3.906255468066492E-2"/>
                  <c:y val="5.1509661835748795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95209728"/>
        <c:axId val="95227904"/>
      </c:lineChart>
      <c:catAx>
        <c:axId val="95209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5227904"/>
        <c:crosses val="autoZero"/>
        <c:auto val="1"/>
        <c:lblAlgn val="ctr"/>
        <c:lblOffset val="100"/>
        <c:noMultiLvlLbl val="0"/>
      </c:catAx>
      <c:valAx>
        <c:axId val="95227904"/>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5209728"/>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0"/>
              <c:layout>
                <c:manualLayout>
                  <c:x val="-3.95E-2"/>
                  <c:y val="7.181069958847737E-2"/>
                </c:manualLayout>
              </c:layout>
              <c:dLblPos val="r"/>
              <c:showLegendKey val="0"/>
              <c:showVal val="1"/>
              <c:showCatName val="0"/>
              <c:showSerName val="0"/>
              <c:showPercent val="0"/>
              <c:showBubbleSize val="0"/>
            </c:dLbl>
            <c:dLbl>
              <c:idx val="1"/>
              <c:layout>
                <c:manualLayout>
                  <c:x val="-3.9312799876180159E-2"/>
                  <c:y val="-7.3506364685058778E-2"/>
                </c:manualLayout>
              </c:layout>
              <c:dLblPos val="r"/>
              <c:showLegendKey val="0"/>
              <c:showVal val="1"/>
              <c:showCatName val="0"/>
              <c:showSerName val="0"/>
              <c:showPercent val="0"/>
              <c:showBubbleSize val="0"/>
            </c:dLbl>
            <c:dLbl>
              <c:idx val="4"/>
              <c:layout>
                <c:manualLayout>
                  <c:x val="-4.2277777777777775E-2"/>
                  <c:y val="-6.5363511659807971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27</c:v>
                </c:pt>
                <c:pt idx="1">
                  <c:v>30</c:v>
                </c:pt>
                <c:pt idx="2">
                  <c:v>26</c:v>
                </c:pt>
                <c:pt idx="3">
                  <c:v>23</c:v>
                </c:pt>
                <c:pt idx="4">
                  <c:v>34</c:v>
                </c:pt>
              </c:numCache>
            </c:numRef>
          </c:val>
          <c:smooth val="0"/>
        </c:ser>
        <c:dLbls>
          <c:showLegendKey val="0"/>
          <c:showVal val="1"/>
          <c:showCatName val="0"/>
          <c:showSerName val="0"/>
          <c:showPercent val="0"/>
          <c:showBubbleSize val="0"/>
        </c:dLbls>
        <c:marker val="1"/>
        <c:smooth val="0"/>
        <c:axId val="95238784"/>
        <c:axId val="95245824"/>
      </c:lineChart>
      <c:catAx>
        <c:axId val="952387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5245824"/>
        <c:crosses val="autoZero"/>
        <c:auto val="1"/>
        <c:lblAlgn val="ctr"/>
        <c:lblOffset val="100"/>
        <c:noMultiLvlLbl val="0"/>
      </c:catAx>
      <c:valAx>
        <c:axId val="95245824"/>
        <c:scaling>
          <c:orientation val="minMax"/>
          <c:min val="1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5238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31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Denmark</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5940798581541699"/>
          <c:y val="2.7322404371584699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996633"/>
              </a:solidFill>
              <a:scene3d>
                <a:camera prst="orthographicFront"/>
                <a:lightRig rig="threePt" dir="t"/>
              </a:scene3d>
              <a:sp3d>
                <a:bevelT w="63500" h="25400"/>
              </a:sp3d>
            </c:spPr>
          </c:dPt>
          <c:dPt>
            <c:idx val="6"/>
            <c:bubble3D val="0"/>
            <c:spPr>
              <a:solidFill>
                <a:srgbClr val="FF7DFF"/>
              </a:solidFill>
              <a:scene3d>
                <a:camera prst="orthographicFront"/>
                <a:lightRig rig="threePt" dir="t"/>
              </a:scene3d>
              <a:sp3d>
                <a:bevelT w="63500" h="25400"/>
              </a:sp3d>
            </c:spPr>
          </c:dPt>
          <c:dPt>
            <c:idx val="7"/>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7.4884379053283892E-2"/>
                  <c:y val="3.478895056150768E-2"/>
                </c:manualLayout>
              </c:layout>
              <c:dLblPos val="bestFit"/>
              <c:showLegendKey val="1"/>
              <c:showVal val="1"/>
              <c:showCatName val="1"/>
              <c:showSerName val="0"/>
              <c:showPercent val="0"/>
              <c:showBubbleSize val="0"/>
              <c:separator>
</c:separator>
            </c:dLbl>
            <c:dLbl>
              <c:idx val="2"/>
              <c:layout>
                <c:manualLayout>
                  <c:x val="5.2689961175818083E-2"/>
                  <c:y val="-4.3027408459188502E-7"/>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6.5011944222446404E-3"/>
                  <c:y val="-1.4892216341809733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8.3194675540765647E-3"/>
                  <c:y val="-0.14207650273224043"/>
                </c:manualLayout>
              </c:layout>
              <c:dLblPos val="bestFit"/>
              <c:showLegendKey val="1"/>
              <c:showVal val="1"/>
              <c:showCatName val="1"/>
              <c:showSerName val="0"/>
              <c:showPercent val="0"/>
              <c:showBubbleSize val="0"/>
              <c:separator>
</c:separator>
            </c:dLbl>
            <c:dLbl>
              <c:idx val="5"/>
              <c:layout>
                <c:manualLayout>
                  <c:x val="0"/>
                  <c:y val="-3.2786885245901641E-2"/>
                </c:manualLayout>
              </c:layout>
              <c:dLblPos val="bestFit"/>
              <c:showLegendKey val="1"/>
              <c:showVal val="1"/>
              <c:showCatName val="1"/>
              <c:showSerName val="0"/>
              <c:showPercent val="0"/>
              <c:showBubbleSize val="0"/>
              <c:separator>
</c:separator>
            </c:dLbl>
            <c:dLbl>
              <c:idx val="6"/>
              <c:layout>
                <c:manualLayout>
                  <c:x val="2.7731558513588463E-2"/>
                  <c:y val="3.2786885245901641E-2"/>
                </c:manualLayout>
              </c:layout>
              <c:dLblPos val="bestFit"/>
              <c:showLegendKey val="1"/>
              <c:showVal val="1"/>
              <c:showCatName val="1"/>
              <c:showSerName val="0"/>
              <c:showPercent val="0"/>
              <c:showBubbleSize val="0"/>
              <c:separator>
</c:separator>
            </c:dLbl>
            <c:dLbl>
              <c:idx val="7"/>
              <c:layout>
                <c:manualLayout>
                  <c:x val="8.3194675540765387E-3"/>
                  <c:y val="1.6393442622950821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Blad1!$A$2:$A$6</c:f>
              <c:strCache>
                <c:ptCount val="5"/>
                <c:pt idx="0">
                  <c:v>Policy Area</c:v>
                </c:pt>
                <c:pt idx="1">
                  <c:v>Health and food safety</c:v>
                </c:pt>
                <c:pt idx="2">
                  <c:v>Internal market, industry, entrepreneurship and SMEs</c:v>
                </c:pt>
                <c:pt idx="3">
                  <c:v>Environment</c:v>
                </c:pt>
                <c:pt idx="4">
                  <c:v>Other</c:v>
                </c:pt>
              </c:strCache>
            </c:strRef>
          </c:cat>
          <c:val>
            <c:numRef>
              <c:f>Blad1!$B$2:$B$6</c:f>
              <c:numCache>
                <c:formatCode>General</c:formatCode>
                <c:ptCount val="5"/>
                <c:pt idx="0">
                  <c:v>0</c:v>
                </c:pt>
                <c:pt idx="1">
                  <c:v>12</c:v>
                </c:pt>
                <c:pt idx="2">
                  <c:v>6</c:v>
                </c:pt>
                <c:pt idx="3">
                  <c:v>4</c:v>
                </c:pt>
                <c:pt idx="4">
                  <c:v>9</c:v>
                </c:pt>
              </c:numCache>
            </c:numRef>
          </c:val>
          <c:extLst/>
        </c:ser>
        <c:dLbls>
          <c:showLegendKey val="0"/>
          <c:showVal val="0"/>
          <c:showCatName val="1"/>
          <c:showSerName val="0"/>
          <c:showPercent val="0"/>
          <c:showBubbleSize val="0"/>
          <c:showLeaderLines val="0"/>
        </c:dLbls>
        <c:firstSliceAng val="33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5270534650505373E-2"/>
                  <c:y val="0.10767926509186351"/>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9</c:v>
                </c:pt>
                <c:pt idx="1">
                  <c:v>9</c:v>
                </c:pt>
                <c:pt idx="2">
                  <c:v>7</c:v>
                </c:pt>
                <c:pt idx="3">
                  <c:v>8</c:v>
                </c:pt>
                <c:pt idx="4">
                  <c:v>18</c:v>
                </c:pt>
              </c:numCache>
            </c:numRef>
          </c:val>
          <c:smooth val="0"/>
        </c:ser>
        <c:dLbls>
          <c:showLegendKey val="0"/>
          <c:showVal val="1"/>
          <c:showCatName val="0"/>
          <c:showSerName val="0"/>
          <c:showPercent val="0"/>
          <c:showBubbleSize val="0"/>
        </c:dLbls>
        <c:marker val="1"/>
        <c:smooth val="0"/>
        <c:axId val="95377664"/>
        <c:axId val="95388800"/>
      </c:lineChart>
      <c:catAx>
        <c:axId val="953776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5388800"/>
        <c:crosses val="autoZero"/>
        <c:auto val="1"/>
        <c:lblAlgn val="ctr"/>
        <c:lblOffset val="100"/>
        <c:noMultiLvlLbl val="0"/>
      </c:catAx>
      <c:valAx>
        <c:axId val="953888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537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5270534650505373E-2"/>
                  <c:y val="9.4345931758530122E-2"/>
                </c:manualLayout>
              </c:layout>
              <c:dLblPos val="r"/>
              <c:showLegendKey val="0"/>
              <c:showVal val="1"/>
              <c:showCatName val="0"/>
              <c:showSerName val="0"/>
              <c:showPercent val="0"/>
              <c:showBubbleSize val="0"/>
            </c:dLbl>
            <c:dLbl>
              <c:idx val="4"/>
              <c:layout>
                <c:manualLayout>
                  <c:x val="-4.2490228922389725E-2"/>
                  <c:y val="-7.6866666666666666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17</c:v>
                </c:pt>
                <c:pt idx="1">
                  <c:v>15</c:v>
                </c:pt>
                <c:pt idx="2">
                  <c:v>20</c:v>
                </c:pt>
                <c:pt idx="3">
                  <c:v>15</c:v>
                </c:pt>
                <c:pt idx="4">
                  <c:v>28</c:v>
                </c:pt>
              </c:numCache>
            </c:numRef>
          </c:val>
          <c:smooth val="0"/>
        </c:ser>
        <c:dLbls>
          <c:showLegendKey val="0"/>
          <c:showVal val="1"/>
          <c:showCatName val="0"/>
          <c:showSerName val="0"/>
          <c:showPercent val="0"/>
          <c:showBubbleSize val="0"/>
        </c:dLbls>
        <c:marker val="1"/>
        <c:smooth val="0"/>
        <c:axId val="95452544"/>
        <c:axId val="95467776"/>
      </c:lineChart>
      <c:catAx>
        <c:axId val="95452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5467776"/>
        <c:crosses val="autoZero"/>
        <c:auto val="1"/>
        <c:lblAlgn val="ctr"/>
        <c:lblOffset val="100"/>
        <c:noMultiLvlLbl val="0"/>
      </c:catAx>
      <c:valAx>
        <c:axId val="954677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5452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28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Denmark</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7030A0"/>
              </a:solidFill>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5.5375345523669996E-2"/>
                  <c:y val="-0.34798209047398487"/>
                </c:manualLayout>
              </c:layout>
              <c:dLblPos val="bestFit"/>
              <c:showLegendKey val="1"/>
              <c:showVal val="1"/>
              <c:showCatName val="1"/>
              <c:showSerName val="0"/>
              <c:showPercent val="0"/>
              <c:showBubbleSize val="0"/>
              <c:separator>
</c:separator>
            </c:dLbl>
            <c:dLbl>
              <c:idx val="1"/>
              <c:layout>
                <c:manualLayout>
                  <c:x val="-2.7683094845702427E-2"/>
                  <c:y val="0.13725490196078433"/>
                </c:manualLayout>
              </c:layout>
              <c:dLblPos val="bestFit"/>
              <c:showLegendKey val="1"/>
              <c:showVal val="1"/>
              <c:showCatName val="1"/>
              <c:showSerName val="0"/>
              <c:showPercent val="0"/>
              <c:showBubbleSize val="0"/>
              <c:separator>
</c:separator>
            </c:dLbl>
            <c:dLbl>
              <c:idx val="2"/>
              <c:layout>
                <c:manualLayout>
                  <c:x val="-3.8592050993625795E-2"/>
                  <c:y val="3.4313725490196081E-2"/>
                </c:manualLayout>
              </c:layout>
              <c:dLblPos val="bestFit"/>
              <c:showLegendKey val="1"/>
              <c:showVal val="1"/>
              <c:showCatName val="1"/>
              <c:showSerName val="0"/>
              <c:showPercent val="0"/>
              <c:showBubbleSize val="0"/>
              <c:separator>
</c:separator>
            </c:dLbl>
            <c:dLbl>
              <c:idx val="3"/>
              <c:layout>
                <c:manualLayout>
                  <c:x val="-5.5370985603543747E-3"/>
                  <c:y val="0.12745098039215691"/>
                </c:manualLayout>
              </c:layout>
              <c:dLblPos val="bestFit"/>
              <c:showLegendKey val="1"/>
              <c:showVal val="1"/>
              <c:showCatName val="1"/>
              <c:showSerName val="0"/>
              <c:showPercent val="0"/>
              <c:showBubbleSize val="0"/>
              <c:separator>
</c:separator>
            </c:dLbl>
            <c:dLbl>
              <c:idx val="4"/>
              <c:layout>
                <c:manualLayout>
                  <c:x val="5.5370985603543747E-3"/>
                  <c:y val="8.3333333333333426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Blad1!$A$4:$A$8</c:f>
              <c:strCache>
                <c:ptCount val="5"/>
                <c:pt idx="0">
                  <c:v>Health and food safety</c:v>
                </c:pt>
                <c:pt idx="1">
                  <c:v>Internal market, industry, entrepreneurship and SMEs</c:v>
                </c:pt>
                <c:pt idx="2">
                  <c:v>Mobility and transport</c:v>
                </c:pt>
                <c:pt idx="3">
                  <c:v>Financial stability, financial services and capital markets union</c:v>
                </c:pt>
                <c:pt idx="4">
                  <c:v>Other</c:v>
                </c:pt>
              </c:strCache>
            </c:strRef>
          </c:cat>
          <c:val>
            <c:numRef>
              <c:f>Blad1!$B$4:$B$8</c:f>
              <c:numCache>
                <c:formatCode>General</c:formatCode>
                <c:ptCount val="5"/>
                <c:pt idx="0">
                  <c:v>12</c:v>
                </c:pt>
                <c:pt idx="1">
                  <c:v>5</c:v>
                </c:pt>
                <c:pt idx="2">
                  <c:v>3</c:v>
                </c:pt>
                <c:pt idx="3">
                  <c:v>3</c:v>
                </c:pt>
                <c:pt idx="4">
                  <c:v>5</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14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846716905294696E-2"/>
          <c:y val="2.7777777777777776E-2"/>
          <c:w val="0.95004227769297989"/>
          <c:h val="0.84399189983684686"/>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5.8458125346644484E-2"/>
                  <c:y val="-7.7226027397260283E-2"/>
                </c:manualLayout>
              </c:layout>
              <c:dLblPos val="r"/>
              <c:showLegendKey val="0"/>
              <c:showVal val="1"/>
              <c:showCatName val="0"/>
              <c:showSerName val="0"/>
              <c:showPercent val="0"/>
              <c:showBubbleSize val="0"/>
            </c:dLbl>
            <c:dLbl>
              <c:idx val="2"/>
              <c:layout>
                <c:manualLayout>
                  <c:x val="-5.0102926409253908E-2"/>
                  <c:y val="-7.1483310932704672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242</c:v>
                </c:pt>
                <c:pt idx="1">
                  <c:v>297</c:v>
                </c:pt>
                <c:pt idx="2">
                  <c:v>276</c:v>
                </c:pt>
                <c:pt idx="3">
                  <c:v>274</c:v>
                </c:pt>
                <c:pt idx="4">
                  <c:v>308</c:v>
                </c:pt>
              </c:numCache>
            </c:numRef>
          </c:val>
          <c:smooth val="0"/>
        </c:ser>
        <c:dLbls>
          <c:showLegendKey val="0"/>
          <c:showVal val="1"/>
          <c:showCatName val="0"/>
          <c:showSerName val="0"/>
          <c:showPercent val="0"/>
          <c:showBubbleSize val="0"/>
        </c:dLbls>
        <c:marker val="1"/>
        <c:smooth val="0"/>
        <c:axId val="96055680"/>
        <c:axId val="96058368"/>
      </c:lineChart>
      <c:catAx>
        <c:axId val="960556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6058368"/>
        <c:crosses val="autoZero"/>
        <c:auto val="1"/>
        <c:lblAlgn val="ctr"/>
        <c:lblOffset val="100"/>
        <c:noMultiLvlLbl val="0"/>
      </c:catAx>
      <c:valAx>
        <c:axId val="96058368"/>
        <c:scaling>
          <c:orientation val="minMax"/>
          <c:min val="2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6055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34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Belgium</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996633"/>
              </a:solidFill>
              <a:scene3d>
                <a:camera prst="orthographicFront"/>
                <a:lightRig rig="threePt" dir="t"/>
              </a:scene3d>
              <a:sp3d>
                <a:bevelT w="63500" h="25400"/>
              </a:sp3d>
            </c:spPr>
          </c:dPt>
          <c:dPt>
            <c:idx val="5"/>
            <c:bubble3D val="0"/>
            <c:spPr>
              <a:solidFill>
                <a:srgbClr val="37ACDE"/>
              </a:solidFill>
              <a:scene3d>
                <a:camera prst="orthographicFront"/>
                <a:lightRig rig="threePt" dir="t"/>
              </a:scene3d>
              <a:sp3d>
                <a:bevelT w="63500" h="25400"/>
              </a:sp3d>
            </c:spPr>
          </c:dPt>
          <c:dLbls>
            <c:dLbl>
              <c:idx val="0"/>
              <c:layout>
                <c:manualLayout>
                  <c:x val="-1.9186006354468849E-2"/>
                  <c:y val="7.6122287305550221E-2"/>
                </c:manualLayout>
              </c:layout>
              <c:dLblPos val="bestFit"/>
              <c:showLegendKey val="1"/>
              <c:showVal val="1"/>
              <c:showCatName val="1"/>
              <c:showSerName val="0"/>
              <c:showPercent val="0"/>
              <c:showBubbleSize val="0"/>
              <c:separator>
</c:separator>
            </c:dLbl>
            <c:dLbl>
              <c:idx val="1"/>
              <c:layout>
                <c:manualLayout>
                  <c:x val="-2.4693284638762261E-2"/>
                  <c:y val="-0.11693153447282505"/>
                </c:manualLayout>
              </c:layout>
              <c:dLblPos val="bestFit"/>
              <c:showLegendKey val="1"/>
              <c:showVal val="1"/>
              <c:showCatName val="1"/>
              <c:showSerName val="0"/>
              <c:showPercent val="0"/>
              <c:showBubbleSize val="0"/>
              <c:separator>
</c:separator>
            </c:dLbl>
            <c:dLbl>
              <c:idx val="2"/>
              <c:layout>
                <c:manualLayout>
                  <c:x val="3.5632727241331673E-2"/>
                  <c:y val="-5.0204852442225206E-3"/>
                </c:manualLayout>
              </c:layout>
              <c:dLblPos val="bestFit"/>
              <c:showLegendKey val="1"/>
              <c:showVal val="1"/>
              <c:showCatName val="1"/>
              <c:showSerName val="0"/>
              <c:showPercent val="0"/>
              <c:showBubbleSize val="0"/>
              <c:separator>
</c:separator>
            </c:dLbl>
            <c:dLbl>
              <c:idx val="3"/>
              <c:layout>
                <c:manualLayout>
                  <c:x val="-2.1939105884790717E-2"/>
                  <c:y val="-1.1042826963702707E-3"/>
                </c:manualLayout>
              </c:layout>
              <c:dLblPos val="bestFit"/>
              <c:showLegendKey val="1"/>
              <c:showVal val="1"/>
              <c:showCatName val="1"/>
              <c:showSerName val="0"/>
              <c:showPercent val="0"/>
              <c:showBubbleSize val="0"/>
              <c:separator>
</c:separator>
            </c:dLbl>
            <c:dLbl>
              <c:idx val="4"/>
              <c:layout>
                <c:manualLayout>
                  <c:x val="2.4671052631578948E-2"/>
                  <c:y val="0"/>
                </c:manualLayout>
              </c:layout>
              <c:dLblPos val="bestFit"/>
              <c:showLegendKey val="1"/>
              <c:showVal val="1"/>
              <c:showCatName val="1"/>
              <c:showSerName val="0"/>
              <c:showPercent val="0"/>
              <c:showBubbleSize val="0"/>
              <c:separator>
</c:separator>
            </c:dLbl>
            <c:dLbl>
              <c:idx val="5"/>
              <c:layout>
                <c:manualLayout>
                  <c:x val="2.7412280701754384E-3"/>
                  <c:y val="-5.08130081300813E-3"/>
                </c:manualLayout>
              </c:layout>
              <c:dLblPos val="bestFit"/>
              <c:showLegendKey val="1"/>
              <c:showVal val="1"/>
              <c:showCatName val="1"/>
              <c:showSerName val="0"/>
              <c:showPercent val="0"/>
              <c:showBubbleSize val="0"/>
              <c:separator>
</c:separator>
            </c:dLbl>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Blad1!$A$3:$A$8</c:f>
              <c:strCache>
                <c:ptCount val="4"/>
                <c:pt idx="0">
                  <c:v>Other</c:v>
                </c:pt>
                <c:pt idx="1">
                  <c:v>Taxation and customs</c:v>
                </c:pt>
                <c:pt idx="2">
                  <c:v>Mobility and transport</c:v>
                </c:pt>
                <c:pt idx="3">
                  <c:v>Internal market, industry, entrepreneurship and SMEs</c:v>
                </c:pt>
              </c:strCache>
              <c:extLst>
                <c:ext xmlns:c15="http://schemas.microsoft.com/office/drawing/2012/chart" uri="{02D57815-91ED-43cb-92C2-25804820EDAC}">
                  <c15:fullRef>
                    <c15:sqref>Blad1!$A$2:$A$6</c15:sqref>
                  </c15:fullRef>
                </c:ext>
              </c:extLst>
            </c:strRef>
          </c:cat>
          <c:val>
            <c:numRef>
              <c:f>Blad1!$B$3:$B$8</c:f>
              <c:numCache>
                <c:formatCode>General</c:formatCode>
                <c:ptCount val="6"/>
                <c:pt idx="0">
                  <c:v>14</c:v>
                </c:pt>
                <c:pt idx="1">
                  <c:v>8</c:v>
                </c:pt>
                <c:pt idx="2">
                  <c:v>7</c:v>
                </c:pt>
                <c:pt idx="3">
                  <c:v>5</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4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308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Germany</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5.5070467676688927E-3"/>
                  <c:y val="7.3551669605968026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2.7502750275027505E-3"/>
                  <c:y val="-6.8327992912557853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1.0975113259357431E-2"/>
                  <c:y val="5.2576235541535322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2.4752475247524754E-2"/>
                  <c:y val="-0.25236593059936907"/>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Justice and consumers</c:v>
                </c:pt>
                <c:pt idx="1">
                  <c:v>Internal market, industry, entrepreneurship and SMEs</c:v>
                </c:pt>
                <c:pt idx="2">
                  <c:v>Environment</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76</c:v>
                </c:pt>
                <c:pt idx="1">
                  <c:v>49</c:v>
                </c:pt>
                <c:pt idx="2">
                  <c:v>43</c:v>
                </c:pt>
                <c:pt idx="3">
                  <c:v>140</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34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21642619311874E-2"/>
          <c:y val="5.7191878753217046E-2"/>
          <c:w val="0.93899057127010543"/>
          <c:h val="0.81111111111111112"/>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4"/>
              <c:layout>
                <c:manualLayout>
                  <c:x val="-2.834165280088741E-2"/>
                  <c:y val="5.4238258877434137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64</c:v>
                </c:pt>
                <c:pt idx="1">
                  <c:v>73</c:v>
                </c:pt>
                <c:pt idx="2">
                  <c:v>74</c:v>
                </c:pt>
                <c:pt idx="3">
                  <c:v>49</c:v>
                </c:pt>
                <c:pt idx="4">
                  <c:v>33</c:v>
                </c:pt>
              </c:numCache>
            </c:numRef>
          </c:val>
          <c:smooth val="0"/>
        </c:ser>
        <c:dLbls>
          <c:showLegendKey val="0"/>
          <c:showVal val="0"/>
          <c:showCatName val="0"/>
          <c:showSerName val="0"/>
          <c:showPercent val="0"/>
          <c:showBubbleSize val="0"/>
        </c:dLbls>
        <c:marker val="1"/>
        <c:smooth val="0"/>
        <c:axId val="95786496"/>
        <c:axId val="95788032"/>
      </c:lineChart>
      <c:catAx>
        <c:axId val="957864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5788032"/>
        <c:crosses val="autoZero"/>
        <c:auto val="1"/>
        <c:lblAlgn val="ctr"/>
        <c:lblOffset val="100"/>
        <c:noMultiLvlLbl val="0"/>
      </c:catAx>
      <c:valAx>
        <c:axId val="95788032"/>
        <c:scaling>
          <c:orientation val="minMax"/>
          <c:min val="3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5786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21642619311874E-2"/>
          <c:y val="5.7191878753217046E-2"/>
          <c:w val="0.93899057127010543"/>
          <c:h val="0.81111111111111112"/>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4"/>
              <c:layout>
                <c:manualLayout>
                  <c:x val="-2.834165280088741E-2"/>
                  <c:y val="5.4238258877434137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65</c:v>
                </c:pt>
                <c:pt idx="1">
                  <c:v>61</c:v>
                </c:pt>
                <c:pt idx="2">
                  <c:v>63</c:v>
                </c:pt>
                <c:pt idx="3">
                  <c:v>68</c:v>
                </c:pt>
                <c:pt idx="4">
                  <c:v>51</c:v>
                </c:pt>
              </c:numCache>
            </c:numRef>
          </c:val>
          <c:smooth val="0"/>
        </c:ser>
        <c:dLbls>
          <c:showLegendKey val="0"/>
          <c:showVal val="0"/>
          <c:showCatName val="0"/>
          <c:showSerName val="0"/>
          <c:showPercent val="0"/>
          <c:showBubbleSize val="0"/>
        </c:dLbls>
        <c:marker val="1"/>
        <c:smooth val="0"/>
        <c:axId val="95836800"/>
        <c:axId val="95842688"/>
      </c:lineChart>
      <c:catAx>
        <c:axId val="958368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5842688"/>
        <c:crosses val="autoZero"/>
        <c:auto val="1"/>
        <c:lblAlgn val="ctr"/>
        <c:lblOffset val="100"/>
        <c:noMultiLvlLbl val="0"/>
      </c:catAx>
      <c:valAx>
        <c:axId val="95842688"/>
        <c:scaling>
          <c:orientation val="minMax"/>
          <c:min val="3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5836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33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Germany</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1.9179330978689391E-2"/>
                  <c:y val="0.17774811143530916"/>
                </c:manualLayout>
              </c:layout>
              <c:dLblPos val="bestFit"/>
              <c:showLegendKey val="1"/>
              <c:showVal val="1"/>
              <c:showCatName val="1"/>
              <c:showSerName val="0"/>
              <c:showPercent val="0"/>
              <c:showBubbleSize val="0"/>
              <c:separator>
</c:separator>
            </c:dLbl>
            <c:dLbl>
              <c:idx val="1"/>
              <c:layout>
                <c:manualLayout>
                  <c:x val="-1.9205516776813647E-2"/>
                  <c:y val="0.13204257002121311"/>
                </c:manualLayout>
              </c:layout>
              <c:dLblPos val="bestFit"/>
              <c:showLegendKey val="1"/>
              <c:showVal val="1"/>
              <c:showCatName val="1"/>
              <c:showSerName val="0"/>
              <c:showPercent val="0"/>
              <c:showBubbleSize val="0"/>
              <c:separator>
</c:separator>
            </c:dLbl>
            <c:dLbl>
              <c:idx val="2"/>
              <c:layout>
                <c:manualLayout>
                  <c:x val="2.7379903992264124E-3"/>
                  <c:y val="-2.5344488188976378E-2"/>
                </c:manualLayout>
              </c:layout>
              <c:dLblPos val="bestFit"/>
              <c:showLegendKey val="1"/>
              <c:showVal val="1"/>
              <c:showCatName val="1"/>
              <c:showSerName val="0"/>
              <c:showPercent val="0"/>
              <c:showBubbleSize val="0"/>
              <c:separator>
</c:separator>
            </c:dLbl>
            <c:dLbl>
              <c:idx val="3"/>
              <c:layout>
                <c:manualLayout>
                  <c:x val="-3.0151566169360409E-2"/>
                  <c:y val="-3.6673388387427182E-2"/>
                </c:manualLayout>
              </c:layout>
              <c:dLblPos val="bestFit"/>
              <c:showLegendKey val="1"/>
              <c:showVal val="1"/>
              <c:showCatName val="1"/>
              <c:showSerName val="0"/>
              <c:showPercent val="0"/>
              <c:showBubbleSize val="0"/>
              <c:separator>
</c:separator>
            </c:dLbl>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Blad1!$A$3:$A$6</c:f>
              <c:strCache>
                <c:ptCount val="4"/>
                <c:pt idx="0">
                  <c:v>Taxation and customs</c:v>
                </c:pt>
                <c:pt idx="1">
                  <c:v>Internal market, industry, entrepreneurship and SMEs</c:v>
                </c:pt>
                <c:pt idx="2">
                  <c:v>Mobility and transport</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9</c:v>
                </c:pt>
                <c:pt idx="1">
                  <c:v>7</c:v>
                </c:pt>
                <c:pt idx="2">
                  <c:v>4</c:v>
                </c:pt>
                <c:pt idx="3">
                  <c:v>13</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6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61</c:v>
                </c:pt>
                <c:pt idx="1">
                  <c:v>61</c:v>
                </c:pt>
                <c:pt idx="2">
                  <c:v>65</c:v>
                </c:pt>
                <c:pt idx="3">
                  <c:v>69</c:v>
                </c:pt>
                <c:pt idx="4">
                  <c:v>66</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98252672"/>
        <c:axId val="98254208"/>
      </c:lineChart>
      <c:catAx>
        <c:axId val="982526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8254208"/>
        <c:crosses val="autoZero"/>
        <c:auto val="1"/>
        <c:lblAlgn val="ctr"/>
        <c:lblOffset val="100"/>
        <c:noMultiLvlLbl val="0"/>
      </c:catAx>
      <c:valAx>
        <c:axId val="98254208"/>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8252672"/>
        <c:crosses val="autoZero"/>
        <c:crossBetween val="between"/>
      </c:valAx>
      <c:spPr>
        <a:noFill/>
        <a:ln>
          <a:noFill/>
        </a:ln>
        <a:effectLst/>
      </c:spPr>
    </c:plotArea>
    <c:legend>
      <c:legendPos val="b"/>
      <c:legendEntry>
        <c:idx val="0"/>
        <c:delete val="1"/>
      </c:legendEntry>
      <c:layout>
        <c:manualLayout>
          <c:xMode val="edge"/>
          <c:yMode val="edge"/>
          <c:x val="6.1393165406562984E-2"/>
          <c:y val="0.83006944868325572"/>
          <c:w val="0.88826947953329416"/>
          <c:h val="0.16993055131674431"/>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Germany</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1841136137052636E-2"/>
                  <c:y val="-6.5260416666666668E-2"/>
                </c:manualLayout>
              </c:layout>
              <c:dLblPos val="r"/>
              <c:showLegendKey val="0"/>
              <c:showVal val="1"/>
              <c:showCatName val="0"/>
              <c:showSerName val="0"/>
              <c:showPercent val="0"/>
              <c:showBubbleSize val="0"/>
            </c:dLbl>
            <c:dLbl>
              <c:idx val="1"/>
              <c:layout>
                <c:manualLayout>
                  <c:x val="-4.9077229774138927E-2"/>
                  <c:y val="6.5691788526434189E-2"/>
                </c:manualLayout>
              </c:layout>
              <c:dLblPos val="r"/>
              <c:showLegendKey val="0"/>
              <c:showVal val="1"/>
              <c:showCatName val="0"/>
              <c:showSerName val="0"/>
              <c:showPercent val="0"/>
              <c:showBubbleSize val="0"/>
            </c:dLbl>
            <c:dLbl>
              <c:idx val="3"/>
              <c:layout>
                <c:manualLayout>
                  <c:x val="-4.8189933969696577E-2"/>
                  <c:y val="8.295181852268467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0.69</c:v>
                </c:pt>
                <c:pt idx="1">
                  <c:v>0.67</c:v>
                </c:pt>
                <c:pt idx="2">
                  <c:v>0.7</c:v>
                </c:pt>
                <c:pt idx="3">
                  <c:v>0.64</c:v>
                </c:pt>
                <c:pt idx="4">
                  <c:v>0.72</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0"/>
              <c:layout>
                <c:manualLayout>
                  <c:x val="-4.9257156808887259E-2"/>
                  <c:y val="6.0052083333333332E-2"/>
                </c:manualLayout>
              </c:layout>
              <c:dLblPos val="r"/>
              <c:showLegendKey val="0"/>
              <c:showVal val="1"/>
              <c:showCatName val="0"/>
              <c:showSerName val="0"/>
              <c:showPercent val="0"/>
              <c:showBubbleSize val="0"/>
            </c:dLbl>
            <c:dLbl>
              <c:idx val="1"/>
              <c:layout>
                <c:manualLayout>
                  <c:x val="-5.4965113191696807E-2"/>
                  <c:y val="-8.5037026621672285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98584064"/>
        <c:axId val="98585600"/>
      </c:lineChart>
      <c:catAx>
        <c:axId val="985840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8585600"/>
        <c:crosses val="autoZero"/>
        <c:auto val="1"/>
        <c:lblAlgn val="ctr"/>
        <c:lblOffset val="100"/>
        <c:noMultiLvlLbl val="0"/>
      </c:catAx>
      <c:valAx>
        <c:axId val="98585600"/>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8584064"/>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61</c:v>
                </c:pt>
                <c:pt idx="1">
                  <c:v>63</c:v>
                </c:pt>
                <c:pt idx="2">
                  <c:v>68</c:v>
                </c:pt>
                <c:pt idx="3">
                  <c:v>88</c:v>
                </c:pt>
                <c:pt idx="4">
                  <c:v>91</c:v>
                </c:pt>
              </c:numCache>
            </c:numRef>
          </c:val>
          <c:smooth val="0"/>
        </c:ser>
        <c:dLbls>
          <c:showLegendKey val="0"/>
          <c:showVal val="1"/>
          <c:showCatName val="0"/>
          <c:showSerName val="0"/>
          <c:showPercent val="0"/>
          <c:showBubbleSize val="0"/>
        </c:dLbls>
        <c:marker val="1"/>
        <c:smooth val="0"/>
        <c:axId val="98305920"/>
        <c:axId val="98345728"/>
      </c:lineChart>
      <c:catAx>
        <c:axId val="983059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8345728"/>
        <c:crosses val="autoZero"/>
        <c:auto val="1"/>
        <c:lblAlgn val="ctr"/>
        <c:lblOffset val="100"/>
        <c:noMultiLvlLbl val="0"/>
      </c:catAx>
      <c:valAx>
        <c:axId val="98345728"/>
        <c:scaling>
          <c:orientation val="minMax"/>
          <c:min val="5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830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29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Germany</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3.606019713426005E-2"/>
                  <c:y val="0.13315003657329719"/>
                </c:manualLayout>
              </c:layout>
              <c:dLblPos val="bestFit"/>
              <c:showLegendKey val="1"/>
              <c:showVal val="1"/>
              <c:showCatName val="1"/>
              <c:showSerName val="0"/>
              <c:showPercent val="0"/>
              <c:showBubbleSize val="0"/>
              <c:separator>
</c:separator>
            </c:dLbl>
            <c:dLbl>
              <c:idx val="2"/>
              <c:layout>
                <c:manualLayout>
                  <c:x val="3.6051026067665005E-2"/>
                  <c:y val="-8.196764338883869E-2"/>
                </c:manualLayout>
              </c:layout>
              <c:dLblPos val="bestFit"/>
              <c:showLegendKey val="1"/>
              <c:showVal val="1"/>
              <c:showCatName val="1"/>
              <c:showSerName val="0"/>
              <c:showPercent val="0"/>
              <c:showBubbleSize val="0"/>
              <c:separator>
</c:separator>
            </c:dLbl>
            <c:dLbl>
              <c:idx val="3"/>
              <c:layout>
                <c:manualLayout>
                  <c:x val="-1.8457208239984976E-2"/>
                  <c:y val="-4.3027408459188502E-7"/>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2.7731558513588465E-3"/>
                  <c:y val="-2.185792349726776E-2"/>
                </c:manualLayout>
              </c:layout>
              <c:dLblPos val="bestFit"/>
              <c:showLegendKey val="1"/>
              <c:showVal val="1"/>
              <c:showCatName val="1"/>
              <c:showSerName val="0"/>
              <c:showPercent val="0"/>
              <c:showBubbleSize val="0"/>
              <c:separator>
</c:separator>
            </c:dLbl>
            <c:dLbl>
              <c:idx val="5"/>
              <c:layout>
                <c:manualLayout>
                  <c:x val="-5.546311702717693E-3"/>
                  <c:y val="-4.3715846994535519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Blad1!$A$2:$A$7</c:f>
              <c:strCache>
                <c:ptCount val="6"/>
                <c:pt idx="0">
                  <c:v>Policy Area</c:v>
                </c:pt>
                <c:pt idx="1">
                  <c:v>Internal market, industry, entrepreneurship and SMEs</c:v>
                </c:pt>
                <c:pt idx="2">
                  <c:v>Mobility and transport</c:v>
                </c:pt>
                <c:pt idx="3">
                  <c:v>Environment</c:v>
                </c:pt>
                <c:pt idx="4">
                  <c:v>Health and food safety</c:v>
                </c:pt>
                <c:pt idx="5">
                  <c:v>Other</c:v>
                </c:pt>
              </c:strCache>
            </c:strRef>
          </c:cat>
          <c:val>
            <c:numRef>
              <c:f>Blad1!$B$2:$B$7</c:f>
              <c:numCache>
                <c:formatCode>General</c:formatCode>
                <c:ptCount val="6"/>
                <c:pt idx="0">
                  <c:v>0</c:v>
                </c:pt>
                <c:pt idx="1">
                  <c:v>12</c:v>
                </c:pt>
                <c:pt idx="2">
                  <c:v>5</c:v>
                </c:pt>
                <c:pt idx="3">
                  <c:v>3</c:v>
                </c:pt>
                <c:pt idx="4">
                  <c:v>3</c:v>
                </c:pt>
                <c:pt idx="5">
                  <c:v>6</c:v>
                </c:pt>
              </c:numCache>
            </c:numRef>
          </c:val>
          <c:extLst/>
        </c:ser>
        <c:dLbls>
          <c:showLegendKey val="0"/>
          <c:showVal val="0"/>
          <c:showCatName val="1"/>
          <c:showSerName val="0"/>
          <c:showPercent val="0"/>
          <c:showBubbleSize val="0"/>
          <c:showLeaderLines val="0"/>
        </c:dLbls>
        <c:firstSliceAng val="32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5001987064428928E-2"/>
                  <c:y val="5.609839250520731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14</c:v>
                </c:pt>
                <c:pt idx="1">
                  <c:v>11</c:v>
                </c:pt>
                <c:pt idx="2">
                  <c:v>10</c:v>
                </c:pt>
                <c:pt idx="3">
                  <c:v>24</c:v>
                </c:pt>
                <c:pt idx="4">
                  <c:v>26</c:v>
                </c:pt>
              </c:numCache>
            </c:numRef>
          </c:val>
          <c:smooth val="0"/>
        </c:ser>
        <c:dLbls>
          <c:showLegendKey val="0"/>
          <c:showVal val="1"/>
          <c:showCatName val="0"/>
          <c:showSerName val="0"/>
          <c:showPercent val="0"/>
          <c:showBubbleSize val="0"/>
        </c:dLbls>
        <c:marker val="1"/>
        <c:smooth val="0"/>
        <c:axId val="98418048"/>
        <c:axId val="98453760"/>
      </c:lineChart>
      <c:catAx>
        <c:axId val="984180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8453760"/>
        <c:crosses val="autoZero"/>
        <c:auto val="1"/>
        <c:lblAlgn val="ctr"/>
        <c:lblOffset val="100"/>
        <c:noMultiLvlLbl val="0"/>
      </c:catAx>
      <c:valAx>
        <c:axId val="98453760"/>
        <c:scaling>
          <c:orientation val="minMax"/>
          <c:min val="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8418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5001987064428928E-2"/>
                  <c:y val="7.9823651936746343E-2"/>
                </c:manualLayout>
              </c:layout>
              <c:dLblPos val="r"/>
              <c:showLegendKey val="0"/>
              <c:showVal val="1"/>
              <c:showCatName val="0"/>
              <c:showSerName val="0"/>
              <c:showPercent val="0"/>
              <c:showBubbleSize val="0"/>
            </c:dLbl>
            <c:dLbl>
              <c:idx val="2"/>
              <c:layout>
                <c:manualLayout>
                  <c:x val="-3.9434276206322796E-2"/>
                  <c:y val="-8.0249110320284672E-2"/>
                </c:manualLayout>
              </c:layout>
              <c:dLblPos val="r"/>
              <c:showLegendKey val="0"/>
              <c:showVal val="1"/>
              <c:showCatName val="0"/>
              <c:showSerName val="0"/>
              <c:showPercent val="0"/>
              <c:showBubbleSize val="0"/>
            </c:dLbl>
            <c:dLbl>
              <c:idx val="3"/>
              <c:layout>
                <c:manualLayout>
                  <c:x val="-4.4980587909040491E-2"/>
                  <c:y val="7.9893238434163696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11</c:v>
                </c:pt>
                <c:pt idx="1">
                  <c:v>18</c:v>
                </c:pt>
                <c:pt idx="2">
                  <c:v>27</c:v>
                </c:pt>
                <c:pt idx="3">
                  <c:v>22</c:v>
                </c:pt>
                <c:pt idx="4">
                  <c:v>21</c:v>
                </c:pt>
              </c:numCache>
            </c:numRef>
          </c:val>
          <c:smooth val="0"/>
        </c:ser>
        <c:dLbls>
          <c:showLegendKey val="0"/>
          <c:showVal val="1"/>
          <c:showCatName val="0"/>
          <c:showSerName val="0"/>
          <c:showPercent val="0"/>
          <c:showBubbleSize val="0"/>
        </c:dLbls>
        <c:marker val="1"/>
        <c:smooth val="0"/>
        <c:axId val="98648832"/>
        <c:axId val="98651520"/>
      </c:lineChart>
      <c:catAx>
        <c:axId val="98648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8651520"/>
        <c:crosses val="autoZero"/>
        <c:auto val="1"/>
        <c:lblAlgn val="ctr"/>
        <c:lblOffset val="100"/>
        <c:noMultiLvlLbl val="0"/>
      </c:catAx>
      <c:valAx>
        <c:axId val="98651520"/>
        <c:scaling>
          <c:orientation val="minMax"/>
          <c:min val="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8648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731558513588463E-2"/>
          <c:y val="6.8965517241379309E-2"/>
          <c:w val="0.93899057127010543"/>
          <c:h val="0.62713186713729752"/>
        </c:manualLayout>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8846367165834718E-2"/>
                  <c:y val="6.5919540229885054E-2"/>
                </c:manualLayout>
              </c:layout>
              <c:dLblPos val="r"/>
              <c:showLegendKey val="0"/>
              <c:showVal val="1"/>
              <c:showCatName val="0"/>
              <c:showSerName val="0"/>
              <c:showPercent val="0"/>
              <c:showBubbleSize val="0"/>
            </c:dLbl>
            <c:dLbl>
              <c:idx val="1"/>
              <c:layout>
                <c:manualLayout>
                  <c:x val="-3.9434276206322796E-2"/>
                  <c:y val="8.3160919540229888E-2"/>
                </c:manualLayout>
              </c:layout>
              <c:dLblPos val="r"/>
              <c:showLegendKey val="0"/>
              <c:showVal val="1"/>
              <c:showCatName val="0"/>
              <c:showSerName val="0"/>
              <c:showPercent val="0"/>
              <c:showBubbleSize val="0"/>
            </c:dLbl>
            <c:dLbl>
              <c:idx val="3"/>
              <c:layout>
                <c:manualLayout>
                  <c:x val="-4.4980587909040491E-2"/>
                  <c:y val="-6.051724137931036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75</c:v>
                </c:pt>
                <c:pt idx="1">
                  <c:v>65</c:v>
                </c:pt>
                <c:pt idx="2">
                  <c:v>72</c:v>
                </c:pt>
                <c:pt idx="3">
                  <c:v>85</c:v>
                </c:pt>
                <c:pt idx="4">
                  <c:v>82</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77646464"/>
        <c:axId val="77648256"/>
      </c:lineChart>
      <c:catAx>
        <c:axId val="776464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77648256"/>
        <c:crosses val="autoZero"/>
        <c:auto val="1"/>
        <c:lblAlgn val="ctr"/>
        <c:lblOffset val="100"/>
        <c:noMultiLvlLbl val="0"/>
      </c:catAx>
      <c:valAx>
        <c:axId val="77648256"/>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7646464"/>
        <c:crosses val="autoZero"/>
        <c:crossBetween val="between"/>
      </c:valAx>
      <c:spPr>
        <a:noFill/>
        <a:ln>
          <a:noFill/>
        </a:ln>
        <a:effectLst/>
      </c:spPr>
    </c:plotArea>
    <c:legend>
      <c:legendPos val="b"/>
      <c:legendEntry>
        <c:idx val="0"/>
        <c:delete val="1"/>
      </c:legendEntry>
      <c:layout>
        <c:manualLayout>
          <c:xMode val="edge"/>
          <c:yMode val="edge"/>
          <c:x val="4.4772492040824341E-2"/>
          <c:y val="0.76430310435333515"/>
          <c:w val="0.88826947953329416"/>
          <c:h val="0.23019413521585666"/>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21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Germany</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A676"/>
              </a:solidFill>
              <a:scene3d>
                <a:camera prst="orthographicFront"/>
                <a:lightRig rig="threePt" dir="t"/>
              </a:scene3d>
              <a:sp3d>
                <a:bevelT w="63500" h="25400"/>
              </a:sp3d>
            </c:spPr>
          </c:dPt>
          <c:dPt>
            <c:idx val="4"/>
            <c:bubble3D val="0"/>
            <c:spPr>
              <a:solidFill>
                <a:srgbClr val="95C154"/>
              </a:solidFill>
              <a:scene3d>
                <a:camera prst="orthographicFront"/>
                <a:lightRig rig="threePt" dir="t"/>
              </a:scene3d>
              <a:sp3d>
                <a:bevelT w="63500" h="25400"/>
              </a:sp3d>
            </c:spPr>
          </c:dPt>
          <c:dPt>
            <c:idx val="5"/>
            <c:bubble3D val="0"/>
            <c:spPr>
              <a:solidFill>
                <a:srgbClr val="37ACDE"/>
              </a:solidFill>
              <a:scene3d>
                <a:camera prst="orthographicFront"/>
                <a:lightRig rig="threePt" dir="t"/>
              </a:scene3d>
              <a:sp3d>
                <a:bevelT w="63500" h="25400"/>
              </a:sp3d>
            </c:spPr>
          </c:dPt>
          <c:dPt>
            <c:idx val="6"/>
            <c:bubble3D val="0"/>
            <c:spPr>
              <a:solidFill>
                <a:srgbClr val="808AA4"/>
              </a:solidFill>
              <a:scene3d>
                <a:camera prst="orthographicFront"/>
                <a:lightRig rig="threePt" dir="t"/>
              </a:scene3d>
              <a:sp3d>
                <a:bevelT w="63500" h="25400"/>
              </a:sp3d>
            </c:spPr>
          </c:dPt>
          <c:dLbls>
            <c:dLbl>
              <c:idx val="0"/>
              <c:layout>
                <c:manualLayout>
                  <c:x val="-4.7062067822917483E-2"/>
                  <c:y val="3.3210205341979313E-2"/>
                </c:manualLayout>
              </c:layout>
              <c:dLblPos val="bestFit"/>
              <c:showLegendKey val="1"/>
              <c:showVal val="1"/>
              <c:showCatName val="1"/>
              <c:showSerName val="0"/>
              <c:showPercent val="0"/>
              <c:showBubbleSize val="0"/>
              <c:separator>
</c:separator>
            </c:dLbl>
            <c:dLbl>
              <c:idx val="1"/>
              <c:layout>
                <c:manualLayout>
                  <c:x val="1.937984496124031E-2"/>
                  <c:y val="0"/>
                </c:manualLayout>
              </c:layout>
              <c:dLblPos val="bestFit"/>
              <c:showLegendKey val="1"/>
              <c:showVal val="1"/>
              <c:showCatName val="1"/>
              <c:showSerName val="0"/>
              <c:showPercent val="0"/>
              <c:showBubbleSize val="0"/>
              <c:separator>
</c:separator>
            </c:dLbl>
            <c:dLbl>
              <c:idx val="2"/>
              <c:layout>
                <c:manualLayout>
                  <c:x val="-4.136844813003026E-2"/>
                  <c:y val="0"/>
                </c:manualLayout>
              </c:layout>
              <c:dLblPos val="bestFit"/>
              <c:showLegendKey val="1"/>
              <c:showVal val="1"/>
              <c:showCatName val="1"/>
              <c:showSerName val="0"/>
              <c:showPercent val="0"/>
              <c:showBubbleSize val="0"/>
              <c:separator>
</c:separator>
            </c:dLbl>
            <c:dLbl>
              <c:idx val="3"/>
              <c:layout>
                <c:manualLayout>
                  <c:x val="0"/>
                  <c:y val="-3.4313725490195991E-2"/>
                </c:manualLayout>
              </c:layout>
              <c:dLblPos val="bestFit"/>
              <c:showLegendKey val="1"/>
              <c:showVal val="1"/>
              <c:showCatName val="1"/>
              <c:showSerName val="0"/>
              <c:showPercent val="0"/>
              <c:showBubbleSize val="0"/>
              <c:separator>
</c:separator>
            </c:dLbl>
            <c:dLbl>
              <c:idx val="4"/>
              <c:layout>
                <c:manualLayout>
                  <c:x val="8.3086997846199325E-3"/>
                  <c:y val="1.4705882352941176E-2"/>
                </c:manualLayout>
              </c:layout>
              <c:dLblPos val="bestFit"/>
              <c:showLegendKey val="1"/>
              <c:showVal val="1"/>
              <c:showCatName val="1"/>
              <c:showSerName val="0"/>
              <c:showPercent val="0"/>
              <c:showBubbleSize val="0"/>
              <c:separator>
</c:separator>
            </c:dLbl>
            <c:dLbl>
              <c:idx val="5"/>
              <c:layout>
                <c:manualLayout>
                  <c:x val="0"/>
                  <c:y val="7.3529411764705885E-2"/>
                </c:manualLayout>
              </c:layout>
              <c:dLblPos val="bestFit"/>
              <c:showLegendKey val="1"/>
              <c:showVal val="1"/>
              <c:showCatName val="1"/>
              <c:showSerName val="0"/>
              <c:showPercent val="0"/>
              <c:showBubbleSize val="0"/>
              <c:separator>
</c:separator>
            </c:dLbl>
            <c:dLbl>
              <c:idx val="6"/>
              <c:layout>
                <c:manualLayout>
                  <c:x val="1.1074197120708749E-2"/>
                  <c:y val="2.9411764705882353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Blad1!$A$4:$A$10</c:f>
              <c:strCache>
                <c:ptCount val="7"/>
                <c:pt idx="0">
                  <c:v>Internal market, industry, entrepreneurship and SMEs</c:v>
                </c:pt>
                <c:pt idx="1">
                  <c:v>Health and food safety</c:v>
                </c:pt>
                <c:pt idx="2">
                  <c:v>Mobility and transport</c:v>
                </c:pt>
                <c:pt idx="3">
                  <c:v>Environment</c:v>
                </c:pt>
                <c:pt idx="4">
                  <c:v>Communication networks</c:v>
                </c:pt>
                <c:pt idx="5">
                  <c:v>Migration and home affairs</c:v>
                </c:pt>
                <c:pt idx="6">
                  <c:v>Other</c:v>
                </c:pt>
              </c:strCache>
            </c:strRef>
          </c:cat>
          <c:val>
            <c:numRef>
              <c:f>Blad1!$B$4:$B$10</c:f>
              <c:numCache>
                <c:formatCode>General</c:formatCode>
                <c:ptCount val="7"/>
                <c:pt idx="0">
                  <c:v>8</c:v>
                </c:pt>
                <c:pt idx="1">
                  <c:v>3</c:v>
                </c:pt>
                <c:pt idx="2">
                  <c:v>3</c:v>
                </c:pt>
                <c:pt idx="3">
                  <c:v>2</c:v>
                </c:pt>
                <c:pt idx="4">
                  <c:v>2</c:v>
                </c:pt>
                <c:pt idx="5">
                  <c:v>2</c:v>
                </c:pt>
                <c:pt idx="6">
                  <c:v>1</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348"/>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11</c:v>
                </c:pt>
                <c:pt idx="1">
                  <c:v>14</c:v>
                </c:pt>
                <c:pt idx="2">
                  <c:v>14</c:v>
                </c:pt>
                <c:pt idx="3">
                  <c:v>12</c:v>
                </c:pt>
                <c:pt idx="4">
                  <c:v>22</c:v>
                </c:pt>
              </c:numCache>
            </c:numRef>
          </c:val>
          <c:smooth val="0"/>
        </c:ser>
        <c:dLbls>
          <c:showLegendKey val="0"/>
          <c:showVal val="1"/>
          <c:showCatName val="0"/>
          <c:showSerName val="0"/>
          <c:showPercent val="0"/>
          <c:showBubbleSize val="0"/>
        </c:dLbls>
        <c:marker val="1"/>
        <c:smooth val="0"/>
        <c:axId val="98818304"/>
        <c:axId val="98944128"/>
      </c:lineChart>
      <c:catAx>
        <c:axId val="98818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8944128"/>
        <c:crosses val="autoZero"/>
        <c:auto val="1"/>
        <c:lblAlgn val="ctr"/>
        <c:lblOffset val="100"/>
        <c:noMultiLvlLbl val="0"/>
      </c:catAx>
      <c:valAx>
        <c:axId val="98944128"/>
        <c:scaling>
          <c:orientation val="minMax"/>
          <c:min val="8"/>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8818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22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Estonia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2.1991155808494235E-2"/>
                  <c:y val="0.191351830232577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3.5753575357535754E-2"/>
                  <c:y val="-0.11564660489993946"/>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0.11553753800576907"/>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2.4752475247524754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4"/>
              <c:layout>
                <c:manualLayout>
                  <c:x val="-2.7502750275027505E-3"/>
                  <c:y val="-0.13144058885383805"/>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Blad1!$A$3:$A$7</c:f>
              <c:strCache>
                <c:ptCount val="5"/>
                <c:pt idx="0">
                  <c:v>Justice and consumers</c:v>
                </c:pt>
                <c:pt idx="1">
                  <c:v>Migration and home affairs</c:v>
                </c:pt>
                <c:pt idx="2">
                  <c:v>Environmnent</c:v>
                </c:pt>
                <c:pt idx="3">
                  <c:v>Mobility and transport</c:v>
                </c:pt>
                <c:pt idx="4">
                  <c:v>Other</c:v>
                </c:pt>
              </c:strCache>
              <c:extLst>
                <c:ext xmlns:c15="http://schemas.microsoft.com/office/drawing/2012/chart" uri="{02D57815-91ED-43cb-92C2-25804820EDAC}">
                  <c15:fullRef>
                    <c15:sqref>Blad1!$A$2:$A$6</c15:sqref>
                  </c15:fullRef>
                </c:ext>
              </c:extLst>
            </c:strRef>
          </c:cat>
          <c:val>
            <c:numRef>
              <c:f>Blad1!$B$3:$B$7</c:f>
              <c:numCache>
                <c:formatCode>General</c:formatCode>
                <c:ptCount val="5"/>
                <c:pt idx="0">
                  <c:v>10</c:v>
                </c:pt>
                <c:pt idx="1">
                  <c:v>2</c:v>
                </c:pt>
                <c:pt idx="2">
                  <c:v>2</c:v>
                </c:pt>
                <c:pt idx="3">
                  <c:v>2</c:v>
                </c:pt>
                <c:pt idx="4">
                  <c:v>6</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323"/>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4"/>
              <c:layout>
                <c:manualLayout>
                  <c:x val="-3.101160862354882E-2"/>
                  <c:y val="-8.5571260306242639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25</c:v>
                </c:pt>
                <c:pt idx="1">
                  <c:v>27</c:v>
                </c:pt>
                <c:pt idx="2">
                  <c:v>23</c:v>
                </c:pt>
                <c:pt idx="3">
                  <c:v>15</c:v>
                </c:pt>
                <c:pt idx="4">
                  <c:v>22</c:v>
                </c:pt>
              </c:numCache>
            </c:numRef>
          </c:val>
          <c:smooth val="0"/>
        </c:ser>
        <c:dLbls>
          <c:showLegendKey val="0"/>
          <c:showVal val="1"/>
          <c:showCatName val="0"/>
          <c:showSerName val="0"/>
          <c:showPercent val="0"/>
          <c:showBubbleSize val="0"/>
        </c:dLbls>
        <c:marker val="1"/>
        <c:smooth val="0"/>
        <c:axId val="99113984"/>
        <c:axId val="99129216"/>
      </c:lineChart>
      <c:catAx>
        <c:axId val="991139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9129216"/>
        <c:crosses val="autoZero"/>
        <c:auto val="1"/>
        <c:lblAlgn val="ctr"/>
        <c:lblOffset val="100"/>
        <c:noMultiLvlLbl val="0"/>
      </c:catAx>
      <c:valAx>
        <c:axId val="99129216"/>
        <c:scaling>
          <c:orientation val="minMax"/>
          <c:min val="14"/>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9113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4"/>
              <c:layout>
                <c:manualLayout>
                  <c:x val="-3.101160862354882E-2"/>
                  <c:y val="-8.5571260306242639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18</c:v>
                </c:pt>
                <c:pt idx="1">
                  <c:v>18</c:v>
                </c:pt>
                <c:pt idx="2">
                  <c:v>23</c:v>
                </c:pt>
                <c:pt idx="3">
                  <c:v>21</c:v>
                </c:pt>
                <c:pt idx="4">
                  <c:v>25</c:v>
                </c:pt>
              </c:numCache>
            </c:numRef>
          </c:val>
          <c:smooth val="0"/>
        </c:ser>
        <c:dLbls>
          <c:showLegendKey val="0"/>
          <c:showVal val="1"/>
          <c:showCatName val="0"/>
          <c:showSerName val="0"/>
          <c:showPercent val="0"/>
          <c:showBubbleSize val="0"/>
        </c:dLbls>
        <c:marker val="1"/>
        <c:smooth val="0"/>
        <c:axId val="99205504"/>
        <c:axId val="99208192"/>
      </c:lineChart>
      <c:catAx>
        <c:axId val="992055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9208192"/>
        <c:crosses val="autoZero"/>
        <c:auto val="1"/>
        <c:lblAlgn val="ctr"/>
        <c:lblOffset val="100"/>
        <c:noMultiLvlLbl val="0"/>
      </c:catAx>
      <c:valAx>
        <c:axId val="99208192"/>
        <c:scaling>
          <c:orientation val="minMax"/>
          <c:min val="14"/>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9205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22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Estonia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2751502279320349"/>
          <c:y val="3.0441400304414001E-2"/>
        </c:manualLayout>
      </c:layout>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000099"/>
              </a:solidFill>
              <a:scene3d>
                <a:camera prst="orthographicFront"/>
                <a:lightRig rig="threePt" dir="t"/>
              </a:scene3d>
              <a:sp3d>
                <a:bevelT w="63500" h="25400"/>
              </a:sp3d>
            </c:spPr>
          </c:dPt>
          <c:dLbls>
            <c:dLbl>
              <c:idx val="0"/>
              <c:layout>
                <c:manualLayout>
                  <c:x val="1.0967490243143646E-2"/>
                  <c:y val="5.5797107816627618E-2"/>
                </c:manualLayout>
              </c:layout>
              <c:dLblPos val="bestFit"/>
              <c:showLegendKey val="1"/>
              <c:showVal val="1"/>
              <c:showCatName val="1"/>
              <c:showSerName val="0"/>
              <c:showPercent val="0"/>
              <c:showBubbleSize val="0"/>
              <c:separator>
</c:separator>
            </c:dLbl>
            <c:dLbl>
              <c:idx val="1"/>
              <c:layout>
                <c:manualLayout>
                  <c:x val="4.1116478450062187E-2"/>
                  <c:y val="-8.1336022021637533E-2"/>
                </c:manualLayout>
              </c:layout>
              <c:dLblPos val="bestFit"/>
              <c:showLegendKey val="1"/>
              <c:showVal val="1"/>
              <c:showCatName val="1"/>
              <c:showSerName val="0"/>
              <c:showPercent val="0"/>
              <c:showBubbleSize val="0"/>
              <c:separator>
</c:separator>
            </c:dLbl>
            <c:dLbl>
              <c:idx val="2"/>
              <c:layout>
                <c:manualLayout>
                  <c:x val="5.207987981765437E-2"/>
                  <c:y val="4.071202227770309E-2"/>
                </c:manualLayout>
              </c:layout>
              <c:dLblPos val="bestFit"/>
              <c:showLegendKey val="1"/>
              <c:showVal val="1"/>
              <c:showCatName val="1"/>
              <c:showSerName val="0"/>
              <c:showPercent val="0"/>
              <c:showBubbleSize val="0"/>
              <c:separator>
</c:separator>
            </c:dLbl>
            <c:dLbl>
              <c:idx val="3"/>
              <c:layout>
                <c:manualLayout>
                  <c:x val="-2.3491245337753833E-2"/>
                  <c:y val="-6.1855835093784011E-3"/>
                </c:manualLayout>
              </c:layout>
              <c:dLblPos val="bestFit"/>
              <c:showLegendKey val="1"/>
              <c:showVal val="1"/>
              <c:showCatName val="1"/>
              <c:showSerName val="0"/>
              <c:showPercent val="0"/>
              <c:showBubbleSize val="0"/>
              <c:separator>
</c:separator>
            </c:dLbl>
            <c:dLbl>
              <c:idx val="4"/>
              <c:layout>
                <c:manualLayout>
                  <c:x val="1.0964912280701754E-2"/>
                  <c:y val="-3.5569105691057007E-2"/>
                </c:manualLayout>
              </c:layout>
              <c:dLblPos val="bestFit"/>
              <c:showLegendKey val="1"/>
              <c:showVal val="1"/>
              <c:showCatName val="1"/>
              <c:showSerName val="0"/>
              <c:showPercent val="0"/>
              <c:showBubbleSize val="0"/>
              <c:separator>
</c:separator>
            </c:dLbl>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Blad1!$A$3:$A$7</c:f>
              <c:strCache>
                <c:ptCount val="5"/>
                <c:pt idx="0">
                  <c:v>Other</c:v>
                </c:pt>
                <c:pt idx="1">
                  <c:v>Environment</c:v>
                </c:pt>
                <c:pt idx="2">
                  <c:v>Energy</c:v>
                </c:pt>
                <c:pt idx="3">
                  <c:v>Mobility and transport</c:v>
                </c:pt>
                <c:pt idx="4">
                  <c:v>Internal market, industry, entrepreneurship and SMEs</c:v>
                </c:pt>
              </c:strCache>
            </c:strRef>
          </c:cat>
          <c:val>
            <c:numRef>
              <c:f>Blad1!$B$3:$B$7</c:f>
              <c:numCache>
                <c:formatCode>General</c:formatCode>
                <c:ptCount val="5"/>
                <c:pt idx="0">
                  <c:v>6</c:v>
                </c:pt>
                <c:pt idx="1">
                  <c:v>5</c:v>
                </c:pt>
                <c:pt idx="2">
                  <c:v>4</c:v>
                </c:pt>
                <c:pt idx="3">
                  <c:v>4</c:v>
                </c:pt>
                <c:pt idx="4">
                  <c:v>3</c:v>
                </c:pt>
              </c:numCache>
            </c:numRef>
          </c:val>
          <c:extLst/>
        </c:ser>
        <c:dLbls>
          <c:showLegendKey val="0"/>
          <c:showVal val="0"/>
          <c:showCatName val="0"/>
          <c:showSerName val="0"/>
          <c:showPercent val="0"/>
          <c:showBubbleSize val="0"/>
          <c:showLeaderLines val="0"/>
        </c:dLbls>
        <c:firstSliceAng val="15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3.6422664908821879E-2"/>
                  <c:y val="8.2274506642301112E-2"/>
                </c:manualLayout>
              </c:layout>
              <c:dLblPos val="r"/>
              <c:showLegendKey val="0"/>
              <c:showVal val="1"/>
              <c:showCatName val="0"/>
              <c:showSerName val="0"/>
              <c:showPercent val="0"/>
              <c:showBubbleSize val="0"/>
            </c:dLbl>
            <c:dLbl>
              <c:idx val="3"/>
              <c:layout>
                <c:manualLayout>
                  <c:x val="-3.1285202252944191E-2"/>
                  <c:y val="-7.1274175199089879E-2"/>
                </c:manualLayout>
              </c:layout>
              <c:dLblPos val="r"/>
              <c:showLegendKey val="0"/>
              <c:showVal val="1"/>
              <c:showCatName val="0"/>
              <c:showSerName val="0"/>
              <c:showPercent val="0"/>
              <c:showBubbleSize val="0"/>
            </c:dLbl>
            <c:dLbl>
              <c:idx val="4"/>
              <c:layout>
                <c:manualLayout>
                  <c:x val="-4.6651526397315089E-2"/>
                  <c:y val="6.5322511976839553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67</c:v>
                </c:pt>
                <c:pt idx="1">
                  <c:v>68</c:v>
                </c:pt>
                <c:pt idx="2">
                  <c:v>70</c:v>
                </c:pt>
                <c:pt idx="3">
                  <c:v>73</c:v>
                </c:pt>
                <c:pt idx="4">
                  <c:v>61</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99340288"/>
        <c:axId val="99341824"/>
      </c:lineChart>
      <c:catAx>
        <c:axId val="993402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9341824"/>
        <c:crosses val="autoZero"/>
        <c:auto val="1"/>
        <c:lblAlgn val="ctr"/>
        <c:lblOffset val="100"/>
        <c:noMultiLvlLbl val="0"/>
      </c:catAx>
      <c:valAx>
        <c:axId val="99341824"/>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9340288"/>
        <c:crosses val="autoZero"/>
        <c:crossBetween val="between"/>
      </c:valAx>
      <c:spPr>
        <a:noFill/>
        <a:ln>
          <a:noFill/>
        </a:ln>
        <a:effectLst/>
      </c:spPr>
    </c:plotArea>
    <c:legend>
      <c:legendPos val="b"/>
      <c:legendEntry>
        <c:idx val="0"/>
        <c:delete val="1"/>
      </c:legendEntry>
      <c:layout>
        <c:manualLayout>
          <c:xMode val="edge"/>
          <c:yMode val="edge"/>
          <c:x val="5.5865154028662524E-2"/>
          <c:y val="0.79223847019122606"/>
          <c:w val="0.88826947953329416"/>
          <c:h val="0.20776152980877391"/>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Estonia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4.9758233345831772E-2"/>
                  <c:y val="-4.4346289752650161E-2"/>
                </c:manualLayout>
              </c:layout>
              <c:dLblPos val="r"/>
              <c:showLegendKey val="0"/>
              <c:showVal val="1"/>
              <c:showCatName val="0"/>
              <c:showSerName val="0"/>
              <c:showPercent val="0"/>
              <c:showBubbleSize val="0"/>
            </c:dLbl>
            <c:dLbl>
              <c:idx val="3"/>
              <c:layout>
                <c:manualLayout>
                  <c:x val="-4.8189830837757575E-2"/>
                  <c:y val="-5.9905117372626965E-2"/>
                </c:manualLayout>
              </c:layout>
              <c:dLblPos val="r"/>
              <c:showLegendKey val="0"/>
              <c:showVal val="1"/>
              <c:showCatName val="0"/>
              <c:showSerName val="0"/>
              <c:showPercent val="0"/>
              <c:showBubbleSize val="0"/>
            </c:dLbl>
            <c:dLbl>
              <c:idx val="4"/>
              <c:layout>
                <c:manualLayout>
                  <c:x val="-4.231775715535558E-2"/>
                  <c:y val="-5.612485276796228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0.61</c:v>
                </c:pt>
                <c:pt idx="1">
                  <c:v>0.65</c:v>
                </c:pt>
                <c:pt idx="2">
                  <c:v>0.84</c:v>
                </c:pt>
                <c:pt idx="3">
                  <c:v>0.88</c:v>
                </c:pt>
                <c:pt idx="4">
                  <c:v>0.74</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2"/>
              <c:layout>
                <c:manualLayout>
                  <c:x val="-4.231775715535558E-2"/>
                  <c:y val="-4.399293286219081E-2"/>
                </c:manualLayout>
              </c:layout>
              <c:dLblPos val="r"/>
              <c:showLegendKey val="0"/>
              <c:showVal val="1"/>
              <c:showCatName val="0"/>
              <c:showSerName val="0"/>
              <c:showPercent val="0"/>
              <c:showBubbleSize val="0"/>
            </c:dLbl>
            <c:dLbl>
              <c:idx val="4"/>
              <c:layout>
                <c:manualLayout>
                  <c:x val="-3.9837598425196852E-2"/>
                  <c:y val="7.9681978798586572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99388800"/>
        <c:axId val="99394688"/>
      </c:lineChart>
      <c:catAx>
        <c:axId val="993888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9394688"/>
        <c:crosses val="autoZero"/>
        <c:auto val="1"/>
        <c:lblAlgn val="ctr"/>
        <c:lblOffset val="100"/>
        <c:noMultiLvlLbl val="0"/>
      </c:catAx>
      <c:valAx>
        <c:axId val="99394688"/>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9388800"/>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24</c:v>
                </c:pt>
                <c:pt idx="1">
                  <c:v>25</c:v>
                </c:pt>
                <c:pt idx="2">
                  <c:v>16</c:v>
                </c:pt>
                <c:pt idx="3">
                  <c:v>26</c:v>
                </c:pt>
                <c:pt idx="4">
                  <c:v>30</c:v>
                </c:pt>
              </c:numCache>
            </c:numRef>
          </c:val>
          <c:smooth val="0"/>
        </c:ser>
        <c:dLbls>
          <c:showLegendKey val="0"/>
          <c:showVal val="1"/>
          <c:showCatName val="0"/>
          <c:showSerName val="0"/>
          <c:showPercent val="0"/>
          <c:showBubbleSize val="0"/>
        </c:dLbls>
        <c:marker val="1"/>
        <c:smooth val="0"/>
        <c:axId val="99467264"/>
        <c:axId val="99469952"/>
      </c:lineChart>
      <c:catAx>
        <c:axId val="994672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9469952"/>
        <c:crosses val="autoZero"/>
        <c:auto val="1"/>
        <c:lblAlgn val="ctr"/>
        <c:lblOffset val="100"/>
        <c:noMultiLvlLbl val="0"/>
      </c:catAx>
      <c:valAx>
        <c:axId val="99469952"/>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9467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20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Estonia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FF7DFF"/>
              </a:solidFill>
              <a:scene3d>
                <a:camera prst="orthographicFront"/>
                <a:lightRig rig="threePt" dir="t"/>
              </a:scene3d>
              <a:sp3d>
                <a:bevelT w="63500" h="25400"/>
              </a:sp3d>
            </c:spPr>
          </c:dPt>
          <c:dPt>
            <c:idx val="6"/>
            <c:bubble3D val="0"/>
            <c:spPr>
              <a:solidFill>
                <a:srgbClr val="FFD617"/>
              </a:solidFill>
              <a:scene3d>
                <a:camera prst="orthographicFront"/>
                <a:lightRig rig="threePt" dir="t"/>
              </a:scene3d>
              <a:sp3d>
                <a:bevelT w="63500" h="25400"/>
              </a:sp3d>
            </c:spPr>
          </c:dPt>
          <c:dPt>
            <c:idx val="7"/>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4.9907634257864188E-2"/>
                  <c:y val="0.149543479196248"/>
                </c:manualLayout>
              </c:layout>
              <c:dLblPos val="bestFit"/>
              <c:showLegendKey val="1"/>
              <c:showVal val="1"/>
              <c:showCatName val="1"/>
              <c:showSerName val="0"/>
              <c:showPercent val="0"/>
              <c:showBubbleSize val="0"/>
              <c:separator>
</c:separator>
            </c:dLbl>
            <c:dLbl>
              <c:idx val="2"/>
              <c:layout>
                <c:manualLayout>
                  <c:x val="2.7729374926303927E-3"/>
                  <c:y val="7.6502301966352562E-2"/>
                </c:manualLayout>
              </c:layout>
              <c:dLblPos val="bestFit"/>
              <c:showLegendKey val="1"/>
              <c:showVal val="1"/>
              <c:showCatName val="1"/>
              <c:showSerName val="0"/>
              <c:showPercent val="0"/>
              <c:showBubbleSize val="0"/>
              <c:separator>
</c:separator>
            </c:dLbl>
            <c:dLbl>
              <c:idx val="3"/>
              <c:layout>
                <c:manualLayout>
                  <c:x val="3.1459378725745807E-2"/>
                  <c:y val="-3.9632545931758533E-3"/>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6.1009428729894621E-2"/>
                  <c:y val="-4.3027408459188502E-7"/>
                </c:manualLayout>
              </c:layout>
              <c:dLblPos val="bestFit"/>
              <c:showLegendKey val="1"/>
              <c:showVal val="1"/>
              <c:showCatName val="1"/>
              <c:showSerName val="0"/>
              <c:showPercent val="0"/>
              <c:showBubbleSize val="0"/>
              <c:separator>
</c:separator>
            </c:dLbl>
            <c:dLbl>
              <c:idx val="5"/>
              <c:layout>
                <c:manualLayout>
                  <c:x val="-2.1835872845345247E-7"/>
                  <c:y val="-3.825136612021858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Blad1!$A$2:$A$9</c:f>
              <c:strCache>
                <c:ptCount val="8"/>
                <c:pt idx="0">
                  <c:v>Policy Area</c:v>
                </c:pt>
                <c:pt idx="1">
                  <c:v>Financial stability, financial services and capital markets union</c:v>
                </c:pt>
                <c:pt idx="2">
                  <c:v>Taxation and customs</c:v>
                </c:pt>
                <c:pt idx="3">
                  <c:v>Migration and home affairs</c:v>
                </c:pt>
                <c:pt idx="4">
                  <c:v>Internal market, industry, entrepreneurship and SMEs</c:v>
                </c:pt>
                <c:pt idx="5">
                  <c:v>Health and food safety</c:v>
                </c:pt>
                <c:pt idx="6">
                  <c:v>Employment</c:v>
                </c:pt>
                <c:pt idx="7">
                  <c:v>Other</c:v>
                </c:pt>
              </c:strCache>
            </c:strRef>
          </c:cat>
          <c:val>
            <c:numRef>
              <c:f>Blad1!$B$2:$B$9</c:f>
              <c:numCache>
                <c:formatCode>General</c:formatCode>
                <c:ptCount val="8"/>
                <c:pt idx="0">
                  <c:v>0</c:v>
                </c:pt>
                <c:pt idx="1">
                  <c:v>4</c:v>
                </c:pt>
                <c:pt idx="2">
                  <c:v>4</c:v>
                </c:pt>
                <c:pt idx="3">
                  <c:v>3</c:v>
                </c:pt>
                <c:pt idx="4">
                  <c:v>3</c:v>
                </c:pt>
                <c:pt idx="5">
                  <c:v>2</c:v>
                </c:pt>
                <c:pt idx="6">
                  <c:v>2</c:v>
                </c:pt>
                <c:pt idx="7">
                  <c:v>2</c:v>
                </c:pt>
              </c:numCache>
            </c:numRef>
          </c:val>
          <c:extLst/>
        </c:ser>
        <c:dLbls>
          <c:showLegendKey val="0"/>
          <c:showVal val="0"/>
          <c:showCatName val="1"/>
          <c:showSerName val="0"/>
          <c:showPercent val="0"/>
          <c:showBubbleSize val="0"/>
          <c:showLeaderLines val="0"/>
        </c:dLbls>
        <c:firstSliceAng val="348"/>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Belgium</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7.2275428965722047E-2"/>
                  <c:y val="5.7781456953642382E-2"/>
                </c:manualLayout>
              </c:layout>
              <c:dLblPos val="r"/>
              <c:showLegendKey val="0"/>
              <c:showVal val="1"/>
              <c:showCatName val="0"/>
              <c:showSerName val="0"/>
              <c:showPercent val="0"/>
              <c:showBubbleSize val="0"/>
            </c:dLbl>
            <c:dLbl>
              <c:idx val="3"/>
              <c:layout>
                <c:manualLayout>
                  <c:x val="-4.8189806141120881E-2"/>
                  <c:y val="6.7026472684291946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0.68</c:v>
                </c:pt>
                <c:pt idx="1">
                  <c:v>0.63</c:v>
                </c:pt>
                <c:pt idx="2">
                  <c:v>0.7</c:v>
                </c:pt>
                <c:pt idx="3">
                  <c:v>0.7</c:v>
                </c:pt>
                <c:pt idx="4">
                  <c:v>0.59</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0"/>
              <c:layout>
                <c:manualLayout>
                  <c:x val="-6.3955961411645501E-2"/>
                  <c:y val="-6.3300220750551875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77760384"/>
        <c:axId val="77761920"/>
      </c:lineChart>
      <c:catAx>
        <c:axId val="777603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77761920"/>
        <c:crosses val="autoZero"/>
        <c:auto val="1"/>
        <c:lblAlgn val="ctr"/>
        <c:lblOffset val="100"/>
        <c:noMultiLvlLbl val="0"/>
      </c:catAx>
      <c:valAx>
        <c:axId val="77761920"/>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7760384"/>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10</c:v>
                </c:pt>
                <c:pt idx="1">
                  <c:v>14</c:v>
                </c:pt>
                <c:pt idx="2">
                  <c:v>7</c:v>
                </c:pt>
                <c:pt idx="3">
                  <c:v>18</c:v>
                </c:pt>
                <c:pt idx="4">
                  <c:v>23</c:v>
                </c:pt>
              </c:numCache>
            </c:numRef>
          </c:val>
          <c:smooth val="0"/>
        </c:ser>
        <c:dLbls>
          <c:showLegendKey val="0"/>
          <c:showVal val="1"/>
          <c:showCatName val="0"/>
          <c:showSerName val="0"/>
          <c:showPercent val="0"/>
          <c:showBubbleSize val="0"/>
        </c:dLbls>
        <c:marker val="1"/>
        <c:smooth val="0"/>
        <c:axId val="99488128"/>
        <c:axId val="99489280"/>
      </c:lineChart>
      <c:catAx>
        <c:axId val="994881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9489280"/>
        <c:crosses val="autoZero"/>
        <c:auto val="1"/>
        <c:lblAlgn val="ctr"/>
        <c:lblOffset val="100"/>
        <c:noMultiLvlLbl val="0"/>
      </c:catAx>
      <c:valAx>
        <c:axId val="994892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9488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5</c:v>
                </c:pt>
                <c:pt idx="1">
                  <c:v>11</c:v>
                </c:pt>
                <c:pt idx="2">
                  <c:v>10</c:v>
                </c:pt>
                <c:pt idx="3">
                  <c:v>15</c:v>
                </c:pt>
                <c:pt idx="4">
                  <c:v>18</c:v>
                </c:pt>
              </c:numCache>
            </c:numRef>
          </c:val>
          <c:smooth val="0"/>
        </c:ser>
        <c:dLbls>
          <c:showLegendKey val="0"/>
          <c:showVal val="1"/>
          <c:showCatName val="0"/>
          <c:showSerName val="0"/>
          <c:showPercent val="0"/>
          <c:showBubbleSize val="0"/>
        </c:dLbls>
        <c:marker val="1"/>
        <c:smooth val="0"/>
        <c:axId val="99577856"/>
        <c:axId val="99580544"/>
      </c:lineChart>
      <c:catAx>
        <c:axId val="995778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9580544"/>
        <c:crosses val="autoZero"/>
        <c:auto val="1"/>
        <c:lblAlgn val="ctr"/>
        <c:lblOffset val="100"/>
        <c:noMultiLvlLbl val="0"/>
      </c:catAx>
      <c:valAx>
        <c:axId val="995805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957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18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Estonia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7DFF"/>
              </a:solidFill>
              <a:scene3d>
                <a:camera prst="orthographicFront"/>
                <a:lightRig rig="threePt" dir="t"/>
              </a:scene3d>
              <a:sp3d>
                <a:bevelT w="63500" h="25400"/>
              </a:sp3d>
            </c:spPr>
          </c:dPt>
          <c:dPt>
            <c:idx val="4"/>
            <c:bubble3D val="0"/>
            <c:spPr>
              <a:solidFill>
                <a:srgbClr val="FFD617"/>
              </a:solidFill>
              <a:scene3d>
                <a:camera prst="orthographicFront"/>
                <a:lightRig rig="threePt" dir="t"/>
              </a:scene3d>
              <a:sp3d>
                <a:bevelT w="63500" h="25400"/>
              </a:sp3d>
            </c:spPr>
          </c:dPt>
          <c:dPt>
            <c:idx val="5"/>
            <c:bubble3D val="0"/>
            <c:spPr>
              <a:solidFill>
                <a:srgbClr val="37ACDE"/>
              </a:solidFill>
              <a:scene3d>
                <a:camera prst="orthographicFront"/>
                <a:lightRig rig="threePt" dir="t"/>
              </a:scene3d>
              <a:sp3d>
                <a:bevelT w="63500" h="25400"/>
              </a:sp3d>
            </c:spPr>
          </c:dPt>
          <c:dPt>
            <c:idx val="6"/>
            <c:bubble3D val="0"/>
            <c:spPr>
              <a:solidFill>
                <a:srgbClr val="808AA4"/>
              </a:solidFill>
              <a:scene3d>
                <a:camera prst="orthographicFront"/>
                <a:lightRig rig="threePt" dir="t"/>
              </a:scene3d>
              <a:sp3d>
                <a:bevelT w="63500" h="25400"/>
              </a:sp3d>
            </c:spPr>
          </c:dPt>
          <c:dLbls>
            <c:dLbl>
              <c:idx val="0"/>
              <c:layout>
                <c:manualLayout>
                  <c:x val="3.5997462526486515E-2"/>
                  <c:y val="0.14215686274509803"/>
                </c:manualLayout>
              </c:layout>
              <c:dLblPos val="bestFit"/>
              <c:showLegendKey val="1"/>
              <c:showVal val="1"/>
              <c:showCatName val="1"/>
              <c:showSerName val="0"/>
              <c:showPercent val="0"/>
              <c:showBubbleSize val="0"/>
              <c:separator>
</c:separator>
            </c:dLbl>
            <c:dLbl>
              <c:idx val="1"/>
              <c:layout>
                <c:manualLayout>
                  <c:x val="8.3056478405315621E-3"/>
                  <c:y val="-7.8431372549019607E-2"/>
                </c:manualLayout>
              </c:layout>
              <c:dLblPos val="bestFit"/>
              <c:showLegendKey val="1"/>
              <c:showVal val="1"/>
              <c:showCatName val="1"/>
              <c:showSerName val="0"/>
              <c:showPercent val="0"/>
              <c:showBubbleSize val="0"/>
              <c:separator>
</c:separator>
            </c:dLbl>
            <c:dLbl>
              <c:idx val="2"/>
              <c:layout>
                <c:manualLayout>
                  <c:x val="0.15244678717485896"/>
                  <c:y val="-3.8598116411919099E-7"/>
                </c:manualLayout>
              </c:layout>
              <c:dLblPos val="bestFit"/>
              <c:showLegendKey val="1"/>
              <c:showVal val="1"/>
              <c:showCatName val="1"/>
              <c:showSerName val="0"/>
              <c:showPercent val="0"/>
              <c:showBubbleSize val="0"/>
              <c:separator>
</c:separator>
            </c:dLbl>
            <c:dLbl>
              <c:idx val="3"/>
              <c:layout>
                <c:manualLayout>
                  <c:x val="0"/>
                  <c:y val="-1.9607843137254902E-2"/>
                </c:manualLayout>
              </c:layout>
              <c:dLblPos val="bestFit"/>
              <c:showLegendKey val="1"/>
              <c:showVal val="1"/>
              <c:showCatName val="1"/>
              <c:showSerName val="0"/>
              <c:showPercent val="0"/>
              <c:showBubbleSize val="0"/>
              <c:separator>
</c:separator>
            </c:dLbl>
            <c:dLbl>
              <c:idx val="4"/>
              <c:layout>
                <c:manualLayout>
                  <c:x val="-5.5370985603543747E-3"/>
                  <c:y val="-1.4705882352941086E-2"/>
                </c:manualLayout>
              </c:layout>
              <c:dLblPos val="bestFit"/>
              <c:showLegendKey val="1"/>
              <c:showVal val="1"/>
              <c:showCatName val="1"/>
              <c:showSerName val="0"/>
              <c:showPercent val="0"/>
              <c:showBubbleSize val="0"/>
              <c:separator>
</c:separator>
            </c:dLbl>
            <c:dLbl>
              <c:idx val="5"/>
              <c:layout>
                <c:manualLayout>
                  <c:x val="-2.7685492801771874E-3"/>
                  <c:y val="5.3921568627450983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Blad1!$A$4:$A$10</c:f>
              <c:strCache>
                <c:ptCount val="7"/>
                <c:pt idx="0">
                  <c:v>Financial stability, financial services and capital markets union</c:v>
                </c:pt>
                <c:pt idx="1">
                  <c:v>Taxation and customs</c:v>
                </c:pt>
                <c:pt idx="2">
                  <c:v>Internal market, industry, entrepreneurship and SMEs</c:v>
                </c:pt>
                <c:pt idx="3">
                  <c:v>Health and food safety</c:v>
                </c:pt>
                <c:pt idx="4">
                  <c:v>Employment</c:v>
                </c:pt>
                <c:pt idx="5">
                  <c:v>Migration and home affairs</c:v>
                </c:pt>
                <c:pt idx="6">
                  <c:v>Other</c:v>
                </c:pt>
              </c:strCache>
            </c:strRef>
          </c:cat>
          <c:val>
            <c:numRef>
              <c:f>Blad1!$B$4:$B$10</c:f>
              <c:numCache>
                <c:formatCode>General</c:formatCode>
                <c:ptCount val="7"/>
                <c:pt idx="0">
                  <c:v>4</c:v>
                </c:pt>
                <c:pt idx="1">
                  <c:v>4</c:v>
                </c:pt>
                <c:pt idx="2">
                  <c:v>3</c:v>
                </c:pt>
                <c:pt idx="3">
                  <c:v>2</c:v>
                </c:pt>
                <c:pt idx="4">
                  <c:v>2</c:v>
                </c:pt>
                <c:pt idx="5">
                  <c:v>2</c:v>
                </c:pt>
                <c:pt idx="6">
                  <c:v>1</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336"/>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2"/>
              <c:layout>
                <c:manualLayout>
                  <c:x val="-4.7365501941209094E-2"/>
                  <c:y val="-5.5188679245283014E-2"/>
                </c:manualLayout>
              </c:layout>
              <c:dLblPos val="r"/>
              <c:showLegendKey val="0"/>
              <c:showVal val="1"/>
              <c:showCatName val="0"/>
              <c:showSerName val="0"/>
              <c:showPercent val="0"/>
              <c:showBubbleSize val="0"/>
            </c:dLbl>
            <c:dLbl>
              <c:idx val="3"/>
              <c:layout>
                <c:manualLayout>
                  <c:x val="-4.1819190238491406E-2"/>
                  <c:y val="4.9633123689727464E-2"/>
                </c:manualLayout>
              </c:layout>
              <c:dLblPos val="r"/>
              <c:showLegendKey val="0"/>
              <c:showVal val="1"/>
              <c:showCatName val="0"/>
              <c:showSerName val="0"/>
              <c:showPercent val="0"/>
              <c:showBubbleSize val="0"/>
            </c:dLbl>
            <c:dLbl>
              <c:idx val="4"/>
              <c:layout>
                <c:manualLayout>
                  <c:x val="-3.6272878535773607E-2"/>
                  <c:y val="6.5355981445715514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110</c:v>
                </c:pt>
                <c:pt idx="1">
                  <c:v>125</c:v>
                </c:pt>
                <c:pt idx="2">
                  <c:v>170</c:v>
                </c:pt>
                <c:pt idx="3">
                  <c:v>71</c:v>
                </c:pt>
                <c:pt idx="4">
                  <c:v>162</c:v>
                </c:pt>
              </c:numCache>
            </c:numRef>
          </c:val>
          <c:smooth val="0"/>
        </c:ser>
        <c:dLbls>
          <c:showLegendKey val="0"/>
          <c:showVal val="0"/>
          <c:showCatName val="0"/>
          <c:showSerName val="0"/>
          <c:showPercent val="0"/>
          <c:showBubbleSize val="0"/>
        </c:dLbls>
        <c:marker val="1"/>
        <c:smooth val="0"/>
        <c:axId val="100194944"/>
        <c:axId val="100200832"/>
      </c:lineChart>
      <c:catAx>
        <c:axId val="1001949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0200832"/>
        <c:crosses val="autoZero"/>
        <c:auto val="1"/>
        <c:lblAlgn val="ctr"/>
        <c:lblOffset val="100"/>
        <c:noMultiLvlLbl val="0"/>
      </c:catAx>
      <c:valAx>
        <c:axId val="100200832"/>
        <c:scaling>
          <c:orientation val="minMax"/>
          <c:min val="4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019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162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Ireland</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A20000"/>
              </a:solidFill>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layout>
                <c:manualLayout>
                  <c:x val="5.4938367852533287E-3"/>
                  <c:y val="2.6233471604692946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7.9684129830305872E-2"/>
                  <c:y val="-9.4621078516604964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1.3777361988167321E-2"/>
                  <c:y val="-3.7413580400241765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5.7679547482307289E-2"/>
                  <c:y val="-7.8864353312302835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4"/>
              <c:layout>
                <c:manualLayout>
                  <c:x val="-1.3751375137513752E-2"/>
                  <c:y val="-7.8864353312302835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Justice and consumers</c:v>
                </c:pt>
                <c:pt idx="1">
                  <c:v>Internal market, industry, entrepreneurship and SMEs</c:v>
                </c:pt>
                <c:pt idx="2">
                  <c:v>Environment</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63</c:v>
                </c:pt>
                <c:pt idx="1">
                  <c:v>46</c:v>
                </c:pt>
                <c:pt idx="2">
                  <c:v>19</c:v>
                </c:pt>
                <c:pt idx="3">
                  <c:v>34</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3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220743205768164E-2"/>
                  <c:y val="-4.8029279279279274E-2"/>
                </c:manualLayout>
              </c:layout>
              <c:dLblPos val="r"/>
              <c:showLegendKey val="0"/>
              <c:showVal val="1"/>
              <c:showCatName val="0"/>
              <c:showSerName val="0"/>
              <c:showPercent val="0"/>
              <c:showBubbleSize val="0"/>
            </c:dLbl>
            <c:dLbl>
              <c:idx val="2"/>
              <c:layout>
                <c:manualLayout>
                  <c:x val="-4.5000676912058203E-2"/>
                  <c:y val="5.536860679577215E-2"/>
                </c:manualLayout>
              </c:layout>
              <c:dLblPos val="r"/>
              <c:showLegendKey val="0"/>
              <c:showVal val="1"/>
              <c:showCatName val="0"/>
              <c:showSerName val="0"/>
              <c:showPercent val="0"/>
              <c:showBubbleSize val="0"/>
            </c:dLbl>
            <c:dLbl>
              <c:idx val="4"/>
              <c:layout>
                <c:manualLayout>
                  <c:x val="-2.834165280088741E-2"/>
                  <c:y val="-5.9290540540540539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40</c:v>
                </c:pt>
                <c:pt idx="1">
                  <c:v>58</c:v>
                </c:pt>
                <c:pt idx="2">
                  <c:v>32</c:v>
                </c:pt>
                <c:pt idx="3">
                  <c:v>31</c:v>
                </c:pt>
                <c:pt idx="4">
                  <c:v>25</c:v>
                </c:pt>
              </c:numCache>
            </c:numRef>
          </c:val>
          <c:smooth val="0"/>
        </c:ser>
        <c:dLbls>
          <c:showLegendKey val="0"/>
          <c:showVal val="1"/>
          <c:showCatName val="0"/>
          <c:showSerName val="0"/>
          <c:showPercent val="0"/>
          <c:showBubbleSize val="0"/>
        </c:dLbls>
        <c:marker val="1"/>
        <c:smooth val="0"/>
        <c:axId val="98540544"/>
        <c:axId val="100026240"/>
      </c:lineChart>
      <c:catAx>
        <c:axId val="98540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0026240"/>
        <c:crosses val="autoZero"/>
        <c:auto val="1"/>
        <c:lblAlgn val="ctr"/>
        <c:lblOffset val="100"/>
        <c:noMultiLvlLbl val="0"/>
      </c:catAx>
      <c:valAx>
        <c:axId val="100026240"/>
        <c:scaling>
          <c:orientation val="minMax"/>
          <c:min val="2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8540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220743205768164E-2"/>
                  <c:y val="-4.8029279279279274E-2"/>
                </c:manualLayout>
              </c:layout>
              <c:dLblPos val="r"/>
              <c:showLegendKey val="0"/>
              <c:showVal val="1"/>
              <c:showCatName val="0"/>
              <c:showSerName val="0"/>
              <c:showPercent val="0"/>
              <c:showBubbleSize val="0"/>
            </c:dLbl>
            <c:dLbl>
              <c:idx val="2"/>
              <c:layout>
                <c:manualLayout>
                  <c:x val="-4.5000676912058203E-2"/>
                  <c:y val="7.2260498687664043E-2"/>
                </c:manualLayout>
              </c:layout>
              <c:dLblPos val="r"/>
              <c:showLegendKey val="0"/>
              <c:showVal val="1"/>
              <c:showCatName val="0"/>
              <c:showSerName val="0"/>
              <c:showPercent val="0"/>
              <c:showBubbleSize val="0"/>
            </c:dLbl>
            <c:dLbl>
              <c:idx val="4"/>
              <c:layout>
                <c:manualLayout>
                  <c:x val="-8.9295618413754857E-3"/>
                  <c:y val="1.953828828828829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34</c:v>
                </c:pt>
                <c:pt idx="1">
                  <c:v>52</c:v>
                </c:pt>
                <c:pt idx="2">
                  <c:v>36</c:v>
                </c:pt>
                <c:pt idx="3">
                  <c:v>38</c:v>
                </c:pt>
                <c:pt idx="4">
                  <c:v>39</c:v>
                </c:pt>
              </c:numCache>
            </c:numRef>
          </c:val>
          <c:smooth val="0"/>
        </c:ser>
        <c:dLbls>
          <c:showLegendKey val="0"/>
          <c:showVal val="1"/>
          <c:showCatName val="0"/>
          <c:showSerName val="0"/>
          <c:showPercent val="0"/>
          <c:showBubbleSize val="0"/>
        </c:dLbls>
        <c:marker val="1"/>
        <c:smooth val="0"/>
        <c:axId val="100053376"/>
        <c:axId val="100056064"/>
      </c:lineChart>
      <c:catAx>
        <c:axId val="1000533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0056064"/>
        <c:crosses val="autoZero"/>
        <c:auto val="1"/>
        <c:lblAlgn val="ctr"/>
        <c:lblOffset val="100"/>
        <c:noMultiLvlLbl val="0"/>
      </c:catAx>
      <c:valAx>
        <c:axId val="100056064"/>
        <c:scaling>
          <c:orientation val="minMax"/>
          <c:min val="2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005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25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Ireland</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A20000"/>
              </a:solidFill>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layout>
                <c:manualLayout>
                  <c:x val="3.0156098908689047E-2"/>
                  <c:y val="2.5309279175468921E-2"/>
                </c:manualLayout>
              </c:layout>
              <c:spPr/>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5.4843987429202927E-3"/>
                  <c:y val="7.618430318161451E-2"/>
                </c:manualLayout>
              </c:layout>
              <c:dLblPos val="bestFit"/>
              <c:showLegendKey val="1"/>
              <c:showVal val="1"/>
              <c:showCatName val="1"/>
              <c:showSerName val="0"/>
              <c:showPercent val="0"/>
              <c:showBubbleSize val="0"/>
              <c:separator>
</c:separator>
            </c:dLbl>
            <c:dLbl>
              <c:idx val="2"/>
              <c:layout>
                <c:manualLayout>
                  <c:x val="-2.7444657411244645E-3"/>
                  <c:y val="1.0286633378144805E-2"/>
                </c:manualLayout>
              </c:layout>
              <c:dLblPos val="bestFit"/>
              <c:showLegendKey val="1"/>
              <c:showVal val="1"/>
              <c:showCatName val="1"/>
              <c:showSerName val="0"/>
              <c:showPercent val="0"/>
              <c:showBubbleSize val="0"/>
              <c:separator>
</c:separator>
            </c:dLbl>
            <c:dLbl>
              <c:idx val="3"/>
              <c:layout>
                <c:manualLayout>
                  <c:x val="-9.1430964221577565E-2"/>
                  <c:y val="-0.18957573138723505"/>
                </c:manualLayout>
              </c:layout>
              <c:dLblPos val="bestFit"/>
              <c:showLegendKey val="1"/>
              <c:showVal val="1"/>
              <c:showCatName val="1"/>
              <c:showSerName val="0"/>
              <c:showPercent val="0"/>
              <c:showBubbleSize val="0"/>
              <c:separator>
</c:separator>
            </c:dLbl>
            <c:dLbl>
              <c:idx val="4"/>
              <c:layout>
                <c:manualLayout>
                  <c:x val="1.3706140350877192E-2"/>
                  <c:y val="-4.5638945233265719E-2"/>
                </c:manualLayout>
              </c:layout>
              <c:dLblPos val="bestFit"/>
              <c:showLegendKey val="1"/>
              <c:showVal val="1"/>
              <c:showCatName val="1"/>
              <c:showSerName val="0"/>
              <c:showPercent val="0"/>
              <c:showBubbleSize val="0"/>
              <c:separator>
</c:separator>
            </c:dLbl>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Blad1!$A$3:$A$6</c:f>
              <c:strCache>
                <c:ptCount val="4"/>
                <c:pt idx="0">
                  <c:v>Environment</c:v>
                </c:pt>
                <c:pt idx="1">
                  <c:v>Taxation and customs</c:v>
                </c:pt>
                <c:pt idx="2">
                  <c:v>Justice and consumers</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7</c:v>
                </c:pt>
                <c:pt idx="1">
                  <c:v>5</c:v>
                </c:pt>
                <c:pt idx="2">
                  <c:v>4</c:v>
                </c:pt>
                <c:pt idx="3">
                  <c:v>9</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6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21642619311874E-2"/>
          <c:y val="6.9144338807260161E-2"/>
          <c:w val="0.93899057127010543"/>
          <c:h val="0.68431306000543035"/>
        </c:manualLayout>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2226429267057095E-2"/>
                  <c:y val="-6.6115938093945156E-2"/>
                </c:manualLayout>
              </c:layout>
              <c:dLblPos val="r"/>
              <c:showLegendKey val="0"/>
              <c:showVal val="1"/>
              <c:showCatName val="0"/>
              <c:showSerName val="0"/>
              <c:showPercent val="0"/>
              <c:showBubbleSize val="0"/>
            </c:dLbl>
            <c:dLbl>
              <c:idx val="1"/>
              <c:layout>
                <c:manualLayout>
                  <c:x val="-4.2227505618311359E-2"/>
                  <c:y val="-6.0666670598274235E-2"/>
                </c:manualLayout>
              </c:layout>
              <c:dLblPos val="r"/>
              <c:showLegendKey val="0"/>
              <c:showVal val="1"/>
              <c:showCatName val="0"/>
              <c:showSerName val="0"/>
              <c:showPercent val="0"/>
              <c:showBubbleSize val="0"/>
            </c:dLbl>
            <c:dLbl>
              <c:idx val="2"/>
              <c:layout>
                <c:manualLayout>
                  <c:x val="-3.6681465038845729E-2"/>
                  <c:y val="6.0328435609334485E-2"/>
                </c:manualLayout>
              </c:layout>
              <c:dLblPos val="r"/>
              <c:showLegendKey val="0"/>
              <c:showVal val="1"/>
              <c:showCatName val="0"/>
              <c:showSerName val="0"/>
              <c:showPercent val="0"/>
              <c:showBubbleSize val="0"/>
            </c:dLbl>
            <c:dLbl>
              <c:idx val="3"/>
              <c:layout>
                <c:manualLayout>
                  <c:x val="-3.667855612838871E-2"/>
                  <c:y val="-7.7950622335674305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78</c:v>
                </c:pt>
                <c:pt idx="1">
                  <c:v>74</c:v>
                </c:pt>
                <c:pt idx="2">
                  <c:v>54</c:v>
                </c:pt>
                <c:pt idx="3">
                  <c:v>70</c:v>
                </c:pt>
                <c:pt idx="4">
                  <c:v>65</c:v>
                </c:pt>
              </c:numCache>
            </c:numRef>
          </c:val>
          <c:smooth val="0"/>
        </c:ser>
        <c:ser>
          <c:idx val="1"/>
          <c:order val="1"/>
          <c:tx>
            <c:strRef>
              <c:f>Blad1!$C$2</c:f>
              <c:strCache>
                <c:ptCount val="1"/>
                <c:pt idx="0">
                  <c:v>Column1</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100132352"/>
        <c:axId val="100133888"/>
      </c:lineChart>
      <c:catAx>
        <c:axId val="1001323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0133888"/>
        <c:crosses val="autoZero"/>
        <c:auto val="1"/>
        <c:lblAlgn val="ctr"/>
        <c:lblOffset val="100"/>
        <c:noMultiLvlLbl val="0"/>
      </c:catAx>
      <c:valAx>
        <c:axId val="100133888"/>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0132352"/>
        <c:crosses val="autoZero"/>
        <c:crossBetween val="between"/>
      </c:valAx>
      <c:spPr>
        <a:noFill/>
        <a:ln>
          <a:noFill/>
        </a:ln>
        <a:effectLst/>
      </c:spPr>
    </c:plotArea>
    <c:legend>
      <c:legendPos val="b"/>
      <c:legendEntry>
        <c:idx val="0"/>
        <c:delete val="1"/>
      </c:legendEntry>
      <c:layout>
        <c:manualLayout>
          <c:xMode val="edge"/>
          <c:yMode val="edge"/>
          <c:x val="5.5865154028662524E-2"/>
          <c:y val="0.78130011765770668"/>
          <c:w val="0.88826947953329416"/>
          <c:h val="0.2186998232826774"/>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Ireland</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454387045213358E-2"/>
                  <c:y val="-6.961111111111111E-2"/>
                </c:manualLayout>
              </c:layout>
              <c:dLblPos val="r"/>
              <c:showLegendKey val="0"/>
              <c:showVal val="1"/>
              <c:showCatName val="0"/>
              <c:showSerName val="0"/>
              <c:showPercent val="0"/>
              <c:showBubbleSize val="0"/>
            </c:dLbl>
            <c:dLbl>
              <c:idx val="1"/>
              <c:layout>
                <c:manualLayout>
                  <c:x val="-5.0090182154851275E-2"/>
                  <c:y val="-5.8499999999999976E-2"/>
                </c:manualLayout>
              </c:layout>
              <c:dLblPos val="r"/>
              <c:showLegendKey val="0"/>
              <c:showVal val="1"/>
              <c:showCatName val="0"/>
              <c:showSerName val="0"/>
              <c:showPercent val="0"/>
              <c:showBubbleSize val="0"/>
            </c:dLbl>
            <c:dLbl>
              <c:idx val="3"/>
              <c:layout>
                <c:manualLayout>
                  <c:x val="-4.541665028976203E-2"/>
                  <c:y val="-6.4955380577427807E-2"/>
                </c:manualLayout>
              </c:layout>
              <c:dLblPos val="r"/>
              <c:showLegendKey val="0"/>
              <c:showVal val="1"/>
              <c:showCatName val="0"/>
              <c:showSerName val="0"/>
              <c:showPercent val="0"/>
              <c:showBubbleSize val="0"/>
            </c:dLbl>
            <c:dLbl>
              <c:idx val="4"/>
              <c:layout>
                <c:manualLayout>
                  <c:x val="-5.0090182154851275E-2"/>
                  <c:y val="6.9277340332458442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0.83</c:v>
                </c:pt>
                <c:pt idx="1">
                  <c:v>0.7</c:v>
                </c:pt>
                <c:pt idx="2">
                  <c:v>0.74</c:v>
                </c:pt>
                <c:pt idx="3">
                  <c:v>0.79</c:v>
                </c:pt>
                <c:pt idx="4">
                  <c:v>0.71</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1"/>
              <c:layout>
                <c:manualLayout>
                  <c:x val="-4.454387045213358E-2"/>
                  <c:y val="5.2944444444444495E-2"/>
                </c:manualLayout>
              </c:layout>
              <c:dLblPos val="r"/>
              <c:showLegendKey val="0"/>
              <c:showVal val="1"/>
              <c:showCatName val="0"/>
              <c:showSerName val="0"/>
              <c:showPercent val="0"/>
              <c:showBubbleSize val="0"/>
            </c:dLbl>
            <c:dLbl>
              <c:idx val="3"/>
              <c:layout>
                <c:manualLayout>
                  <c:x val="-4.454387045213358E-2"/>
                  <c:y val="8.0722222222222223E-2"/>
                </c:manualLayout>
              </c:layout>
              <c:dLblPos val="r"/>
              <c:showLegendKey val="0"/>
              <c:showVal val="1"/>
              <c:showCatName val="0"/>
              <c:showSerName val="0"/>
              <c:showPercent val="0"/>
              <c:showBubbleSize val="0"/>
            </c:dLbl>
            <c:dLbl>
              <c:idx val="4"/>
              <c:layout>
                <c:manualLayout>
                  <c:x val="-4.454387045213358E-2"/>
                  <c:y val="-6.3722222222222222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100545664"/>
        <c:axId val="100547200"/>
      </c:lineChart>
      <c:catAx>
        <c:axId val="1005456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0547200"/>
        <c:crosses val="autoZero"/>
        <c:auto val="1"/>
        <c:lblAlgn val="ctr"/>
        <c:lblOffset val="100"/>
        <c:noMultiLvlLbl val="0"/>
      </c:catAx>
      <c:valAx>
        <c:axId val="100547200"/>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0545664"/>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0"/>
              <c:layout>
                <c:manualLayout>
                  <c:x val="-4.2025386313465786E-2"/>
                  <c:y val="-4.6737722751761294E-2"/>
                </c:manualLayout>
              </c:layout>
              <c:dLblPos val="r"/>
              <c:showLegendKey val="0"/>
              <c:showVal val="1"/>
              <c:showCatName val="0"/>
              <c:showSerName val="0"/>
              <c:showPercent val="0"/>
              <c:showBubbleSize val="0"/>
            </c:dLbl>
            <c:dLbl>
              <c:idx val="1"/>
              <c:layout>
                <c:manualLayout>
                  <c:x val="-5.3214788548782394E-2"/>
                  <c:y val="6.7827047934797574E-2"/>
                </c:manualLayout>
              </c:layout>
              <c:dLblPos val="r"/>
              <c:showLegendKey val="0"/>
              <c:showVal val="1"/>
              <c:showCatName val="0"/>
              <c:showSerName val="0"/>
              <c:showPercent val="0"/>
              <c:showBubbleSize val="0"/>
            </c:dLbl>
            <c:dLbl>
              <c:idx val="2"/>
              <c:layout>
                <c:manualLayout>
                  <c:x val="-3.926600441501104E-2"/>
                  <c:y val="-7.4150003453515675E-2"/>
                </c:manualLayout>
              </c:layout>
              <c:dLblPos val="r"/>
              <c:showLegendKey val="0"/>
              <c:showVal val="1"/>
              <c:showCatName val="0"/>
              <c:showSerName val="0"/>
              <c:showPercent val="0"/>
              <c:showBubbleSize val="0"/>
            </c:dLbl>
            <c:dLbl>
              <c:idx val="4"/>
              <c:layout>
                <c:manualLayout>
                  <c:x val="-3.0987858719646801E-2"/>
                  <c:y val="-6.3185091172813942E-2"/>
                </c:manualLayout>
              </c:layout>
              <c:dLblPos val="r"/>
              <c:showLegendKey val="0"/>
              <c:showVal val="1"/>
              <c:showCatName val="0"/>
              <c:showSerName val="0"/>
              <c:showPercent val="0"/>
              <c:showBubbleSize val="0"/>
            </c:dLbl>
            <c:spPr>
              <a:noFill/>
              <a:ln w="25421">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92</c:v>
                </c:pt>
                <c:pt idx="1">
                  <c:v>75</c:v>
                </c:pt>
                <c:pt idx="2">
                  <c:v>80</c:v>
                </c:pt>
                <c:pt idx="3">
                  <c:v>65</c:v>
                </c:pt>
                <c:pt idx="4">
                  <c:v>87</c:v>
                </c:pt>
              </c:numCache>
            </c:numRef>
          </c:val>
          <c:smooth val="0"/>
        </c:ser>
        <c:dLbls>
          <c:showLegendKey val="0"/>
          <c:showVal val="0"/>
          <c:showCatName val="0"/>
          <c:showSerName val="0"/>
          <c:showPercent val="0"/>
          <c:showBubbleSize val="0"/>
        </c:dLbls>
        <c:marker val="1"/>
        <c:smooth val="0"/>
        <c:axId val="77778304"/>
        <c:axId val="78185600"/>
      </c:lineChart>
      <c:catAx>
        <c:axId val="77778304"/>
        <c:scaling>
          <c:orientation val="minMax"/>
        </c:scaling>
        <c:delete val="0"/>
        <c:axPos val="b"/>
        <c:numFmt formatCode="General" sourceLinked="1"/>
        <c:majorTickMark val="none"/>
        <c:minorTickMark val="none"/>
        <c:tickLblPos val="nextTo"/>
        <c:spPr>
          <a:noFill/>
          <a:ln w="12710"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78185600"/>
        <c:crosses val="autoZero"/>
        <c:auto val="1"/>
        <c:lblAlgn val="ctr"/>
        <c:lblOffset val="100"/>
        <c:noMultiLvlLbl val="0"/>
      </c:catAx>
      <c:valAx>
        <c:axId val="78185600"/>
        <c:scaling>
          <c:orientation val="minMax"/>
          <c:min val="35"/>
        </c:scaling>
        <c:delete val="1"/>
        <c:axPos val="l"/>
        <c:majorGridlines>
          <c:spPr>
            <a:ln w="9533" cap="flat" cmpd="sng" algn="ctr">
              <a:solidFill>
                <a:schemeClr val="tx1">
                  <a:lumMod val="15000"/>
                  <a:lumOff val="85000"/>
                </a:schemeClr>
              </a:solidFill>
              <a:round/>
            </a:ln>
            <a:effectLst/>
          </c:spPr>
        </c:majorGridlines>
        <c:numFmt formatCode="General" sourceLinked="1"/>
        <c:majorTickMark val="out"/>
        <c:minorTickMark val="none"/>
        <c:tickLblPos val="nextTo"/>
        <c:crossAx val="77778304"/>
        <c:crosses val="autoZero"/>
        <c:crossBetween val="between"/>
      </c:valAx>
      <c:spPr>
        <a:noFill/>
        <a:ln w="25421">
          <a:noFill/>
        </a:ln>
      </c:spPr>
    </c:plotArea>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4"/>
              <c:layout>
                <c:manualLayout>
                  <c:x val="-3.9434276206322796E-2"/>
                  <c:y val="-7.2011494252873579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39</c:v>
                </c:pt>
                <c:pt idx="1">
                  <c:v>38</c:v>
                </c:pt>
                <c:pt idx="2">
                  <c:v>42</c:v>
                </c:pt>
                <c:pt idx="3">
                  <c:v>35</c:v>
                </c:pt>
                <c:pt idx="4">
                  <c:v>53</c:v>
                </c:pt>
              </c:numCache>
            </c:numRef>
          </c:val>
          <c:smooth val="0"/>
        </c:ser>
        <c:dLbls>
          <c:showLegendKey val="0"/>
          <c:showVal val="1"/>
          <c:showCatName val="0"/>
          <c:showSerName val="0"/>
          <c:showPercent val="0"/>
          <c:showBubbleSize val="0"/>
        </c:dLbls>
        <c:marker val="1"/>
        <c:smooth val="0"/>
        <c:axId val="100578816"/>
        <c:axId val="100594048"/>
      </c:lineChart>
      <c:catAx>
        <c:axId val="1005788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0594048"/>
        <c:crosses val="autoZero"/>
        <c:auto val="1"/>
        <c:lblAlgn val="ctr"/>
        <c:lblOffset val="100"/>
        <c:noMultiLvlLbl val="0"/>
      </c:catAx>
      <c:valAx>
        <c:axId val="100594048"/>
        <c:scaling>
          <c:orientation val="minMax"/>
          <c:min val="32"/>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0578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40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Ireland</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259637262480293"/>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1.6623431638432884E-2"/>
                  <c:y val="-4.1713351404844889E-2"/>
                </c:manualLayout>
              </c:layout>
              <c:dLblPos val="bestFit"/>
              <c:showLegendKey val="1"/>
              <c:showVal val="1"/>
              <c:showCatName val="1"/>
              <c:showSerName val="0"/>
              <c:showPercent val="0"/>
              <c:showBubbleSize val="0"/>
              <c:separator>
</c:separator>
            </c:dLbl>
            <c:dLbl>
              <c:idx val="2"/>
              <c:layout>
                <c:manualLayout>
                  <c:x val="-2.4951415182919108E-2"/>
                  <c:y val="7.6502301966352562E-2"/>
                </c:manualLayout>
              </c:layout>
              <c:dLblPos val="bestFit"/>
              <c:showLegendKey val="1"/>
              <c:showVal val="1"/>
              <c:showCatName val="1"/>
              <c:showSerName val="0"/>
              <c:showPercent val="0"/>
              <c:showBubbleSize val="0"/>
              <c:separator>
</c:separator>
            </c:dLbl>
            <c:dLbl>
              <c:idx val="3"/>
              <c:layout>
                <c:manualLayout>
                  <c:x val="9.5488271952694768E-4"/>
                  <c:y val="-9.4277354674927923E-3"/>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6.1009428729894621E-2"/>
                  <c:y val="-5.4645239017253988E-2"/>
                </c:manualLayout>
              </c:layout>
              <c:dLblPos val="bestFit"/>
              <c:showLegendKey val="1"/>
              <c:showVal val="1"/>
              <c:showCatName val="1"/>
              <c:showSerName val="0"/>
              <c:showPercent val="0"/>
              <c:showBubbleSize val="0"/>
              <c:separator>
</c:separator>
            </c:dLbl>
            <c:dLbl>
              <c:idx val="5"/>
              <c:layout>
                <c:manualLayout>
                  <c:x val="-4.9930651872399444E-2"/>
                  <c:y val="0.10382513661202186"/>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Blad1!$A$2:$A$6</c:f>
              <c:strCache>
                <c:ptCount val="5"/>
                <c:pt idx="0">
                  <c:v>Policy Area</c:v>
                </c:pt>
                <c:pt idx="1">
                  <c:v>Internal market, industry, entrepreneurship and SMEs</c:v>
                </c:pt>
                <c:pt idx="2">
                  <c:v>Health and food safety</c:v>
                </c:pt>
                <c:pt idx="3">
                  <c:v>Mobility and transport</c:v>
                </c:pt>
                <c:pt idx="4">
                  <c:v>Other</c:v>
                </c:pt>
              </c:strCache>
            </c:strRef>
          </c:cat>
          <c:val>
            <c:numRef>
              <c:f>Blad1!$B$2:$B$6</c:f>
              <c:numCache>
                <c:formatCode>General</c:formatCode>
                <c:ptCount val="5"/>
                <c:pt idx="0">
                  <c:v>0</c:v>
                </c:pt>
                <c:pt idx="1">
                  <c:v>18</c:v>
                </c:pt>
                <c:pt idx="2">
                  <c:v>8</c:v>
                </c:pt>
                <c:pt idx="3">
                  <c:v>5</c:v>
                </c:pt>
                <c:pt idx="4">
                  <c:v>9</c:v>
                </c:pt>
              </c:numCache>
            </c:numRef>
          </c:val>
          <c:extLst/>
        </c:ser>
        <c:ser>
          <c:idx val="1"/>
          <c:order val="1"/>
          <c:tx>
            <c:strRef>
              <c:f>Blad1!$C$1</c:f>
              <c:strCache>
                <c:ptCount val="1"/>
                <c:pt idx="0">
                  <c:v>Column1</c:v>
                </c:pt>
              </c:strCache>
            </c:strRef>
          </c:tx>
          <c:cat>
            <c:strRef>
              <c:f>Blad1!$A$2:$A$6</c:f>
              <c:strCache>
                <c:ptCount val="5"/>
                <c:pt idx="0">
                  <c:v>Policy Area</c:v>
                </c:pt>
                <c:pt idx="1">
                  <c:v>Internal market, industry, entrepreneurship and SMEs</c:v>
                </c:pt>
                <c:pt idx="2">
                  <c:v>Health and food safety</c:v>
                </c:pt>
                <c:pt idx="3">
                  <c:v>Mobility and transport</c:v>
                </c:pt>
                <c:pt idx="4">
                  <c:v>Other</c:v>
                </c:pt>
              </c:strCache>
            </c:strRef>
          </c:cat>
          <c:val>
            <c:numRef>
              <c:f>Blad1!$C$2:$C$6</c:f>
              <c:numCache>
                <c:formatCode>General</c:formatCode>
                <c:ptCount val="5"/>
              </c:numCache>
            </c:numRef>
          </c:val>
        </c:ser>
        <c:dLbls>
          <c:showLegendKey val="0"/>
          <c:showVal val="0"/>
          <c:showCatName val="1"/>
          <c:showSerName val="0"/>
          <c:showPercent val="0"/>
          <c:showBubbleSize val="0"/>
          <c:showLeaderLines val="0"/>
        </c:dLbls>
        <c:firstSliceAng val="204"/>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3.3908053506622821E-2"/>
                  <c:y val="7.8501591940182733E-2"/>
                </c:manualLayout>
              </c:layout>
              <c:dLblPos val="r"/>
              <c:showLegendKey val="0"/>
              <c:showVal val="1"/>
              <c:showCatName val="0"/>
              <c:showSerName val="0"/>
              <c:showPercent val="0"/>
              <c:showBubbleSize val="0"/>
            </c:dLbl>
            <c:dLbl>
              <c:idx val="2"/>
              <c:layout>
                <c:manualLayout>
                  <c:x val="-4.220743205768164E-2"/>
                  <c:y val="6.5693012600229195E-2"/>
                </c:manualLayout>
              </c:layout>
              <c:dLblPos val="r"/>
              <c:showLegendKey val="0"/>
              <c:showVal val="1"/>
              <c:showCatName val="0"/>
              <c:showSerName val="0"/>
              <c:showPercent val="0"/>
              <c:showBubbleSize val="0"/>
            </c:dLbl>
            <c:dLbl>
              <c:idx val="4"/>
              <c:layout>
                <c:manualLayout>
                  <c:x val="-3.6661120354963946E-2"/>
                  <c:y val="-7.1764032073310419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8</c:v>
                </c:pt>
                <c:pt idx="1">
                  <c:v>12</c:v>
                </c:pt>
                <c:pt idx="2">
                  <c:v>10</c:v>
                </c:pt>
                <c:pt idx="3">
                  <c:v>14</c:v>
                </c:pt>
                <c:pt idx="4">
                  <c:v>30</c:v>
                </c:pt>
              </c:numCache>
            </c:numRef>
          </c:val>
          <c:smooth val="0"/>
        </c:ser>
        <c:dLbls>
          <c:showLegendKey val="0"/>
          <c:showVal val="1"/>
          <c:showCatName val="0"/>
          <c:showSerName val="0"/>
          <c:showPercent val="0"/>
          <c:showBubbleSize val="0"/>
        </c:dLbls>
        <c:marker val="1"/>
        <c:smooth val="0"/>
        <c:axId val="100336384"/>
        <c:axId val="100339072"/>
      </c:lineChart>
      <c:catAx>
        <c:axId val="1003363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0339072"/>
        <c:crosses val="autoZero"/>
        <c:auto val="1"/>
        <c:lblAlgn val="ctr"/>
        <c:lblOffset val="100"/>
        <c:noMultiLvlLbl val="0"/>
      </c:catAx>
      <c:valAx>
        <c:axId val="100339072"/>
        <c:scaling>
          <c:orientation val="minMax"/>
          <c:min val="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0336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5000676912058203E-2"/>
                  <c:y val="7.277376410422913E-2"/>
                </c:manualLayout>
              </c:layout>
              <c:dLblPos val="r"/>
              <c:showLegendKey val="0"/>
              <c:showVal val="1"/>
              <c:showCatName val="0"/>
              <c:showSerName val="0"/>
              <c:showPercent val="0"/>
              <c:showBubbleSize val="0"/>
            </c:dLbl>
            <c:dLbl>
              <c:idx val="4"/>
              <c:layout>
                <c:manualLayout>
                  <c:x val="-3.9434276206322796E-2"/>
                  <c:y val="-6.6036655211912959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8</c:v>
                </c:pt>
                <c:pt idx="1">
                  <c:v>10</c:v>
                </c:pt>
                <c:pt idx="2">
                  <c:v>9</c:v>
                </c:pt>
                <c:pt idx="3">
                  <c:v>15</c:v>
                </c:pt>
                <c:pt idx="4">
                  <c:v>36</c:v>
                </c:pt>
              </c:numCache>
            </c:numRef>
          </c:val>
          <c:smooth val="0"/>
        </c:ser>
        <c:dLbls>
          <c:showLegendKey val="0"/>
          <c:showVal val="1"/>
          <c:showCatName val="0"/>
          <c:showSerName val="0"/>
          <c:showPercent val="0"/>
          <c:showBubbleSize val="0"/>
        </c:dLbls>
        <c:marker val="1"/>
        <c:smooth val="0"/>
        <c:axId val="100362112"/>
        <c:axId val="100471552"/>
      </c:lineChart>
      <c:catAx>
        <c:axId val="100362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0471552"/>
        <c:crosses val="autoZero"/>
        <c:auto val="1"/>
        <c:lblAlgn val="ctr"/>
        <c:lblOffset val="100"/>
        <c:noMultiLvlLbl val="0"/>
      </c:catAx>
      <c:valAx>
        <c:axId val="100471552"/>
        <c:scaling>
          <c:orientation val="minMax"/>
          <c:min val="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036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36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Ireland</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780443142281634"/>
          <c:y val="2.9411764705882353E-2"/>
        </c:manualLayout>
      </c:layout>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4.9804893574349716E-2"/>
                  <c:y val="-0.20098039215686275"/>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8.3065634237580774E-2"/>
                  <c:y val="3.4313725490196081E-2"/>
                </c:manualLayout>
              </c:layout>
              <c:dLblPos val="bestFit"/>
              <c:showLegendKey val="1"/>
              <c:showVal val="1"/>
              <c:showCatName val="1"/>
              <c:showSerName val="0"/>
              <c:showPercent val="0"/>
              <c:showBubbleSize val="0"/>
              <c:separator>
</c:separator>
            </c:dLbl>
            <c:dLbl>
              <c:idx val="2"/>
              <c:layout>
                <c:manualLayout>
                  <c:x val="1.5979107262754946E-4"/>
                  <c:y val="-9.8039215686274508E-3"/>
                </c:manualLayout>
              </c:layout>
              <c:dLblPos val="bestFit"/>
              <c:showLegendKey val="1"/>
              <c:showVal val="1"/>
              <c:showCatName val="1"/>
              <c:showSerName val="0"/>
              <c:showPercent val="0"/>
              <c:showBubbleSize val="0"/>
              <c:separator>
</c:separator>
            </c:dLbl>
            <c:dLbl>
              <c:idx val="3"/>
              <c:layout>
                <c:manualLayout>
                  <c:x val="3.0454042081949059E-2"/>
                  <c:y val="-7.3529411764705968E-2"/>
                </c:manualLayout>
              </c:layout>
              <c:dLblPos val="bestFit"/>
              <c:showLegendKey val="1"/>
              <c:showVal val="1"/>
              <c:showCatName val="1"/>
              <c:showSerName val="0"/>
              <c:showPercent val="0"/>
              <c:showBubbleSize val="0"/>
              <c:separator>
</c:separator>
            </c:dLbl>
            <c:dLbl>
              <c:idx val="4"/>
              <c:layout>
                <c:manualLayout>
                  <c:x val="-4.1551246537396121E-2"/>
                  <c:y val="6.8627450980392163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Blad1!$A$4:$A$7</c:f>
              <c:strCache>
                <c:ptCount val="4"/>
                <c:pt idx="0">
                  <c:v>Internal market, industry, entrepreneurship and SMEs</c:v>
                </c:pt>
                <c:pt idx="1">
                  <c:v>Health and food safety</c:v>
                </c:pt>
                <c:pt idx="2">
                  <c:v>Mobility and transport</c:v>
                </c:pt>
                <c:pt idx="3">
                  <c:v>Other</c:v>
                </c:pt>
              </c:strCache>
            </c:strRef>
          </c:cat>
          <c:val>
            <c:numRef>
              <c:f>Blad1!$B$4:$B$7</c:f>
              <c:numCache>
                <c:formatCode>General</c:formatCode>
                <c:ptCount val="4"/>
                <c:pt idx="0">
                  <c:v>18</c:v>
                </c:pt>
                <c:pt idx="1">
                  <c:v>7</c:v>
                </c:pt>
                <c:pt idx="2">
                  <c:v>4</c:v>
                </c:pt>
                <c:pt idx="3">
                  <c:v>7</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181"/>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5.2999999999999999E-2"/>
                  <c:y val="-7.1926229508196715E-2"/>
                </c:manualLayout>
              </c:layout>
              <c:dLblPos val="r"/>
              <c:showLegendKey val="0"/>
              <c:showVal val="1"/>
              <c:showCatName val="0"/>
              <c:showSerName val="0"/>
              <c:showPercent val="0"/>
              <c:showBubbleSize val="0"/>
            </c:dLbl>
            <c:dLbl>
              <c:idx val="2"/>
              <c:layout>
                <c:manualLayout>
                  <c:x val="-3.6333333333333336E-2"/>
                  <c:y val="-6.5095628415300533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188</c:v>
                </c:pt>
                <c:pt idx="1">
                  <c:v>177</c:v>
                </c:pt>
                <c:pt idx="2">
                  <c:v>184</c:v>
                </c:pt>
                <c:pt idx="3">
                  <c:v>144</c:v>
                </c:pt>
                <c:pt idx="4">
                  <c:v>136</c:v>
                </c:pt>
              </c:numCache>
            </c:numRef>
          </c:val>
          <c:smooth val="0"/>
        </c:ser>
        <c:dLbls>
          <c:showLegendKey val="0"/>
          <c:showVal val="0"/>
          <c:showCatName val="0"/>
          <c:showSerName val="0"/>
          <c:showPercent val="0"/>
          <c:showBubbleSize val="0"/>
        </c:dLbls>
        <c:marker val="1"/>
        <c:smooth val="0"/>
        <c:axId val="100754176"/>
        <c:axId val="100755712"/>
      </c:lineChart>
      <c:catAx>
        <c:axId val="1007541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0755712"/>
        <c:crosses val="autoZero"/>
        <c:auto val="1"/>
        <c:lblAlgn val="ctr"/>
        <c:lblOffset val="100"/>
        <c:noMultiLvlLbl val="0"/>
      </c:catAx>
      <c:valAx>
        <c:axId val="100755712"/>
        <c:scaling>
          <c:orientation val="minMax"/>
          <c:min val="1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075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136 complaints made against Greece</a:t>
            </a: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8.2443283698448583E-3"/>
                  <c:y val="0.12087069557945636"/>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0"/>
                  <c:y val="5.278322859484836E-3"/>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2.4778462098178321E-2"/>
                  <c:y val="-2.4608990122291497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3.850207359192924E-2"/>
                  <c:y val="-0.39429677072231939"/>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Internal Market, Industry, Entrepreneurship and SMEs</c:v>
                </c:pt>
                <c:pt idx="1">
                  <c:v>Employment, Social Affairs and Inclusion</c:v>
                </c:pt>
                <c:pt idx="2">
                  <c:v>Environment</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29</c:v>
                </c:pt>
                <c:pt idx="1">
                  <c:v>20</c:v>
                </c:pt>
                <c:pt idx="2">
                  <c:v>15</c:v>
                </c:pt>
                <c:pt idx="3">
                  <c:v>72</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34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4.220743205768164E-2"/>
                  <c:y val="-4.970862470862468E-2"/>
                </c:manualLayout>
              </c:layout>
              <c:dLblPos val="r"/>
              <c:showLegendKey val="0"/>
              <c:showVal val="1"/>
              <c:showCatName val="0"/>
              <c:showSerName val="0"/>
              <c:showPercent val="0"/>
              <c:showBubbleSize val="0"/>
            </c:dLbl>
            <c:dLbl>
              <c:idx val="1"/>
              <c:layout>
                <c:manualLayout>
                  <c:x val="-5.1357099497338209E-2"/>
                  <c:y val="6.6511572417084233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92</c:v>
                </c:pt>
                <c:pt idx="1">
                  <c:v>84</c:v>
                </c:pt>
                <c:pt idx="2">
                  <c:v>58</c:v>
                </c:pt>
                <c:pt idx="3">
                  <c:v>42</c:v>
                </c:pt>
                <c:pt idx="4">
                  <c:v>37</c:v>
                </c:pt>
              </c:numCache>
            </c:numRef>
          </c:val>
          <c:smooth val="0"/>
        </c:ser>
        <c:dLbls>
          <c:showLegendKey val="0"/>
          <c:showVal val="1"/>
          <c:showCatName val="0"/>
          <c:showSerName val="0"/>
          <c:showPercent val="0"/>
          <c:showBubbleSize val="0"/>
        </c:dLbls>
        <c:marker val="1"/>
        <c:smooth val="0"/>
        <c:axId val="100852096"/>
        <c:axId val="100854784"/>
      </c:lineChart>
      <c:catAx>
        <c:axId val="100852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0854784"/>
        <c:crosses val="autoZero"/>
        <c:auto val="1"/>
        <c:lblAlgn val="ctr"/>
        <c:lblOffset val="100"/>
        <c:noMultiLvlLbl val="0"/>
      </c:catAx>
      <c:valAx>
        <c:axId val="100854784"/>
        <c:scaling>
          <c:orientation val="minMax"/>
          <c:min val="3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0852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4.220743205768164E-2"/>
                  <c:y val="6.6841491841491837E-2"/>
                </c:manualLayout>
              </c:layout>
              <c:dLblPos val="r"/>
              <c:showLegendKey val="0"/>
              <c:showVal val="1"/>
              <c:showCatName val="0"/>
              <c:showSerName val="0"/>
              <c:showPercent val="0"/>
              <c:showBubbleSize val="0"/>
            </c:dLbl>
            <c:dLbl>
              <c:idx val="1"/>
              <c:layout>
                <c:manualLayout>
                  <c:x val="-5.1357099497338209E-2"/>
                  <c:y val="6.6511572417084233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82</c:v>
                </c:pt>
                <c:pt idx="1">
                  <c:v>77</c:v>
                </c:pt>
                <c:pt idx="2">
                  <c:v>73</c:v>
                </c:pt>
                <c:pt idx="3">
                  <c:v>65</c:v>
                </c:pt>
                <c:pt idx="4">
                  <c:v>65</c:v>
                </c:pt>
              </c:numCache>
            </c:numRef>
          </c:val>
          <c:smooth val="0"/>
        </c:ser>
        <c:dLbls>
          <c:showLegendKey val="0"/>
          <c:showVal val="1"/>
          <c:showCatName val="0"/>
          <c:showSerName val="0"/>
          <c:showPercent val="0"/>
          <c:showBubbleSize val="0"/>
        </c:dLbls>
        <c:marker val="1"/>
        <c:smooth val="0"/>
        <c:axId val="101287424"/>
        <c:axId val="101405056"/>
      </c:lineChart>
      <c:catAx>
        <c:axId val="1012874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1405056"/>
        <c:crosses val="autoZero"/>
        <c:auto val="1"/>
        <c:lblAlgn val="ctr"/>
        <c:lblOffset val="100"/>
        <c:noMultiLvlLbl val="0"/>
      </c:catAx>
      <c:valAx>
        <c:axId val="101405056"/>
        <c:scaling>
          <c:orientation val="minMax"/>
          <c:min val="3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1287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37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Greece</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layout>
                <c:manualLayout>
                  <c:x val="8.2262743472855358E-3"/>
                  <c:y val="-6.6154135458677418E-2"/>
                </c:manualLayout>
              </c:layout>
              <c:spPr/>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8.2217416079568995E-3"/>
                  <c:y val="5.5859099929581976E-2"/>
                </c:manualLayout>
              </c:layout>
              <c:dLblPos val="bestFit"/>
              <c:showLegendKey val="1"/>
              <c:showVal val="1"/>
              <c:showCatName val="1"/>
              <c:showSerName val="0"/>
              <c:showPercent val="0"/>
              <c:showBubbleSize val="0"/>
              <c:separator>
</c:separator>
            </c:dLbl>
            <c:dLbl>
              <c:idx val="2"/>
              <c:layout>
                <c:manualLayout>
                  <c:x val="-6.0312413662108023E-2"/>
                  <c:y val="5.5901910889187632E-2"/>
                </c:manualLayout>
              </c:layout>
              <c:dLblPos val="bestFit"/>
              <c:showLegendKey val="1"/>
              <c:showVal val="1"/>
              <c:showCatName val="1"/>
              <c:showSerName val="0"/>
              <c:showPercent val="0"/>
              <c:showBubbleSize val="0"/>
              <c:separator>
</c:separator>
            </c:dLbl>
            <c:dLbl>
              <c:idx val="3"/>
              <c:layout>
                <c:manualLayout>
                  <c:x val="-1.6445425818483215E-2"/>
                  <c:y val="-1.1042826963702707E-3"/>
                </c:manualLayout>
              </c:layout>
              <c:dLblPos val="bestFit"/>
              <c:showLegendKey val="1"/>
              <c:showVal val="1"/>
              <c:showCatName val="1"/>
              <c:showSerName val="0"/>
              <c:showPercent val="0"/>
              <c:showBubbleSize val="0"/>
              <c:separator>
</c:separator>
            </c:dLbl>
            <c:dLbl>
              <c:idx val="4"/>
              <c:layout>
                <c:manualLayout>
                  <c:x val="9.8684210526315791E-2"/>
                  <c:y val="-9.6544715447154372E-2"/>
                </c:manualLayout>
              </c:layout>
              <c:dLblPos val="bestFit"/>
              <c:showLegendKey val="1"/>
              <c:showVal val="1"/>
              <c:showCatName val="1"/>
              <c:showSerName val="0"/>
              <c:showPercent val="0"/>
              <c:showBubbleSize val="0"/>
              <c:separator>
</c:separator>
            </c:dLbl>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Blad1!$A$3:$A$7</c:f>
              <c:strCache>
                <c:ptCount val="5"/>
                <c:pt idx="0">
                  <c:v>Environment</c:v>
                </c:pt>
                <c:pt idx="1">
                  <c:v>Justice and consumers</c:v>
                </c:pt>
                <c:pt idx="2">
                  <c:v>Mobility and transport</c:v>
                </c:pt>
                <c:pt idx="3">
                  <c:v>Taxation and customs</c:v>
                </c:pt>
                <c:pt idx="4">
                  <c:v>Other</c:v>
                </c:pt>
              </c:strCache>
              <c:extLst>
                <c:ext xmlns:c15="http://schemas.microsoft.com/office/drawing/2012/chart" uri="{02D57815-91ED-43cb-92C2-25804820EDAC}">
                  <c15:fullRef>
                    <c15:sqref>Blad1!$A$2:$A$6</c15:sqref>
                  </c15:fullRef>
                </c:ext>
              </c:extLst>
            </c:strRef>
          </c:cat>
          <c:val>
            <c:numRef>
              <c:f>Blad1!$B$3:$B$7</c:f>
              <c:numCache>
                <c:formatCode>General</c:formatCode>
                <c:ptCount val="5"/>
                <c:pt idx="0">
                  <c:v>7</c:v>
                </c:pt>
                <c:pt idx="1">
                  <c:v>5</c:v>
                </c:pt>
                <c:pt idx="2">
                  <c:v>5</c:v>
                </c:pt>
                <c:pt idx="3">
                  <c:v>5</c:v>
                </c:pt>
                <c:pt idx="4">
                  <c:v>15</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42"/>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49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Belgium</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6"/>
            <c:bubble3D val="0"/>
            <c:spPr>
              <a:solidFill>
                <a:srgbClr val="A20000"/>
              </a:solidFill>
              <a:scene3d>
                <a:camera prst="orthographicFront"/>
                <a:lightRig rig="threePt" dir="t"/>
              </a:scene3d>
              <a:sp3d>
                <a:bevelT w="63500" h="25400"/>
              </a:sp3d>
            </c:spPr>
          </c:dPt>
          <c:dPt>
            <c:idx val="7"/>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2.782545276682345E-3"/>
                  <c:y val="7.466976464007573E-3"/>
                </c:manualLayout>
              </c:layout>
              <c:dLblPos val="bestFit"/>
              <c:showLegendKey val="1"/>
              <c:showVal val="1"/>
              <c:showCatName val="1"/>
              <c:showSerName val="0"/>
              <c:showPercent val="0"/>
              <c:showBubbleSize val="0"/>
              <c:separator>
</c:separator>
            </c:dLbl>
            <c:dLbl>
              <c:idx val="2"/>
              <c:layout>
                <c:manualLayout>
                  <c:x val="-2.7733742100872999E-3"/>
                  <c:y val="4.9180327868852458E-2"/>
                </c:manualLayout>
              </c:layout>
              <c:dLblPos val="bestFit"/>
              <c:showLegendKey val="1"/>
              <c:showVal val="1"/>
              <c:showCatName val="1"/>
              <c:showSerName val="0"/>
              <c:showPercent val="0"/>
              <c:showBubbleSize val="0"/>
              <c:separator>
</c:separator>
            </c:dLbl>
            <c:dLbl>
              <c:idx val="3"/>
              <c:layout>
                <c:manualLayout>
                  <c:x val="-1.5684052388626132E-2"/>
                  <c:y val="0.12171980551611376"/>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r>
                      <a:rPr lang="en-US" sz="800"/>
                      <a:t>Internal market, industry, entrepreneurship and SMEs
7</a:t>
                    </a:r>
                  </a:p>
                </c:rich>
              </c:tx>
              <c:spPr>
                <a:noFill/>
                <a:ln>
                  <a:noFill/>
                </a:ln>
                <a:effectLst/>
              </c:spPr>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8.3194675540765387E-3"/>
                  <c:y val="8.7431693989071094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5"/>
              <c:layout>
                <c:manualLayout>
                  <c:x val="8.3194675540765387E-3"/>
                  <c:y val="0"/>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Blad1!$A$2:$A$9</c:f>
              <c:strCache>
                <c:ptCount val="8"/>
                <c:pt idx="0">
                  <c:v>Policy Area</c:v>
                </c:pt>
                <c:pt idx="1">
                  <c:v>Health and food safety</c:v>
                </c:pt>
                <c:pt idx="2">
                  <c:v>Environment</c:v>
                </c:pt>
                <c:pt idx="3">
                  <c:v>Internal market, industry, entrepreneurship and SMEs</c:v>
                </c:pt>
                <c:pt idx="4">
                  <c:v>Financial stability, financial services and capital markets union</c:v>
                </c:pt>
                <c:pt idx="5">
                  <c:v>Mobility and transport</c:v>
                </c:pt>
                <c:pt idx="6">
                  <c:v>Taxation and customs</c:v>
                </c:pt>
                <c:pt idx="7">
                  <c:v>Other</c:v>
                </c:pt>
              </c:strCache>
            </c:strRef>
          </c:cat>
          <c:val>
            <c:numRef>
              <c:f>Blad1!$B$2:$B$9</c:f>
              <c:numCache>
                <c:formatCode>General</c:formatCode>
                <c:ptCount val="8"/>
                <c:pt idx="0">
                  <c:v>0</c:v>
                </c:pt>
                <c:pt idx="1">
                  <c:v>9</c:v>
                </c:pt>
                <c:pt idx="2">
                  <c:v>8</c:v>
                </c:pt>
                <c:pt idx="3">
                  <c:v>7</c:v>
                </c:pt>
                <c:pt idx="4">
                  <c:v>7</c:v>
                </c:pt>
                <c:pt idx="5">
                  <c:v>4</c:v>
                </c:pt>
                <c:pt idx="6">
                  <c:v>4</c:v>
                </c:pt>
                <c:pt idx="7">
                  <c:v>10</c:v>
                </c:pt>
              </c:numCache>
            </c:numRef>
          </c:val>
          <c:extLst/>
        </c:ser>
        <c:dLbls>
          <c:showLegendKey val="0"/>
          <c:showVal val="0"/>
          <c:showCatName val="1"/>
          <c:showSerName val="0"/>
          <c:showPercent val="0"/>
          <c:showBubbleSize val="0"/>
          <c:showLeaderLines val="0"/>
        </c:dLbls>
        <c:firstSliceAng val="231"/>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65</c:v>
                </c:pt>
                <c:pt idx="1">
                  <c:v>67</c:v>
                </c:pt>
                <c:pt idx="2">
                  <c:v>68</c:v>
                </c:pt>
                <c:pt idx="3">
                  <c:v>71</c:v>
                </c:pt>
                <c:pt idx="4">
                  <c:v>83</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101378688"/>
        <c:axId val="101065088"/>
      </c:lineChart>
      <c:catAx>
        <c:axId val="101378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1065088"/>
        <c:crosses val="autoZero"/>
        <c:auto val="1"/>
        <c:lblAlgn val="ctr"/>
        <c:lblOffset val="100"/>
        <c:noMultiLvlLbl val="0"/>
      </c:catAx>
      <c:valAx>
        <c:axId val="101065088"/>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1378688"/>
        <c:crosses val="autoZero"/>
        <c:crossBetween val="between"/>
      </c:valAx>
      <c:spPr>
        <a:noFill/>
        <a:ln>
          <a:noFill/>
        </a:ln>
        <a:effectLst/>
      </c:spPr>
    </c:plotArea>
    <c:legend>
      <c:legendPos val="b"/>
      <c:legendEntry>
        <c:idx val="0"/>
        <c:delete val="1"/>
      </c:legendEntry>
      <c:layout>
        <c:manualLayout>
          <c:xMode val="edge"/>
          <c:yMode val="edge"/>
          <c:x val="5.5865154028662524E-2"/>
          <c:y val="0.7652454798625935"/>
          <c:w val="0.88826947953329416"/>
          <c:h val="0.23475452013740652"/>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Greece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5.2688003551794829E-2"/>
                  <c:y val="-5.9491525423728868E-2"/>
                </c:manualLayout>
              </c:layout>
              <c:dLblPos val="r"/>
              <c:showLegendKey val="0"/>
              <c:showVal val="1"/>
              <c:showCatName val="0"/>
              <c:showSerName val="0"/>
              <c:showPercent val="0"/>
              <c:showBubbleSize val="0"/>
            </c:dLbl>
            <c:dLbl>
              <c:idx val="2"/>
              <c:layout>
                <c:manualLayout>
                  <c:x val="-4.2091380368498715E-2"/>
                  <c:y val="7.5542506339249971E-2"/>
                </c:manualLayout>
              </c:layout>
              <c:dLblPos val="r"/>
              <c:showLegendKey val="0"/>
              <c:showVal val="1"/>
              <c:showCatName val="0"/>
              <c:showSerName val="0"/>
              <c:showPercent val="0"/>
              <c:showBubbleSize val="0"/>
            </c:dLbl>
            <c:dLbl>
              <c:idx val="3"/>
              <c:layout>
                <c:manualLayout>
                  <c:x val="-5.0953674323047926E-2"/>
                  <c:y val="-5.2706081231371493E-2"/>
                </c:manualLayout>
              </c:layout>
              <c:dLblPos val="r"/>
              <c:showLegendKey val="0"/>
              <c:showVal val="1"/>
              <c:showCatName val="0"/>
              <c:showSerName val="0"/>
              <c:showPercent val="0"/>
              <c:showBubbleSize val="0"/>
            </c:dLbl>
            <c:dLbl>
              <c:idx val="4"/>
              <c:layout>
                <c:manualLayout>
                  <c:x val="-6.0979877515310588E-2"/>
                  <c:y val="6.480225988700565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0.62</c:v>
                </c:pt>
                <c:pt idx="1">
                  <c:v>0.71</c:v>
                </c:pt>
                <c:pt idx="2">
                  <c:v>0.73</c:v>
                </c:pt>
                <c:pt idx="3">
                  <c:v>0.86</c:v>
                </c:pt>
                <c:pt idx="4">
                  <c:v>0.68</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1"/>
              <c:layout>
                <c:manualLayout>
                  <c:x val="-4.992404556395625E-2"/>
                  <c:y val="6.5141242937853103E-2"/>
                </c:manualLayout>
              </c:layout>
              <c:dLblPos val="r"/>
              <c:showLegendKey val="0"/>
              <c:showVal val="1"/>
              <c:showCatName val="0"/>
              <c:showSerName val="0"/>
              <c:showPercent val="0"/>
              <c:showBubbleSize val="0"/>
            </c:dLbl>
            <c:dLbl>
              <c:idx val="2"/>
              <c:layout>
                <c:manualLayout>
                  <c:x val="-4.5183531163082227E-2"/>
                  <c:y val="-8.159838071088571E-2"/>
                </c:manualLayout>
              </c:layout>
              <c:dLblPos val="r"/>
              <c:showLegendKey val="0"/>
              <c:showVal val="1"/>
              <c:showCatName val="0"/>
              <c:showSerName val="0"/>
              <c:showPercent val="0"/>
              <c:showBubbleSize val="0"/>
            </c:dLbl>
            <c:dLbl>
              <c:idx val="4"/>
              <c:layout>
                <c:manualLayout>
                  <c:x val="-4.4396129588279078E-2"/>
                  <c:y val="-7.0451977401129948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101107968"/>
        <c:axId val="101134336"/>
      </c:lineChart>
      <c:catAx>
        <c:axId val="101107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1134336"/>
        <c:crosses val="autoZero"/>
        <c:auto val="1"/>
        <c:lblAlgn val="ctr"/>
        <c:lblOffset val="100"/>
        <c:noMultiLvlLbl val="0"/>
      </c:catAx>
      <c:valAx>
        <c:axId val="101134336"/>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1107968"/>
        <c:crosses val="autoZero"/>
        <c:crossBetween val="between"/>
      </c:valAx>
      <c:spPr>
        <a:noFill/>
        <a:ln>
          <a:noFill/>
        </a:ln>
        <a:effectLst/>
      </c:spPr>
    </c:plotArea>
    <c:legend>
      <c:legendPos val="b"/>
      <c:layout>
        <c:manualLayout>
          <c:xMode val="edge"/>
          <c:yMode val="edge"/>
          <c:x val="8.0150864226548796E-2"/>
          <c:y val="0.86983901863583946"/>
          <c:w val="0.84522618752257961"/>
          <c:h val="9.5087859780239328E-2"/>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21642619311874E-2"/>
          <c:y val="6.4641241111829353E-2"/>
          <c:w val="0.93896155561085082"/>
          <c:h val="0.77718130096072469"/>
        </c:manualLayout>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2"/>
              <c:layout>
                <c:manualLayout>
                  <c:x val="-4.220743205768164E-2"/>
                  <c:y val="-8.7403100775193782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81</c:v>
                </c:pt>
                <c:pt idx="1">
                  <c:v>79</c:v>
                </c:pt>
                <c:pt idx="2">
                  <c:v>89</c:v>
                </c:pt>
                <c:pt idx="3">
                  <c:v>82</c:v>
                </c:pt>
                <c:pt idx="4">
                  <c:v>86</c:v>
                </c:pt>
              </c:numCache>
            </c:numRef>
          </c:val>
          <c:smooth val="0"/>
        </c:ser>
        <c:dLbls>
          <c:showLegendKey val="0"/>
          <c:showVal val="1"/>
          <c:showCatName val="0"/>
          <c:showSerName val="0"/>
          <c:showPercent val="0"/>
          <c:showBubbleSize val="0"/>
        </c:dLbls>
        <c:marker val="1"/>
        <c:smooth val="0"/>
        <c:axId val="101161600"/>
        <c:axId val="101725696"/>
      </c:lineChart>
      <c:catAx>
        <c:axId val="1011616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1725696"/>
        <c:crosses val="autoZero"/>
        <c:auto val="1"/>
        <c:lblAlgn val="ctr"/>
        <c:lblOffset val="100"/>
        <c:noMultiLvlLbl val="0"/>
      </c:catAx>
      <c:valAx>
        <c:axId val="101725696"/>
        <c:scaling>
          <c:orientation val="minMax"/>
          <c:min val="6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116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42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Greece</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FFD617"/>
              </a:solidFill>
              <a:scene3d>
                <a:camera prst="orthographicFront"/>
                <a:lightRig rig="threePt" dir="t"/>
              </a:scene3d>
              <a:sp3d>
                <a:bevelT w="63500" h="25400"/>
              </a:sp3d>
            </c:spPr>
          </c:dPt>
          <c:dPt>
            <c:idx val="6"/>
            <c:bubble3D val="0"/>
            <c:spPr>
              <a:solidFill>
                <a:srgbClr val="A20000"/>
              </a:solidFill>
              <a:scene3d>
                <a:camera prst="orthographicFront"/>
                <a:lightRig rig="threePt" dir="t"/>
              </a:scene3d>
              <a:sp3d>
                <a:bevelT w="63500" h="25400"/>
              </a:sp3d>
            </c:spPr>
          </c:dPt>
          <c:dPt>
            <c:idx val="7"/>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1.9384359400998336E-2"/>
                  <c:y val="-1.4390947033260187E-2"/>
                </c:manualLayout>
              </c:layout>
              <c:dLblPos val="bestFit"/>
              <c:showLegendKey val="1"/>
              <c:showVal val="1"/>
              <c:showCatName val="1"/>
              <c:showSerName val="0"/>
              <c:showPercent val="0"/>
              <c:showBubbleSize val="0"/>
              <c:separator>
</c:separator>
            </c:dLbl>
            <c:dLbl>
              <c:idx val="2"/>
              <c:layout>
                <c:manualLayout>
                  <c:x val="4.7143431114371935E-2"/>
                  <c:y val="6.5573770491803282E-2"/>
                </c:manualLayout>
              </c:layout>
              <c:dLblPos val="bestFit"/>
              <c:showLegendKey val="1"/>
              <c:showVal val="1"/>
              <c:showCatName val="1"/>
              <c:showSerName val="0"/>
              <c:showPercent val="0"/>
              <c:showBubbleSize val="0"/>
              <c:separator>
</c:separator>
            </c:dLbl>
            <c:dLbl>
              <c:idx val="3"/>
              <c:layout>
                <c:manualLayout>
                  <c:x val="-2.1230582450072276E-2"/>
                  <c:y val="0.10532636289316294"/>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2.7731558513588465E-3"/>
                  <c:y val="5.4644808743169399E-3"/>
                </c:manualLayout>
              </c:layout>
              <c:dLblPos val="bestFit"/>
              <c:showLegendKey val="1"/>
              <c:showVal val="1"/>
              <c:showCatName val="1"/>
              <c:showSerName val="0"/>
              <c:showPercent val="0"/>
              <c:showBubbleSize val="0"/>
              <c:separator>
</c:separator>
            </c:dLbl>
            <c:dLbl>
              <c:idx val="5"/>
              <c:layout>
                <c:manualLayout>
                  <c:x val="-2.7731558513588465E-3"/>
                  <c:y val="-2.7322404371584699E-2"/>
                </c:manualLayout>
              </c:layout>
              <c:dLblPos val="bestFit"/>
              <c:showLegendKey val="1"/>
              <c:showVal val="1"/>
              <c:showCatName val="1"/>
              <c:showSerName val="0"/>
              <c:showPercent val="0"/>
              <c:showBubbleSize val="0"/>
              <c:separator>
</c:separator>
            </c:dLbl>
            <c:dLbl>
              <c:idx val="6"/>
              <c:layout>
                <c:manualLayout>
                  <c:x val="-5.546311702717693E-3"/>
                  <c:y val="0"/>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Blad1!$A$2:$A$9</c:f>
              <c:strCache>
                <c:ptCount val="8"/>
                <c:pt idx="0">
                  <c:v>Policy Area</c:v>
                </c:pt>
                <c:pt idx="1">
                  <c:v>Internal market, industry, entrepreneurship and SMEs</c:v>
                </c:pt>
                <c:pt idx="2">
                  <c:v>Health and food safety</c:v>
                </c:pt>
                <c:pt idx="3">
                  <c:v>Financial stability, financial services and capital markets union</c:v>
                </c:pt>
                <c:pt idx="4">
                  <c:v>Communication networks</c:v>
                </c:pt>
                <c:pt idx="5">
                  <c:v>Employment</c:v>
                </c:pt>
                <c:pt idx="6">
                  <c:v>Taxation and customs</c:v>
                </c:pt>
                <c:pt idx="7">
                  <c:v>Other</c:v>
                </c:pt>
              </c:strCache>
            </c:strRef>
          </c:cat>
          <c:val>
            <c:numRef>
              <c:f>Blad1!$B$2:$B$9</c:f>
              <c:numCache>
                <c:formatCode>General</c:formatCode>
                <c:ptCount val="8"/>
                <c:pt idx="0">
                  <c:v>0</c:v>
                </c:pt>
                <c:pt idx="1">
                  <c:v>12</c:v>
                </c:pt>
                <c:pt idx="2">
                  <c:v>6</c:v>
                </c:pt>
                <c:pt idx="3">
                  <c:v>6</c:v>
                </c:pt>
                <c:pt idx="4">
                  <c:v>3</c:v>
                </c:pt>
                <c:pt idx="5">
                  <c:v>3</c:v>
                </c:pt>
                <c:pt idx="6">
                  <c:v>3</c:v>
                </c:pt>
                <c:pt idx="7">
                  <c:v>9</c:v>
                </c:pt>
              </c:numCache>
            </c:numRef>
          </c:val>
          <c:extLst/>
        </c:ser>
        <c:dLbls>
          <c:showLegendKey val="0"/>
          <c:showVal val="0"/>
          <c:showCatName val="1"/>
          <c:showSerName val="0"/>
          <c:showPercent val="0"/>
          <c:showBubbleSize val="0"/>
          <c:showLeaderLines val="0"/>
        </c:dLbls>
        <c:firstSliceAng val="234"/>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3.3711594874170143E-2"/>
                  <c:y val="8.6427116386571079E-2"/>
                </c:manualLayout>
              </c:layout>
              <c:dLblPos val="r"/>
              <c:showLegendKey val="0"/>
              <c:showVal val="1"/>
              <c:showCatName val="0"/>
              <c:showSerName val="0"/>
              <c:showPercent val="0"/>
              <c:showBubbleSize val="0"/>
            </c:dLbl>
            <c:txPr>
              <a:bodyPr/>
              <a:lstStyle/>
              <a:p>
                <a:pPr>
                  <a:defRPr>
                    <a:solidFill>
                      <a:srgbClr val="0070C0"/>
                    </a:solidFill>
                  </a:defRPr>
                </a:pPr>
                <a:endParaRPr lang="en-US"/>
              </a:p>
            </c:txPr>
            <c:dLblPos val="t"/>
            <c:showLegendKey val="0"/>
            <c:showVal val="1"/>
            <c:showCatName val="0"/>
            <c:showSerName val="0"/>
            <c:showPercent val="0"/>
            <c:showBubbleSize val="0"/>
            <c:showLeaderLines val="0"/>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13</c:v>
                </c:pt>
                <c:pt idx="1">
                  <c:v>7</c:v>
                </c:pt>
                <c:pt idx="2">
                  <c:v>20</c:v>
                </c:pt>
                <c:pt idx="3">
                  <c:v>24</c:v>
                </c:pt>
                <c:pt idx="4">
                  <c:v>32</c:v>
                </c:pt>
              </c:numCache>
            </c:numRef>
          </c:val>
          <c:smooth val="0"/>
        </c:ser>
        <c:dLbls>
          <c:showLegendKey val="0"/>
          <c:showVal val="0"/>
          <c:showCatName val="0"/>
          <c:showSerName val="0"/>
          <c:showPercent val="0"/>
          <c:showBubbleSize val="0"/>
        </c:dLbls>
        <c:marker val="1"/>
        <c:smooth val="0"/>
        <c:axId val="101463936"/>
        <c:axId val="101465472"/>
      </c:lineChart>
      <c:catAx>
        <c:axId val="101463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1465472"/>
        <c:crosses val="autoZero"/>
        <c:auto val="1"/>
        <c:lblAlgn val="ctr"/>
        <c:lblOffset val="100"/>
        <c:noMultiLvlLbl val="0"/>
      </c:catAx>
      <c:valAx>
        <c:axId val="1014654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1463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8235294117647057E-2"/>
                  <c:y val="8.9952795079719511E-2"/>
                </c:manualLayout>
              </c:layout>
              <c:dLblPos val="r"/>
              <c:showLegendKey val="0"/>
              <c:showVal val="1"/>
              <c:showCatName val="0"/>
              <c:showSerName val="0"/>
              <c:showPercent val="0"/>
              <c:showBubbleSize val="0"/>
            </c:dLbl>
            <c:dLbl>
              <c:idx val="2"/>
              <c:layout>
                <c:manualLayout>
                  <c:x val="-4.5434173669467788E-2"/>
                  <c:y val="-7.170398009950249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22</c:v>
                </c:pt>
                <c:pt idx="1">
                  <c:v>22</c:v>
                </c:pt>
                <c:pt idx="2">
                  <c:v>34</c:v>
                </c:pt>
                <c:pt idx="3">
                  <c:v>32</c:v>
                </c:pt>
                <c:pt idx="4">
                  <c:v>36</c:v>
                </c:pt>
              </c:numCache>
            </c:numRef>
          </c:val>
          <c:smooth val="0"/>
        </c:ser>
        <c:dLbls>
          <c:showLegendKey val="0"/>
          <c:showVal val="1"/>
          <c:showCatName val="0"/>
          <c:showSerName val="0"/>
          <c:showPercent val="0"/>
          <c:showBubbleSize val="0"/>
        </c:dLbls>
        <c:marker val="1"/>
        <c:smooth val="0"/>
        <c:axId val="101496704"/>
        <c:axId val="101499648"/>
      </c:lineChart>
      <c:catAx>
        <c:axId val="1014967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1499648"/>
        <c:crosses val="autoZero"/>
        <c:auto val="1"/>
        <c:lblAlgn val="ctr"/>
        <c:lblOffset val="100"/>
        <c:noMultiLvlLbl val="0"/>
      </c:catAx>
      <c:valAx>
        <c:axId val="101499648"/>
        <c:scaling>
          <c:orientation val="minMax"/>
          <c:min val="1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1496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36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Greece</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D617"/>
              </a:solidFill>
              <a:scene3d>
                <a:camera prst="orthographicFront"/>
                <a:lightRig rig="threePt" dir="t"/>
              </a:scene3d>
              <a:sp3d>
                <a:bevelT w="63500" h="25400"/>
              </a:sp3d>
            </c:spPr>
          </c:dPt>
          <c:dPt>
            <c:idx val="4"/>
            <c:bubble3D val="0"/>
            <c:spPr>
              <a:solidFill>
                <a:srgbClr val="A20000"/>
              </a:solidFill>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layout>
                <c:manualLayout>
                  <c:x val="3.6054141488127939E-2"/>
                  <c:y val="-2.9411764705882353E-2"/>
                </c:manualLayout>
              </c:layout>
              <c:dLblPos val="bestFit"/>
              <c:showLegendKey val="1"/>
              <c:showVal val="1"/>
              <c:showCatName val="1"/>
              <c:showSerName val="0"/>
              <c:showPercent val="0"/>
              <c:showBubbleSize val="0"/>
              <c:separator>
</c:separator>
            </c:dLbl>
            <c:dLbl>
              <c:idx val="1"/>
              <c:layout>
                <c:manualLayout>
                  <c:x val="-3.6682187982316164E-2"/>
                  <c:y val="6.3725490196078455E-2"/>
                </c:manualLayout>
              </c:layout>
              <c:dLblPos val="bestFit"/>
              <c:showLegendKey val="1"/>
              <c:showVal val="1"/>
              <c:showCatName val="1"/>
              <c:showSerName val="0"/>
              <c:showPercent val="0"/>
              <c:showBubbleSize val="0"/>
              <c:separator>
</c:separator>
            </c:dLbl>
            <c:dLbl>
              <c:idx val="2"/>
              <c:layout>
                <c:manualLayout>
                  <c:x val="-2.1890940957961548E-2"/>
                  <c:y val="3.4313725490196081E-2"/>
                </c:manualLayout>
              </c:layout>
              <c:dLblPos val="bestFit"/>
              <c:showLegendKey val="1"/>
              <c:showVal val="1"/>
              <c:showCatName val="1"/>
              <c:showSerName val="0"/>
              <c:showPercent val="0"/>
              <c:showBubbleSize val="0"/>
              <c:separator>
</c:separator>
            </c:dLbl>
            <c:dLbl>
              <c:idx val="3"/>
              <c:layout>
                <c:manualLayout>
                  <c:x val="2.7822830285749167E-3"/>
                  <c:y val="-2.7723097112860893E-2"/>
                </c:manualLayout>
              </c:layout>
              <c:dLblPos val="bestFit"/>
              <c:showLegendKey val="1"/>
              <c:showVal val="1"/>
              <c:showCatName val="1"/>
              <c:showSerName val="0"/>
              <c:showPercent val="0"/>
              <c:showBubbleSize val="0"/>
              <c:separator>
</c:separator>
            </c:dLbl>
            <c:dLbl>
              <c:idx val="4"/>
              <c:layout>
                <c:manualLayout>
                  <c:x val="1.1055885456178444E-2"/>
                  <c:y val="0"/>
                </c:manualLayout>
              </c:layout>
              <c:dLblPos val="bestFit"/>
              <c:showLegendKey val="1"/>
              <c:showVal val="1"/>
              <c:showCatName val="1"/>
              <c:showSerName val="0"/>
              <c:showPercent val="0"/>
              <c:showBubbleSize val="0"/>
              <c:separator>
</c:separator>
            </c:dLbl>
            <c:dLbl>
              <c:idx val="5"/>
              <c:layout>
                <c:manualLayout>
                  <c:x val="-7.1994707056966714E-2"/>
                  <c:y val="-0.11764705882352951"/>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Blad1!$A$4:$A$9</c:f>
              <c:strCache>
                <c:ptCount val="6"/>
                <c:pt idx="0">
                  <c:v>Internal market, industry, entrepreneurship and SMEs</c:v>
                </c:pt>
                <c:pt idx="1">
                  <c:v>Health and food safety</c:v>
                </c:pt>
                <c:pt idx="2">
                  <c:v>Financial stability, financial services and capital markets union</c:v>
                </c:pt>
                <c:pt idx="3">
                  <c:v>Employment</c:v>
                </c:pt>
                <c:pt idx="4">
                  <c:v>Taxation and customs</c:v>
                </c:pt>
                <c:pt idx="5">
                  <c:v>Other</c:v>
                </c:pt>
              </c:strCache>
            </c:strRef>
          </c:cat>
          <c:val>
            <c:numRef>
              <c:f>Blad1!$B$4:$B$9</c:f>
              <c:numCache>
                <c:formatCode>General</c:formatCode>
                <c:ptCount val="6"/>
                <c:pt idx="0">
                  <c:v>10</c:v>
                </c:pt>
                <c:pt idx="1">
                  <c:v>6</c:v>
                </c:pt>
                <c:pt idx="2">
                  <c:v>6</c:v>
                </c:pt>
                <c:pt idx="3">
                  <c:v>3</c:v>
                </c:pt>
                <c:pt idx="4">
                  <c:v>3</c:v>
                </c:pt>
                <c:pt idx="5">
                  <c:v>8</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246"/>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2"/>
              <c:layout>
                <c:manualLayout>
                  <c:x val="-5.0138657792567945E-2"/>
                  <c:y val="-6.7191142191142195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306</c:v>
                </c:pt>
                <c:pt idx="1">
                  <c:v>439</c:v>
                </c:pt>
                <c:pt idx="2">
                  <c:v>553</c:v>
                </c:pt>
                <c:pt idx="3">
                  <c:v>342</c:v>
                </c:pt>
                <c:pt idx="4">
                  <c:v>424</c:v>
                </c:pt>
              </c:numCache>
            </c:numRef>
          </c:val>
          <c:smooth val="0"/>
        </c:ser>
        <c:dLbls>
          <c:showLegendKey val="0"/>
          <c:showVal val="1"/>
          <c:showCatName val="0"/>
          <c:showSerName val="0"/>
          <c:showPercent val="0"/>
          <c:showBubbleSize val="0"/>
        </c:dLbls>
        <c:marker val="1"/>
        <c:smooth val="0"/>
        <c:axId val="101892096"/>
        <c:axId val="101894784"/>
      </c:lineChart>
      <c:catAx>
        <c:axId val="101892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1894784"/>
        <c:crosses val="autoZero"/>
        <c:auto val="1"/>
        <c:lblAlgn val="ctr"/>
        <c:lblOffset val="100"/>
        <c:noMultiLvlLbl val="0"/>
      </c:catAx>
      <c:valAx>
        <c:axId val="101894784"/>
        <c:scaling>
          <c:orientation val="minMax"/>
          <c:min val="2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1892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424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Spain</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2.4745978534861362E-2"/>
                  <c:y val="0.1313859426877633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5.5005500550055009E-3"/>
                  <c:y val="-1.575175737102262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2.4778462098178321E-2"/>
                  <c:y val="-4.1398610662626162E-7"/>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0"/>
                  <c:y val="-0.3259726603575183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Justice and consumers</c:v>
                </c:pt>
                <c:pt idx="1">
                  <c:v>Employment</c:v>
                </c:pt>
                <c:pt idx="2">
                  <c:v>Taxation and customs</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149</c:v>
                </c:pt>
                <c:pt idx="1">
                  <c:v>57</c:v>
                </c:pt>
                <c:pt idx="2">
                  <c:v>44</c:v>
                </c:pt>
                <c:pt idx="3">
                  <c:v>174</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32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110</c:v>
                </c:pt>
                <c:pt idx="1">
                  <c:v>99</c:v>
                </c:pt>
                <c:pt idx="2">
                  <c:v>84</c:v>
                </c:pt>
                <c:pt idx="3">
                  <c:v>49</c:v>
                </c:pt>
                <c:pt idx="4">
                  <c:v>53</c:v>
                </c:pt>
              </c:numCache>
            </c:numRef>
          </c:val>
          <c:smooth val="0"/>
        </c:ser>
        <c:dLbls>
          <c:showLegendKey val="0"/>
          <c:showVal val="0"/>
          <c:showCatName val="0"/>
          <c:showSerName val="0"/>
          <c:showPercent val="0"/>
          <c:showBubbleSize val="0"/>
        </c:dLbls>
        <c:marker val="1"/>
        <c:smooth val="0"/>
        <c:axId val="101975168"/>
        <c:axId val="101976704"/>
      </c:lineChart>
      <c:catAx>
        <c:axId val="1019751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1976704"/>
        <c:crosses val="autoZero"/>
        <c:auto val="1"/>
        <c:lblAlgn val="ctr"/>
        <c:lblOffset val="100"/>
        <c:noMultiLvlLbl val="0"/>
      </c:catAx>
      <c:valAx>
        <c:axId val="10197670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1975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0.54114</cdr:x>
      <cdr:y>0.29738</cdr:y>
    </cdr:from>
    <cdr:to>
      <cdr:x>0.93545</cdr:x>
      <cdr:y>0.38359</cdr:y>
    </cdr:to>
    <cdr:sp macro="" textlink="">
      <cdr:nvSpPr>
        <cdr:cNvPr id="2" name="Text Box 1"/>
        <cdr:cNvSpPr txBox="1"/>
      </cdr:nvSpPr>
      <cdr:spPr>
        <a:xfrm xmlns:a="http://schemas.openxmlformats.org/drawingml/2006/main">
          <a:off x="2478193" y="657154"/>
          <a:ext cx="1805790" cy="1905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0.53057</cdr:x>
      <cdr:y>0.40476</cdr:y>
    </cdr:from>
    <cdr:to>
      <cdr:x>0.92488</cdr:x>
      <cdr:y>0.49097</cdr:y>
    </cdr:to>
    <cdr:sp macro="" textlink="">
      <cdr:nvSpPr>
        <cdr:cNvPr id="2" name="Text Box 1"/>
        <cdr:cNvSpPr txBox="1"/>
      </cdr:nvSpPr>
      <cdr:spPr>
        <a:xfrm xmlns:a="http://schemas.openxmlformats.org/drawingml/2006/main">
          <a:off x="2437221" y="744587"/>
          <a:ext cx="1811299" cy="1585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0.20836</cdr:x>
      <cdr:y>0.09538</cdr:y>
    </cdr:from>
    <cdr:to>
      <cdr:x>0.60267</cdr:x>
      <cdr:y>0.18159</cdr:y>
    </cdr:to>
    <cdr:sp macro="" textlink="">
      <cdr:nvSpPr>
        <cdr:cNvPr id="2" name="Text Box 1"/>
        <cdr:cNvSpPr txBox="1"/>
      </cdr:nvSpPr>
      <cdr:spPr>
        <a:xfrm xmlns:a="http://schemas.openxmlformats.org/drawingml/2006/main">
          <a:off x="954204" y="199859"/>
          <a:ext cx="1805790" cy="180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0.22556</cdr:x>
      <cdr:y>0.38084</cdr:y>
    </cdr:from>
    <cdr:to>
      <cdr:x>0.61987</cdr:x>
      <cdr:y>0.46705</cdr:y>
    </cdr:to>
    <cdr:sp macro="" textlink="">
      <cdr:nvSpPr>
        <cdr:cNvPr id="2" name="Text Box 1"/>
        <cdr:cNvSpPr txBox="1"/>
      </cdr:nvSpPr>
      <cdr:spPr>
        <a:xfrm xmlns:a="http://schemas.openxmlformats.org/drawingml/2006/main">
          <a:off x="1032411" y="779182"/>
          <a:ext cx="1804789" cy="1763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0.08191</cdr:x>
      <cdr:y>0.33532</cdr:y>
    </cdr:from>
    <cdr:to>
      <cdr:x>0.47622</cdr:x>
      <cdr:y>0.42153</cdr:y>
    </cdr:to>
    <cdr:sp macro="" textlink="">
      <cdr:nvSpPr>
        <cdr:cNvPr id="2" name="Text Box 1"/>
        <cdr:cNvSpPr txBox="1"/>
      </cdr:nvSpPr>
      <cdr:spPr>
        <a:xfrm xmlns:a="http://schemas.openxmlformats.org/drawingml/2006/main">
          <a:off x="375100" y="740983"/>
          <a:ext cx="1805790" cy="1905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0.13376</cdr:x>
      <cdr:y>0.33317</cdr:y>
    </cdr:from>
    <cdr:to>
      <cdr:x>0.52807</cdr:x>
      <cdr:y>0.41938</cdr:y>
    </cdr:to>
    <cdr:sp macro="" textlink="">
      <cdr:nvSpPr>
        <cdr:cNvPr id="2" name="Text Box 1"/>
        <cdr:cNvSpPr txBox="1"/>
      </cdr:nvSpPr>
      <cdr:spPr>
        <a:xfrm xmlns:a="http://schemas.openxmlformats.org/drawingml/2006/main">
          <a:off x="611566" y="804776"/>
          <a:ext cx="1802785" cy="2082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0.36477</cdr:x>
      <cdr:y>0.09393</cdr:y>
    </cdr:from>
    <cdr:to>
      <cdr:x>0.75908</cdr:x>
      <cdr:y>0.18014</cdr:y>
    </cdr:to>
    <cdr:sp macro="" textlink="">
      <cdr:nvSpPr>
        <cdr:cNvPr id="2" name="Text Box 1"/>
        <cdr:cNvSpPr txBox="1"/>
      </cdr:nvSpPr>
      <cdr:spPr>
        <a:xfrm xmlns:a="http://schemas.openxmlformats.org/drawingml/2006/main">
          <a:off x="1670496" y="207573"/>
          <a:ext cx="1805790" cy="1905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0.45794</cdr:x>
      <cdr:y>0.33877</cdr:y>
    </cdr:from>
    <cdr:to>
      <cdr:x>0.85225</cdr:x>
      <cdr:y>0.42498</cdr:y>
    </cdr:to>
    <cdr:sp macro="" textlink="">
      <cdr:nvSpPr>
        <cdr:cNvPr id="2" name="Text Box 1"/>
        <cdr:cNvSpPr txBox="1"/>
      </cdr:nvSpPr>
      <cdr:spPr>
        <a:xfrm xmlns:a="http://schemas.openxmlformats.org/drawingml/2006/main">
          <a:off x="2097213" y="748603"/>
          <a:ext cx="1805790" cy="1905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0.47594</cdr:x>
      <cdr:y>0.25601</cdr:y>
    </cdr:from>
    <cdr:to>
      <cdr:x>0.79487</cdr:x>
      <cdr:y>0.36582</cdr:y>
    </cdr:to>
    <cdr:sp macro="" textlink="">
      <cdr:nvSpPr>
        <cdr:cNvPr id="2" name="Text Box 1"/>
        <cdr:cNvSpPr txBox="1"/>
      </cdr:nvSpPr>
      <cdr:spPr>
        <a:xfrm xmlns:a="http://schemas.openxmlformats.org/drawingml/2006/main">
          <a:off x="2161483" y="516956"/>
          <a:ext cx="1448427" cy="2217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0.14594</cdr:x>
      <cdr:y>0.08652</cdr:y>
    </cdr:from>
    <cdr:to>
      <cdr:x>0.57974</cdr:x>
      <cdr:y>0.17273</cdr:y>
    </cdr:to>
    <cdr:sp macro="" textlink="">
      <cdr:nvSpPr>
        <cdr:cNvPr id="2" name="Text Box 1"/>
        <cdr:cNvSpPr txBox="1"/>
      </cdr:nvSpPr>
      <cdr:spPr>
        <a:xfrm xmlns:a="http://schemas.openxmlformats.org/drawingml/2006/main">
          <a:off x="670561" y="193827"/>
          <a:ext cx="1993244" cy="1931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0.12922</cdr:x>
      <cdr:y>0.0922</cdr:y>
    </cdr:from>
    <cdr:to>
      <cdr:x>0.52353</cdr:x>
      <cdr:y>0.17443</cdr:y>
    </cdr:to>
    <cdr:sp macro="" textlink="">
      <cdr:nvSpPr>
        <cdr:cNvPr id="2" name="Text Box 1"/>
        <cdr:cNvSpPr txBox="1"/>
      </cdr:nvSpPr>
      <cdr:spPr>
        <a:xfrm xmlns:a="http://schemas.openxmlformats.org/drawingml/2006/main">
          <a:off x="640664" y="205745"/>
          <a:ext cx="1955020" cy="1834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Arial" panose="020B0604020202020204" pitchFamily="34" charset="0"/>
              <a:ea typeface="Verdana" panose="020B0604030504040204" pitchFamily="34" charset="0"/>
              <a:cs typeface="Arial" panose="020B0604020202020204" pitchFamily="34" charset="0"/>
            </a:rPr>
            <a:t>70 days</a:t>
          </a:r>
          <a:r>
            <a:rPr lang="en-GB" sz="900" baseline="0">
              <a:solidFill>
                <a:srgbClr val="C00000"/>
              </a:solidFill>
              <a:latin typeface="Arial" panose="020B0604020202020204" pitchFamily="34" charset="0"/>
              <a:ea typeface="Verdana" panose="020B0604030504040204" pitchFamily="34" charset="0"/>
              <a:cs typeface="Arial" panose="020B0604020202020204" pitchFamily="34" charset="0"/>
            </a:rPr>
            <a:t> benchmark</a:t>
          </a:r>
          <a:endParaRPr lang="en-GB" sz="900">
            <a:solidFill>
              <a:srgbClr val="C00000"/>
            </a:solidFill>
            <a:latin typeface="Arial" panose="020B0604020202020204" pitchFamily="34" charset="0"/>
            <a:ea typeface="Verdana" panose="020B0604030504040204" pitchFamily="34" charset="0"/>
            <a:cs typeface="Arial" panose="020B0604020202020204"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0.08102</cdr:x>
      <cdr:y>0.29084</cdr:y>
    </cdr:from>
    <cdr:to>
      <cdr:x>0.47533</cdr:x>
      <cdr:y>0.37705</cdr:y>
    </cdr:to>
    <cdr:sp macro="" textlink="">
      <cdr:nvSpPr>
        <cdr:cNvPr id="2" name="Text Box 1"/>
        <cdr:cNvSpPr txBox="1"/>
      </cdr:nvSpPr>
      <cdr:spPr>
        <a:xfrm xmlns:a="http://schemas.openxmlformats.org/drawingml/2006/main">
          <a:off x="370840" y="641034"/>
          <a:ext cx="1804788" cy="1900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0.14994</cdr:x>
      <cdr:y>0.22642</cdr:y>
    </cdr:from>
    <cdr:to>
      <cdr:x>0.54425</cdr:x>
      <cdr:y>0.31263</cdr:y>
    </cdr:to>
    <cdr:sp macro="" textlink="">
      <cdr:nvSpPr>
        <cdr:cNvPr id="2" name="Text Box 1"/>
        <cdr:cNvSpPr txBox="1"/>
      </cdr:nvSpPr>
      <cdr:spPr>
        <a:xfrm xmlns:a="http://schemas.openxmlformats.org/drawingml/2006/main">
          <a:off x="689506" y="480492"/>
          <a:ext cx="1813301" cy="1829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0.19679</cdr:x>
      <cdr:y>0.35135</cdr:y>
    </cdr:from>
    <cdr:to>
      <cdr:x>0.5911</cdr:x>
      <cdr:y>0.43756</cdr:y>
    </cdr:to>
    <cdr:sp macro="" textlink="">
      <cdr:nvSpPr>
        <cdr:cNvPr id="2" name="Text Box 1"/>
        <cdr:cNvSpPr txBox="1"/>
      </cdr:nvSpPr>
      <cdr:spPr>
        <a:xfrm xmlns:a="http://schemas.openxmlformats.org/drawingml/2006/main">
          <a:off x="899731" y="986574"/>
          <a:ext cx="1802785" cy="242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9F0726229EA944A351C92A661F0C83" ma:contentTypeVersion="0" ma:contentTypeDescription="Create a new document." ma:contentTypeScope="" ma:versionID="52fd43feccd3b2c7b93776ef59e179c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F5720-713D-45B6-8F1C-161DEF50EBAF}">
  <ds:schemaRef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www.w3.org/XML/1998/namespace"/>
    <ds:schemaRef ds:uri="http://purl.org/dc/term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78FF350C-6027-496B-BE79-2CBA36BB8BB7}">
  <ds:schemaRefs>
    <ds:schemaRef ds:uri="http://schemas.microsoft.com/sharepoint/v3/contenttype/forms"/>
  </ds:schemaRefs>
</ds:datastoreItem>
</file>

<file path=customXml/itemProps3.xml><?xml version="1.0" encoding="utf-8"?>
<ds:datastoreItem xmlns:ds="http://schemas.openxmlformats.org/officeDocument/2006/customXml" ds:itemID="{CECF7BFB-0F65-4E87-BECA-5D038E125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033219B-778B-4B23-A859-B371169CE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83</Pages>
  <Words>12553</Words>
  <Characters>70176</Characters>
  <Application>Microsoft Office Word</Application>
  <DocSecurity>0</DocSecurity>
  <Lines>1846</Lines>
  <Paragraphs>1181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16</cp:revision>
  <cp:lastPrinted>2017-06-08T09:40:00Z</cp:lastPrinted>
  <dcterms:created xsi:type="dcterms:W3CDTF">2017-06-08T10:06:00Z</dcterms:created>
  <dcterms:modified xsi:type="dcterms:W3CDTF">2017-07-06T06:52:00Z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0x010100429F0726229EA944A351C92A661F0C83</vt:lpwstr>
  </property>
  <property fmtid="{D5CDD505-2E9C-101B-9397-08002B2CF9AE}" pid="3" name="Part">
    <vt:lpwstr>1</vt:lpwstr>
  </property>
  <property fmtid="{D5CDD505-2E9C-101B-9397-08002B2CF9AE}" pid="4" name="Total parts">
    <vt:lpwstr>2</vt:lpwstr>
  </property>
  <property fmtid="{D5CDD505-2E9C-101B-9397-08002B2CF9AE}" pid="5" name="Classification">
    <vt:lpwstr> </vt:lpwstr>
  </property>
  <property fmtid="{D5CDD505-2E9C-101B-9397-08002B2CF9AE}" pid="6" name="DocStatus">
    <vt:lpwstr>Green</vt:lpwstr>
  </property>
</Properties>
</file>