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drawings/drawing1.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drawings/drawing3.xml" ContentType="application/vnd.openxmlformats-officedocument.drawingml.chartshapes+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drawings/drawing4.xml" ContentType="application/vnd.openxmlformats-officedocument.drawingml.chartshapes+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drawings/drawing5.xml" ContentType="application/vnd.openxmlformats-officedocument.drawingml.chartshapes+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charts/chart66.xml" ContentType="application/vnd.openxmlformats-officedocument.drawingml.chart+xml"/>
  <Override PartName="/word/theme/themeOverride65.xml" ContentType="application/vnd.openxmlformats-officedocument.themeOverride+xml"/>
  <Override PartName="/word/drawings/drawing6.xml" ContentType="application/vnd.openxmlformats-officedocument.drawingml.chartshapes+xml"/>
  <Override PartName="/word/charts/chart67.xml" ContentType="application/vnd.openxmlformats-officedocument.drawingml.chart+xml"/>
  <Override PartName="/word/theme/themeOverride66.xml" ContentType="application/vnd.openxmlformats-officedocument.themeOverride+xml"/>
  <Override PartName="/word/charts/chart68.xml" ContentType="application/vnd.openxmlformats-officedocument.drawingml.chart+xml"/>
  <Override PartName="/word/theme/themeOverride67.xml" ContentType="application/vnd.openxmlformats-officedocument.themeOverride+xml"/>
  <Override PartName="/word/charts/chart69.xml" ContentType="application/vnd.openxmlformats-officedocument.drawingml.chart+xml"/>
  <Override PartName="/word/charts/chart70.xml" ContentType="application/vnd.openxmlformats-officedocument.drawingml.chart+xml"/>
  <Override PartName="/word/theme/themeOverride68.xml" ContentType="application/vnd.openxmlformats-officedocument.themeOverride+xml"/>
  <Override PartName="/word/charts/chart71.xml" ContentType="application/vnd.openxmlformats-officedocument.drawingml.chart+xml"/>
  <Override PartName="/word/theme/themeOverride69.xml" ContentType="application/vnd.openxmlformats-officedocument.themeOverride+xml"/>
  <Override PartName="/word/charts/chart72.xml" ContentType="application/vnd.openxmlformats-officedocument.drawingml.chart+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73.xml" ContentType="application/vnd.openxmlformats-officedocument.drawingml.chart+xml"/>
  <Override PartName="/word/theme/themeOverride70.xml" ContentType="application/vnd.openxmlformats-officedocument.themeOverride+xml"/>
  <Override PartName="/word/charts/chart74.xml" ContentType="application/vnd.openxmlformats-officedocument.drawingml.chart+xml"/>
  <Override PartName="/word/theme/themeOverride71.xml" ContentType="application/vnd.openxmlformats-officedocument.themeOverride+xml"/>
  <Override PartName="/word/charts/chart75.xml" ContentType="application/vnd.openxmlformats-officedocument.drawingml.chart+xml"/>
  <Override PartName="/word/theme/themeOverride72.xml" ContentType="application/vnd.openxmlformats-officedocument.themeOverride+xml"/>
  <Override PartName="/word/charts/chart76.xml" ContentType="application/vnd.openxmlformats-officedocument.drawingml.chart+xml"/>
  <Override PartName="/word/theme/themeOverride73.xml" ContentType="application/vnd.openxmlformats-officedocument.themeOverride+xml"/>
  <Override PartName="/word/charts/chart77.xml" ContentType="application/vnd.openxmlformats-officedocument.drawingml.chart+xml"/>
  <Override PartName="/word/theme/themeOverride74.xml" ContentType="application/vnd.openxmlformats-officedocument.themeOverride+xml"/>
  <Override PartName="/word/charts/chart78.xml" ContentType="application/vnd.openxmlformats-officedocument.drawingml.chart+xml"/>
  <Override PartName="/word/theme/themeOverride75.xml" ContentType="application/vnd.openxmlformats-officedocument.themeOverride+xml"/>
  <Override PartName="/word/drawings/drawing7.xml" ContentType="application/vnd.openxmlformats-officedocument.drawingml.chartshapes+xml"/>
  <Override PartName="/word/charts/chart79.xml" ContentType="application/vnd.openxmlformats-officedocument.drawingml.chart+xml"/>
  <Override PartName="/word/theme/themeOverride76.xml" ContentType="application/vnd.openxmlformats-officedocument.themeOverride+xml"/>
  <Override PartName="/word/charts/chart80.xml" ContentType="application/vnd.openxmlformats-officedocument.drawingml.chart+xml"/>
  <Override PartName="/word/theme/themeOverride77.xml" ContentType="application/vnd.openxmlformats-officedocument.themeOverride+xml"/>
  <Override PartName="/word/charts/chart81.xml" ContentType="application/vnd.openxmlformats-officedocument.drawingml.chart+xml"/>
  <Override PartName="/word/theme/themeOverride78.xml" ContentType="application/vnd.openxmlformats-officedocument.themeOverride+xml"/>
  <Override PartName="/word/charts/chart82.xml" ContentType="application/vnd.openxmlformats-officedocument.drawingml.chart+xml"/>
  <Override PartName="/word/theme/themeOverride79.xml" ContentType="application/vnd.openxmlformats-officedocument.themeOverride+xml"/>
  <Override PartName="/word/charts/chart83.xml" ContentType="application/vnd.openxmlformats-officedocument.drawingml.chart+xml"/>
  <Override PartName="/word/theme/themeOverride80.xml" ContentType="application/vnd.openxmlformats-officedocument.themeOverride+xml"/>
  <Override PartName="/word/charts/chart84.xml" ContentType="application/vnd.openxmlformats-officedocument.drawingml.chart+xml"/>
  <Override PartName="/word/theme/themeOverride81.xml" ContentType="application/vnd.openxmlformats-officedocument.themeOverride+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85.xml" ContentType="application/vnd.openxmlformats-officedocument.drawingml.chart+xml"/>
  <Override PartName="/word/theme/themeOverride82.xml" ContentType="application/vnd.openxmlformats-officedocument.themeOverride+xml"/>
  <Override PartName="/word/charts/chart86.xml" ContentType="application/vnd.openxmlformats-officedocument.drawingml.chart+xml"/>
  <Override PartName="/word/theme/themeOverride83.xml" ContentType="application/vnd.openxmlformats-officedocument.themeOverride+xml"/>
  <Override PartName="/word/charts/chart87.xml" ContentType="application/vnd.openxmlformats-officedocument.drawingml.chart+xml"/>
  <Override PartName="/word/theme/themeOverride84.xml" ContentType="application/vnd.openxmlformats-officedocument.themeOverride+xml"/>
  <Override PartName="/word/charts/chart88.xml" ContentType="application/vnd.openxmlformats-officedocument.drawingml.chart+xml"/>
  <Override PartName="/word/theme/themeOverride85.xml" ContentType="application/vnd.openxmlformats-officedocument.themeOverride+xml"/>
  <Override PartName="/word/charts/chart89.xml" ContentType="application/vnd.openxmlformats-officedocument.drawingml.chart+xml"/>
  <Override PartName="/word/theme/themeOverride86.xml" ContentType="application/vnd.openxmlformats-officedocument.themeOverride+xml"/>
  <Override PartName="/word/charts/chart90.xml" ContentType="application/vnd.openxmlformats-officedocument.drawingml.chart+xml"/>
  <Override PartName="/word/theme/themeOverride87.xml" ContentType="application/vnd.openxmlformats-officedocument.themeOverride+xml"/>
  <Override PartName="/word/drawings/drawing8.xml" ContentType="application/vnd.openxmlformats-officedocument.drawingml.chartshapes+xml"/>
  <Override PartName="/word/charts/chart91.xml" ContentType="application/vnd.openxmlformats-officedocument.drawingml.chart+xml"/>
  <Override PartName="/word/theme/themeOverride88.xml" ContentType="application/vnd.openxmlformats-officedocument.themeOverride+xml"/>
  <Override PartName="/word/charts/chart92.xml" ContentType="application/vnd.openxmlformats-officedocument.drawingml.chart+xml"/>
  <Override PartName="/word/theme/themeOverride89.xml" ContentType="application/vnd.openxmlformats-officedocument.themeOverride+xml"/>
  <Override PartName="/word/charts/chart93.xml" ContentType="application/vnd.openxmlformats-officedocument.drawingml.chart+xml"/>
  <Override PartName="/word/theme/themeOverride90.xml" ContentType="application/vnd.openxmlformats-officedocument.themeOverride+xml"/>
  <Override PartName="/word/charts/chart94.xml" ContentType="application/vnd.openxmlformats-officedocument.drawingml.chart+xml"/>
  <Override PartName="/word/theme/themeOverride91.xml" ContentType="application/vnd.openxmlformats-officedocument.themeOverride+xml"/>
  <Override PartName="/word/charts/chart95.xml" ContentType="application/vnd.openxmlformats-officedocument.drawingml.chart+xml"/>
  <Override PartName="/word/theme/themeOverride92.xml" ContentType="application/vnd.openxmlformats-officedocument.themeOverride+xml"/>
  <Override PartName="/word/charts/chart96.xml" ContentType="application/vnd.openxmlformats-officedocument.drawingml.chart+xml"/>
  <Override PartName="/word/theme/themeOverride93.xml" ContentType="application/vnd.openxmlformats-officedocument.themeOverride+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charts/chart97.xml" ContentType="application/vnd.openxmlformats-officedocument.drawingml.chart+xml"/>
  <Override PartName="/word/theme/themeOverride94.xml" ContentType="application/vnd.openxmlformats-officedocument.themeOverride+xml"/>
  <Override PartName="/word/charts/chart98.xml" ContentType="application/vnd.openxmlformats-officedocument.drawingml.chart+xml"/>
  <Override PartName="/word/theme/themeOverride95.xml" ContentType="application/vnd.openxmlformats-officedocument.themeOverride+xml"/>
  <Override PartName="/word/charts/chart99.xml" ContentType="application/vnd.openxmlformats-officedocument.drawingml.chart+xml"/>
  <Override PartName="/word/theme/themeOverride96.xml" ContentType="application/vnd.openxmlformats-officedocument.themeOverride+xml"/>
  <Override PartName="/word/charts/chart100.xml" ContentType="application/vnd.openxmlformats-officedocument.drawingml.chart+xml"/>
  <Override PartName="/word/theme/themeOverride97.xml" ContentType="application/vnd.openxmlformats-officedocument.themeOverride+xml"/>
  <Override PartName="/word/charts/chart101.xml" ContentType="application/vnd.openxmlformats-officedocument.drawingml.chart+xml"/>
  <Override PartName="/word/theme/themeOverride98.xml" ContentType="application/vnd.openxmlformats-officedocument.themeOverride+xml"/>
  <Override PartName="/word/charts/chart102.xml" ContentType="application/vnd.openxmlformats-officedocument.drawingml.chart+xml"/>
  <Override PartName="/word/theme/themeOverride99.xml" ContentType="application/vnd.openxmlformats-officedocument.themeOverride+xml"/>
  <Override PartName="/word/drawings/drawing9.xml" ContentType="application/vnd.openxmlformats-officedocument.drawingml.chartshapes+xml"/>
  <Override PartName="/word/charts/chart103.xml" ContentType="application/vnd.openxmlformats-officedocument.drawingml.chart+xml"/>
  <Override PartName="/word/theme/themeOverride100.xml" ContentType="application/vnd.openxmlformats-officedocument.themeOverride+xml"/>
  <Override PartName="/word/charts/chart104.xml" ContentType="application/vnd.openxmlformats-officedocument.drawingml.chart+xml"/>
  <Override PartName="/word/theme/themeOverride101.xml" ContentType="application/vnd.openxmlformats-officedocument.themeOverride+xml"/>
  <Override PartName="/word/charts/chart105.xml" ContentType="application/vnd.openxmlformats-officedocument.drawingml.chart+xml"/>
  <Override PartName="/word/theme/themeOverride102.xml" ContentType="application/vnd.openxmlformats-officedocument.themeOverride+xml"/>
  <Override PartName="/word/charts/chart106.xml" ContentType="application/vnd.openxmlformats-officedocument.drawingml.chart+xml"/>
  <Override PartName="/word/theme/themeOverride103.xml" ContentType="application/vnd.openxmlformats-officedocument.themeOverride+xml"/>
  <Override PartName="/word/charts/chart107.xml" ContentType="application/vnd.openxmlformats-officedocument.drawingml.chart+xml"/>
  <Override PartName="/word/theme/themeOverride104.xml" ContentType="application/vnd.openxmlformats-officedocument.themeOverride+xml"/>
  <Override PartName="/word/charts/chart108.xml" ContentType="application/vnd.openxmlformats-officedocument.drawingml.chart+xml"/>
  <Override PartName="/word/theme/themeOverride105.xml" ContentType="application/vnd.openxmlformats-officedocument.themeOverride+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charts/chart109.xml" ContentType="application/vnd.openxmlformats-officedocument.drawingml.chart+xml"/>
  <Override PartName="/word/theme/themeOverride106.xml" ContentType="application/vnd.openxmlformats-officedocument.themeOverride+xml"/>
  <Override PartName="/word/charts/chart110.xml" ContentType="application/vnd.openxmlformats-officedocument.drawingml.chart+xml"/>
  <Override PartName="/word/theme/themeOverride107.xml" ContentType="application/vnd.openxmlformats-officedocument.themeOverride+xml"/>
  <Override PartName="/word/charts/chart111.xml" ContentType="application/vnd.openxmlformats-officedocument.drawingml.chart+xml"/>
  <Override PartName="/word/theme/themeOverride108.xml" ContentType="application/vnd.openxmlformats-officedocument.themeOverride+xml"/>
  <Override PartName="/word/charts/chart112.xml" ContentType="application/vnd.openxmlformats-officedocument.drawingml.chart+xml"/>
  <Override PartName="/word/theme/themeOverride109.xml" ContentType="application/vnd.openxmlformats-officedocument.themeOverride+xml"/>
  <Override PartName="/word/charts/chart113.xml" ContentType="application/vnd.openxmlformats-officedocument.drawingml.chart+xml"/>
  <Override PartName="/word/theme/themeOverride110.xml" ContentType="application/vnd.openxmlformats-officedocument.themeOverride+xml"/>
  <Override PartName="/word/charts/chart114.xml" ContentType="application/vnd.openxmlformats-officedocument.drawingml.chart+xml"/>
  <Override PartName="/word/theme/themeOverride111.xml" ContentType="application/vnd.openxmlformats-officedocument.themeOverride+xml"/>
  <Override PartName="/word/drawings/drawing10.xml" ContentType="application/vnd.openxmlformats-officedocument.drawingml.chartshapes+xml"/>
  <Override PartName="/word/charts/chart115.xml" ContentType="application/vnd.openxmlformats-officedocument.drawingml.chart+xml"/>
  <Override PartName="/word/theme/themeOverride112.xml" ContentType="application/vnd.openxmlformats-officedocument.themeOverride+xml"/>
  <Override PartName="/word/charts/chart116.xml" ContentType="application/vnd.openxmlformats-officedocument.drawingml.chart+xml"/>
  <Override PartName="/word/theme/themeOverride113.xml" ContentType="application/vnd.openxmlformats-officedocument.themeOverride+xml"/>
  <Override PartName="/word/charts/chart117.xml" ContentType="application/vnd.openxmlformats-officedocument.drawingml.chart+xml"/>
  <Override PartName="/word/theme/themeOverride114.xml" ContentType="application/vnd.openxmlformats-officedocument.themeOverride+xml"/>
  <Override PartName="/word/charts/chart118.xml" ContentType="application/vnd.openxmlformats-officedocument.drawingml.chart+xml"/>
  <Override PartName="/word/theme/themeOverride115.xml" ContentType="application/vnd.openxmlformats-officedocument.themeOverride+xml"/>
  <Override PartName="/word/charts/chart119.xml" ContentType="application/vnd.openxmlformats-officedocument.drawingml.chart+xml"/>
  <Override PartName="/word/theme/themeOverride116.xml" ContentType="application/vnd.openxmlformats-officedocument.themeOverride+xml"/>
  <Override PartName="/word/charts/chart120.xml" ContentType="application/vnd.openxmlformats-officedocument.drawingml.chart+xml"/>
  <Override PartName="/word/theme/themeOverride117.xml" ContentType="application/vnd.openxmlformats-officedocument.themeOverride+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121.xml" ContentType="application/vnd.openxmlformats-officedocument.drawingml.chart+xml"/>
  <Override PartName="/word/theme/themeOverride118.xml" ContentType="application/vnd.openxmlformats-officedocument.themeOverride+xml"/>
  <Override PartName="/word/charts/chart122.xml" ContentType="application/vnd.openxmlformats-officedocument.drawingml.chart+xml"/>
  <Override PartName="/word/theme/themeOverride119.xml" ContentType="application/vnd.openxmlformats-officedocument.themeOverride+xml"/>
  <Override PartName="/word/charts/chart123.xml" ContentType="application/vnd.openxmlformats-officedocument.drawingml.chart+xml"/>
  <Override PartName="/word/theme/themeOverride120.xml" ContentType="application/vnd.openxmlformats-officedocument.themeOverride+xml"/>
  <Override PartName="/word/charts/chart124.xml" ContentType="application/vnd.openxmlformats-officedocument.drawingml.chart+xml"/>
  <Override PartName="/word/theme/themeOverride121.xml" ContentType="application/vnd.openxmlformats-officedocument.themeOverride+xml"/>
  <Override PartName="/word/charts/chart125.xml" ContentType="application/vnd.openxmlformats-officedocument.drawingml.chart+xml"/>
  <Override PartName="/word/theme/themeOverride122.xml" ContentType="application/vnd.openxmlformats-officedocument.themeOverride+xml"/>
  <Override PartName="/word/charts/chart126.xml" ContentType="application/vnd.openxmlformats-officedocument.drawingml.chart+xml"/>
  <Override PartName="/word/theme/themeOverride123.xml" ContentType="application/vnd.openxmlformats-officedocument.themeOverride+xml"/>
  <Override PartName="/word/drawings/drawing11.xml" ContentType="application/vnd.openxmlformats-officedocument.drawingml.chartshapes+xml"/>
  <Override PartName="/word/charts/chart127.xml" ContentType="application/vnd.openxmlformats-officedocument.drawingml.chart+xml"/>
  <Override PartName="/word/theme/themeOverride124.xml" ContentType="application/vnd.openxmlformats-officedocument.themeOverride+xml"/>
  <Override PartName="/word/charts/chart128.xml" ContentType="application/vnd.openxmlformats-officedocument.drawingml.chart+xml"/>
  <Override PartName="/word/theme/themeOverride125.xml" ContentType="application/vnd.openxmlformats-officedocument.themeOverride+xml"/>
  <Override PartName="/word/charts/chart129.xml" ContentType="application/vnd.openxmlformats-officedocument.drawingml.chart+xml"/>
  <Override PartName="/word/theme/themeOverride126.xml" ContentType="application/vnd.openxmlformats-officedocument.themeOverride+xml"/>
  <Override PartName="/word/charts/chart130.xml" ContentType="application/vnd.openxmlformats-officedocument.drawingml.chart+xml"/>
  <Override PartName="/word/theme/themeOverride127.xml" ContentType="application/vnd.openxmlformats-officedocument.themeOverride+xml"/>
  <Override PartName="/word/charts/chart131.xml" ContentType="application/vnd.openxmlformats-officedocument.drawingml.chart+xml"/>
  <Override PartName="/word/theme/themeOverride128.xml" ContentType="application/vnd.openxmlformats-officedocument.themeOverride+xml"/>
  <Override PartName="/word/charts/chart132.xml" ContentType="application/vnd.openxmlformats-officedocument.drawingml.chart+xml"/>
  <Override PartName="/word/theme/themeOverride129.xml" ContentType="application/vnd.openxmlformats-officedocument.themeOverride+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charts/chart133.xml" ContentType="application/vnd.openxmlformats-officedocument.drawingml.chart+xml"/>
  <Override PartName="/word/theme/themeOverride130.xml" ContentType="application/vnd.openxmlformats-officedocument.themeOverride+xml"/>
  <Override PartName="/word/charts/chart134.xml" ContentType="application/vnd.openxmlformats-officedocument.drawingml.chart+xml"/>
  <Override PartName="/word/theme/themeOverride131.xml" ContentType="application/vnd.openxmlformats-officedocument.themeOverride+xml"/>
  <Override PartName="/word/charts/chart135.xml" ContentType="application/vnd.openxmlformats-officedocument.drawingml.chart+xml"/>
  <Override PartName="/word/theme/themeOverride132.xml" ContentType="application/vnd.openxmlformats-officedocument.themeOverride+xml"/>
  <Override PartName="/word/charts/chart136.xml" ContentType="application/vnd.openxmlformats-officedocument.drawingml.chart+xml"/>
  <Override PartName="/word/theme/themeOverride133.xml" ContentType="application/vnd.openxmlformats-officedocument.themeOverride+xml"/>
  <Override PartName="/word/charts/chart137.xml" ContentType="application/vnd.openxmlformats-officedocument.drawingml.chart+xml"/>
  <Override PartName="/word/theme/themeOverride134.xml" ContentType="application/vnd.openxmlformats-officedocument.themeOverride+xml"/>
  <Override PartName="/word/charts/chart138.xml" ContentType="application/vnd.openxmlformats-officedocument.drawingml.chart+xml"/>
  <Override PartName="/word/theme/themeOverride135.xml" ContentType="application/vnd.openxmlformats-officedocument.themeOverride+xml"/>
  <Override PartName="/word/drawings/drawing12.xml" ContentType="application/vnd.openxmlformats-officedocument.drawingml.chartshapes+xml"/>
  <Override PartName="/word/charts/chart139.xml" ContentType="application/vnd.openxmlformats-officedocument.drawingml.chart+xml"/>
  <Override PartName="/word/theme/themeOverride136.xml" ContentType="application/vnd.openxmlformats-officedocument.themeOverride+xml"/>
  <Override PartName="/word/charts/chart140.xml" ContentType="application/vnd.openxmlformats-officedocument.drawingml.chart+xml"/>
  <Override PartName="/word/theme/themeOverride137.xml" ContentType="application/vnd.openxmlformats-officedocument.themeOverride+xml"/>
  <Override PartName="/word/charts/chart141.xml" ContentType="application/vnd.openxmlformats-officedocument.drawingml.chart+xml"/>
  <Override PartName="/word/theme/themeOverride138.xml" ContentType="application/vnd.openxmlformats-officedocument.themeOverride+xml"/>
  <Override PartName="/word/charts/chart142.xml" ContentType="application/vnd.openxmlformats-officedocument.drawingml.chart+xml"/>
  <Override PartName="/word/theme/themeOverride139.xml" ContentType="application/vnd.openxmlformats-officedocument.themeOverride+xml"/>
  <Override PartName="/word/charts/chart143.xml" ContentType="application/vnd.openxmlformats-officedocument.drawingml.chart+xml"/>
  <Override PartName="/word/theme/themeOverride140.xml" ContentType="application/vnd.openxmlformats-officedocument.themeOverride+xml"/>
  <Override PartName="/word/charts/chart144.xml" ContentType="application/vnd.openxmlformats-officedocument.drawingml.chart+xml"/>
  <Override PartName="/word/theme/themeOverride141.xml" ContentType="application/vnd.openxmlformats-officedocument.themeOverride+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charts/chart145.xml" ContentType="application/vnd.openxmlformats-officedocument.drawingml.chart+xml"/>
  <Override PartName="/word/theme/themeOverride142.xml" ContentType="application/vnd.openxmlformats-officedocument.themeOverride+xml"/>
  <Override PartName="/word/charts/chart146.xml" ContentType="application/vnd.openxmlformats-officedocument.drawingml.chart+xml"/>
  <Override PartName="/word/theme/themeOverride143.xml" ContentType="application/vnd.openxmlformats-officedocument.themeOverride+xml"/>
  <Override PartName="/word/charts/chart147.xml" ContentType="application/vnd.openxmlformats-officedocument.drawingml.chart+xml"/>
  <Override PartName="/word/theme/themeOverride144.xml" ContentType="application/vnd.openxmlformats-officedocument.themeOverride+xml"/>
  <Override PartName="/word/charts/chart148.xml" ContentType="application/vnd.openxmlformats-officedocument.drawingml.chart+xml"/>
  <Override PartName="/word/theme/themeOverride145.xml" ContentType="application/vnd.openxmlformats-officedocument.themeOverride+xml"/>
  <Override PartName="/word/charts/chart149.xml" ContentType="application/vnd.openxmlformats-officedocument.drawingml.chart+xml"/>
  <Override PartName="/word/theme/themeOverride146.xml" ContentType="application/vnd.openxmlformats-officedocument.themeOverride+xml"/>
  <Override PartName="/word/charts/chart150.xml" ContentType="application/vnd.openxmlformats-officedocument.drawingml.chart+xml"/>
  <Override PartName="/word/theme/themeOverride147.xml" ContentType="application/vnd.openxmlformats-officedocument.themeOverride+xml"/>
  <Override PartName="/word/drawings/drawing13.xml" ContentType="application/vnd.openxmlformats-officedocument.drawingml.chartshapes+xml"/>
  <Override PartName="/word/charts/chart151.xml" ContentType="application/vnd.openxmlformats-officedocument.drawingml.chart+xml"/>
  <Override PartName="/word/theme/themeOverride148.xml" ContentType="application/vnd.openxmlformats-officedocument.themeOverride+xml"/>
  <Override PartName="/word/charts/chart152.xml" ContentType="application/vnd.openxmlformats-officedocument.drawingml.chart+xml"/>
  <Override PartName="/word/theme/themeOverride149.xml" ContentType="application/vnd.openxmlformats-officedocument.themeOverride+xml"/>
  <Override PartName="/word/charts/chart153.xml" ContentType="application/vnd.openxmlformats-officedocument.drawingml.chart+xml"/>
  <Override PartName="/word/theme/themeOverride150.xml" ContentType="application/vnd.openxmlformats-officedocument.themeOverride+xml"/>
  <Override PartName="/word/charts/chart154.xml" ContentType="application/vnd.openxmlformats-officedocument.drawingml.chart+xml"/>
  <Override PartName="/word/theme/themeOverride151.xml" ContentType="application/vnd.openxmlformats-officedocument.themeOverride+xml"/>
  <Override PartName="/word/charts/chart155.xml" ContentType="application/vnd.openxmlformats-officedocument.drawingml.chart+xml"/>
  <Override PartName="/word/theme/themeOverride152.xml" ContentType="application/vnd.openxmlformats-officedocument.themeOverride+xml"/>
  <Override PartName="/word/charts/chart156.xml" ContentType="application/vnd.openxmlformats-officedocument.drawingml.chart+xml"/>
  <Override PartName="/word/theme/themeOverride153.xml" ContentType="application/vnd.openxmlformats-officedocument.themeOverride+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charts/chart157.xml" ContentType="application/vnd.openxmlformats-officedocument.drawingml.chart+xml"/>
  <Override PartName="/word/theme/themeOverride154.xml" ContentType="application/vnd.openxmlformats-officedocument.themeOverride+xml"/>
  <Override PartName="/word/charts/chart158.xml" ContentType="application/vnd.openxmlformats-officedocument.drawingml.chart+xml"/>
  <Override PartName="/word/theme/themeOverride155.xml" ContentType="application/vnd.openxmlformats-officedocument.themeOverride+xml"/>
  <Override PartName="/word/charts/chart159.xml" ContentType="application/vnd.openxmlformats-officedocument.drawingml.chart+xml"/>
  <Override PartName="/word/theme/themeOverride156.xml" ContentType="application/vnd.openxmlformats-officedocument.themeOverride+xml"/>
  <Override PartName="/word/charts/chart160.xml" ContentType="application/vnd.openxmlformats-officedocument.drawingml.chart+xml"/>
  <Override PartName="/word/theme/themeOverride157.xml" ContentType="application/vnd.openxmlformats-officedocument.themeOverride+xml"/>
  <Override PartName="/word/charts/chart161.xml" ContentType="application/vnd.openxmlformats-officedocument.drawingml.chart+xml"/>
  <Override PartName="/word/theme/themeOverride158.xml" ContentType="application/vnd.openxmlformats-officedocument.themeOverride+xml"/>
  <Override PartName="/word/charts/chart162.xml" ContentType="application/vnd.openxmlformats-officedocument.drawingml.chart+xml"/>
  <Override PartName="/word/theme/themeOverride159.xml" ContentType="application/vnd.openxmlformats-officedocument.themeOverride+xml"/>
  <Override PartName="/word/drawings/drawing14.xml" ContentType="application/vnd.openxmlformats-officedocument.drawingml.chartshapes+xml"/>
  <Override PartName="/word/charts/chart163.xml" ContentType="application/vnd.openxmlformats-officedocument.drawingml.chart+xml"/>
  <Override PartName="/word/theme/themeOverride160.xml" ContentType="application/vnd.openxmlformats-officedocument.themeOverride+xml"/>
  <Override PartName="/word/charts/chart164.xml" ContentType="application/vnd.openxmlformats-officedocument.drawingml.chart+xml"/>
  <Override PartName="/word/theme/themeOverride161.xml" ContentType="application/vnd.openxmlformats-officedocument.themeOverride+xml"/>
  <Override PartName="/word/charts/chart165.xml" ContentType="application/vnd.openxmlformats-officedocument.drawingml.chart+xml"/>
  <Override PartName="/word/theme/themeOverride162.xml" ContentType="application/vnd.openxmlformats-officedocument.themeOverride+xml"/>
  <Override PartName="/word/charts/chart166.xml" ContentType="application/vnd.openxmlformats-officedocument.drawingml.chart+xml"/>
  <Override PartName="/word/theme/themeOverride163.xml" ContentType="application/vnd.openxmlformats-officedocument.themeOverride+xml"/>
  <Override PartName="/word/charts/chart167.xml" ContentType="application/vnd.openxmlformats-officedocument.drawingml.chart+xml"/>
  <Override PartName="/word/theme/themeOverride164.xml" ContentType="application/vnd.openxmlformats-officedocument.themeOverride+xml"/>
  <Override PartName="/word/charts/chart168.xml" ContentType="application/vnd.openxmlformats-officedocument.drawingml.chart+xml"/>
  <Override PartName="/word/theme/themeOverride165.xml" ContentType="application/vnd.openxmlformats-officedocument.themeOverride+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13140770"/>
      <w:bookmarkStart w:id="1" w:name="_Toc415656190"/>
      <w:bookmarkStart w:id="2" w:name="_Toc406073936"/>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alt="94CF47D81FB3420E915E1A1AAB6BB864" style="width:450.75pt;height:417.75pt">
            <v:imagedata r:id="rId12" o:title=""/>
          </v:shape>
        </w:pict>
      </w:r>
    </w:p>
    <w:bookmarkEnd w:id="3"/>
    <w:p>
      <w:pPr>
        <w:rPr>
          <w:noProof/>
        </w:rPr>
        <w:sectPr>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pgMar w:top="1134" w:right="1417" w:bottom="1134" w:left="1417" w:header="709" w:footer="709" w:gutter="0"/>
          <w:pgNumType w:start="1"/>
          <w:cols w:space="720"/>
          <w:docGrid w:linePitch="360"/>
        </w:sectPr>
      </w:pPr>
    </w:p>
    <w:p>
      <w:pPr>
        <w:pStyle w:val="Heading1"/>
        <w:rPr>
          <w:noProof/>
        </w:rPr>
      </w:pPr>
      <w:bookmarkStart w:id="4" w:name="_Toc475974654"/>
      <w:bookmarkStart w:id="5" w:name="_Toc475980150"/>
      <w:bookmarkStart w:id="6" w:name="_Toc475981399"/>
      <w:bookmarkStart w:id="7" w:name="_Toc477938597"/>
      <w:bookmarkStart w:id="8" w:name="_GoBack"/>
      <w:bookmarkEnd w:id="0"/>
      <w:bookmarkEnd w:id="1"/>
      <w:bookmarkEnd w:id="2"/>
      <w:bookmarkEnd w:id="8"/>
      <w:r>
        <w:rPr>
          <w:noProof/>
        </w:rPr>
        <w:lastRenderedPageBreak/>
        <w:t>Lithuania</w:t>
      </w:r>
      <w:bookmarkEnd w:id="4"/>
      <w:bookmarkEnd w:id="5"/>
      <w:bookmarkEnd w:id="6"/>
      <w:bookmarkEnd w:id="7"/>
    </w:p>
    <w:p>
      <w:pPr>
        <w:spacing w:after="120"/>
        <w:rPr>
          <w:rFonts w:ascii="Arial" w:hAnsi="Arial" w:cs="Arial"/>
          <w:i/>
          <w:noProof/>
          <w:sz w:val="22"/>
          <w:szCs w:val="22"/>
        </w:rPr>
      </w:pPr>
      <w:r>
        <w:rPr>
          <w:rFonts w:ascii="Arial" w:hAnsi="Arial"/>
          <w:i/>
          <w:noProof/>
          <w:sz w:val="22"/>
        </w:rPr>
        <w:t xml:space="preserve">In 2016 new complaints against Lithuania fell after rising for 2 years. The number of new EU Pilot files continued its downward trend. However, both the numbers of open infringement cases and of new cases for late transposition rose to their highest levels since 2012.  </w:t>
      </w:r>
    </w:p>
    <w:p>
      <w:pPr>
        <w:spacing w:after="120"/>
        <w:rPr>
          <w:rFonts w:ascii="Arial" w:hAnsi="Arial" w:cs="Arial"/>
          <w:i/>
          <w:noProof/>
          <w:sz w:val="22"/>
          <w:szCs w:val="22"/>
        </w:rPr>
      </w:pPr>
    </w:p>
    <w:p>
      <w:pPr>
        <w:pStyle w:val="kop2"/>
        <w:numPr>
          <w:ilvl w:val="0"/>
          <w:numId w:val="10"/>
        </w:numPr>
        <w:rPr>
          <w:noProof/>
        </w:rPr>
      </w:pPr>
      <w:r>
        <w:rPr>
          <w:noProof/>
        </w:rPr>
        <w:t>COMPLAINTS</w:t>
      </w:r>
    </w:p>
    <w:p>
      <w:pPr>
        <w:pStyle w:val="Subtitle"/>
        <w:numPr>
          <w:ilvl w:val="0"/>
          <w:numId w:val="39"/>
        </w:numPr>
        <w:rPr>
          <w:noProof/>
        </w:rPr>
      </w:pPr>
      <w:r>
        <w:rPr>
          <w:noProof/>
        </w:rPr>
        <w:t>New complaints made against Lithuania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7443" cy="2302328"/>
            <wp:effectExtent l="0" t="0" r="13970" b="22225"/>
            <wp:docPr id="77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pPr>
        <w:pStyle w:val="Subtitle"/>
        <w:numPr>
          <w:ilvl w:val="0"/>
          <w:numId w:val="39"/>
        </w:numPr>
        <w:rPr>
          <w:noProof/>
        </w:rPr>
      </w:pPr>
      <w:r>
        <w:rPr>
          <w:noProof/>
        </w:rPr>
        <w:t>Public complaints against Lithuania open at year-end</w:t>
      </w:r>
    </w:p>
    <w:tbl>
      <w:tblPr>
        <w:tblStyle w:val="Style116"/>
        <w:tblW w:w="0" w:type="auto"/>
        <w:jc w:val="center"/>
        <w:tblInd w:w="421" w:type="dxa"/>
        <w:tblLook w:val="04A0" w:firstRow="1" w:lastRow="0" w:firstColumn="1" w:lastColumn="0" w:noHBand="0" w:noVBand="1"/>
      </w:tblPr>
      <w:tblGrid>
        <w:gridCol w:w="1697"/>
        <w:gridCol w:w="355"/>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45</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30</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36</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39</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39"/>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46960"/>
            <wp:effectExtent l="0" t="0" r="11430" b="15240"/>
            <wp:docPr id="773"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lastRenderedPageBreak/>
        <w:t>EU PILOT</w:t>
      </w:r>
    </w:p>
    <w:p>
      <w:pPr>
        <w:pStyle w:val="Subtitle"/>
        <w:numPr>
          <w:ilvl w:val="0"/>
          <w:numId w:val="40"/>
        </w:numPr>
        <w:rPr>
          <w:noProof/>
        </w:rPr>
      </w:pPr>
      <w:r>
        <w:rPr>
          <w:noProof/>
        </w:rPr>
        <w:t>New EU Pilot files opened against Lithuania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66557" cy="2100943"/>
            <wp:effectExtent l="0" t="0" r="24765" b="13970"/>
            <wp:docPr id="77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pStyle w:val="Subtitle"/>
        <w:numPr>
          <w:ilvl w:val="0"/>
          <w:numId w:val="40"/>
        </w:numPr>
        <w:rPr>
          <w:noProof/>
        </w:rPr>
      </w:pPr>
      <w:r>
        <w:rPr>
          <w:noProof/>
        </w:rPr>
        <w:t>Files relating to Lithuania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66557" cy="2100943"/>
            <wp:effectExtent l="0" t="0" r="24765" b="13970"/>
            <wp:docPr id="16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pStyle w:val="Subtitle"/>
        <w:numPr>
          <w:ilvl w:val="0"/>
          <w:numId w:val="40"/>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62200"/>
            <wp:effectExtent l="0" t="0" r="15240" b="19050"/>
            <wp:docPr id="775"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40"/>
        </w:numPr>
        <w:rPr>
          <w:noProof/>
        </w:rPr>
      </w:pPr>
      <w:r>
        <w:rPr>
          <w:noProof/>
        </w:rPr>
        <w:t>EU Pilot files: Lithuania’s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111828"/>
            <wp:effectExtent l="0" t="0" r="22225" b="22225"/>
            <wp:docPr id="77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Subtitle"/>
        <w:numPr>
          <w:ilvl w:val="0"/>
          <w:numId w:val="40"/>
        </w:numPr>
        <w:rPr>
          <w:noProof/>
        </w:rPr>
      </w:pPr>
      <w:r>
        <w:rPr>
          <w:noProof/>
        </w:rPr>
        <w:t>EU Pilot files: Lithuania’s resolution rate in 2012-2016</w:t>
      </w:r>
    </w:p>
    <w:p>
      <w:pPr>
        <w:ind w:firstLine="709"/>
        <w:rPr>
          <w:rFonts w:ascii="Arial" w:hAnsi="Arial" w:cs="Arial"/>
          <w:noProof/>
          <w:sz w:val="20"/>
        </w:rPr>
      </w:pPr>
      <w:r>
        <w:rPr>
          <w:rFonts w:ascii="Arial" w:hAnsi="Arial" w:cs="Arial"/>
          <w:noProof/>
          <w:sz w:val="20"/>
          <w:lang w:val="en-US"/>
        </w:rPr>
        <w:drawing>
          <wp:inline distT="0" distB="0" distL="0" distR="0">
            <wp:extent cx="4577443" cy="2525486"/>
            <wp:effectExtent l="0" t="0" r="13970" b="27305"/>
            <wp:docPr id="77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41"/>
        </w:numPr>
        <w:rPr>
          <w:noProof/>
        </w:rPr>
      </w:pPr>
      <w:r>
        <w:rPr>
          <w:noProof/>
        </w:rPr>
        <w:t>Infringement cases against Lithuania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5543" cy="2226128"/>
            <wp:effectExtent l="0" t="0" r="13970" b="22225"/>
            <wp:docPr id="778"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17420"/>
            <wp:effectExtent l="0" t="0" r="11430" b="11430"/>
            <wp:docPr id="779"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203"/>
        </w:numPr>
        <w:ind w:hanging="426"/>
        <w:rPr>
          <w:rFonts w:ascii="Arial" w:hAnsi="Arial" w:cs="Arial"/>
          <w:noProof/>
          <w:lang w:val="en-GB"/>
        </w:rPr>
      </w:pPr>
      <w:r>
        <w:rPr>
          <w:rFonts w:ascii="Arial" w:hAnsi="Arial" w:cs="Arial"/>
          <w:noProof/>
          <w:lang w:val="en-GB"/>
        </w:rPr>
        <w:t>The Commission opened 31 new infringement cases against Lithuania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Framework Decision on the ‘Swedish initiative’ on simplifying the exchange of information and intelligence between law enforcement authorities of EU Member States;</w:t>
      </w:r>
      <w:r>
        <w:rPr>
          <w:rStyle w:val="FootnoteReference"/>
          <w:rFonts w:ascii="Arial" w:hAnsi="Arial" w:cs="Arial"/>
          <w:noProof/>
          <w:lang w:val="en-GB"/>
        </w:rPr>
        <w:footnoteReference w:id="2"/>
      </w:r>
    </w:p>
    <w:p>
      <w:pPr>
        <w:pStyle w:val="Lijstje2"/>
        <w:ind w:left="1843" w:hanging="426"/>
        <w:rPr>
          <w:rFonts w:ascii="Arial" w:hAnsi="Arial"/>
          <w:noProof/>
          <w:lang w:val="en-GB"/>
        </w:rPr>
      </w:pPr>
      <w:r>
        <w:rPr>
          <w:rFonts w:ascii="Arial" w:hAnsi="Arial" w:cs="Arial"/>
          <w:noProof/>
          <w:lang w:val="en-GB"/>
        </w:rPr>
        <w:t>non-communication of national measures transposing the Directive on interpretation and translation in criminal proceedings;</w:t>
      </w:r>
      <w:r>
        <w:rPr>
          <w:rStyle w:val="FootnoteReference"/>
          <w:rFonts w:ascii="Arial" w:hAnsi="Arial" w:cs="Arial"/>
          <w:noProof/>
          <w:lang w:val="en-GB"/>
        </w:rPr>
        <w:footnoteReference w:id="3"/>
      </w:r>
    </w:p>
    <w:p>
      <w:pPr>
        <w:pStyle w:val="Lijstje2"/>
        <w:spacing w:after="200"/>
        <w:ind w:left="1843" w:hanging="425"/>
        <w:rPr>
          <w:rFonts w:ascii="Arial" w:hAnsi="Arial" w:cs="Arial"/>
          <w:noProof/>
          <w:lang w:val="en-GB"/>
        </w:rPr>
      </w:pPr>
      <w:r>
        <w:rPr>
          <w:rFonts w:ascii="Arial" w:hAnsi="Arial" w:cs="Arial"/>
          <w:noProof/>
          <w:lang w:val="en-GB"/>
        </w:rPr>
        <w:t>national restrictions on the acquisition of agricultural land which limit the free movement of capital and freedom of establishment by being discriminatory and/or disproportionate;</w:t>
      </w:r>
      <w:r>
        <w:rPr>
          <w:rStyle w:val="FootnoteReference"/>
          <w:noProof/>
          <w:lang w:val="en-GB"/>
        </w:rPr>
        <w:footnoteReference w:id="4"/>
      </w:r>
    </w:p>
    <w:p>
      <w:pPr>
        <w:pStyle w:val="Lijstje2"/>
        <w:spacing w:after="200"/>
        <w:ind w:left="1843" w:hanging="425"/>
        <w:rPr>
          <w:rFonts w:ascii="Arial" w:hAnsi="Arial" w:cs="Arial"/>
          <w:i/>
          <w:noProof/>
          <w:lang w:val="en-GB"/>
        </w:rPr>
      </w:pPr>
      <w:r>
        <w:rPr>
          <w:rFonts w:ascii="Arial" w:hAnsi="Arial" w:cs="Arial"/>
          <w:noProof/>
          <w:lang w:val="en-GB"/>
        </w:rPr>
        <w:t>restrictions on the freedom to provide port services and the freedom of establishment;</w:t>
      </w:r>
    </w:p>
    <w:p>
      <w:pPr>
        <w:pStyle w:val="Lijstje2"/>
        <w:spacing w:after="200"/>
        <w:ind w:left="1843" w:hanging="425"/>
        <w:rPr>
          <w:rFonts w:ascii="Arial" w:hAnsi="Arial" w:cs="Arial"/>
          <w:i/>
          <w:noProof/>
          <w:lang w:val="en-GB"/>
        </w:rPr>
      </w:pPr>
      <w:r>
        <w:rPr>
          <w:rFonts w:ascii="Arial" w:hAnsi="Arial" w:cs="Arial"/>
          <w:noProof/>
          <w:lang w:val="en-GB"/>
        </w:rPr>
        <w:t xml:space="preserve">non-communication of national measures transposing the Maritime Spatial Planning Directive; </w:t>
      </w:r>
      <w:r>
        <w:rPr>
          <w:rStyle w:val="FootnoteReference"/>
          <w:noProof/>
        </w:rPr>
        <w:footnoteReference w:id="5"/>
      </w:r>
      <w:r>
        <w:rPr>
          <w:rFonts w:ascii="Arial" w:hAnsi="Arial" w:cs="Arial"/>
          <w:noProof/>
          <w:lang w:val="en-GB"/>
        </w:rPr>
        <w:t xml:space="preserve"> </w:t>
      </w:r>
    </w:p>
    <w:p>
      <w:pPr>
        <w:pStyle w:val="Lijstje2"/>
        <w:ind w:left="1843" w:hanging="425"/>
        <w:rPr>
          <w:rFonts w:ascii="Arial" w:hAnsi="Arial" w:cs="Arial"/>
          <w:noProof/>
          <w:lang w:val="en-GB" w:eastAsia="en-GB"/>
        </w:rPr>
      </w:pPr>
      <w:r>
        <w:rPr>
          <w:rFonts w:ascii="Arial" w:hAnsi="Arial" w:cs="Arial"/>
          <w:i/>
          <w:noProof/>
          <w:lang w:val="en-GB"/>
        </w:rPr>
        <w:t>e</w:t>
      </w:r>
      <w:r>
        <w:rPr>
          <w:rFonts w:ascii="Arial" w:hAnsi="Arial" w:cs="Arial"/>
          <w:noProof/>
          <w:lang w:val="en-GB"/>
        </w:rPr>
        <w:t>xcessive and unjustified obstacles in the area of professional services that run counter to the Services Directive;</w:t>
      </w:r>
      <w:r>
        <w:rPr>
          <w:rStyle w:val="FootnoteReference"/>
          <w:noProof/>
        </w:rPr>
        <w:footnoteReference w:id="6"/>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cs="Arial"/>
          <w:i/>
          <w:noProof/>
          <w:lang w:val="en-GB"/>
        </w:rPr>
        <w:footnoteReference w:id="7"/>
      </w:r>
    </w:p>
    <w:p>
      <w:pPr>
        <w:pStyle w:val="Lijstje2"/>
        <w:ind w:left="1843" w:hanging="425"/>
        <w:rPr>
          <w:rFonts w:ascii="Arial" w:hAnsi="Arial" w:cs="Arial"/>
          <w:noProof/>
          <w:lang w:val="en-GB"/>
        </w:rPr>
      </w:pP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8"/>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42"/>
        </w:numPr>
        <w:rPr>
          <w:noProof/>
        </w:rPr>
      </w:pPr>
      <w:r>
        <w:rPr>
          <w:noProof/>
        </w:rPr>
        <w:t>Late transposition infringement cases against Lithuania open on 31 December (2012-2016)</w:t>
      </w:r>
    </w:p>
    <w:p>
      <w:pPr>
        <w:ind w:left="426" w:firstLine="283"/>
        <w:rPr>
          <w:noProof/>
        </w:rPr>
      </w:pPr>
      <w:r>
        <w:rPr>
          <w:noProof/>
          <w:lang w:val="en-US"/>
        </w:rPr>
        <w:drawing>
          <wp:inline distT="0" distB="0" distL="0" distR="0">
            <wp:extent cx="4579620" cy="2171700"/>
            <wp:effectExtent l="0" t="0" r="11430" b="19050"/>
            <wp:docPr id="780"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Subtitle"/>
        <w:numPr>
          <w:ilvl w:val="0"/>
          <w:numId w:val="42"/>
        </w:numPr>
        <w:rPr>
          <w:noProof/>
        </w:rPr>
      </w:pPr>
      <w:r>
        <w:rPr>
          <w:noProof/>
        </w:rPr>
        <w:t>New late transposition infringement cases against Lithuania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308860"/>
            <wp:effectExtent l="0" t="0" r="11430" b="15240"/>
            <wp:docPr id="781"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07920"/>
            <wp:effectExtent l="0" t="0" r="22860" b="11430"/>
            <wp:docPr id="782"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ab/>
        <w:t>These concerned:</w:t>
      </w:r>
    </w:p>
    <w:p>
      <w:pPr>
        <w:numPr>
          <w:ilvl w:val="0"/>
          <w:numId w:val="254"/>
        </w:numPr>
        <w:spacing w:after="0"/>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9"/>
      </w:r>
    </w:p>
    <w:p>
      <w:pPr>
        <w:pStyle w:val="ListParagraph"/>
        <w:numPr>
          <w:ilvl w:val="0"/>
          <w:numId w:val="254"/>
        </w:numPr>
        <w:spacing w:after="0"/>
        <w:rPr>
          <w:rFonts w:ascii="Arial" w:eastAsia="Calibri" w:hAnsi="Arial" w:cs="Arial"/>
          <w:noProof/>
          <w:sz w:val="20"/>
          <w:lang w:eastAsia="en-GB"/>
        </w:rPr>
      </w:pPr>
      <w:r>
        <w:rPr>
          <w:rFonts w:ascii="Arial" w:eastAsia="Calibri" w:hAnsi="Arial" w:cs="Arial"/>
          <w:noProof/>
          <w:kern w:val="20"/>
          <w:sz w:val="20"/>
        </w:rPr>
        <w:t xml:space="preserve"> completing the notification of all national measures necessary to transpose the Capital Requirements Directive</w:t>
      </w:r>
      <w:r>
        <w:rPr>
          <w:rStyle w:val="FootnoteReference"/>
          <w:rFonts w:ascii="Arial" w:hAnsi="Arial" w:cs="Arial"/>
          <w:noProof/>
          <w:sz w:val="20"/>
        </w:rPr>
        <w:footnoteReference w:id="10"/>
      </w:r>
      <w:r>
        <w:rPr>
          <w:rFonts w:ascii="Arial" w:eastAsia="Calibri" w:hAnsi="Arial" w:cs="Arial"/>
          <w:noProof/>
          <w:kern w:val="20"/>
          <w:sz w:val="20"/>
        </w:rPr>
        <w:t xml:space="preserve"> and </w:t>
      </w:r>
      <w:r>
        <w:rPr>
          <w:rFonts w:ascii="Arial" w:eastAsia="Calibri" w:hAnsi="Arial" w:cs="Arial"/>
          <w:noProof/>
          <w:sz w:val="20"/>
          <w:lang w:eastAsia="en-GB"/>
        </w:rPr>
        <w:t>the Bank Resolution and Recovery Directive;</w:t>
      </w:r>
      <w:r>
        <w:rPr>
          <w:rStyle w:val="FootnoteReference"/>
          <w:rFonts w:eastAsia="Calibri" w:cs="Arial"/>
          <w:noProof/>
        </w:rPr>
        <w:footnoteReference w:id="11"/>
      </w:r>
    </w:p>
    <w:p>
      <w:pPr>
        <w:numPr>
          <w:ilvl w:val="0"/>
          <w:numId w:val="254"/>
        </w:numPr>
        <w:spacing w:after="0"/>
        <w:contextualSpacing/>
        <w:rPr>
          <w:rFonts w:ascii="Arial" w:hAnsi="Arial" w:cs="Arial"/>
          <w:noProof/>
          <w:sz w:val="20"/>
        </w:rPr>
      </w:pPr>
      <w:r>
        <w:rPr>
          <w:rFonts w:ascii="Arial" w:hAnsi="Arial" w:cs="Arial"/>
          <w:noProof/>
          <w:sz w:val="20"/>
        </w:rPr>
        <w:t>non-compliance with the Railway Safety Directive;</w:t>
      </w:r>
      <w:r>
        <w:rPr>
          <w:rStyle w:val="FootnoteReference"/>
          <w:rFonts w:ascii="Arial" w:hAnsi="Arial" w:cs="Arial"/>
          <w:noProof/>
          <w:sz w:val="20"/>
        </w:rPr>
        <w:footnoteReference w:id="12"/>
      </w:r>
    </w:p>
    <w:p>
      <w:pPr>
        <w:numPr>
          <w:ilvl w:val="0"/>
          <w:numId w:val="254"/>
        </w:numPr>
        <w:spacing w:after="0"/>
        <w:rPr>
          <w:rFonts w:ascii="Arial" w:hAnsi="Arial" w:cs="Arial"/>
          <w:noProof/>
          <w:sz w:val="20"/>
        </w:rPr>
      </w:pPr>
      <w:r>
        <w:rPr>
          <w:rFonts w:ascii="Arial" w:hAnsi="Arial" w:cs="Arial"/>
          <w:noProof/>
          <w:sz w:val="20"/>
        </w:rPr>
        <w:t>lack of implementation of the Regulations on airworthiness.</w:t>
      </w:r>
      <w:r>
        <w:rPr>
          <w:rStyle w:val="FootnoteReference"/>
          <w:rFonts w:ascii="Arial" w:hAnsi="Arial" w:cs="Arial"/>
          <w:noProof/>
          <w:sz w:val="20"/>
        </w:rPr>
        <w:footnoteReference w:id="13"/>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43"/>
        </w:numPr>
        <w:rPr>
          <w:noProof/>
        </w:rPr>
      </w:pPr>
      <w:r>
        <w:rPr>
          <w:noProof/>
        </w:rPr>
        <w:t>Court rulings</w:t>
      </w:r>
      <w:r>
        <w:rPr>
          <w:rStyle w:val="FootnoteReference"/>
          <w:noProof/>
        </w:rPr>
        <w:footnoteReference w:id="14"/>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a preliminary ruling addressed to the Lithuanian judiciary, the Court held that:</w:t>
      </w:r>
    </w:p>
    <w:p>
      <w:pPr>
        <w:pStyle w:val="Lijstje2"/>
        <w:numPr>
          <w:ilvl w:val="0"/>
          <w:numId w:val="245"/>
        </w:numPr>
        <w:rPr>
          <w:rFonts w:ascii="Arial" w:hAnsi="Arial" w:cs="Arial"/>
          <w:noProof/>
          <w:lang w:val="en-GB"/>
        </w:rPr>
      </w:pPr>
      <w:r>
        <w:rPr>
          <w:rFonts w:ascii="Arial" w:hAnsi="Arial" w:cs="Arial"/>
          <w:noProof/>
          <w:lang w:val="en-GB"/>
        </w:rPr>
        <w:t>an air carrier which has concluded a contract of international carriage with an employer of persons carried as passengers is liable to that employer for damage caused by a delay in flights on which its employees were passengers under that contract.</w:t>
      </w:r>
      <w:r>
        <w:rPr>
          <w:rStyle w:val="FootnoteReference"/>
          <w:rFonts w:ascii="Arial" w:hAnsi="Arial" w:cs="Arial"/>
          <w:noProof/>
          <w:lang w:val="en-GB"/>
        </w:rPr>
        <w:footnoteReference w:id="15"/>
      </w:r>
    </w:p>
    <w:p>
      <w:pPr>
        <w:pStyle w:val="Lijstje2"/>
        <w:numPr>
          <w:ilvl w:val="0"/>
          <w:numId w:val="245"/>
        </w:numPr>
        <w:rPr>
          <w:rFonts w:ascii="Arial" w:hAnsi="Arial" w:cs="Arial"/>
          <w:noProof/>
          <w:lang w:val="en-GB"/>
        </w:rPr>
      </w:pPr>
      <w:r>
        <w:rPr>
          <w:rFonts w:ascii="Arial" w:hAnsi="Arial" w:cs="Arial"/>
          <w:noProof/>
          <w:lang w:val="en-GB"/>
        </w:rPr>
        <w:t xml:space="preserve">an organ of the executive such as the Ministry of Justice of the Republic of Lithuania cannot be designated as ‘issuing judicial authority’ and the act issued by such body cannot be regarded as a ‘judicial decision’ for the purpose of executing a European arrest warrant. </w:t>
      </w:r>
      <w:r>
        <w:rPr>
          <w:rStyle w:val="FootnoteReference"/>
          <w:rFonts w:ascii="Arial" w:hAnsi="Arial" w:cs="Arial"/>
          <w:noProof/>
          <w:lang w:val="en-GB"/>
        </w:rPr>
        <w:footnoteReference w:id="16"/>
      </w:r>
    </w:p>
    <w:p>
      <w:pPr>
        <w:spacing w:after="0"/>
        <w:rPr>
          <w:noProof/>
        </w:rPr>
      </w:pPr>
    </w:p>
    <w:p>
      <w:pPr>
        <w:pStyle w:val="ListParagraph"/>
        <w:spacing w:after="0"/>
        <w:ind w:left="1800"/>
        <w:rPr>
          <w:noProof/>
        </w:rPr>
        <w:sectPr>
          <w:headerReference w:type="even" r:id="rId31"/>
          <w:headerReference w:type="default" r:id="rId32"/>
          <w:footerReference w:type="even" r:id="rId33"/>
          <w:footerReference w:type="default" r:id="rId34"/>
          <w:headerReference w:type="first" r:id="rId35"/>
          <w:footerReference w:type="first" r:id="rId36"/>
          <w:footnotePr>
            <w:numRestart w:val="eachSect"/>
          </w:footnotePr>
          <w:pgSz w:w="11906" w:h="16838"/>
          <w:pgMar w:top="1843" w:right="1417" w:bottom="1134" w:left="1417" w:header="567" w:footer="351" w:gutter="0"/>
          <w:pgNumType w:start="96"/>
          <w:cols w:space="708"/>
          <w:titlePg/>
          <w:docGrid w:linePitch="360"/>
        </w:sectPr>
      </w:pPr>
    </w:p>
    <w:p>
      <w:pPr>
        <w:pStyle w:val="Heading1"/>
        <w:rPr>
          <w:noProof/>
        </w:rPr>
      </w:pPr>
      <w:bookmarkStart w:id="9" w:name="_Toc475974655"/>
      <w:bookmarkStart w:id="10" w:name="_Toc475980151"/>
      <w:bookmarkStart w:id="11" w:name="_Toc475981400"/>
      <w:bookmarkStart w:id="12" w:name="_Toc477938598"/>
      <w:r>
        <w:rPr>
          <w:noProof/>
        </w:rPr>
        <w:t>Luxembourg</w:t>
      </w:r>
      <w:bookmarkEnd w:id="9"/>
      <w:bookmarkEnd w:id="10"/>
      <w:bookmarkEnd w:id="11"/>
      <w:bookmarkEnd w:id="12"/>
    </w:p>
    <w:p>
      <w:pPr>
        <w:spacing w:after="120"/>
        <w:rPr>
          <w:rFonts w:ascii="Arial" w:hAnsi="Arial" w:cs="Arial"/>
          <w:i/>
          <w:noProof/>
          <w:sz w:val="22"/>
          <w:szCs w:val="22"/>
        </w:rPr>
      </w:pPr>
      <w:r>
        <w:rPr>
          <w:rFonts w:ascii="Arial" w:hAnsi="Arial"/>
          <w:i/>
          <w:noProof/>
          <w:sz w:val="22"/>
        </w:rPr>
        <w:t>New complaints against Luxembourg in 2016 fell by more than half, the second drop in a row. The number of new EU Pilot files was unchanged. By contrast, open infringement cases and new infringement cases for late transposition both increased quite sharply.</w:t>
      </w:r>
    </w:p>
    <w:p>
      <w:pPr>
        <w:spacing w:after="120"/>
        <w:rPr>
          <w:rFonts w:ascii="Arial" w:hAnsi="Arial" w:cs="Arial"/>
          <w:i/>
          <w:noProof/>
          <w:sz w:val="22"/>
          <w:szCs w:val="22"/>
        </w:rPr>
      </w:pPr>
    </w:p>
    <w:p>
      <w:pPr>
        <w:pStyle w:val="kop2"/>
        <w:numPr>
          <w:ilvl w:val="0"/>
          <w:numId w:val="11"/>
        </w:numPr>
        <w:rPr>
          <w:noProof/>
        </w:rPr>
      </w:pPr>
      <w:r>
        <w:rPr>
          <w:noProof/>
        </w:rPr>
        <w:t>COMPLAINTS</w:t>
      </w:r>
    </w:p>
    <w:p>
      <w:pPr>
        <w:pStyle w:val="Subtitle"/>
        <w:numPr>
          <w:ilvl w:val="0"/>
          <w:numId w:val="44"/>
        </w:numPr>
        <w:rPr>
          <w:noProof/>
        </w:rPr>
      </w:pPr>
      <w:r>
        <w:rPr>
          <w:noProof/>
        </w:rPr>
        <w:t>New complaints made against Luxembourg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99214" cy="2193471"/>
            <wp:effectExtent l="0" t="0" r="11430" b="16510"/>
            <wp:docPr id="80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pStyle w:val="Subtitle"/>
        <w:numPr>
          <w:ilvl w:val="0"/>
          <w:numId w:val="44"/>
        </w:numPr>
        <w:rPr>
          <w:noProof/>
        </w:rPr>
      </w:pPr>
      <w:r>
        <w:rPr>
          <w:noProof/>
        </w:rPr>
        <w:t>Public complaints against Luxembourg open at year-end</w:t>
      </w:r>
    </w:p>
    <w:tbl>
      <w:tblPr>
        <w:tblStyle w:val="Style117"/>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41</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20</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24</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37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44"/>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39340"/>
            <wp:effectExtent l="0" t="0" r="11430" b="22860"/>
            <wp:docPr id="808"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45"/>
        </w:numPr>
        <w:rPr>
          <w:noProof/>
        </w:rPr>
      </w:pPr>
      <w:r>
        <w:rPr>
          <w:noProof/>
        </w:rPr>
        <w:t>New EU Pilot files opened against Luxembourg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82886" cy="2313214"/>
            <wp:effectExtent l="0" t="0" r="27305" b="11430"/>
            <wp:docPr id="80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Subtitle"/>
        <w:numPr>
          <w:ilvl w:val="0"/>
          <w:numId w:val="45"/>
        </w:numPr>
        <w:rPr>
          <w:noProof/>
        </w:rPr>
      </w:pPr>
      <w:r>
        <w:rPr>
          <w:noProof/>
        </w:rPr>
        <w:t>Files relating to Luxembourg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313214"/>
            <wp:effectExtent l="0" t="0" r="27305" b="11430"/>
            <wp:docPr id="16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Subtitle"/>
        <w:numPr>
          <w:ilvl w:val="0"/>
          <w:numId w:val="45"/>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92680"/>
            <wp:effectExtent l="0" t="0" r="15240" b="26670"/>
            <wp:docPr id="810"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45"/>
        </w:numPr>
        <w:rPr>
          <w:noProof/>
        </w:rPr>
      </w:pPr>
      <w:r>
        <w:rPr>
          <w:noProof/>
        </w:rPr>
        <w:t>EU Pilot files: Luxembourg’s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329542"/>
            <wp:effectExtent l="0" t="0" r="27305" b="13970"/>
            <wp:docPr id="81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pPr>
        <w:pStyle w:val="Subtitle"/>
        <w:numPr>
          <w:ilvl w:val="0"/>
          <w:numId w:val="45"/>
        </w:numPr>
        <w:rPr>
          <w:noProof/>
        </w:rPr>
      </w:pPr>
      <w:r>
        <w:rPr>
          <w:noProof/>
        </w:rPr>
        <w:t>EU Pilot files: Luxembourg’s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44786" cy="2280557"/>
            <wp:effectExtent l="0" t="0" r="27305" b="24765"/>
            <wp:docPr id="81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46"/>
        </w:numPr>
        <w:rPr>
          <w:noProof/>
        </w:rPr>
      </w:pPr>
      <w:r>
        <w:rPr>
          <w:noProof/>
        </w:rPr>
        <w:t>Infringement cases against Luxembourg open on 31 December (2012-2016)</w:t>
      </w:r>
    </w:p>
    <w:p>
      <w:pPr>
        <w:spacing w:after="120"/>
        <w:ind w:firstLine="709"/>
        <w:rPr>
          <w:rFonts w:ascii="Arial" w:hAnsi="Arial" w:cs="Arial"/>
          <w:noProof/>
          <w:color w:val="002060"/>
          <w:sz w:val="22"/>
          <w:szCs w:val="22"/>
        </w:rPr>
      </w:pPr>
      <w:r>
        <w:rPr>
          <w:rFonts w:ascii="Arial" w:hAnsi="Arial" w:cs="Arial"/>
          <w:noProof/>
          <w:sz w:val="20"/>
          <w:lang w:val="en-US"/>
        </w:rPr>
        <w:drawing>
          <wp:inline distT="0" distB="0" distL="0" distR="0">
            <wp:extent cx="4572000" cy="2133600"/>
            <wp:effectExtent l="0" t="0" r="19050" b="19050"/>
            <wp:docPr id="813"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Pr>
          <w:rFonts w:ascii="Arial" w:hAnsi="Arial" w:cs="Arial"/>
          <w:noProof/>
          <w:sz w:val="20"/>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814"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4"/>
        </w:numPr>
        <w:ind w:hanging="426"/>
        <w:rPr>
          <w:rFonts w:ascii="Arial" w:hAnsi="Arial" w:cs="Arial"/>
          <w:noProof/>
          <w:lang w:val="en-GB"/>
        </w:rPr>
      </w:pPr>
      <w:r>
        <w:rPr>
          <w:rFonts w:ascii="Arial" w:hAnsi="Arial" w:cs="Arial"/>
          <w:noProof/>
          <w:lang w:val="en-GB"/>
        </w:rPr>
        <w:t>The Commission opened 43 new infringement cases against Luxembourg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failure to notify measures transposing the Tobacco Directive;</w:t>
      </w:r>
      <w:r>
        <w:rPr>
          <w:rStyle w:val="FootnoteReference"/>
          <w:rFonts w:ascii="Arial" w:hAnsi="Arial" w:cs="Arial"/>
          <w:noProof/>
          <w:lang w:val="en-GB"/>
        </w:rPr>
        <w:footnoteReference w:id="17"/>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18"/>
      </w:r>
    </w:p>
    <w:p>
      <w:pPr>
        <w:pStyle w:val="Lijstje2"/>
        <w:spacing w:after="200"/>
        <w:ind w:left="1843" w:hanging="425"/>
        <w:rPr>
          <w:rFonts w:ascii="Arial" w:hAnsi="Arial" w:cs="Arial"/>
          <w:noProof/>
          <w:lang w:val="en-GB"/>
        </w:rPr>
      </w:pPr>
      <w:r>
        <w:rPr>
          <w:rFonts w:ascii="Arial" w:hAnsi="Arial" w:cs="Arial"/>
          <w:noProof/>
          <w:lang w:val="en-GB" w:eastAsia="en-GB"/>
        </w:rPr>
        <w:t xml:space="preserve">non-compliance with the Regulation on the marketing and use of explosives precursors; </w:t>
      </w:r>
      <w:r>
        <w:rPr>
          <w:rStyle w:val="FootnoteReference"/>
          <w:rFonts w:ascii="Arial" w:hAnsi="Arial" w:cs="Arial"/>
          <w:noProof/>
          <w:lang w:val="en-GB" w:eastAsia="en-GB"/>
        </w:rPr>
        <w:footnoteReference w:id="19"/>
      </w:r>
    </w:p>
    <w:p>
      <w:pPr>
        <w:pStyle w:val="Lijstje2"/>
        <w:spacing w:after="200"/>
        <w:ind w:left="1843" w:hanging="426"/>
        <w:rPr>
          <w:rFonts w:ascii="Arial" w:hAnsi="Arial" w:cs="Arial"/>
          <w:noProof/>
          <w:lang w:val="en-GB"/>
        </w:rPr>
      </w:pPr>
      <w:r>
        <w:rPr>
          <w:rFonts w:ascii="Arial" w:hAnsi="Arial" w:cs="Arial"/>
          <w:noProof/>
          <w:lang w:val="en-GB"/>
        </w:rPr>
        <w:t>repeal of the minimum entity tax. This is incompatible with the Directive on the common system of taxation applicable in the case of parent companies and subsidiaries of different Member States;</w:t>
      </w:r>
      <w:r>
        <w:rPr>
          <w:rStyle w:val="FootnoteReference"/>
          <w:rFonts w:ascii="Arial" w:hAnsi="Arial" w:cs="Arial"/>
          <w:bCs/>
          <w:noProof/>
          <w:lang w:val="en-GB"/>
        </w:rPr>
        <w:footnoteReference w:id="20"/>
      </w:r>
    </w:p>
    <w:p>
      <w:pPr>
        <w:pStyle w:val="Lijstje2"/>
        <w:spacing w:after="200"/>
        <w:ind w:left="1843" w:hanging="426"/>
        <w:rPr>
          <w:rFonts w:ascii="Arial" w:hAnsi="Arial"/>
          <w:i/>
          <w:noProof/>
          <w:lang w:val="en-GB"/>
        </w:rPr>
      </w:pPr>
      <w:r>
        <w:rPr>
          <w:rFonts w:ascii="Arial" w:hAnsi="Arial" w:cs="Arial"/>
          <w:noProof/>
          <w:lang w:val="en-GB"/>
        </w:rPr>
        <w:t>failure to notify transposition measures for the '</w:t>
      </w:r>
      <w:r>
        <w:rPr>
          <w:rFonts w:ascii="Arial" w:hAnsi="Arial"/>
          <w:noProof/>
          <w:lang w:val="en-GB"/>
        </w:rPr>
        <w:t>Swedish initiative'</w:t>
      </w:r>
      <w:r>
        <w:rPr>
          <w:rFonts w:ascii="Arial" w:hAnsi="Arial" w:cs="Arial"/>
          <w:noProof/>
          <w:lang w:val="en-GB"/>
        </w:rPr>
        <w:t xml:space="preserve"> on simplifying the exchange of information and intelligence between law enforcement authorities of EU Member States;</w:t>
      </w:r>
      <w:r>
        <w:rPr>
          <w:rStyle w:val="FootnoteReference"/>
          <w:noProof/>
          <w:lang w:val="en-GB"/>
        </w:rPr>
        <w:footnoteReference w:id="21"/>
      </w:r>
    </w:p>
    <w:p>
      <w:pPr>
        <w:pStyle w:val="Lijstje2"/>
        <w:spacing w:after="200"/>
        <w:ind w:left="1843" w:hanging="426"/>
        <w:rPr>
          <w:rFonts w:ascii="Arial" w:hAnsi="Arial" w:cs="Arial"/>
          <w:i/>
          <w:noProof/>
          <w:lang w:val="en-GB"/>
        </w:rPr>
      </w:pPr>
      <w:r>
        <w:rPr>
          <w:rFonts w:ascii="Arial" w:hAnsi="Arial" w:cs="Arial"/>
          <w:noProof/>
          <w:lang w:val="en-GB"/>
        </w:rPr>
        <w:t>incorrect application of the Regulation on the rights of passengers travelling by sea and inland waterway;</w:t>
      </w:r>
      <w:r>
        <w:rPr>
          <w:rStyle w:val="FootnoteReference"/>
          <w:rFonts w:ascii="Arial" w:hAnsi="Arial" w:cs="Arial"/>
          <w:noProof/>
          <w:lang w:val="en-GB"/>
        </w:rPr>
        <w:footnoteReference w:id="22"/>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cs="Arial"/>
          <w:i/>
          <w:noProof/>
          <w:lang w:val="en-GB"/>
        </w:rPr>
        <w:footnoteReference w:id="23"/>
      </w:r>
    </w:p>
    <w:p>
      <w:pPr>
        <w:pStyle w:val="Lijstje2"/>
        <w:ind w:left="1843" w:hanging="425"/>
        <w:rPr>
          <w:rFonts w:ascii="Arial" w:hAnsi="Arial" w:cs="Arial"/>
          <w:noProof/>
          <w:lang w:val="en-GB"/>
        </w:rPr>
      </w:pP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24"/>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the EU legislation on the recognition of professional qualifications and the Internal Market Information System.</w:t>
      </w:r>
      <w:r>
        <w:rPr>
          <w:rStyle w:val="FootnoteReference"/>
          <w:rFonts w:ascii="Arial" w:hAnsi="Arial"/>
          <w:noProof/>
          <w:lang w:val="en-GB"/>
        </w:rPr>
        <w:footnoteReference w:id="25"/>
      </w:r>
    </w:p>
    <w:p>
      <w:pPr>
        <w:pStyle w:val="Lijstje"/>
        <w:numPr>
          <w:ilvl w:val="0"/>
          <w:numId w:val="104"/>
        </w:numPr>
        <w:ind w:hanging="426"/>
        <w:rPr>
          <w:rFonts w:ascii="Arial" w:hAnsi="Arial" w:cs="Arial"/>
          <w:noProof/>
          <w:lang w:val="en-GB"/>
        </w:rPr>
      </w:pPr>
      <w:r>
        <w:rPr>
          <w:rFonts w:ascii="Arial" w:hAnsi="Arial" w:cs="Arial"/>
          <w:noProof/>
          <w:lang w:val="en-GB"/>
        </w:rPr>
        <w:t>The Commission referred one case to the Court under Article 258 TFEU. It concerns:</w:t>
      </w:r>
    </w:p>
    <w:p>
      <w:pPr>
        <w:numPr>
          <w:ilvl w:val="0"/>
          <w:numId w:val="4"/>
        </w:numPr>
        <w:spacing w:after="200"/>
        <w:ind w:left="1843" w:hanging="425"/>
        <w:contextualSpacing/>
        <w:rPr>
          <w:rFonts w:ascii="Arial" w:eastAsia="Calibri" w:hAnsi="Arial" w:cs="Arial"/>
          <w:noProof/>
          <w:kern w:val="20"/>
          <w:sz w:val="20"/>
        </w:rPr>
      </w:pPr>
      <w:r>
        <w:rPr>
          <w:rFonts w:ascii="Arial" w:hAnsi="Arial"/>
          <w:noProof/>
          <w:sz w:val="20"/>
        </w:rPr>
        <w:t>failure to meet the obligation to interconnect a national electronic register of road transport undertakings.</w:t>
      </w:r>
      <w:r>
        <w:rPr>
          <w:rStyle w:val="FootnoteReference"/>
          <w:rFonts w:eastAsia="Calibri"/>
          <w:noProof/>
        </w:rPr>
        <w:footnoteReference w:id="26"/>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47"/>
        </w:numPr>
        <w:rPr>
          <w:noProof/>
        </w:rPr>
      </w:pPr>
      <w:r>
        <w:rPr>
          <w:noProof/>
        </w:rPr>
        <w:t>Late transposition infringement cases against Luxembourg open on 31 December (2012-2016)</w:t>
      </w:r>
    </w:p>
    <w:p>
      <w:pPr>
        <w:ind w:left="426" w:firstLine="283"/>
        <w:rPr>
          <w:noProof/>
        </w:rPr>
      </w:pPr>
      <w:r>
        <w:rPr>
          <w:noProof/>
          <w:lang w:val="en-US"/>
        </w:rPr>
        <w:drawing>
          <wp:inline distT="0" distB="0" distL="0" distR="0">
            <wp:extent cx="4582886" cy="2307772"/>
            <wp:effectExtent l="0" t="0" r="27305" b="16510"/>
            <wp:docPr id="81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Subtitle"/>
        <w:numPr>
          <w:ilvl w:val="0"/>
          <w:numId w:val="47"/>
        </w:numPr>
        <w:rPr>
          <w:noProof/>
        </w:rPr>
      </w:pPr>
      <w:r>
        <w:rPr>
          <w:noProof/>
        </w:rPr>
        <w:t>New late transposition infringement cases against Luxembourg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307772"/>
            <wp:effectExtent l="0" t="0" r="27305" b="16510"/>
            <wp:docPr id="816"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369820"/>
            <wp:effectExtent l="0" t="0" r="22860" b="11430"/>
            <wp:docPr id="817"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referred three cases to the Court under Articles 258 and 260(3) TFEU. They concern:</w:t>
      </w:r>
    </w:p>
    <w:p>
      <w:pPr>
        <w:pStyle w:val="Lijstje2"/>
        <w:spacing w:after="200"/>
        <w:ind w:left="1418"/>
        <w:rPr>
          <w:rFonts w:ascii="Arial" w:hAnsi="Arial" w:cs="Arial"/>
          <w:noProof/>
          <w:lang w:val="en-GB"/>
        </w:rPr>
      </w:pPr>
      <w:r>
        <w:rPr>
          <w:rFonts w:ascii="Arial" w:hAnsi="Arial" w:cs="Arial"/>
          <w:noProof/>
          <w:lang w:val="en-GB"/>
        </w:rPr>
        <w:t>late transposition of the Directive</w:t>
      </w:r>
      <w:r>
        <w:rPr>
          <w:rStyle w:val="FootnoteReference"/>
          <w:noProof/>
        </w:rPr>
        <w:footnoteReference w:id="27"/>
      </w:r>
      <w:r>
        <w:rPr>
          <w:rFonts w:ascii="Arial" w:hAnsi="Arial" w:cs="Arial"/>
          <w:noProof/>
          <w:lang w:val="en-GB"/>
        </w:rPr>
        <w:t xml:space="preserve"> aligning various rules to the Regulation</w:t>
      </w:r>
      <w:r>
        <w:rPr>
          <w:rStyle w:val="FootnoteReference"/>
          <w:noProof/>
        </w:rPr>
        <w:footnoteReference w:id="28"/>
      </w:r>
      <w:r>
        <w:rPr>
          <w:rFonts w:ascii="Arial" w:hAnsi="Arial" w:cs="Arial"/>
          <w:noProof/>
          <w:lang w:val="en-GB"/>
        </w:rPr>
        <w:t xml:space="preserve"> on classification, labelling and packaging of substances and mixtures;</w:t>
      </w:r>
      <w:r>
        <w:rPr>
          <w:rFonts w:ascii="Arial" w:eastAsia="Times New Roman" w:hAnsi="Arial"/>
          <w:noProof/>
          <w:kern w:val="0"/>
          <w:sz w:val="22"/>
          <w:vertAlign w:val="superscript"/>
          <w:lang w:val="en-GB"/>
        </w:rPr>
        <w:t xml:space="preserve"> </w:t>
      </w:r>
      <w:r>
        <w:rPr>
          <w:rStyle w:val="FootnoteReference"/>
          <w:noProof/>
        </w:rPr>
        <w:footnoteReference w:id="29"/>
      </w:r>
    </w:p>
    <w:p>
      <w:pPr>
        <w:pStyle w:val="Lijstje2"/>
        <w:ind w:left="1418"/>
        <w:rPr>
          <w:rFonts w:ascii="Arial" w:hAnsi="Arial" w:cs="Arial"/>
          <w:noProof/>
          <w:lang w:val="en-GB"/>
        </w:rPr>
      </w:pPr>
      <w:r>
        <w:rPr>
          <w:rFonts w:ascii="Arial" w:hAnsi="Arial" w:cs="Arial"/>
          <w:noProof/>
          <w:lang w:val="en-GB"/>
        </w:rPr>
        <w:t>failure to transpose the Packaging &amp; Labelling Directive;</w:t>
      </w:r>
      <w:r>
        <w:rPr>
          <w:rStyle w:val="FootnoteReference"/>
          <w:rFonts w:ascii="Arial" w:hAnsi="Arial" w:cs="Arial"/>
          <w:noProof/>
          <w:lang w:val="en-GB"/>
        </w:rPr>
        <w:footnoteReference w:id="30"/>
      </w:r>
    </w:p>
    <w:p>
      <w:pPr>
        <w:pStyle w:val="Lijstje2"/>
        <w:spacing w:after="200"/>
        <w:ind w:left="1418" w:hanging="357"/>
        <w:rPr>
          <w:rFonts w:ascii="Arial" w:hAnsi="Arial" w:cs="Arial"/>
          <w:noProof/>
          <w:lang w:val="en-GB"/>
        </w:rPr>
      </w:pPr>
      <w:r>
        <w:rPr>
          <w:rFonts w:ascii="Arial" w:hAnsi="Arial" w:cs="Arial"/>
          <w:noProof/>
          <w:lang w:val="en-GB"/>
        </w:rPr>
        <w:t>failure to transpose the Directive on a single European railway area.</w:t>
      </w:r>
      <w:r>
        <w:rPr>
          <w:rStyle w:val="FootnoteReference"/>
          <w:rFonts w:ascii="Arial" w:hAnsi="Arial" w:cs="Arial"/>
          <w:noProof/>
          <w:lang w:val="en-GB"/>
        </w:rPr>
        <w:footnoteReference w:id="31"/>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left="786" w:hanging="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418"/>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32"/>
      </w:r>
    </w:p>
    <w:p>
      <w:pPr>
        <w:numPr>
          <w:ilvl w:val="0"/>
          <w:numId w:val="4"/>
        </w:numPr>
        <w:spacing w:after="200"/>
        <w:ind w:left="1418"/>
        <w:contextualSpacing/>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w:t>
      </w:r>
    </w:p>
    <w:p>
      <w:pPr>
        <w:numPr>
          <w:ilvl w:val="0"/>
          <w:numId w:val="246"/>
        </w:numPr>
        <w:spacing w:after="200"/>
        <w:contextualSpacing/>
        <w:rPr>
          <w:rFonts w:ascii="Arial" w:eastAsia="Calibri" w:hAnsi="Arial" w:cs="Arial"/>
          <w:noProof/>
          <w:kern w:val="20"/>
          <w:sz w:val="20"/>
        </w:rPr>
      </w:pPr>
      <w:r>
        <w:rPr>
          <w:rFonts w:ascii="Arial" w:eastAsia="Calibri" w:hAnsi="Arial" w:cs="Arial"/>
          <w:noProof/>
          <w:kern w:val="20"/>
          <w:sz w:val="20"/>
        </w:rPr>
        <w:t>the Capital Requirements Directive;</w:t>
      </w:r>
      <w:r>
        <w:rPr>
          <w:rStyle w:val="FootnoteReference"/>
          <w:rFonts w:ascii="Arial" w:hAnsi="Arial" w:cs="Arial"/>
          <w:noProof/>
          <w:sz w:val="20"/>
        </w:rPr>
        <w:footnoteReference w:id="33"/>
      </w:r>
    </w:p>
    <w:p>
      <w:pPr>
        <w:numPr>
          <w:ilvl w:val="0"/>
          <w:numId w:val="246"/>
        </w:numPr>
        <w:spacing w:after="200"/>
        <w:contextualSpacing/>
        <w:rPr>
          <w:rFonts w:ascii="Arial" w:eastAsia="Calibri" w:hAnsi="Arial" w:cs="Arial"/>
          <w:noProof/>
          <w:kern w:val="20"/>
          <w:sz w:val="20"/>
        </w:rPr>
      </w:pPr>
      <w:r>
        <w:rPr>
          <w:rFonts w:ascii="Arial" w:eastAsia="Calibri" w:hAnsi="Arial" w:cs="Arial"/>
          <w:noProof/>
          <w:kern w:val="20"/>
          <w:sz w:val="20"/>
        </w:rPr>
        <w:t>the Bank Resolution and Recovery Directive;</w:t>
      </w:r>
      <w:r>
        <w:rPr>
          <w:rStyle w:val="FootnoteReference"/>
          <w:rFonts w:ascii="Arial" w:hAnsi="Arial" w:cs="Arial"/>
          <w:noProof/>
          <w:sz w:val="20"/>
        </w:rPr>
        <w:footnoteReference w:id="34"/>
      </w:r>
    </w:p>
    <w:p>
      <w:pPr>
        <w:numPr>
          <w:ilvl w:val="0"/>
          <w:numId w:val="246"/>
        </w:numPr>
        <w:spacing w:after="200"/>
        <w:contextualSpacing/>
        <w:rPr>
          <w:rFonts w:ascii="Arial" w:hAnsi="Arial" w:cs="Arial"/>
          <w:noProof/>
          <w:sz w:val="20"/>
        </w:rPr>
      </w:pPr>
      <w:r>
        <w:rPr>
          <w:rFonts w:ascii="Arial" w:eastAsia="Calibri" w:hAnsi="Arial" w:cs="Arial"/>
          <w:noProof/>
          <w:kern w:val="20"/>
          <w:sz w:val="20"/>
        </w:rPr>
        <w:t>the Deposit Guarantee Schemes Directive;</w:t>
      </w:r>
      <w:r>
        <w:rPr>
          <w:rStyle w:val="FootnoteReference"/>
          <w:rFonts w:ascii="Arial" w:hAnsi="Arial" w:cs="Arial"/>
          <w:noProof/>
          <w:sz w:val="20"/>
        </w:rPr>
        <w:footnoteReference w:id="35"/>
      </w:r>
    </w:p>
    <w:p>
      <w:pPr>
        <w:numPr>
          <w:ilvl w:val="0"/>
          <w:numId w:val="246"/>
        </w:numPr>
        <w:spacing w:after="200"/>
        <w:contextualSpacing/>
        <w:rPr>
          <w:rFonts w:ascii="Arial" w:hAnsi="Arial" w:cs="Arial"/>
          <w:noProof/>
          <w:sz w:val="20"/>
        </w:rPr>
      </w:pPr>
      <w:r>
        <w:rPr>
          <w:rFonts w:ascii="Arial" w:eastAsia="Calibri" w:hAnsi="Arial" w:cs="Arial"/>
          <w:noProof/>
          <w:kern w:val="20"/>
          <w:sz w:val="20"/>
        </w:rPr>
        <w:t xml:space="preserve">the </w:t>
      </w:r>
      <w:r>
        <w:rPr>
          <w:rFonts w:ascii="Arial" w:eastAsiaTheme="minorHAnsi" w:hAnsi="Arial" w:cs="Arial"/>
          <w:noProof/>
          <w:sz w:val="20"/>
        </w:rPr>
        <w:t>Over-reliance on credit ratings Directive;</w:t>
      </w:r>
      <w:r>
        <w:rPr>
          <w:rStyle w:val="FootnoteReference"/>
          <w:rFonts w:ascii="Arial" w:eastAsiaTheme="minorHAnsi" w:hAnsi="Arial" w:cs="Arial"/>
          <w:noProof/>
          <w:sz w:val="20"/>
        </w:rPr>
        <w:footnoteReference w:id="36"/>
      </w:r>
    </w:p>
    <w:p>
      <w:pPr>
        <w:numPr>
          <w:ilvl w:val="0"/>
          <w:numId w:val="246"/>
        </w:numPr>
        <w:spacing w:after="200"/>
        <w:contextualSpacing/>
        <w:rPr>
          <w:rFonts w:ascii="Arial" w:hAnsi="Arial" w:cs="Arial"/>
          <w:noProof/>
          <w:sz w:val="20"/>
        </w:rPr>
      </w:pPr>
      <w:r>
        <w:rPr>
          <w:rFonts w:ascii="Arial" w:eastAsia="Calibri" w:hAnsi="Arial" w:cs="Arial"/>
          <w:noProof/>
          <w:kern w:val="20"/>
          <w:sz w:val="20"/>
        </w:rPr>
        <w:t xml:space="preserve">the </w:t>
      </w:r>
      <w:r>
        <w:rPr>
          <w:rFonts w:ascii="Arial" w:eastAsiaTheme="minorHAnsi" w:hAnsi="Arial" w:cs="Arial"/>
          <w:noProof/>
          <w:sz w:val="20"/>
        </w:rPr>
        <w:t>Financial Conglomerates Directive;</w:t>
      </w:r>
      <w:r>
        <w:rPr>
          <w:rStyle w:val="FootnoteReference"/>
          <w:rFonts w:ascii="Arial" w:eastAsiaTheme="minorHAnsi" w:hAnsi="Arial" w:cs="Arial"/>
          <w:noProof/>
          <w:sz w:val="20"/>
        </w:rPr>
        <w:footnoteReference w:id="37"/>
      </w:r>
    </w:p>
    <w:p>
      <w:pPr>
        <w:numPr>
          <w:ilvl w:val="0"/>
          <w:numId w:val="4"/>
        </w:numPr>
        <w:spacing w:after="200"/>
        <w:ind w:left="1418"/>
        <w:contextualSpacing/>
        <w:rPr>
          <w:rFonts w:ascii="Arial" w:hAnsi="Arial" w:cs="Arial"/>
          <w:noProof/>
          <w:sz w:val="20"/>
        </w:rPr>
      </w:pPr>
      <w:r>
        <w:rPr>
          <w:rFonts w:ascii="Arial" w:eastAsia="Calibri" w:hAnsi="Arial" w:cs="Arial"/>
          <w:noProof/>
          <w:sz w:val="20"/>
        </w:rPr>
        <w:t>non-compliance with t</w:t>
      </w:r>
      <w:r>
        <w:rPr>
          <w:rFonts w:ascii="Arial" w:hAnsi="Arial" w:cs="Arial"/>
          <w:noProof/>
          <w:sz w:val="20"/>
        </w:rPr>
        <w:t>he Directive on the protection of employees in the event of the insolvency of their employer;</w:t>
      </w:r>
      <w:r>
        <w:rPr>
          <w:rStyle w:val="FootnoteReference"/>
          <w:rFonts w:ascii="Arial" w:hAnsi="Arial" w:cs="Arial"/>
          <w:noProof/>
          <w:sz w:val="20"/>
        </w:rPr>
        <w:footnoteReference w:id="38"/>
      </w:r>
    </w:p>
    <w:p>
      <w:pPr>
        <w:numPr>
          <w:ilvl w:val="0"/>
          <w:numId w:val="4"/>
        </w:numPr>
        <w:spacing w:after="200"/>
        <w:ind w:left="1418" w:hanging="357"/>
        <w:rPr>
          <w:rFonts w:ascii="Arial" w:eastAsia="Calibri" w:hAnsi="Arial" w:cs="Arial"/>
          <w:noProof/>
          <w:sz w:val="20"/>
        </w:rPr>
      </w:pPr>
      <w:r>
        <w:rPr>
          <w:rFonts w:ascii="Arial" w:eastAsia="Calibri" w:hAnsi="Arial" w:cs="Arial"/>
          <w:noProof/>
          <w:sz w:val="20"/>
        </w:rPr>
        <w:t>repeal of the minimum entity tax. This was incompatible with the Directive on the common system of taxation applicable in the case of parent companies and subsidiaries of different Member States.</w:t>
      </w:r>
      <w:r>
        <w:rPr>
          <w:rStyle w:val="FootnoteReference"/>
          <w:rFonts w:cs="Arial"/>
          <w:noProof/>
          <w:sz w:val="20"/>
        </w:rPr>
        <w:footnoteReference w:id="39"/>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48"/>
        </w:numPr>
        <w:rPr>
          <w:noProof/>
        </w:rPr>
      </w:pPr>
      <w:r>
        <w:rPr>
          <w:noProof/>
        </w:rPr>
        <w:t>Court rulings</w:t>
      </w:r>
      <w:r>
        <w:rPr>
          <w:rStyle w:val="FootnoteReference"/>
          <w:noProof/>
        </w:rPr>
        <w:footnoteReference w:id="40"/>
      </w:r>
    </w:p>
    <w:p>
      <w:pPr>
        <w:pStyle w:val="Body"/>
        <w:rPr>
          <w:noProof/>
          <w:lang w:val="en-GB"/>
        </w:rPr>
      </w:pPr>
      <w:r>
        <w:rPr>
          <w:noProof/>
          <w:lang w:val="en-GB"/>
        </w:rPr>
        <w:t>The Court ruled that:</w:t>
      </w:r>
    </w:p>
    <w:p>
      <w:pPr>
        <w:pStyle w:val="ListParagraph"/>
        <w:numPr>
          <w:ilvl w:val="0"/>
          <w:numId w:val="222"/>
        </w:numPr>
        <w:ind w:left="1418" w:hanging="283"/>
        <w:rPr>
          <w:rFonts w:ascii="Arial" w:hAnsi="Arial" w:cs="Arial"/>
          <w:noProof/>
          <w:sz w:val="20"/>
        </w:rPr>
      </w:pPr>
      <w:r>
        <w:rPr>
          <w:rFonts w:ascii="Arial" w:hAnsi="Arial" w:cs="Arial"/>
          <w:noProof/>
          <w:sz w:val="20"/>
        </w:rPr>
        <w:t>Luxembourg failed to establish a national electronic register and to interconnect with the national electronic registers of other Member States.</w:t>
      </w:r>
      <w:r>
        <w:rPr>
          <w:rStyle w:val="FootnoteReference"/>
          <w:rFonts w:ascii="Arial" w:hAnsi="Arial" w:cs="Arial"/>
          <w:noProof/>
          <w:sz w:val="20"/>
        </w:rPr>
        <w:footnoteReference w:id="41"/>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preliminary rulings addressed to the Luxembourgish judiciary, the Court held that:</w:t>
      </w:r>
    </w:p>
    <w:p>
      <w:pPr>
        <w:numPr>
          <w:ilvl w:val="0"/>
          <w:numId w:val="4"/>
        </w:numPr>
        <w:spacing w:after="200"/>
        <w:ind w:left="1418" w:hanging="284"/>
        <w:contextualSpacing/>
        <w:rPr>
          <w:rFonts w:ascii="Arial" w:hAnsi="Arial" w:cs="Arial"/>
          <w:noProof/>
          <w:sz w:val="20"/>
        </w:rPr>
      </w:pPr>
      <w:r>
        <w:rPr>
          <w:rFonts w:ascii="Arial" w:eastAsia="Calibri" w:hAnsi="Arial" w:cs="Arial"/>
          <w:noProof/>
          <w:kern w:val="20"/>
          <w:sz w:val="20"/>
        </w:rPr>
        <w:t>the grant of financial aid for higher education studies to a non-resident student cannot be made conditional on whether at least one of the student’s parents worked in Luxembourg for a minimum and continuous period of 5 years;</w:t>
      </w:r>
      <w:r>
        <w:rPr>
          <w:rStyle w:val="FootnoteReference"/>
          <w:rFonts w:ascii="Arial" w:eastAsia="Calibri" w:hAnsi="Arial" w:cs="Arial"/>
          <w:noProof/>
          <w:kern w:val="20"/>
          <w:sz w:val="20"/>
        </w:rPr>
        <w:footnoteReference w:id="42"/>
      </w:r>
    </w:p>
    <w:p>
      <w:pPr>
        <w:numPr>
          <w:ilvl w:val="0"/>
          <w:numId w:val="4"/>
        </w:numPr>
        <w:spacing w:after="200"/>
        <w:ind w:left="1418" w:hanging="284"/>
        <w:contextualSpacing/>
        <w:rPr>
          <w:rFonts w:ascii="Arial" w:eastAsia="Calibri" w:hAnsi="Arial" w:cs="Arial"/>
          <w:noProof/>
          <w:sz w:val="20"/>
        </w:rPr>
      </w:pPr>
      <w:r>
        <w:rPr>
          <w:rFonts w:ascii="Arial" w:eastAsia="Calibri" w:hAnsi="Arial" w:cs="Arial"/>
          <w:noProof/>
          <w:sz w:val="20"/>
        </w:rPr>
        <w:t>national laws may not limit access to pensioners' tax credit to resident taxpayers receiving domestic pension income; the tax credit must also be open to residents receiving a pension from other Member States.</w:t>
      </w:r>
      <w:r>
        <w:rPr>
          <w:rStyle w:val="FootnoteReference"/>
          <w:rFonts w:ascii="Arial" w:eastAsia="Calibri" w:hAnsi="Arial" w:cs="Arial"/>
          <w:bCs/>
          <w:noProof/>
          <w:kern w:val="20"/>
          <w:sz w:val="20"/>
        </w:rPr>
        <w:footnoteReference w:id="43"/>
      </w:r>
    </w:p>
    <w:p>
      <w:pPr>
        <w:spacing w:after="120"/>
        <w:ind w:left="1418" w:hanging="284"/>
        <w:contextualSpacing/>
        <w:rPr>
          <w:rFonts w:ascii="Verdana" w:eastAsia="Calibri" w:hAnsi="Verdana"/>
          <w:noProof/>
          <w:kern w:val="20"/>
          <w:sz w:val="20"/>
        </w:rPr>
      </w:pPr>
    </w:p>
    <w:p>
      <w:pPr>
        <w:spacing w:after="0"/>
        <w:jc w:val="left"/>
        <w:rPr>
          <w:noProof/>
        </w:rPr>
        <w:sectPr>
          <w:headerReference w:type="even" r:id="rId49"/>
          <w:headerReference w:type="default" r:id="rId50"/>
          <w:footerReference w:type="even" r:id="rId51"/>
          <w:footerReference w:type="default" r:id="rId52"/>
          <w:headerReference w:type="first" r:id="rId53"/>
          <w:footerReference w:type="first" r:id="rId54"/>
          <w:footnotePr>
            <w:numRestart w:val="eachSect"/>
          </w:footnotePr>
          <w:pgSz w:w="11906" w:h="16838"/>
          <w:pgMar w:top="1702" w:right="1417" w:bottom="1134" w:left="1417" w:header="567" w:footer="351" w:gutter="0"/>
          <w:cols w:space="708"/>
          <w:titlePg/>
          <w:docGrid w:linePitch="360"/>
        </w:sectPr>
      </w:pPr>
    </w:p>
    <w:p>
      <w:pPr>
        <w:pStyle w:val="Heading1"/>
        <w:rPr>
          <w:noProof/>
        </w:rPr>
      </w:pPr>
      <w:bookmarkStart w:id="13" w:name="_Toc444769596"/>
      <w:bookmarkStart w:id="14" w:name="_Toc444772052"/>
      <w:bookmarkStart w:id="15" w:name="_Toc444773371"/>
      <w:bookmarkStart w:id="16" w:name="_Toc444776743"/>
      <w:bookmarkStart w:id="17" w:name="_Toc475974650"/>
      <w:bookmarkStart w:id="18" w:name="_Toc475980146"/>
      <w:bookmarkStart w:id="19" w:name="_Toc475981395"/>
      <w:bookmarkStart w:id="20" w:name="_Toc477938599"/>
      <w:bookmarkStart w:id="21" w:name="_Toc475974656"/>
      <w:bookmarkStart w:id="22" w:name="_Toc475980152"/>
      <w:bookmarkStart w:id="23" w:name="_Toc475981401"/>
      <w:r>
        <w:rPr>
          <w:noProof/>
        </w:rPr>
        <w:t>Hungary</w:t>
      </w:r>
      <w:bookmarkEnd w:id="13"/>
      <w:bookmarkEnd w:id="14"/>
      <w:bookmarkEnd w:id="15"/>
      <w:bookmarkEnd w:id="16"/>
      <w:bookmarkEnd w:id="17"/>
      <w:bookmarkEnd w:id="18"/>
      <w:bookmarkEnd w:id="19"/>
      <w:bookmarkEnd w:id="20"/>
    </w:p>
    <w:p>
      <w:pPr>
        <w:spacing w:after="120"/>
        <w:rPr>
          <w:rFonts w:ascii="Arial" w:hAnsi="Arial" w:cs="Arial"/>
          <w:i/>
          <w:noProof/>
          <w:sz w:val="22"/>
          <w:szCs w:val="22"/>
        </w:rPr>
      </w:pPr>
      <w:r>
        <w:rPr>
          <w:rFonts w:ascii="Arial" w:hAnsi="Arial" w:cs="Arial"/>
          <w:i/>
          <w:iCs/>
          <w:noProof/>
          <w:sz w:val="22"/>
          <w:szCs w:val="22"/>
        </w:rPr>
        <w:t>New complaints against Hungary fell sharply in 2016, as did the number of new EU Pilot files. Both figures reached a five-year low. By contrast, the number of open infringement cases at the end of 2016 rose to a five-year high. This correlates with the increase in new infringement cases for late transposition, which doubled from the previous year.</w:t>
      </w:r>
    </w:p>
    <w:p>
      <w:pPr>
        <w:spacing w:after="120"/>
        <w:rPr>
          <w:rFonts w:ascii="Arial" w:hAnsi="Arial" w:cs="Arial"/>
          <w:i/>
          <w:noProof/>
          <w:sz w:val="22"/>
          <w:szCs w:val="22"/>
        </w:rPr>
      </w:pPr>
    </w:p>
    <w:p>
      <w:pPr>
        <w:pStyle w:val="kop2"/>
        <w:numPr>
          <w:ilvl w:val="0"/>
          <w:numId w:val="196"/>
        </w:numPr>
        <w:rPr>
          <w:noProof/>
        </w:rPr>
      </w:pPr>
      <w:r>
        <w:rPr>
          <w:noProof/>
        </w:rPr>
        <w:t>COMPLAINTS</w:t>
      </w:r>
    </w:p>
    <w:p>
      <w:pPr>
        <w:pStyle w:val="Subtitle"/>
        <w:numPr>
          <w:ilvl w:val="0"/>
          <w:numId w:val="197"/>
        </w:numPr>
        <w:rPr>
          <w:noProof/>
        </w:rPr>
      </w:pPr>
      <w:r>
        <w:rPr>
          <w:noProof/>
        </w:rPr>
        <w:t>New complaints made against Hungary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93771" cy="2204357"/>
            <wp:effectExtent l="0" t="0" r="16510" b="24765"/>
            <wp:docPr id="63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Subtitle"/>
        <w:numPr>
          <w:ilvl w:val="0"/>
          <w:numId w:val="23"/>
        </w:numPr>
        <w:rPr>
          <w:noProof/>
        </w:rPr>
      </w:pPr>
      <w:r>
        <w:rPr>
          <w:noProof/>
        </w:rPr>
        <w:t>Public complaints against Hungary open at year-end</w:t>
      </w:r>
    </w:p>
    <w:tbl>
      <w:tblPr>
        <w:tblStyle w:val="Style112"/>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73</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69</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77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65</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01240"/>
            <wp:effectExtent l="0" t="0" r="11430" b="22860"/>
            <wp:docPr id="635"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98"/>
        </w:numPr>
        <w:rPr>
          <w:noProof/>
        </w:rPr>
      </w:pPr>
      <w:r>
        <w:rPr>
          <w:noProof/>
        </w:rPr>
        <w:t>New EU Pilot files opened against Hungary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94860" cy="2042160"/>
            <wp:effectExtent l="0" t="0" r="15240" b="15240"/>
            <wp:docPr id="63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Subtitle"/>
        <w:numPr>
          <w:ilvl w:val="0"/>
          <w:numId w:val="23"/>
        </w:numPr>
        <w:rPr>
          <w:noProof/>
        </w:rPr>
      </w:pPr>
      <w:r>
        <w:rPr>
          <w:noProof/>
        </w:rPr>
        <w:t>Files relating to Hungary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4860" cy="2042160"/>
            <wp:effectExtent l="0" t="0" r="15240" b="15240"/>
            <wp:docPr id="15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293620"/>
            <wp:effectExtent l="0" t="0" r="15240" b="11430"/>
            <wp:docPr id="637"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Hungary’s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237014"/>
            <wp:effectExtent l="0" t="0" r="22225" b="11430"/>
            <wp:docPr id="63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Subtitle"/>
        <w:numPr>
          <w:ilvl w:val="0"/>
          <w:numId w:val="23"/>
        </w:numPr>
        <w:rPr>
          <w:noProof/>
        </w:rPr>
      </w:pPr>
      <w:r>
        <w:rPr>
          <w:noProof/>
        </w:rPr>
        <w:t>EU Pilot files: Hungary’s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204357"/>
            <wp:effectExtent l="0" t="0" r="22225" b="24765"/>
            <wp:docPr id="63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99"/>
        </w:numPr>
        <w:rPr>
          <w:noProof/>
        </w:rPr>
      </w:pPr>
      <w:r>
        <w:rPr>
          <w:noProof/>
        </w:rPr>
        <w:t>Infringement cases against Hungary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141220"/>
            <wp:effectExtent l="0" t="0" r="11430" b="11430"/>
            <wp:docPr id="640"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02180"/>
            <wp:effectExtent l="0" t="0" r="11430" b="26670"/>
            <wp:docPr id="641"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200"/>
        </w:numPr>
        <w:ind w:hanging="426"/>
        <w:rPr>
          <w:rFonts w:ascii="Arial" w:hAnsi="Arial" w:cs="Arial"/>
          <w:noProof/>
          <w:lang w:val="en-GB"/>
        </w:rPr>
      </w:pPr>
      <w:r>
        <w:rPr>
          <w:rFonts w:ascii="Arial" w:hAnsi="Arial" w:cs="Arial"/>
          <w:noProof/>
          <w:lang w:val="en-GB"/>
        </w:rPr>
        <w:t>The Commission opened 45 new infringement cases against Hungary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discrimination against Roma children in education;</w:t>
      </w:r>
      <w:r>
        <w:rPr>
          <w:rStyle w:val="FootnoteReference"/>
          <w:rFonts w:ascii="Arial" w:hAnsi="Arial" w:cs="Arial"/>
          <w:noProof/>
          <w:lang w:val="en-GB"/>
        </w:rPr>
        <w:footnoteReference w:id="44"/>
      </w:r>
    </w:p>
    <w:p>
      <w:pPr>
        <w:pStyle w:val="Lijstje2"/>
        <w:spacing w:after="200"/>
        <w:ind w:left="1843" w:hanging="425"/>
        <w:rPr>
          <w:rFonts w:ascii="Arial" w:hAnsi="Arial" w:cs="Arial"/>
          <w:noProof/>
          <w:lang w:val="en-GB"/>
        </w:rPr>
      </w:pPr>
      <w:r>
        <w:rPr>
          <w:rFonts w:ascii="Arial" w:hAnsi="Arial" w:cs="Arial"/>
          <w:noProof/>
          <w:lang w:val="en-GB"/>
        </w:rPr>
        <w:t>non-respect of NO</w:t>
      </w:r>
      <w:r>
        <w:rPr>
          <w:rFonts w:ascii="Arial" w:hAnsi="Arial" w:cs="Arial"/>
          <w:noProof/>
          <w:vertAlign w:val="subscript"/>
          <w:lang w:val="en-GB"/>
        </w:rPr>
        <w:t>2 </w:t>
      </w:r>
      <w:r>
        <w:rPr>
          <w:rFonts w:ascii="Arial" w:hAnsi="Arial" w:cs="Arial"/>
          <w:noProof/>
          <w:lang w:val="en-GB"/>
        </w:rPr>
        <w:t xml:space="preserve"> limit values set by the Air Quality Directive;</w:t>
      </w:r>
      <w:r>
        <w:rPr>
          <w:rStyle w:val="FootnoteReference"/>
          <w:noProof/>
        </w:rPr>
        <w:footnoteReference w:id="45"/>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strategic noise maps and/or action plans required by the Environmental Noise Directive;</w:t>
      </w:r>
      <w:r>
        <w:rPr>
          <w:rStyle w:val="FootnoteReference"/>
          <w:noProof/>
        </w:rPr>
        <w:footnoteReference w:id="46"/>
      </w:r>
    </w:p>
    <w:p>
      <w:pPr>
        <w:pStyle w:val="Lijstje2"/>
        <w:spacing w:after="200"/>
        <w:ind w:left="1843" w:hanging="426"/>
        <w:rPr>
          <w:rFonts w:ascii="Arial" w:hAnsi="Arial" w:cs="Arial"/>
          <w:noProof/>
          <w:lang w:val="en-GB"/>
        </w:rPr>
      </w:pPr>
      <w:r>
        <w:rPr>
          <w:rFonts w:ascii="Arial" w:eastAsia="Times New Roman" w:hAnsi="Arial" w:cs="Arial"/>
          <w:noProof/>
          <w:kern w:val="0"/>
          <w:lang w:val="en-GB"/>
        </w:rPr>
        <w:t>poor</w:t>
      </w:r>
      <w:r>
        <w:rPr>
          <w:rFonts w:ascii="Arial" w:hAnsi="Arial" w:cs="Arial"/>
          <w:noProof/>
          <w:lang w:val="en-GB"/>
        </w:rPr>
        <w:t xml:space="preserve"> application of the Drinking Water Directive as regards non-respect of the EU parametric values for arsenic, boron and fluoride in several municipalities;</w:t>
      </w:r>
      <w:r>
        <w:rPr>
          <w:rStyle w:val="FootnoteReference"/>
          <w:rFonts w:ascii="Arial" w:hAnsi="Arial" w:cs="Arial"/>
          <w:noProof/>
          <w:lang w:val="en-GB"/>
        </w:rPr>
        <w:footnoteReference w:id="47"/>
      </w:r>
    </w:p>
    <w:p>
      <w:pPr>
        <w:pStyle w:val="Lijstje2"/>
        <w:spacing w:after="200"/>
        <w:ind w:left="1843" w:hanging="425"/>
        <w:rPr>
          <w:rFonts w:ascii="Arial" w:hAnsi="Arial" w:cs="Arial"/>
          <w:noProof/>
          <w:lang w:val="en-GB"/>
        </w:rPr>
      </w:pPr>
      <w:r>
        <w:rPr>
          <w:rFonts w:ascii="Arial" w:hAnsi="Arial" w:cs="Arial"/>
          <w:noProof/>
          <w:lang w:val="en-GB"/>
        </w:rPr>
        <w:t>failure to comply with the Third Internal Energy Market Package;</w:t>
      </w:r>
      <w:r>
        <w:rPr>
          <w:rStyle w:val="FootnoteReference"/>
          <w:noProof/>
        </w:rPr>
        <w:footnoteReference w:id="48"/>
      </w:r>
      <w:r>
        <w:rPr>
          <w:rFonts w:ascii="Arial" w:hAnsi="Arial" w:cs="Arial"/>
          <w:noProof/>
          <w:lang w:val="en-GB"/>
        </w:rPr>
        <w:t xml:space="preserve"> </w:t>
      </w:r>
    </w:p>
    <w:p>
      <w:pPr>
        <w:pStyle w:val="Lijstje2"/>
        <w:spacing w:after="200"/>
        <w:ind w:left="1843" w:hanging="425"/>
        <w:rPr>
          <w:rFonts w:ascii="Arial" w:hAnsi="Arial" w:cs="Arial"/>
          <w:noProof/>
          <w:lang w:val="en-GB"/>
        </w:rPr>
      </w:pPr>
      <w:r>
        <w:rPr>
          <w:rFonts w:ascii="Arial" w:hAnsi="Arial" w:cs="Arial"/>
          <w:noProof/>
          <w:lang w:val="en-GB"/>
        </w:rPr>
        <w:t>national restrictions on the acquisition of agricultural land which limit the free movement of capital and freedom of establishment by being discriminatory and/or disproportionate;</w:t>
      </w:r>
      <w:r>
        <w:rPr>
          <w:rStyle w:val="FootnoteReference"/>
          <w:noProof/>
          <w:lang w:val="en-GB"/>
        </w:rPr>
        <w:footnoteReference w:id="49"/>
      </w:r>
    </w:p>
    <w:p>
      <w:pPr>
        <w:pStyle w:val="Lijstje2"/>
        <w:ind w:left="1843"/>
        <w:rPr>
          <w:rFonts w:ascii="Arial" w:hAnsi="Arial" w:cs="Arial"/>
          <w:noProof/>
          <w:lang w:val="en-GB" w:eastAsia="en-GB"/>
        </w:rPr>
      </w:pPr>
      <w:r>
        <w:rPr>
          <w:rFonts w:ascii="Arial" w:hAnsi="Arial" w:cs="Arial"/>
          <w:i/>
          <w:noProof/>
          <w:lang w:val="en-GB"/>
        </w:rPr>
        <w:t>e</w:t>
      </w:r>
      <w:r>
        <w:rPr>
          <w:rFonts w:ascii="Arial" w:hAnsi="Arial" w:cs="Arial"/>
          <w:noProof/>
          <w:lang w:val="en-GB"/>
        </w:rPr>
        <w:t>xcessive and unjustified obstacles in the area of professional services that run counter to the Services Directive;</w:t>
      </w:r>
      <w:r>
        <w:rPr>
          <w:rStyle w:val="FootnoteReference"/>
          <w:noProof/>
        </w:rPr>
        <w:footnoteReference w:id="50"/>
      </w:r>
      <w:r>
        <w:rPr>
          <w:rFonts w:ascii="Arial" w:hAnsi="Arial" w:cs="Arial"/>
          <w:noProof/>
          <w:vertAlign w:val="superscript"/>
          <w:lang w:val="en-GB"/>
        </w:rPr>
        <w:t xml:space="preserve"> </w:t>
      </w:r>
    </w:p>
    <w:p>
      <w:pPr>
        <w:pStyle w:val="Lijstje2"/>
        <w:ind w:left="1843" w:hanging="426"/>
        <w:rPr>
          <w:rFonts w:ascii="Arial" w:hAnsi="Arial"/>
          <w:noProof/>
          <w:lang w:val="en-GB"/>
        </w:rPr>
      </w:pPr>
      <w:r>
        <w:rPr>
          <w:rFonts w:ascii="Arial" w:hAnsi="Arial"/>
          <w:noProof/>
          <w:lang w:val="en-GB"/>
        </w:rPr>
        <w:t>a selective consumption tax on spirits exempting fruit distillates (mainly produced domestically) and herbal bitters, which may be inconsistent with the free movement of goods.</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201"/>
        </w:numPr>
        <w:rPr>
          <w:noProof/>
        </w:rPr>
      </w:pPr>
      <w:r>
        <w:rPr>
          <w:noProof/>
        </w:rPr>
        <w:t>Late transposition infringement cases against Hungary open on 31 December (2012-2016)</w:t>
      </w:r>
    </w:p>
    <w:p>
      <w:pPr>
        <w:ind w:left="426" w:firstLine="283"/>
        <w:rPr>
          <w:noProof/>
        </w:rPr>
      </w:pPr>
      <w:r>
        <w:rPr>
          <w:noProof/>
          <w:lang w:val="en-US"/>
        </w:rPr>
        <w:drawing>
          <wp:inline distT="0" distB="0" distL="0" distR="0">
            <wp:extent cx="4555671" cy="2280557"/>
            <wp:effectExtent l="0" t="0" r="16510" b="24765"/>
            <wp:docPr id="642"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Subtitle"/>
        <w:numPr>
          <w:ilvl w:val="0"/>
          <w:numId w:val="23"/>
        </w:numPr>
        <w:rPr>
          <w:noProof/>
        </w:rPr>
      </w:pPr>
      <w:r>
        <w:rPr>
          <w:noProof/>
        </w:rPr>
        <w:t>New late transposition infringement cases against Hungary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56760" cy="2156460"/>
            <wp:effectExtent l="0" t="0" r="15240" b="15240"/>
            <wp:docPr id="64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numPr>
          <w:ilvl w:val="0"/>
          <w:numId w:val="3"/>
        </w:numPr>
        <w:spacing w:after="120"/>
        <w:ind w:left="782" w:hanging="357"/>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ind w:firstLine="709"/>
        <w:rPr>
          <w:rFonts w:ascii="Arial" w:hAnsi="Arial" w:cs="Arial"/>
          <w:noProof/>
          <w:sz w:val="20"/>
        </w:rPr>
      </w:pPr>
      <w:r>
        <w:rPr>
          <w:rFonts w:ascii="Arial" w:hAnsi="Arial" w:cs="Arial"/>
          <w:noProof/>
          <w:sz w:val="20"/>
          <w:lang w:val="en-US"/>
        </w:rPr>
        <w:drawing>
          <wp:inline distT="0" distB="0" distL="0" distR="0">
            <wp:extent cx="4587240" cy="2407920"/>
            <wp:effectExtent l="0" t="0" r="22860" b="11430"/>
            <wp:docPr id="644"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left="786" w:hanging="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276" w:hanging="425"/>
        <w:contextualSpacing/>
        <w:rPr>
          <w:rFonts w:ascii="Arial" w:hAnsi="Arial" w:cs="Arial"/>
          <w:noProof/>
        </w:rPr>
      </w:pPr>
      <w:r>
        <w:rPr>
          <w:rFonts w:ascii="Arial" w:hAnsi="Arial"/>
          <w:noProof/>
          <w:sz w:val="20"/>
        </w:rPr>
        <w:t>paid annual leave granted to members of so-called school cooperatives;</w:t>
      </w:r>
    </w:p>
    <w:p>
      <w:pPr>
        <w:numPr>
          <w:ilvl w:val="0"/>
          <w:numId w:val="4"/>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failure to implement the EU Timber Regulation and the Forest Law Enforcement, Governance and Trade Regulation;</w:t>
      </w:r>
      <w:r>
        <w:rPr>
          <w:rStyle w:val="FootnoteReference"/>
          <w:rFonts w:eastAsia="Calibri"/>
          <w:noProof/>
        </w:rPr>
        <w:footnoteReference w:id="51"/>
      </w:r>
    </w:p>
    <w:p>
      <w:pPr>
        <w:numPr>
          <w:ilvl w:val="0"/>
          <w:numId w:val="4"/>
        </w:numPr>
        <w:spacing w:after="200"/>
        <w:ind w:left="1276" w:hanging="425"/>
        <w:contextualSpacing/>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w:t>
      </w:r>
    </w:p>
    <w:p>
      <w:pPr>
        <w:numPr>
          <w:ilvl w:val="0"/>
          <w:numId w:val="239"/>
        </w:numPr>
        <w:spacing w:after="200"/>
        <w:contextualSpacing/>
        <w:rPr>
          <w:rFonts w:ascii="Arial" w:eastAsia="Calibri" w:hAnsi="Arial" w:cs="Arial"/>
          <w:noProof/>
          <w:kern w:val="20"/>
          <w:sz w:val="20"/>
        </w:rPr>
      </w:pPr>
      <w:r>
        <w:rPr>
          <w:rFonts w:ascii="Arial" w:eastAsia="Calibri" w:hAnsi="Arial" w:cs="Arial"/>
          <w:noProof/>
          <w:kern w:val="20"/>
          <w:sz w:val="20"/>
        </w:rPr>
        <w:t xml:space="preserve">the Bank Resolution and Recovery Directive; </w:t>
      </w:r>
      <w:r>
        <w:rPr>
          <w:rStyle w:val="FootnoteReference"/>
          <w:rFonts w:ascii="Arial" w:hAnsi="Arial" w:cs="Arial"/>
          <w:noProof/>
          <w:sz w:val="20"/>
        </w:rPr>
        <w:footnoteReference w:id="52"/>
      </w:r>
    </w:p>
    <w:p>
      <w:pPr>
        <w:numPr>
          <w:ilvl w:val="0"/>
          <w:numId w:val="239"/>
        </w:numPr>
        <w:spacing w:after="200"/>
        <w:contextualSpacing/>
        <w:rPr>
          <w:rFonts w:ascii="Arial" w:eastAsia="Calibri" w:hAnsi="Arial" w:cs="Arial"/>
          <w:noProof/>
          <w:kern w:val="20"/>
          <w:sz w:val="20"/>
        </w:rPr>
      </w:pPr>
      <w:r>
        <w:rPr>
          <w:rFonts w:ascii="Arial" w:eastAsia="Calibri" w:hAnsi="Arial" w:cs="Arial"/>
          <w:noProof/>
          <w:kern w:val="20"/>
          <w:sz w:val="20"/>
        </w:rPr>
        <w:t>the Directive on over-reliance on credit ratings;</w:t>
      </w:r>
      <w:r>
        <w:rPr>
          <w:rStyle w:val="FootnoteReference"/>
          <w:noProof/>
        </w:rPr>
        <w:footnoteReference w:id="53"/>
      </w:r>
    </w:p>
    <w:p>
      <w:pPr>
        <w:numPr>
          <w:ilvl w:val="0"/>
          <w:numId w:val="239"/>
        </w:numPr>
        <w:spacing w:after="200"/>
        <w:contextualSpacing/>
        <w:rPr>
          <w:rFonts w:ascii="Arial" w:eastAsia="Calibri" w:hAnsi="Arial" w:cs="Arial"/>
          <w:noProof/>
          <w:kern w:val="20"/>
          <w:sz w:val="20"/>
        </w:rPr>
      </w:pPr>
      <w:r>
        <w:rPr>
          <w:rFonts w:ascii="Arial" w:eastAsia="Calibri" w:hAnsi="Arial" w:cs="Arial"/>
          <w:noProof/>
          <w:kern w:val="20"/>
          <w:sz w:val="20"/>
        </w:rPr>
        <w:t>the Financial Conglomerates Directive;</w:t>
      </w:r>
      <w:r>
        <w:rPr>
          <w:rStyle w:val="FootnoteReference"/>
          <w:rFonts w:eastAsia="Calibri"/>
          <w:noProof/>
        </w:rPr>
        <w:footnoteReference w:id="54"/>
      </w:r>
    </w:p>
    <w:p>
      <w:pPr>
        <w:numPr>
          <w:ilvl w:val="0"/>
          <w:numId w:val="4"/>
        </w:numPr>
        <w:spacing w:after="200"/>
        <w:ind w:left="1276" w:hanging="425"/>
        <w:contextualSpacing/>
        <w:rPr>
          <w:rFonts w:ascii="Arial" w:eastAsia="Calibri" w:hAnsi="Arial" w:cs="Arial"/>
          <w:noProof/>
          <w:kern w:val="20"/>
          <w:sz w:val="20"/>
        </w:rPr>
      </w:pPr>
      <w:r>
        <w:rPr>
          <w:rFonts w:ascii="Arial" w:hAnsi="Arial"/>
          <w:noProof/>
          <w:sz w:val="20"/>
        </w:rPr>
        <w:t>failure to meet the obligation to interconnect a national electronic register of road transport undertakings;</w:t>
      </w:r>
      <w:r>
        <w:rPr>
          <w:rStyle w:val="FootnoteReference"/>
          <w:noProof/>
        </w:rPr>
        <w:footnoteReference w:id="55"/>
      </w:r>
    </w:p>
    <w:p>
      <w:pPr>
        <w:numPr>
          <w:ilvl w:val="0"/>
          <w:numId w:val="4"/>
        </w:numPr>
        <w:spacing w:after="200"/>
        <w:ind w:left="1276" w:hanging="425"/>
        <w:rPr>
          <w:rFonts w:ascii="Arial" w:eastAsia="Calibri" w:hAnsi="Arial" w:cs="Arial"/>
          <w:noProof/>
          <w:kern w:val="20"/>
          <w:sz w:val="20"/>
        </w:rPr>
      </w:pPr>
      <w:r>
        <w:rPr>
          <w:rFonts w:ascii="Arial" w:eastAsia="Calibri" w:hAnsi="Arial"/>
          <w:noProof/>
          <w:kern w:val="20"/>
          <w:sz w:val="20"/>
        </w:rPr>
        <w:t>incorrect implementation of the Directive on a European electronic toll service.</w:t>
      </w:r>
      <w:r>
        <w:rPr>
          <w:rStyle w:val="FootnoteReference"/>
          <w:rFonts w:eastAsia="Calibri"/>
          <w:noProof/>
        </w:rPr>
        <w:footnoteReference w:id="56"/>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202"/>
        </w:numPr>
        <w:rPr>
          <w:noProof/>
        </w:rPr>
      </w:pPr>
      <w:r>
        <w:rPr>
          <w:noProof/>
        </w:rPr>
        <w:t>Court rulings</w:t>
      </w:r>
      <w:r>
        <w:rPr>
          <w:rStyle w:val="FootnoteReference"/>
          <w:noProof/>
        </w:rPr>
        <w:footnoteReference w:id="57"/>
      </w:r>
    </w:p>
    <w:p>
      <w:pPr>
        <w:spacing w:after="120"/>
        <w:ind w:firstLine="709"/>
        <w:rPr>
          <w:rFonts w:ascii="Arial" w:hAnsi="Arial" w:cs="Arial"/>
          <w:noProof/>
          <w:sz w:val="20"/>
        </w:rPr>
      </w:pPr>
      <w:r>
        <w:rPr>
          <w:rFonts w:ascii="Arial" w:hAnsi="Arial" w:cs="Arial"/>
          <w:noProof/>
          <w:sz w:val="20"/>
        </w:rPr>
        <w:t>The Court ruled that:</w:t>
      </w:r>
    </w:p>
    <w:p>
      <w:pPr>
        <w:pStyle w:val="Lijstje2"/>
        <w:ind w:left="1276" w:hanging="425"/>
        <w:rPr>
          <w:rFonts w:ascii="Arial" w:hAnsi="Arial"/>
          <w:noProof/>
          <w:lang w:val="en-GB"/>
        </w:rPr>
      </w:pPr>
      <w:r>
        <w:rPr>
          <w:rFonts w:ascii="Arial" w:hAnsi="Arial" w:cs="Arial"/>
          <w:noProof/>
          <w:lang w:val="en-GB"/>
        </w:rPr>
        <w:t>the fact that the revenue generated by the holder of a public or private monopoly providing services is the source of funding for social programmes does not justify a restriction on freedom of establishment and freedom to provide services. Member States are not free to establish a services monopoly in the context of their tax and wages policies, as Member States must exercise their competence in the area of direct taxation consistently with EU law and, in particular, with the fundamental freedoms. National legislation reserving the activity of issuing leisure cards only to banks or financial institutions infringes the Services Directive,</w:t>
      </w:r>
      <w:r>
        <w:rPr>
          <w:rStyle w:val="FootnoteReference"/>
          <w:rFonts w:ascii="Arial" w:hAnsi="Arial" w:cs="Arial"/>
          <w:noProof/>
          <w:lang w:val="en-GB"/>
        </w:rPr>
        <w:footnoteReference w:id="58"/>
      </w:r>
      <w:r>
        <w:rPr>
          <w:rFonts w:ascii="Arial" w:hAnsi="Arial" w:cs="Arial"/>
          <w:noProof/>
          <w:lang w:val="en-GB"/>
        </w:rPr>
        <w:t xml:space="preserve"> unless the measure satisfies the cumulative conditions of non-discrimination, necessity and proportionality.</w:t>
      </w:r>
      <w:r>
        <w:rPr>
          <w:rStyle w:val="FootnoteReference"/>
          <w:rFonts w:ascii="Arial" w:hAnsi="Arial" w:cs="Arial"/>
          <w:noProof/>
          <w:lang w:val="en-GB"/>
        </w:rPr>
        <w:footnoteReference w:id="59"/>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preliminary rulings addressed to the Hungarian judiciary, the Court held that:</w:t>
      </w:r>
    </w:p>
    <w:p>
      <w:pPr>
        <w:pStyle w:val="Lijstje2"/>
        <w:ind w:left="1276"/>
        <w:rPr>
          <w:rFonts w:ascii="Arial" w:hAnsi="Arial" w:cs="Arial"/>
          <w:noProof/>
          <w:lang w:val="en-GB"/>
        </w:rPr>
      </w:pPr>
      <w:r>
        <w:rPr>
          <w:rFonts w:ascii="Arial" w:hAnsi="Arial" w:cs="Arial"/>
          <w:noProof/>
          <w:lang w:val="en-GB"/>
        </w:rPr>
        <w:t>a Member State has the right to send an applicant for international protection to a safe third country, if that Member State was responsible for examining an application for international protection submitted by the applicant who left that Member State before a decision on the substance of his first application for international protection was taken;</w:t>
      </w:r>
      <w:r>
        <w:rPr>
          <w:rStyle w:val="FootnoteReference"/>
          <w:rFonts w:ascii="Arial" w:hAnsi="Arial" w:cs="Arial"/>
          <w:noProof/>
          <w:lang w:val="en-GB"/>
        </w:rPr>
        <w:footnoteReference w:id="60"/>
      </w:r>
    </w:p>
    <w:p>
      <w:pPr>
        <w:pStyle w:val="Lijstje2"/>
        <w:ind w:left="1276"/>
        <w:rPr>
          <w:rFonts w:ascii="Arial" w:hAnsi="Arial" w:cs="Arial"/>
          <w:noProof/>
          <w:lang w:val="en-GB"/>
        </w:rPr>
      </w:pPr>
      <w:r>
        <w:rPr>
          <w:rFonts w:ascii="Arial" w:hAnsi="Arial" w:cs="Arial"/>
          <w:noProof/>
          <w:lang w:val="en-GB"/>
        </w:rPr>
        <w:t>both the driver and/or the transport undertaking employing the driver can be held liable for infringements of the Regulation on the harmonisation of certain social legislation relating to road transport;</w:t>
      </w:r>
      <w:r>
        <w:rPr>
          <w:rStyle w:val="FootnoteReference"/>
          <w:rFonts w:ascii="Arial" w:hAnsi="Arial" w:cs="Arial"/>
          <w:noProof/>
          <w:lang w:val="en-GB"/>
        </w:rPr>
        <w:footnoteReference w:id="61"/>
      </w:r>
    </w:p>
    <w:p>
      <w:pPr>
        <w:pStyle w:val="Lijstje2"/>
        <w:ind w:left="1276"/>
        <w:rPr>
          <w:rFonts w:ascii="Arial" w:hAnsi="Arial" w:cs="Arial"/>
          <w:noProof/>
          <w:lang w:val="en-GB"/>
        </w:rPr>
      </w:pPr>
      <w:r>
        <w:rPr>
          <w:rFonts w:ascii="Arial" w:hAnsi="Arial" w:cs="Arial"/>
          <w:noProof/>
          <w:lang w:val="en-GB"/>
        </w:rPr>
        <w:t xml:space="preserve">the customs authorities </w:t>
      </w:r>
      <w:r>
        <w:rPr>
          <w:rFonts w:ascii="Arial" w:hAnsi="Arial" w:cs="Arial"/>
          <w:bCs/>
          <w:noProof/>
          <w:lang w:val="en-GB"/>
        </w:rPr>
        <w:t>may</w:t>
      </w:r>
      <w:r>
        <w:rPr>
          <w:rFonts w:ascii="Arial" w:hAnsi="Arial" w:cs="Arial"/>
          <w:noProof/>
          <w:lang w:val="en-GB"/>
        </w:rPr>
        <w:t xml:space="preserve"> disregard the declared price of imported goods and use</w:t>
      </w:r>
      <w:r>
        <w:rPr>
          <w:rFonts w:ascii="Arial" w:hAnsi="Arial" w:cs="Arial"/>
          <w:bCs/>
          <w:noProof/>
          <w:lang w:val="en-GB"/>
        </w:rPr>
        <w:t xml:space="preserve"> </w:t>
      </w:r>
      <w:r>
        <w:rPr>
          <w:rFonts w:ascii="Arial" w:hAnsi="Arial" w:cs="Arial"/>
          <w:noProof/>
          <w:lang w:val="en-GB"/>
        </w:rPr>
        <w:t xml:space="preserve">secondary methods </w:t>
      </w:r>
      <w:r>
        <w:rPr>
          <w:rFonts w:ascii="Arial" w:hAnsi="Arial" w:cs="Arial"/>
          <w:bCs/>
          <w:noProof/>
          <w:lang w:val="en-GB"/>
        </w:rPr>
        <w:t>(laid down in the Community Customs Code</w:t>
      </w:r>
      <w:r>
        <w:rPr>
          <w:rStyle w:val="FootnoteReference"/>
          <w:rFonts w:ascii="Arial" w:hAnsi="Arial"/>
          <w:noProof/>
          <w:lang w:val="en-GB"/>
        </w:rPr>
        <w:footnoteReference w:id="62"/>
      </w:r>
      <w:r>
        <w:rPr>
          <w:rFonts w:ascii="Arial" w:hAnsi="Arial" w:cs="Arial"/>
          <w:bCs/>
          <w:noProof/>
          <w:lang w:val="en-GB"/>
        </w:rPr>
        <w:t xml:space="preserve">) </w:t>
      </w:r>
      <w:r>
        <w:rPr>
          <w:rFonts w:ascii="Arial" w:hAnsi="Arial" w:cs="Arial"/>
          <w:noProof/>
          <w:lang w:val="en-GB"/>
        </w:rPr>
        <w:t xml:space="preserve">to determine the transaction value, if </w:t>
      </w:r>
      <w:r>
        <w:rPr>
          <w:rFonts w:ascii="Arial" w:hAnsi="Arial" w:cs="Arial"/>
          <w:bCs/>
          <w:noProof/>
          <w:lang w:val="en-GB"/>
        </w:rPr>
        <w:t>they still doubt the accuracy of the declared value</w:t>
      </w:r>
      <w:r>
        <w:rPr>
          <w:rFonts w:ascii="Arial" w:hAnsi="Arial" w:cs="Arial"/>
          <w:noProof/>
          <w:lang w:val="en-GB"/>
        </w:rPr>
        <w:t xml:space="preserve"> after </w:t>
      </w:r>
      <w:r>
        <w:rPr>
          <w:rFonts w:ascii="Arial" w:hAnsi="Arial" w:cs="Arial"/>
          <w:bCs/>
          <w:noProof/>
          <w:lang w:val="en-GB"/>
        </w:rPr>
        <w:t>asking</w:t>
      </w:r>
      <w:r>
        <w:rPr>
          <w:rFonts w:ascii="Arial" w:hAnsi="Arial" w:cs="Arial"/>
          <w:noProof/>
          <w:lang w:val="en-GB"/>
        </w:rPr>
        <w:t xml:space="preserve"> for additional information or documents and </w:t>
      </w:r>
      <w:r>
        <w:rPr>
          <w:rFonts w:ascii="Arial" w:hAnsi="Arial" w:cs="Arial"/>
          <w:bCs/>
          <w:noProof/>
          <w:lang w:val="en-GB"/>
        </w:rPr>
        <w:t xml:space="preserve">providing the </w:t>
      </w:r>
      <w:r>
        <w:rPr>
          <w:rFonts w:ascii="Arial" w:hAnsi="Arial" w:cs="Arial"/>
          <w:noProof/>
          <w:lang w:val="en-GB"/>
        </w:rPr>
        <w:t xml:space="preserve">person concerned with a reasonable opportunity to </w:t>
      </w:r>
      <w:r>
        <w:rPr>
          <w:rFonts w:ascii="Arial" w:hAnsi="Arial" w:cs="Arial"/>
          <w:bCs/>
          <w:noProof/>
          <w:lang w:val="en-GB"/>
        </w:rPr>
        <w:t>clarify</w:t>
      </w:r>
      <w:r>
        <w:rPr>
          <w:rFonts w:ascii="Arial" w:hAnsi="Arial" w:cs="Arial"/>
          <w:noProof/>
          <w:lang w:val="en-GB"/>
        </w:rPr>
        <w:t xml:space="preserve"> those doubts</w:t>
      </w:r>
      <w:r>
        <w:rPr>
          <w:rFonts w:ascii="Arial" w:hAnsi="Arial" w:cs="Arial"/>
          <w:bCs/>
          <w:noProof/>
          <w:lang w:val="en-GB"/>
        </w:rPr>
        <w:t>;</w:t>
      </w:r>
      <w:r>
        <w:rPr>
          <w:rStyle w:val="FootnoteReference"/>
          <w:rFonts w:ascii="Arial" w:hAnsi="Arial" w:cs="Arial"/>
          <w:bCs/>
          <w:noProof/>
          <w:lang w:val="en-GB"/>
        </w:rPr>
        <w:footnoteReference w:id="63"/>
      </w:r>
    </w:p>
    <w:p>
      <w:pPr>
        <w:pStyle w:val="Lijstje2"/>
        <w:ind w:left="1276"/>
        <w:rPr>
          <w:rFonts w:ascii="Arial" w:hAnsi="Arial" w:cs="Arial"/>
          <w:noProof/>
          <w:lang w:val="en-GB"/>
        </w:rPr>
      </w:pPr>
      <w:r>
        <w:rPr>
          <w:rFonts w:ascii="Arial" w:hAnsi="Arial" w:cs="Arial"/>
          <w:noProof/>
          <w:lang w:val="en-GB"/>
        </w:rPr>
        <w:t>the requirements of the principle of proportionality are not met when a vehicle of a transport undertaking is immobilised if the driver, employed by the undertaking, drove in breach of the EU law on recording equipment</w:t>
      </w:r>
      <w:r>
        <w:rPr>
          <w:rStyle w:val="FootnoteReference"/>
          <w:rFonts w:ascii="Arial" w:hAnsi="Arial" w:cs="Arial"/>
          <w:noProof/>
          <w:lang w:val="en-GB"/>
        </w:rPr>
        <w:footnoteReference w:id="64"/>
      </w:r>
      <w:r>
        <w:rPr>
          <w:rFonts w:ascii="Arial" w:hAnsi="Arial" w:cs="Arial"/>
          <w:noProof/>
          <w:lang w:val="en-GB"/>
        </w:rPr>
        <w:t xml:space="preserve"> and if the competent national authority did not establish the liability of that undertaking.</w:t>
      </w:r>
      <w:r>
        <w:rPr>
          <w:rStyle w:val="FootnoteReference"/>
          <w:rFonts w:ascii="Arial" w:hAnsi="Arial" w:cs="Arial"/>
          <w:noProof/>
          <w:lang w:val="en-GB"/>
        </w:rPr>
        <w:footnoteReference w:id="65"/>
      </w:r>
    </w:p>
    <w:p>
      <w:pPr>
        <w:pStyle w:val="Lijstje2"/>
        <w:ind w:left="1276"/>
        <w:rPr>
          <w:rFonts w:ascii="Arial" w:hAnsi="Arial" w:cs="Arial"/>
          <w:noProof/>
          <w:lang w:val="en-GB"/>
        </w:rPr>
      </w:pPr>
      <w:r>
        <w:rPr>
          <w:rFonts w:ascii="Arial" w:hAnsi="Arial" w:cs="Arial"/>
          <w:noProof/>
          <w:lang w:val="en-GB"/>
        </w:rPr>
        <w:t>shipments of waste intended for recovery must be considered illegal, under the Waste Shipment Regulation, when the shipment document contains incorrect or inconsistent information about the importer/consignee, the recovery facility and the countries/states concerned. This is the case irrespective of whether the error is made intentionally, that information is correct in other documents available to the competent authorities or procedures for taking back illegal shipments are being implemented. The fine</w:t>
      </w:r>
      <w:r>
        <w:rPr>
          <w:rFonts w:ascii="Arial" w:eastAsia="Times New Roman" w:hAnsi="Arial" w:cs="Arial"/>
          <w:noProof/>
          <w:kern w:val="0"/>
          <w:sz w:val="22"/>
          <w:lang w:val="en-GB"/>
        </w:rPr>
        <w:t xml:space="preserve"> </w:t>
      </w:r>
      <w:r>
        <w:rPr>
          <w:rFonts w:ascii="Arial" w:hAnsi="Arial" w:cs="Arial"/>
          <w:noProof/>
          <w:lang w:val="en-GB"/>
        </w:rPr>
        <w:t>for such an illegal shipment may, in principle, be the same as that imposed for infringements of the obligation to complete the respective document. However, in reviewing the proportionality of the penalty, account must be taken of the potential risks to the protection of the environment and human health.</w:t>
      </w:r>
      <w:r>
        <w:rPr>
          <w:rStyle w:val="FootnoteReference"/>
          <w:rFonts w:ascii="Arial" w:hAnsi="Arial" w:cs="Arial"/>
          <w:noProof/>
          <w:lang w:val="en-GB"/>
        </w:rPr>
        <w:footnoteReference w:id="66"/>
      </w:r>
    </w:p>
    <w:p>
      <w:pPr>
        <w:spacing w:after="120"/>
        <w:contextualSpacing/>
        <w:rPr>
          <w:rFonts w:ascii="Verdana" w:eastAsia="Calibri" w:hAnsi="Verdana"/>
          <w:noProof/>
          <w:kern w:val="20"/>
          <w:sz w:val="20"/>
        </w:rPr>
      </w:pPr>
    </w:p>
    <w:p>
      <w:pPr>
        <w:spacing w:after="0"/>
        <w:jc w:val="left"/>
        <w:rPr>
          <w:noProof/>
        </w:rPr>
        <w:sectPr>
          <w:headerReference w:type="even" r:id="rId67"/>
          <w:headerReference w:type="default" r:id="rId68"/>
          <w:footerReference w:type="even" r:id="rId69"/>
          <w:footerReference w:type="default" r:id="rId70"/>
          <w:headerReference w:type="first" r:id="rId71"/>
          <w:footerReference w:type="first" r:id="rId72"/>
          <w:footnotePr>
            <w:numRestart w:val="eachSect"/>
          </w:footnotePr>
          <w:pgSz w:w="11906" w:h="16838"/>
          <w:pgMar w:top="1702" w:right="1417" w:bottom="1134" w:left="1417" w:header="567" w:footer="351" w:gutter="0"/>
          <w:cols w:space="708"/>
          <w:titlePg/>
          <w:docGrid w:linePitch="360"/>
        </w:sectPr>
      </w:pPr>
    </w:p>
    <w:p>
      <w:pPr>
        <w:pStyle w:val="Heading1"/>
        <w:rPr>
          <w:noProof/>
        </w:rPr>
      </w:pPr>
      <w:bookmarkStart w:id="24" w:name="_Toc477938600"/>
      <w:r>
        <w:rPr>
          <w:noProof/>
        </w:rPr>
        <w:t>Malta</w:t>
      </w:r>
      <w:bookmarkEnd w:id="21"/>
      <w:bookmarkEnd w:id="22"/>
      <w:bookmarkEnd w:id="23"/>
      <w:bookmarkEnd w:id="24"/>
    </w:p>
    <w:p>
      <w:pPr>
        <w:spacing w:after="120"/>
        <w:rPr>
          <w:rFonts w:ascii="Arial" w:hAnsi="Arial" w:cs="Arial"/>
          <w:i/>
          <w:noProof/>
          <w:sz w:val="22"/>
          <w:szCs w:val="22"/>
        </w:rPr>
      </w:pPr>
      <w:r>
        <w:rPr>
          <w:rFonts w:ascii="Arial" w:hAnsi="Arial" w:cs="Arial"/>
          <w:i/>
          <w:noProof/>
          <w:sz w:val="22"/>
          <w:szCs w:val="22"/>
        </w:rPr>
        <w:t xml:space="preserve">New complaints against Malta have been relatively stable since 2014. The number of new EU Pilot files continued to drop in 2016, reaching its lowest level ever. Infringement cases open at the end of 2016 rose for the second year running. The number of new late transposition infringement cases was slightly lower than in 2015.   </w:t>
      </w:r>
    </w:p>
    <w:p>
      <w:pPr>
        <w:spacing w:after="120"/>
        <w:rPr>
          <w:rFonts w:ascii="Arial" w:hAnsi="Arial" w:cs="Arial"/>
          <w:i/>
          <w:noProof/>
          <w:sz w:val="22"/>
          <w:szCs w:val="22"/>
        </w:rPr>
      </w:pPr>
    </w:p>
    <w:p>
      <w:pPr>
        <w:pStyle w:val="kop2"/>
        <w:numPr>
          <w:ilvl w:val="0"/>
          <w:numId w:val="12"/>
        </w:numPr>
        <w:rPr>
          <w:noProof/>
        </w:rPr>
      </w:pPr>
      <w:r>
        <w:rPr>
          <w:noProof/>
        </w:rPr>
        <w:t>COMPLAINTS</w:t>
      </w:r>
    </w:p>
    <w:p>
      <w:pPr>
        <w:pStyle w:val="Subtitle"/>
        <w:numPr>
          <w:ilvl w:val="0"/>
          <w:numId w:val="49"/>
        </w:numPr>
        <w:rPr>
          <w:noProof/>
        </w:rPr>
      </w:pPr>
      <w:r>
        <w:rPr>
          <w:noProof/>
        </w:rPr>
        <w:t>New complaints made against Malta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66557" cy="2193471"/>
            <wp:effectExtent l="0" t="0" r="24765" b="16510"/>
            <wp:docPr id="84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Subtitle"/>
        <w:numPr>
          <w:ilvl w:val="0"/>
          <w:numId w:val="49"/>
        </w:numPr>
        <w:rPr>
          <w:noProof/>
        </w:rPr>
      </w:pPr>
      <w:r>
        <w:rPr>
          <w:noProof/>
        </w:rPr>
        <w:t>Public complaints against Malta open at year-end</w:t>
      </w:r>
    </w:p>
    <w:tbl>
      <w:tblPr>
        <w:tblStyle w:val="Style118"/>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22</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28</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25</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Cs w:val="28"/>
              </w:rPr>
            </w:pPr>
            <w:r>
              <w:rPr>
                <w:rFonts w:ascii="Arial" w:hAnsi="Arial" w:cs="Arial"/>
                <w:noProof/>
                <w:color w:val="C00000"/>
                <w:szCs w:val="28"/>
              </w:rPr>
              <w:t>= 25</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Complaints open at end-2016</w:t>
            </w:r>
          </w:p>
        </w:tc>
      </w:tr>
    </w:tbl>
    <w:p>
      <w:pPr>
        <w:spacing w:after="120"/>
        <w:ind w:firstLine="709"/>
        <w:rPr>
          <w:rFonts w:ascii="Arial" w:hAnsi="Arial" w:cs="Arial"/>
          <w:noProof/>
          <w:sz w:val="20"/>
        </w:rPr>
      </w:pPr>
    </w:p>
    <w:p>
      <w:pPr>
        <w:pStyle w:val="Subtitle"/>
        <w:numPr>
          <w:ilvl w:val="0"/>
          <w:numId w:val="49"/>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39340"/>
            <wp:effectExtent l="0" t="0" r="11430" b="22860"/>
            <wp:docPr id="841"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50"/>
        </w:numPr>
        <w:rPr>
          <w:noProof/>
        </w:rPr>
      </w:pPr>
      <w:r>
        <w:rPr>
          <w:noProof/>
        </w:rPr>
        <w:t>New EU Pilot files opened against Malta (2012-2016)</w:t>
      </w:r>
      <w:r>
        <w:rPr>
          <w:rStyle w:val="FootnoteReference"/>
          <w:noProof/>
        </w:rPr>
        <w:footnoteReference w:id="67"/>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87240" cy="2202180"/>
            <wp:effectExtent l="0" t="0" r="22860" b="26670"/>
            <wp:docPr id="84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Subtitle"/>
        <w:numPr>
          <w:ilvl w:val="0"/>
          <w:numId w:val="50"/>
        </w:numPr>
        <w:rPr>
          <w:noProof/>
        </w:rPr>
      </w:pPr>
      <w:r>
        <w:rPr>
          <w:noProof/>
        </w:rPr>
        <w:t>Files relating to Malta open in EU Pilot at year-end</w:t>
      </w:r>
    </w:p>
    <w:p>
      <w:pPr>
        <w:spacing w:after="0"/>
        <w:ind w:firstLine="709"/>
        <w:rPr>
          <w:rFonts w:ascii="Arial" w:hAnsi="Arial" w:cs="Arial"/>
          <w:noProof/>
          <w:sz w:val="20"/>
        </w:rPr>
      </w:pPr>
      <w:r>
        <w:rPr>
          <w:rFonts w:ascii="Arial" w:hAnsi="Arial" w:cs="Arial"/>
          <w:noProof/>
          <w:sz w:val="20"/>
          <w:lang w:val="en-US"/>
        </w:rPr>
        <w:drawing>
          <wp:inline distT="0" distB="0" distL="0" distR="0">
            <wp:extent cx="4587240" cy="2240280"/>
            <wp:effectExtent l="0" t="0" r="22860" b="26670"/>
            <wp:docPr id="16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Subtitle"/>
        <w:numPr>
          <w:ilvl w:val="0"/>
          <w:numId w:val="50"/>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77440"/>
            <wp:effectExtent l="0" t="0" r="15240" b="22860"/>
            <wp:docPr id="843"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50"/>
        </w:numPr>
        <w:rPr>
          <w:noProof/>
        </w:rPr>
      </w:pPr>
      <w:r>
        <w:rPr>
          <w:noProof/>
        </w:rPr>
        <w:t>EU Pilot files: Malta’s average response time in 2012-2016 (in days)</w:t>
      </w:r>
      <w:r>
        <w:rPr>
          <w:rStyle w:val="FootnoteReference"/>
          <w:noProof/>
        </w:rPr>
        <w:footnoteReference w:id="68"/>
      </w:r>
    </w:p>
    <w:p>
      <w:pPr>
        <w:spacing w:after="120"/>
        <w:ind w:firstLine="709"/>
        <w:rPr>
          <w:rFonts w:ascii="Arial" w:hAnsi="Arial" w:cs="Arial"/>
          <w:noProof/>
          <w:sz w:val="20"/>
        </w:rPr>
      </w:pPr>
      <w:r>
        <w:rPr>
          <w:rFonts w:ascii="Arial" w:hAnsi="Arial" w:cs="Arial"/>
          <w:noProof/>
          <w:sz w:val="20"/>
          <w:lang w:val="en-US"/>
        </w:rPr>
        <w:drawing>
          <wp:inline distT="0" distB="0" distL="0" distR="0">
            <wp:extent cx="4599214" cy="2471057"/>
            <wp:effectExtent l="0" t="0" r="11430" b="24765"/>
            <wp:docPr id="84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Subtitle"/>
        <w:numPr>
          <w:ilvl w:val="0"/>
          <w:numId w:val="50"/>
        </w:numPr>
        <w:rPr>
          <w:noProof/>
        </w:rPr>
      </w:pPr>
      <w:r>
        <w:rPr>
          <w:noProof/>
        </w:rPr>
        <w:t>EU Pilot files: Malta’s resolution rate in 2012-2016</w:t>
      </w:r>
      <w:r>
        <w:rPr>
          <w:rStyle w:val="FootnoteReference"/>
          <w:noProof/>
        </w:rPr>
        <w:footnoteReference w:id="69"/>
      </w:r>
    </w:p>
    <w:p>
      <w:pPr>
        <w:spacing w:after="120"/>
        <w:ind w:firstLine="709"/>
        <w:rPr>
          <w:rFonts w:ascii="Arial" w:hAnsi="Arial" w:cs="Arial"/>
          <w:noProof/>
          <w:sz w:val="20"/>
        </w:rPr>
      </w:pPr>
      <w:r>
        <w:rPr>
          <w:rFonts w:ascii="Arial" w:hAnsi="Arial" w:cs="Arial"/>
          <w:noProof/>
          <w:sz w:val="20"/>
          <w:lang w:val="en-US"/>
        </w:rPr>
        <w:drawing>
          <wp:inline distT="0" distB="0" distL="0" distR="0">
            <wp:extent cx="4599214" cy="2275114"/>
            <wp:effectExtent l="0" t="0" r="11430" b="11430"/>
            <wp:docPr id="84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51"/>
        </w:numPr>
        <w:rPr>
          <w:noProof/>
        </w:rPr>
      </w:pPr>
      <w:r>
        <w:rPr>
          <w:noProof/>
        </w:rPr>
        <w:t>Infringement cases against Malta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226128"/>
            <wp:effectExtent l="0" t="0" r="27305" b="22225"/>
            <wp:docPr id="846"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spacing w:after="200" w:line="276" w:lineRule="auto"/>
        <w:jc w:val="left"/>
        <w:rPr>
          <w:rFonts w:ascii="Arial" w:hAnsi="Arial"/>
          <w:noProof/>
          <w:color w:val="002060"/>
          <w:sz w:val="22"/>
          <w:szCs w:val="22"/>
        </w:rPr>
      </w:pP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080" cy="2255520"/>
            <wp:effectExtent l="0" t="0" r="13970" b="11430"/>
            <wp:docPr id="847"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5"/>
        </w:numPr>
        <w:ind w:left="1418" w:hanging="426"/>
        <w:rPr>
          <w:rFonts w:ascii="Arial" w:hAnsi="Arial" w:cs="Arial"/>
          <w:noProof/>
          <w:lang w:val="en-GB"/>
        </w:rPr>
      </w:pPr>
      <w:r>
        <w:rPr>
          <w:rFonts w:ascii="Arial" w:hAnsi="Arial" w:cs="Arial"/>
          <w:noProof/>
          <w:lang w:val="en-GB"/>
        </w:rPr>
        <w:t>The Commission opened 20 new infringement cases against Malta in 2016. These, and other major ongoing infringement cases, include:</w:t>
      </w:r>
    </w:p>
    <w:p>
      <w:pPr>
        <w:pStyle w:val="Lijstje2"/>
        <w:spacing w:after="200"/>
        <w:ind w:left="1843" w:hanging="426"/>
        <w:rPr>
          <w:rFonts w:ascii="Arial" w:hAnsi="Arial" w:cs="Arial"/>
          <w:noProof/>
          <w:lang w:val="en-GB"/>
        </w:rPr>
      </w:pPr>
      <w:r>
        <w:rPr>
          <w:rFonts w:ascii="Arial" w:hAnsi="Arial"/>
          <w:noProof/>
          <w:lang w:val="en-GB"/>
        </w:rPr>
        <w:t>inadequate</w:t>
      </w:r>
      <w:r>
        <w:rPr>
          <w:rFonts w:ascii="Arial" w:hAnsi="Arial" w:cs="Arial"/>
          <w:noProof/>
          <w:lang w:val="en-GB"/>
        </w:rPr>
        <w:t xml:space="preserve"> </w:t>
      </w:r>
      <w:r>
        <w:rPr>
          <w:rFonts w:ascii="Arial" w:hAnsi="Arial"/>
          <w:noProof/>
          <w:lang w:val="en-GB"/>
        </w:rPr>
        <w:t>urban waste water treatment</w:t>
      </w:r>
      <w:r>
        <w:rPr>
          <w:rFonts w:ascii="Arial" w:hAnsi="Arial" w:cs="Arial"/>
          <w:noProof/>
          <w:lang w:val="en-GB"/>
        </w:rPr>
        <w:t>;</w:t>
      </w:r>
    </w:p>
    <w:p>
      <w:pPr>
        <w:pStyle w:val="Lijstje2"/>
        <w:ind w:left="1843" w:hanging="425"/>
        <w:rPr>
          <w:rFonts w:ascii="Arial" w:hAnsi="Arial" w:cs="Arial"/>
          <w:noProof/>
          <w:lang w:val="en-GB"/>
        </w:rPr>
      </w:pPr>
      <w:r>
        <w:rPr>
          <w:rFonts w:ascii="Arial" w:hAnsi="Arial" w:cs="Arial"/>
          <w:noProof/>
          <w:lang w:val="en-GB"/>
        </w:rPr>
        <w:t>failure to transpose in full the three Directives on public procurement and concessions;</w:t>
      </w:r>
      <w:r>
        <w:rPr>
          <w:rStyle w:val="FootnoteReference"/>
          <w:rFonts w:ascii="Arial" w:hAnsi="Arial" w:cs="Arial"/>
          <w:noProof/>
          <w:lang w:val="en-GB"/>
        </w:rPr>
        <w:footnoteReference w:id="70"/>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Fonts w:ascii="Arial" w:hAnsi="Arial" w:cs="Arial"/>
          <w:noProof/>
          <w:lang w:val="en-GB"/>
        </w:rPr>
        <w:t>.</w:t>
      </w:r>
      <w:r>
        <w:rPr>
          <w:rStyle w:val="FootnoteReference"/>
          <w:rFonts w:ascii="Arial" w:hAnsi="Arial" w:cs="Arial"/>
          <w:noProof/>
          <w:lang w:val="en-GB"/>
        </w:rPr>
        <w:footnoteReference w:id="71"/>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spacing w:after="200"/>
        <w:ind w:left="1417" w:hanging="425"/>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52"/>
        </w:numPr>
        <w:rPr>
          <w:noProof/>
        </w:rPr>
      </w:pPr>
      <w:r>
        <w:rPr>
          <w:noProof/>
        </w:rPr>
        <w:t>Late transposition infringement cases against Malta open on 31 December (2012-2016)</w:t>
      </w:r>
    </w:p>
    <w:p>
      <w:pPr>
        <w:ind w:left="426" w:firstLine="283"/>
        <w:rPr>
          <w:rFonts w:ascii="Arial" w:hAnsi="Arial"/>
          <w:noProof/>
          <w:color w:val="002060"/>
          <w:sz w:val="22"/>
          <w:szCs w:val="22"/>
        </w:rPr>
      </w:pPr>
      <w:r>
        <w:rPr>
          <w:noProof/>
          <w:lang w:val="en-US"/>
        </w:rPr>
        <w:drawing>
          <wp:inline distT="0" distB="0" distL="0" distR="0">
            <wp:extent cx="4561840" cy="2336800"/>
            <wp:effectExtent l="0" t="0" r="10160" b="25400"/>
            <wp:docPr id="848"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r>
        <w:rPr>
          <w:noProof/>
        </w:rPr>
        <w:br w:type="page"/>
      </w:r>
    </w:p>
    <w:p>
      <w:pPr>
        <w:pStyle w:val="Subtitle"/>
        <w:numPr>
          <w:ilvl w:val="0"/>
          <w:numId w:val="52"/>
        </w:numPr>
        <w:rPr>
          <w:noProof/>
        </w:rPr>
      </w:pPr>
      <w:r>
        <w:rPr>
          <w:noProof/>
        </w:rPr>
        <w:t>New late transposition infringement cases against Malta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64380" cy="2324100"/>
            <wp:effectExtent l="0" t="0" r="26670" b="19050"/>
            <wp:docPr id="849"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4860" cy="2362200"/>
            <wp:effectExtent l="0" t="0" r="15240" b="19050"/>
            <wp:docPr id="850"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pStyle w:val="Lijstje2"/>
        <w:spacing w:after="200"/>
        <w:ind w:left="1418" w:hanging="425"/>
        <w:rPr>
          <w:rFonts w:ascii="Arial" w:hAnsi="Arial" w:cs="Arial"/>
          <w:noProof/>
          <w:lang w:val="en-GB"/>
        </w:rPr>
      </w:pPr>
      <w:r>
        <w:rPr>
          <w:rFonts w:ascii="Arial" w:eastAsia="Times New Roman" w:hAnsi="Arial" w:cs="Arial"/>
          <w:noProof/>
          <w:kern w:val="0"/>
          <w:lang w:val="en-GB"/>
        </w:rPr>
        <w:t>discriminatory application of water and energy tariffs;</w:t>
      </w:r>
    </w:p>
    <w:p>
      <w:pPr>
        <w:pStyle w:val="Lijstje2"/>
        <w:spacing w:after="200"/>
        <w:ind w:left="1418" w:hanging="425"/>
        <w:rPr>
          <w:rFonts w:ascii="Arial" w:hAnsi="Arial" w:cs="Arial"/>
          <w:noProof/>
          <w:lang w:val="en-GB"/>
        </w:rPr>
      </w:pPr>
      <w:r>
        <w:rPr>
          <w:rFonts w:ascii="Arial" w:hAnsi="Arial" w:cs="Arial"/>
          <w:noProof/>
          <w:lang w:val="en-GB"/>
        </w:rPr>
        <w:t>notification of all national measures necessary to transpose the Capital Requirements Directive</w:t>
      </w:r>
      <w:r>
        <w:rPr>
          <w:rStyle w:val="FootnoteReference"/>
          <w:rFonts w:ascii="Arial" w:hAnsi="Arial" w:cs="Arial"/>
          <w:noProof/>
          <w:lang w:val="en-GB"/>
        </w:rPr>
        <w:footnoteReference w:id="72"/>
      </w:r>
      <w:r>
        <w:rPr>
          <w:rFonts w:ascii="Arial" w:hAnsi="Arial" w:cs="Arial"/>
          <w:noProof/>
          <w:lang w:val="en-GB"/>
        </w:rPr>
        <w:t xml:space="preserve"> and the Bank Resolution and Recovery Directive;</w:t>
      </w:r>
      <w:r>
        <w:rPr>
          <w:rStyle w:val="FootnoteReference"/>
          <w:rFonts w:ascii="Arial" w:hAnsi="Arial" w:cs="Arial"/>
          <w:noProof/>
          <w:lang w:val="en-GB"/>
        </w:rPr>
        <w:footnoteReference w:id="73"/>
      </w:r>
    </w:p>
    <w:p>
      <w:pPr>
        <w:pStyle w:val="Lijstje2"/>
        <w:spacing w:after="200"/>
        <w:ind w:left="1418" w:hanging="425"/>
        <w:rPr>
          <w:rFonts w:ascii="Arial" w:hAnsi="Arial" w:cs="Arial"/>
          <w:noProof/>
          <w:lang w:val="en-GB"/>
        </w:rPr>
      </w:pPr>
      <w:r>
        <w:rPr>
          <w:rFonts w:ascii="Arial" w:hAnsi="Arial"/>
          <w:noProof/>
          <w:lang w:val="en-GB"/>
        </w:rPr>
        <w:t xml:space="preserve">failure to </w:t>
      </w:r>
      <w:r>
        <w:rPr>
          <w:rFonts w:ascii="Arial" w:hAnsi="Arial" w:cs="Arial"/>
          <w:noProof/>
          <w:lang w:val="en-GB"/>
        </w:rPr>
        <w:t>fulfil obligations under the Directive</w:t>
      </w:r>
      <w:r>
        <w:rPr>
          <w:rFonts w:ascii="Arial" w:hAnsi="Arial"/>
          <w:noProof/>
          <w:lang w:val="en-GB"/>
        </w:rPr>
        <w:t xml:space="preserve"> on driving licences.</w:t>
      </w:r>
      <w:r>
        <w:rPr>
          <w:rStyle w:val="FootnoteReference"/>
          <w:noProof/>
        </w:rPr>
        <w:footnoteReference w:id="74"/>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53"/>
        </w:numPr>
        <w:rPr>
          <w:noProof/>
        </w:rPr>
      </w:pPr>
      <w:r>
        <w:rPr>
          <w:noProof/>
        </w:rPr>
        <w:t>Court rulings</w:t>
      </w:r>
      <w:r>
        <w:rPr>
          <w:rStyle w:val="FootnoteReference"/>
          <w:noProof/>
        </w:rPr>
        <w:footnoteReference w:id="75"/>
      </w:r>
    </w:p>
    <w:p>
      <w:pPr>
        <w:pStyle w:val="Body"/>
        <w:rPr>
          <w:noProof/>
          <w:lang w:val="en-GB"/>
        </w:rPr>
      </w:pPr>
      <w:r>
        <w:rPr>
          <w:noProof/>
          <w:lang w:val="en-GB"/>
        </w:rPr>
        <w:t>The Court ruled that:</w:t>
      </w:r>
    </w:p>
    <w:p>
      <w:pPr>
        <w:pStyle w:val="Lijstje2"/>
        <w:ind w:left="1418"/>
        <w:rPr>
          <w:rFonts w:ascii="Arial" w:hAnsi="Arial" w:cs="Arial"/>
          <w:noProof/>
          <w:lang w:val="en-GB"/>
        </w:rPr>
      </w:pPr>
      <w:r>
        <w:rPr>
          <w:rFonts w:ascii="Arial" w:hAnsi="Arial" w:cs="Arial"/>
          <w:noProof/>
          <w:lang w:val="en-GB"/>
        </w:rPr>
        <w:t>Malta did not violate EU social security rules when its laws deducted the value of civil-service old-age pensions from other Member States from Maltese old-age pensions.</w:t>
      </w:r>
      <w:r>
        <w:rPr>
          <w:rStyle w:val="FootnoteReference"/>
          <w:noProof/>
        </w:rPr>
        <w:footnoteReference w:id="76"/>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firstLine="720"/>
        <w:rPr>
          <w:rFonts w:eastAsia="Calibri"/>
          <w:noProof/>
          <w:lang w:val="en-GB"/>
        </w:rPr>
      </w:pPr>
      <w:r>
        <w:rPr>
          <w:noProof/>
          <w:lang w:val="en-GB"/>
        </w:rPr>
        <w:t>No major preliminary rulings were addressed to the Maltese judiciary in 2016.</w:t>
      </w:r>
    </w:p>
    <w:p>
      <w:pPr>
        <w:spacing w:after="120"/>
        <w:contextualSpacing/>
        <w:rPr>
          <w:rFonts w:ascii="Verdana" w:eastAsia="Calibri" w:hAnsi="Verdana"/>
          <w:noProof/>
          <w:kern w:val="20"/>
          <w:sz w:val="20"/>
        </w:rPr>
      </w:pPr>
    </w:p>
    <w:p>
      <w:pPr>
        <w:spacing w:after="0"/>
        <w:jc w:val="left"/>
        <w:rPr>
          <w:noProof/>
        </w:rPr>
        <w:sectPr>
          <w:headerReference w:type="even" r:id="rId85"/>
          <w:headerReference w:type="default" r:id="rId86"/>
          <w:footerReference w:type="even" r:id="rId87"/>
          <w:footerReference w:type="default" r:id="rId88"/>
          <w:headerReference w:type="first" r:id="rId89"/>
          <w:footerReference w:type="first" r:id="rId90"/>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25" w:name="_Toc475974657"/>
      <w:bookmarkStart w:id="26" w:name="_Toc475980153"/>
      <w:bookmarkStart w:id="27" w:name="_Toc475981402"/>
      <w:bookmarkStart w:id="28" w:name="_Toc477938601"/>
      <w:r>
        <w:rPr>
          <w:noProof/>
        </w:rPr>
        <w:t>Netherlands</w:t>
      </w:r>
      <w:bookmarkEnd w:id="25"/>
      <w:bookmarkEnd w:id="26"/>
      <w:bookmarkEnd w:id="27"/>
      <w:bookmarkEnd w:id="28"/>
    </w:p>
    <w:p>
      <w:pPr>
        <w:spacing w:after="120"/>
        <w:rPr>
          <w:rFonts w:ascii="Arial" w:hAnsi="Arial" w:cs="Arial"/>
          <w:i/>
          <w:noProof/>
          <w:sz w:val="22"/>
          <w:szCs w:val="22"/>
        </w:rPr>
      </w:pPr>
      <w:r>
        <w:rPr>
          <w:rFonts w:ascii="Arial" w:hAnsi="Arial" w:cs="Arial"/>
          <w:i/>
          <w:noProof/>
          <w:sz w:val="22"/>
          <w:szCs w:val="22"/>
        </w:rPr>
        <w:t>All the main indicators for the Netherlands worsened in 2016. After falling since 2012, n</w:t>
      </w:r>
      <w:r>
        <w:rPr>
          <w:rFonts w:ascii="Arial" w:hAnsi="Arial"/>
          <w:i/>
          <w:noProof/>
          <w:sz w:val="22"/>
        </w:rPr>
        <w:t>ew complaints jumped suddenly in 2016 to their highest level for 5 years. Open infringement cases also rose to a five-year peak, as did new infringement cases for late transposition. The number of new EU Pilot files was relatively stable, showing only a slight increase.</w:t>
      </w:r>
    </w:p>
    <w:p>
      <w:pPr>
        <w:spacing w:after="120"/>
        <w:rPr>
          <w:rFonts w:ascii="Arial" w:hAnsi="Arial" w:cs="Arial"/>
          <w:i/>
          <w:noProof/>
          <w:sz w:val="22"/>
          <w:szCs w:val="22"/>
        </w:rPr>
      </w:pPr>
    </w:p>
    <w:p>
      <w:pPr>
        <w:pStyle w:val="kop2"/>
        <w:numPr>
          <w:ilvl w:val="0"/>
          <w:numId w:val="13"/>
        </w:numPr>
        <w:rPr>
          <w:noProof/>
        </w:rPr>
      </w:pPr>
      <w:r>
        <w:rPr>
          <w:noProof/>
        </w:rPr>
        <w:t>COMPLAINTS</w:t>
      </w:r>
    </w:p>
    <w:p>
      <w:pPr>
        <w:pStyle w:val="Subtitle"/>
        <w:numPr>
          <w:ilvl w:val="0"/>
          <w:numId w:val="54"/>
        </w:numPr>
        <w:rPr>
          <w:noProof/>
        </w:rPr>
      </w:pPr>
      <w:r>
        <w:rPr>
          <w:noProof/>
        </w:rPr>
        <w:t>New complaints made against the Netherlands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66557" cy="2182585"/>
            <wp:effectExtent l="0" t="0" r="24765" b="27305"/>
            <wp:docPr id="87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Subtitle"/>
        <w:numPr>
          <w:ilvl w:val="0"/>
          <w:numId w:val="54"/>
        </w:numPr>
        <w:rPr>
          <w:noProof/>
        </w:rPr>
      </w:pPr>
      <w:r>
        <w:rPr>
          <w:noProof/>
        </w:rPr>
        <w:t>Public complaints against the Netherlands open at year-end</w:t>
      </w:r>
    </w:p>
    <w:tbl>
      <w:tblPr>
        <w:tblStyle w:val="Style119"/>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66</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107</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99</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Cs w:val="28"/>
              </w:rPr>
            </w:pPr>
            <w:r>
              <w:rPr>
                <w:rFonts w:ascii="Arial" w:hAnsi="Arial" w:cs="Arial"/>
                <w:noProof/>
                <w:color w:val="C00000"/>
                <w:szCs w:val="28"/>
              </w:rPr>
              <w:t>= 74</w:t>
            </w:r>
          </w:p>
        </w:tc>
        <w:tc>
          <w:tcPr>
            <w:tcW w:w="452" w:type="dxa"/>
            <w:vAlign w:val="center"/>
          </w:tcPr>
          <w:p>
            <w:pPr>
              <w:spacing w:after="0"/>
              <w:jc w:val="right"/>
              <w:rPr>
                <w:rFonts w:ascii="Arial" w:hAnsi="Arial" w:cs="Arial"/>
                <w:noProof/>
                <w:color w:val="548DD4" w:themeColor="text2" w:themeTint="99"/>
                <w:szCs w:val="28"/>
              </w:rPr>
            </w:pPr>
            <w:r>
              <w:rPr>
                <w:rFonts w:ascii="Arial" w:hAnsi="Arial" w:cs="Arial"/>
                <w:noProof/>
                <w:color w:val="548DD4" w:themeColor="text2" w:themeTint="99"/>
                <w:szCs w:val="28"/>
              </w:rPr>
              <w:t>&gt;</w:t>
            </w:r>
          </w:p>
        </w:tc>
        <w:tc>
          <w:tcPr>
            <w:tcW w:w="5310" w:type="dxa"/>
            <w:vAlign w:val="center"/>
          </w:tcPr>
          <w:p>
            <w:pPr>
              <w:spacing w:after="0"/>
              <w:jc w:val="left"/>
              <w:rPr>
                <w:rFonts w:ascii="Arial" w:hAnsi="Arial" w:cs="Arial"/>
                <w:noProof/>
                <w:color w:val="548DD4" w:themeColor="text2" w:themeTint="99"/>
                <w:szCs w:val="28"/>
              </w:rPr>
            </w:pPr>
            <w:r>
              <w:rPr>
                <w:rFonts w:ascii="Arial" w:hAnsi="Arial" w:cs="Arial"/>
                <w:noProof/>
                <w:color w:val="548DD4" w:themeColor="text2" w:themeTint="99"/>
                <w:szCs w:val="28"/>
              </w:rPr>
              <w:t>Complaints open at end-2016</w:t>
            </w:r>
          </w:p>
        </w:tc>
      </w:tr>
    </w:tbl>
    <w:p>
      <w:pPr>
        <w:spacing w:after="120"/>
        <w:ind w:firstLine="709"/>
        <w:rPr>
          <w:rFonts w:ascii="Arial" w:hAnsi="Arial" w:cs="Arial"/>
          <w:noProof/>
          <w:sz w:val="20"/>
        </w:rPr>
      </w:pPr>
    </w:p>
    <w:p>
      <w:pPr>
        <w:pStyle w:val="Subtitle"/>
        <w:numPr>
          <w:ilvl w:val="0"/>
          <w:numId w:val="54"/>
        </w:numPr>
        <w:rPr>
          <w:noProof/>
        </w:rPr>
      </w:pPr>
      <w:r>
        <w:rPr>
          <w:noProof/>
        </w:rPr>
        <w:t xml:space="preserve">New complaints registered in 2016: main policy area </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5543" cy="2416628"/>
            <wp:effectExtent l="0" t="0" r="13970" b="22225"/>
            <wp:docPr id="87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55"/>
        </w:numPr>
        <w:rPr>
          <w:noProof/>
        </w:rPr>
      </w:pPr>
      <w:r>
        <w:rPr>
          <w:noProof/>
        </w:rPr>
        <w:t>New EU Pilot files opened against the Netherlands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2000" cy="2302329"/>
            <wp:effectExtent l="0" t="0" r="19050" b="22225"/>
            <wp:docPr id="87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Subtitle"/>
        <w:numPr>
          <w:ilvl w:val="0"/>
          <w:numId w:val="55"/>
        </w:numPr>
        <w:rPr>
          <w:noProof/>
        </w:rPr>
      </w:pPr>
      <w:r>
        <w:rPr>
          <w:noProof/>
        </w:rPr>
        <w:t>Files relating to the Netherlands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302329"/>
            <wp:effectExtent l="0" t="0" r="19050" b="22225"/>
            <wp:docPr id="16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Subtitle"/>
        <w:numPr>
          <w:ilvl w:val="0"/>
          <w:numId w:val="55"/>
        </w:numPr>
        <w:rPr>
          <w:noProof/>
        </w:rPr>
      </w:pPr>
      <w:r>
        <w:rPr>
          <w:noProof/>
        </w:rPr>
        <w:t xml:space="preserve">New EU Pilot files opened in 2016: main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00300"/>
            <wp:effectExtent l="0" t="0" r="15240" b="19050"/>
            <wp:docPr id="87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55"/>
        </w:numPr>
        <w:rPr>
          <w:noProof/>
        </w:rPr>
      </w:pPr>
      <w:r>
        <w:rPr>
          <w:noProof/>
        </w:rPr>
        <w:t>EU Pilot files: Netherlands’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209800"/>
            <wp:effectExtent l="0" t="0" r="19050" b="19050"/>
            <wp:docPr id="88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Subtitle"/>
        <w:numPr>
          <w:ilvl w:val="0"/>
          <w:numId w:val="55"/>
        </w:numPr>
        <w:rPr>
          <w:noProof/>
        </w:rPr>
      </w:pPr>
      <w:r>
        <w:rPr>
          <w:noProof/>
        </w:rPr>
        <w:t>EU Pilot files: Netherlands’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1871" cy="2345872"/>
            <wp:effectExtent l="0" t="0" r="16510" b="16510"/>
            <wp:docPr id="88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56"/>
        </w:numPr>
        <w:rPr>
          <w:noProof/>
        </w:rPr>
      </w:pPr>
      <w:r>
        <w:rPr>
          <w:noProof/>
        </w:rPr>
        <w:t>Infringement cases against the Netherlands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66557" cy="2383971"/>
            <wp:effectExtent l="0" t="0" r="24765" b="16510"/>
            <wp:docPr id="882"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 xml:space="preserve">New infringement cases opened in 2016: main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88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6"/>
        </w:numPr>
        <w:ind w:hanging="426"/>
        <w:rPr>
          <w:rFonts w:ascii="Arial" w:hAnsi="Arial" w:cs="Arial"/>
          <w:noProof/>
          <w:lang w:val="en-GB"/>
        </w:rPr>
      </w:pPr>
      <w:r>
        <w:rPr>
          <w:rFonts w:ascii="Arial" w:hAnsi="Arial" w:cs="Arial"/>
          <w:noProof/>
          <w:lang w:val="en-GB"/>
        </w:rPr>
        <w:t>The Commission opened 24 new infringement cases against the Netherlands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failure to fully transpose the Offshore Safety Directive;</w:t>
      </w:r>
      <w:r>
        <w:rPr>
          <w:rStyle w:val="FootnoteReference"/>
          <w:noProof/>
        </w:rPr>
        <w:footnoteReference w:id="77"/>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Capital Requirements Directive;</w:t>
      </w:r>
      <w:r>
        <w:rPr>
          <w:rStyle w:val="FootnoteReference"/>
          <w:noProof/>
          <w:lang w:val="en-GB"/>
        </w:rPr>
        <w:footnoteReference w:id="78"/>
      </w:r>
    </w:p>
    <w:p>
      <w:pPr>
        <w:pStyle w:val="Lijstje2"/>
        <w:spacing w:after="200"/>
        <w:ind w:left="1843" w:hanging="425"/>
        <w:rPr>
          <w:rFonts w:ascii="Arial" w:hAnsi="Arial" w:cs="Arial"/>
          <w:noProof/>
          <w:lang w:val="en-GB"/>
        </w:rPr>
      </w:pPr>
      <w:r>
        <w:rPr>
          <w:rFonts w:ascii="Arial" w:hAnsi="Arial" w:cs="Arial"/>
          <w:noProof/>
          <w:lang w:val="en-GB"/>
        </w:rPr>
        <w:t>bilateral investment treaties signed before all state parties became members of the EU and which now overlap and conflict with the EU single market on cross-border investments;</w:t>
      </w:r>
      <w:r>
        <w:rPr>
          <w:rStyle w:val="FootnoteReference"/>
          <w:noProof/>
          <w:lang w:val="en-GB"/>
        </w:rPr>
        <w:footnoteReference w:id="79"/>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 to correctly implement the Directive on the qualification and training of road drivers;</w:t>
      </w:r>
      <w:r>
        <w:rPr>
          <w:rStyle w:val="FootnoteReference"/>
          <w:noProof/>
        </w:rPr>
        <w:footnoteReference w:id="80"/>
      </w:r>
    </w:p>
    <w:p>
      <w:pPr>
        <w:pStyle w:val="Lijstje2"/>
        <w:spacing w:after="200"/>
        <w:ind w:left="1843" w:hanging="426"/>
        <w:rPr>
          <w:rFonts w:ascii="Arial" w:hAnsi="Arial" w:cs="Arial"/>
          <w:noProof/>
          <w:lang w:val="en-GB"/>
        </w:rPr>
      </w:pPr>
      <w:r>
        <w:rPr>
          <w:rFonts w:ascii="Arial" w:hAnsi="Arial" w:cs="Arial"/>
          <w:noProof/>
          <w:lang w:val="en-GB"/>
        </w:rPr>
        <w:t>bad application of the Habitats Directive;</w:t>
      </w:r>
      <w:r>
        <w:rPr>
          <w:rStyle w:val="FootnoteReference"/>
          <w:rFonts w:ascii="Arial" w:hAnsi="Arial" w:cs="Arial"/>
          <w:noProof/>
          <w:lang w:val="en-GB"/>
        </w:rPr>
        <w:footnoteReference w:id="81"/>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w:t>
      </w:r>
      <w:r>
        <w:rPr>
          <w:rFonts w:ascii="Arial" w:hAnsi="Arial" w:cs="Arial"/>
          <w:noProof/>
          <w:lang w:val="en-GB"/>
        </w:rPr>
        <w:t xml:space="preserve"> to fully transpose the Directive on driving licences;</w:t>
      </w:r>
      <w:r>
        <w:rPr>
          <w:rStyle w:val="FootnoteReference"/>
          <w:rFonts w:ascii="Arial" w:hAnsi="Arial" w:cs="Arial"/>
          <w:noProof/>
          <w:lang w:val="en-GB"/>
        </w:rPr>
        <w:footnoteReference w:id="82"/>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cs="Arial"/>
          <w:i/>
          <w:noProof/>
          <w:lang w:val="en-GB"/>
        </w:rPr>
        <w:footnoteReference w:id="83"/>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Style w:val="FootnoteReference"/>
          <w:rFonts w:ascii="Arial" w:hAnsi="Arial"/>
          <w:noProof/>
          <w:lang w:val="en-GB"/>
        </w:rPr>
        <w:footnoteReference w:id="84"/>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57"/>
        </w:numPr>
        <w:rPr>
          <w:noProof/>
        </w:rPr>
      </w:pPr>
      <w:r>
        <w:rPr>
          <w:noProof/>
        </w:rPr>
        <w:t>Late transposition infringement cases against the Netherlands open on 31 December (2012-2016)</w:t>
      </w:r>
    </w:p>
    <w:p>
      <w:pPr>
        <w:ind w:left="425" w:firstLine="284"/>
        <w:rPr>
          <w:noProof/>
        </w:rPr>
      </w:pPr>
      <w:r>
        <w:rPr>
          <w:noProof/>
          <w:lang w:val="en-US"/>
        </w:rPr>
        <w:drawing>
          <wp:inline distT="0" distB="0" distL="0" distR="0">
            <wp:extent cx="4579620" cy="2087880"/>
            <wp:effectExtent l="0" t="0" r="11430" b="26670"/>
            <wp:docPr id="88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Subtitle"/>
        <w:numPr>
          <w:ilvl w:val="0"/>
          <w:numId w:val="57"/>
        </w:numPr>
        <w:rPr>
          <w:noProof/>
        </w:rPr>
      </w:pPr>
      <w:r>
        <w:rPr>
          <w:noProof/>
        </w:rPr>
        <w:t>New late transposition infringement cases against the Netherlands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55520"/>
            <wp:effectExtent l="0" t="0" r="11430" b="11430"/>
            <wp:docPr id="88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 xml:space="preserve">New late transposition infringement cases opened in 2016: main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260600"/>
            <wp:effectExtent l="0" t="0" r="22860" b="25400"/>
            <wp:docPr id="88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left="786" w:hanging="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ab/>
        <w:t>These concerned:</w:t>
      </w:r>
    </w:p>
    <w:p>
      <w:pPr>
        <w:numPr>
          <w:ilvl w:val="0"/>
          <w:numId w:val="4"/>
        </w:numPr>
        <w:spacing w:after="200"/>
        <w:ind w:left="1418" w:hanging="425"/>
        <w:contextualSpacing/>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 the Deposit Guarantee Schemes Directive;</w:t>
      </w:r>
      <w:r>
        <w:rPr>
          <w:rStyle w:val="FootnoteReference"/>
          <w:rFonts w:ascii="Arial" w:hAnsi="Arial" w:cs="Arial"/>
          <w:noProof/>
          <w:sz w:val="20"/>
        </w:rPr>
        <w:footnoteReference w:id="85"/>
      </w:r>
    </w:p>
    <w:p>
      <w:pPr>
        <w:numPr>
          <w:ilvl w:val="0"/>
          <w:numId w:val="4"/>
        </w:numPr>
        <w:spacing w:after="200"/>
        <w:ind w:left="1418" w:hanging="425"/>
        <w:rPr>
          <w:rFonts w:ascii="Arial" w:hAnsi="Arial"/>
          <w:noProof/>
          <w:sz w:val="20"/>
        </w:rPr>
      </w:pPr>
      <w:r>
        <w:rPr>
          <w:rFonts w:ascii="Arial" w:eastAsia="Calibri" w:hAnsi="Arial" w:cs="Arial"/>
          <w:noProof/>
          <w:kern w:val="20"/>
          <w:sz w:val="20"/>
        </w:rPr>
        <w:t>non</w:t>
      </w:r>
      <w:r>
        <w:rPr>
          <w:rFonts w:ascii="Arial" w:hAnsi="Arial" w:cs="Arial"/>
          <w:noProof/>
          <w:sz w:val="20"/>
        </w:rPr>
        <w:t>-compliance with the Directive on the common system of value added tax as regards dental prostheses.</w:t>
      </w:r>
      <w:r>
        <w:rPr>
          <w:rStyle w:val="FootnoteReference"/>
          <w:rFonts w:ascii="Arial" w:hAnsi="Arial" w:cs="Arial"/>
          <w:noProof/>
          <w:sz w:val="20"/>
        </w:rPr>
        <w:footnoteReference w:id="86"/>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59"/>
        </w:numPr>
        <w:rPr>
          <w:noProof/>
        </w:rPr>
      </w:pPr>
      <w:r>
        <w:rPr>
          <w:noProof/>
        </w:rPr>
        <w:t>Court rulings</w:t>
      </w:r>
      <w:r>
        <w:rPr>
          <w:rStyle w:val="FootnoteReference"/>
          <w:noProof/>
        </w:rPr>
        <w:footnoteReference w:id="87"/>
      </w:r>
    </w:p>
    <w:p>
      <w:pPr>
        <w:pStyle w:val="Body"/>
        <w:rPr>
          <w:noProof/>
          <w:lang w:val="en-GB"/>
        </w:rPr>
      </w:pPr>
      <w:r>
        <w:rPr>
          <w:noProof/>
          <w:lang w:val="en-GB"/>
        </w:rPr>
        <w:t>The Court ruled that:</w:t>
      </w:r>
    </w:p>
    <w:p>
      <w:pPr>
        <w:pStyle w:val="Lijstje2"/>
        <w:ind w:left="1418"/>
        <w:rPr>
          <w:rFonts w:ascii="Arial" w:hAnsi="Arial"/>
          <w:noProof/>
          <w:lang w:val="en-GB"/>
        </w:rPr>
      </w:pPr>
      <w:r>
        <w:rPr>
          <w:rFonts w:ascii="Arial" w:hAnsi="Arial" w:cs="Arial"/>
          <w:noProof/>
          <w:color w:val="000000"/>
          <w:lang w:val="en-GB"/>
        </w:rPr>
        <w:t>financial support to students for travel costs (public transport for free or at a reduced rate), which is granted only to Dutch nationals and long-term residents, is not discriminatory as such support must be regarded as maintenance aid for studies consisting of student grants or student loans, which is covered by a derogation from equal treatment under the Citizens’ Rights Directive;</w:t>
      </w:r>
      <w:r>
        <w:rPr>
          <w:rStyle w:val="FootnoteReference"/>
          <w:rFonts w:ascii="Arial" w:hAnsi="Arial" w:cs="Arial"/>
          <w:noProof/>
          <w:lang w:val="en-GB"/>
        </w:rPr>
        <w:footnoteReference w:id="88"/>
      </w:r>
    </w:p>
    <w:p>
      <w:pPr>
        <w:pStyle w:val="Lijstje2"/>
        <w:ind w:left="1418"/>
        <w:rPr>
          <w:rFonts w:ascii="Arial" w:hAnsi="Arial" w:cs="Arial"/>
          <w:noProof/>
          <w:lang w:val="en-GB"/>
        </w:rPr>
      </w:pPr>
      <w:r>
        <w:rPr>
          <w:rFonts w:ascii="Arial" w:hAnsi="Arial" w:cs="Arial"/>
          <w:bCs/>
          <w:noProof/>
          <w:lang w:val="en-GB"/>
        </w:rPr>
        <w:t>t</w:t>
      </w:r>
      <w:r>
        <w:rPr>
          <w:rFonts w:ascii="Arial" w:hAnsi="Arial" w:cs="Arial"/>
          <w:noProof/>
          <w:lang w:val="en-GB"/>
        </w:rPr>
        <w:t>he VAT Directive exempts from VAT the supply of sport or physical education services by non-profit-making organisations. However, the Netherlands granted this exemption only if such organisations employ volunteers, not employees, to supply these services. By contrast, the letting of berths and moorings for vessels (provided by non-profit water sport organisations) was exempted from VAT even when it was not linked to sports activities.</w:t>
      </w:r>
      <w:r>
        <w:rPr>
          <w:rStyle w:val="FootnoteReference"/>
          <w:rFonts w:ascii="Arial" w:hAnsi="Arial" w:cs="Arial"/>
          <w:noProof/>
          <w:lang w:val="en-GB"/>
        </w:rPr>
        <w:footnoteReference w:id="89"/>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preliminary rulings addressed to the Dutch judiciary, the Court held that:</w:t>
      </w:r>
    </w:p>
    <w:p>
      <w:pPr>
        <w:pStyle w:val="Lijstje2"/>
        <w:ind w:left="1418" w:hanging="425"/>
        <w:rPr>
          <w:rFonts w:ascii="Arial" w:hAnsi="Arial"/>
          <w:noProof/>
          <w:lang w:val="en-GB"/>
        </w:rPr>
      </w:pPr>
      <w:r>
        <w:rPr>
          <w:rFonts w:ascii="Arial" w:hAnsi="Arial" w:cs="Arial"/>
          <w:noProof/>
          <w:lang w:val="en-GB"/>
        </w:rPr>
        <w:t>the Reception Conditions Directive</w:t>
      </w:r>
      <w:r>
        <w:rPr>
          <w:rStyle w:val="FootnoteReference"/>
          <w:rFonts w:ascii="Arial" w:hAnsi="Arial"/>
          <w:noProof/>
          <w:lang w:val="en-GB"/>
        </w:rPr>
        <w:footnoteReference w:id="90"/>
      </w:r>
      <w:r>
        <w:rPr>
          <w:rFonts w:ascii="Arial" w:hAnsi="Arial" w:cs="Arial"/>
          <w:noProof/>
          <w:lang w:val="en-GB"/>
        </w:rPr>
        <w:t xml:space="preserve"> allows for an asylum seeker to be detained when the protection of national security or public order so requires. The introduction of a fresh asylum application by a person who is subject to a return decision does not render that decision inoperative under the Return Directive;</w:t>
      </w:r>
      <w:r>
        <w:rPr>
          <w:rStyle w:val="FootnoteReference"/>
          <w:rFonts w:ascii="Arial" w:hAnsi="Arial" w:cs="Arial"/>
          <w:noProof/>
          <w:lang w:val="en-GB"/>
        </w:rPr>
        <w:footnoteReference w:id="91"/>
      </w:r>
    </w:p>
    <w:p>
      <w:pPr>
        <w:pStyle w:val="Lijstje2"/>
        <w:ind w:left="1418" w:hanging="425"/>
        <w:rPr>
          <w:rFonts w:ascii="Arial" w:hAnsi="Arial" w:cs="Arial"/>
          <w:noProof/>
          <w:lang w:val="en-GB"/>
        </w:rPr>
      </w:pPr>
      <w:r>
        <w:rPr>
          <w:rFonts w:ascii="Arial" w:hAnsi="Arial" w:cs="Arial"/>
          <w:noProof/>
          <w:lang w:val="en-GB"/>
        </w:rPr>
        <w:t>when a hyperlink is posted by the manager of a website to copyright-protected works made available on another website without the authorisation of the right holder, and no profit is pursued by the person posting the hyperlink, such a person can be considered, as a general rule, as not knowing or unable to reasonably know that the work was published without the consent of the right holder. However, when it is established that a person knew or ought to have known that the hyperlink provides access to a work illegally placed on the internet, the provision of the link constitutes a communication to the public. Such knowledge is presumed when the posting of hyperlinks is carried out for profit;</w:t>
      </w:r>
      <w:r>
        <w:rPr>
          <w:rStyle w:val="FootnoteReference"/>
          <w:noProof/>
        </w:rPr>
        <w:footnoteReference w:id="92"/>
      </w:r>
    </w:p>
    <w:p>
      <w:pPr>
        <w:pStyle w:val="Lijstje2"/>
        <w:ind w:left="1418" w:hanging="425"/>
        <w:rPr>
          <w:rFonts w:ascii="Arial" w:hAnsi="Arial" w:cs="Arial"/>
          <w:noProof/>
          <w:lang w:val="en-GB"/>
        </w:rPr>
      </w:pPr>
      <w:r>
        <w:rPr>
          <w:rFonts w:ascii="Arial" w:eastAsia="Times New Roman" w:hAnsi="Arial"/>
          <w:noProof/>
          <w:kern w:val="0"/>
          <w:lang w:val="en-GB"/>
        </w:rPr>
        <w:t>under the Directive on rental and lending rights,</w:t>
      </w:r>
      <w:r>
        <w:rPr>
          <w:rStyle w:val="FootnoteReference"/>
          <w:noProof/>
        </w:rPr>
        <w:footnoteReference w:id="93"/>
      </w:r>
      <w:r>
        <w:rPr>
          <w:rFonts w:ascii="Arial" w:eastAsia="Times New Roman" w:hAnsi="Arial"/>
          <w:noProof/>
          <w:kern w:val="0"/>
          <w:lang w:val="en-GB"/>
        </w:rPr>
        <w:t xml:space="preserve"> the term ‘lending’ </w:t>
      </w:r>
      <w:r>
        <w:rPr>
          <w:rFonts w:ascii="Arial" w:eastAsia="Times New Roman" w:hAnsi="Arial" w:cs="Arial"/>
          <w:noProof/>
          <w:kern w:val="0"/>
          <w:lang w:val="en-GB"/>
        </w:rPr>
        <w:t>covers the lending of a digital copy of a book, where the lending is carried out by placing that copy on the server of a public library and allowing a user to reproduce that copy by downloading it onto his own computer. Only one copy may be downloaded and it can only be used during the lending period</w:t>
      </w:r>
      <w:r>
        <w:rPr>
          <w:rFonts w:ascii="Arial" w:eastAsia="Times New Roman" w:hAnsi="Arial"/>
          <w:noProof/>
          <w:kern w:val="0"/>
          <w:lang w:val="en-GB"/>
        </w:rPr>
        <w:t>;</w:t>
      </w:r>
      <w:r>
        <w:rPr>
          <w:rStyle w:val="FootnoteReference"/>
          <w:noProof/>
        </w:rPr>
        <w:footnoteReference w:id="94"/>
      </w:r>
    </w:p>
    <w:p>
      <w:pPr>
        <w:pStyle w:val="Lijstje2"/>
        <w:ind w:left="1418" w:hanging="425"/>
        <w:rPr>
          <w:rFonts w:ascii="Arial" w:hAnsi="Arial" w:cs="Arial"/>
          <w:noProof/>
          <w:lang w:val="en-GB"/>
        </w:rPr>
      </w:pPr>
      <w:r>
        <w:rPr>
          <w:rFonts w:ascii="Arial" w:hAnsi="Arial" w:cs="Arial"/>
          <w:bCs/>
          <w:noProof/>
          <w:lang w:val="en-GB"/>
        </w:rPr>
        <w:t>an asylum seeker is entitled to plead, in an appeal against a decision to transfer him, the incorrect application of one of the criteria for determining responsibility laid down in the Dublin Regulation,</w:t>
      </w:r>
      <w:r>
        <w:rPr>
          <w:rStyle w:val="FootnoteReference"/>
          <w:rFonts w:ascii="Arial" w:hAnsi="Arial" w:cs="Arial"/>
          <w:bCs/>
          <w:noProof/>
          <w:lang w:val="en-GB"/>
        </w:rPr>
        <w:footnoteReference w:id="95"/>
      </w:r>
      <w:r>
        <w:rPr>
          <w:rFonts w:ascii="Arial" w:hAnsi="Arial" w:cs="Arial"/>
          <w:bCs/>
          <w:noProof/>
          <w:lang w:val="en-GB"/>
        </w:rPr>
        <w:t xml:space="preserve"> in particular the criterion relating to the grant of a visa;</w:t>
      </w:r>
      <w:r>
        <w:rPr>
          <w:rStyle w:val="FootnoteReference"/>
          <w:rFonts w:ascii="Arial" w:hAnsi="Arial" w:cs="Arial"/>
          <w:bCs/>
          <w:noProof/>
          <w:lang w:val="en-GB"/>
        </w:rPr>
        <w:footnoteReference w:id="96"/>
      </w:r>
    </w:p>
    <w:p>
      <w:pPr>
        <w:pStyle w:val="Lijstje2"/>
        <w:spacing w:after="0"/>
        <w:ind w:left="1418"/>
        <w:rPr>
          <w:rFonts w:ascii="Arial" w:hAnsi="Arial"/>
          <w:noProof/>
          <w:lang w:val="en-GB"/>
        </w:rPr>
      </w:pPr>
      <w:r>
        <w:rPr>
          <w:rFonts w:ascii="Arial" w:hAnsi="Arial" w:cs="Arial"/>
          <w:noProof/>
          <w:lang w:val="en-GB"/>
        </w:rPr>
        <w:t>the European arrest warrant issued by the Swedish National Police Board is invalid as such body is not covered by the term ‘issuing judicial authority’ and acts issued by police service cannot be regarded as a ‘judicial decision’;</w:t>
      </w:r>
      <w:r>
        <w:rPr>
          <w:rStyle w:val="FootnoteReference"/>
          <w:rFonts w:ascii="Arial" w:hAnsi="Arial" w:cs="Arial"/>
          <w:noProof/>
          <w:lang w:val="en-GB"/>
        </w:rPr>
        <w:footnoteReference w:id="97"/>
      </w:r>
    </w:p>
    <w:p>
      <w:pPr>
        <w:pStyle w:val="Lijstje2"/>
        <w:ind w:left="1418" w:hanging="425"/>
        <w:rPr>
          <w:rFonts w:ascii="Arial" w:hAnsi="Arial"/>
          <w:i/>
          <w:noProof/>
          <w:lang w:val="en-GB"/>
        </w:rPr>
      </w:pPr>
      <w:r>
        <w:rPr>
          <w:rFonts w:ascii="Arial" w:hAnsi="Arial" w:cs="Arial"/>
          <w:noProof/>
          <w:lang w:val="en-GB"/>
        </w:rPr>
        <w:t>the national authorities carrying out general monitoring tasks with regard to air passengers’ rights</w:t>
      </w:r>
      <w:r>
        <w:rPr>
          <w:rStyle w:val="FootnoteReference"/>
          <w:rFonts w:ascii="Arial" w:hAnsi="Arial" w:cs="Arial"/>
          <w:noProof/>
          <w:lang w:val="en-GB"/>
        </w:rPr>
        <w:footnoteReference w:id="98"/>
      </w:r>
      <w:r>
        <w:rPr>
          <w:rFonts w:ascii="Arial" w:hAnsi="Arial" w:cs="Arial"/>
          <w:noProof/>
          <w:lang w:val="en-GB"/>
        </w:rPr>
        <w:t xml:space="preserve"> are not required to take enforcement action in each individual case with a view to compelling air carriers to pay compensation. However, Member States have discretion in the allocation of the powers they give to such authorities and can nevertheless empower them to act on individual complaints;</w:t>
      </w:r>
      <w:r>
        <w:rPr>
          <w:rStyle w:val="FootnoteReference"/>
          <w:rFonts w:ascii="Arial" w:hAnsi="Arial" w:cs="Arial"/>
          <w:noProof/>
          <w:lang w:val="en-GB"/>
        </w:rPr>
        <w:footnoteReference w:id="99"/>
      </w:r>
    </w:p>
    <w:p>
      <w:pPr>
        <w:pStyle w:val="Lijstje2"/>
        <w:ind w:left="1418" w:hanging="425"/>
        <w:rPr>
          <w:rFonts w:ascii="Arial" w:hAnsi="Arial" w:cs="Arial"/>
          <w:i/>
          <w:noProof/>
          <w:lang w:val="en-GB"/>
        </w:rPr>
      </w:pPr>
      <w:r>
        <w:rPr>
          <w:rFonts w:ascii="Arial" w:hAnsi="Arial" w:cs="Arial"/>
          <w:noProof/>
          <w:lang w:val="en-GB"/>
        </w:rPr>
        <w:t xml:space="preserve">the concept of ‘emissions into the environment’ includes the release into the environment of products or substances, such as plant protection products or biocides or active substances contained in those products, to the extent that the release is actual or foreseeable under normal or realistic conditions of use of the product or substance. The concept of ‘information on emissions into the environment’ covers not only emissions as such (the nature, composition, quantity, date and place of those emissions), but also information enabling the public to check whether the assessment of actual or foreseeable emissions is correct, as well as data relating to the medium- or long-term effects of those emissions on the environment. </w:t>
      </w:r>
      <w:r>
        <w:rPr>
          <w:rFonts w:ascii="Arial" w:hAnsi="Arial" w:cs="Arial"/>
          <w:iCs/>
          <w:noProof/>
          <w:lang w:val="en-GB"/>
        </w:rPr>
        <w:t>The confidentiality of commercial and industrial information may not be invoked to preclude the disclosure of ‘information on emissions into the environment’.</w:t>
      </w:r>
      <w:r>
        <w:rPr>
          <w:rStyle w:val="FootnoteReference"/>
          <w:rFonts w:ascii="Arial" w:hAnsi="Arial" w:cs="Arial"/>
          <w:noProof/>
          <w:lang w:val="en-GB"/>
        </w:rPr>
        <w:footnoteReference w:id="100"/>
      </w:r>
    </w:p>
    <w:p>
      <w:pPr>
        <w:pStyle w:val="Lijstje2"/>
        <w:numPr>
          <w:ilvl w:val="0"/>
          <w:numId w:val="0"/>
        </w:numPr>
        <w:ind w:left="1843"/>
        <w:rPr>
          <w:rFonts w:ascii="Arial" w:hAnsi="Arial" w:cs="Arial"/>
          <w:noProof/>
          <w:lang w:val="en-GB"/>
        </w:rPr>
      </w:pPr>
    </w:p>
    <w:p>
      <w:pPr>
        <w:pStyle w:val="Lijstje2"/>
        <w:ind w:left="1778"/>
        <w:rPr>
          <w:rFonts w:ascii="Arial" w:hAnsi="Arial"/>
          <w:noProof/>
          <w:lang w:val="en-GB"/>
        </w:rPr>
        <w:sectPr>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29" w:name="_Toc477938602"/>
      <w:bookmarkStart w:id="30" w:name="_Toc475974658"/>
      <w:bookmarkStart w:id="31" w:name="_Toc475980154"/>
      <w:bookmarkStart w:id="32" w:name="_Toc475981403"/>
      <w:r>
        <w:rPr>
          <w:noProof/>
        </w:rPr>
        <w:t>Austria</w:t>
      </w:r>
      <w:bookmarkEnd w:id="29"/>
    </w:p>
    <w:p>
      <w:pPr>
        <w:pStyle w:val="Body"/>
        <w:ind w:firstLine="0"/>
        <w:rPr>
          <w:i/>
          <w:noProof/>
          <w:sz w:val="22"/>
          <w:szCs w:val="22"/>
          <w:lang w:val="en-GB"/>
        </w:rPr>
      </w:pPr>
      <w:r>
        <w:rPr>
          <w:i/>
          <w:noProof/>
          <w:sz w:val="22"/>
          <w:lang w:val="en-GB"/>
        </w:rPr>
        <w:t>New complaints against Austria continued to rise in 2016 from the low point reached in 2014</w:t>
      </w:r>
      <w:r>
        <w:rPr>
          <w:i/>
          <w:noProof/>
          <w:sz w:val="22"/>
          <w:szCs w:val="22"/>
          <w:lang w:val="en-GB"/>
        </w:rPr>
        <w:t>.</w:t>
      </w:r>
      <w:r>
        <w:rPr>
          <w:i/>
          <w:noProof/>
          <w:sz w:val="22"/>
          <w:lang w:val="en-GB"/>
        </w:rPr>
        <w:t xml:space="preserve"> The number of new EU Pilot files went up only slightly, while open infringement cases at the end of the year saw a sharp increase. N</w:t>
      </w:r>
      <w:r>
        <w:rPr>
          <w:i/>
          <w:noProof/>
          <w:sz w:val="22"/>
          <w:szCs w:val="22"/>
          <w:lang w:val="en-GB"/>
        </w:rPr>
        <w:t>ew</w:t>
      </w:r>
      <w:r>
        <w:rPr>
          <w:i/>
          <w:noProof/>
          <w:sz w:val="22"/>
          <w:lang w:val="en-GB"/>
        </w:rPr>
        <w:t xml:space="preserve"> infringement cases for late transposition also rose, to almost triple the number of 2015.</w:t>
      </w:r>
    </w:p>
    <w:p>
      <w:pPr>
        <w:pStyle w:val="Body"/>
        <w:ind w:firstLine="0"/>
        <w:rPr>
          <w:i/>
          <w:noProof/>
          <w:sz w:val="22"/>
          <w:szCs w:val="22"/>
          <w:lang w:val="en-GB"/>
        </w:rPr>
      </w:pPr>
    </w:p>
    <w:p>
      <w:pPr>
        <w:pStyle w:val="kop2"/>
        <w:numPr>
          <w:ilvl w:val="0"/>
          <w:numId w:val="256"/>
        </w:numPr>
        <w:rPr>
          <w:noProof/>
        </w:rPr>
      </w:pPr>
      <w:r>
        <w:rPr>
          <w:noProof/>
        </w:rPr>
        <w:t>COMPLAINTS</w:t>
      </w:r>
    </w:p>
    <w:p>
      <w:pPr>
        <w:pStyle w:val="Subtitle"/>
        <w:numPr>
          <w:ilvl w:val="0"/>
          <w:numId w:val="258"/>
        </w:numPr>
        <w:rPr>
          <w:noProof/>
        </w:rPr>
      </w:pPr>
      <w:r>
        <w:rPr>
          <w:noProof/>
        </w:rPr>
        <w:t>New complaints made against Austria by members of the public (2012-2016)</w:t>
      </w:r>
    </w:p>
    <w:p>
      <w:pPr>
        <w:pStyle w:val="Body"/>
        <w:rPr>
          <w:noProof/>
          <w:lang w:val="en-GB"/>
        </w:rPr>
      </w:pPr>
      <w:r>
        <w:rPr>
          <w:noProof/>
        </w:rPr>
        <w:drawing>
          <wp:inline distT="0" distB="0" distL="0" distR="0">
            <wp:extent cx="4604657" cy="2226129"/>
            <wp:effectExtent l="0" t="0" r="24765" b="22225"/>
            <wp:docPr id="21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pPr>
        <w:pStyle w:val="Subtitle"/>
        <w:rPr>
          <w:noProof/>
        </w:rPr>
      </w:pPr>
      <w:r>
        <w:rPr>
          <w:noProof/>
        </w:rPr>
        <w:t>Public complaints against Austria open at year-end</w:t>
      </w:r>
    </w:p>
    <w:tbl>
      <w:tblPr>
        <w:tblStyle w:val="Style1"/>
        <w:tblW w:w="0" w:type="auto"/>
        <w:jc w:val="center"/>
        <w:tblInd w:w="421" w:type="dxa"/>
        <w:tblLook w:val="04A0" w:firstRow="1" w:lastRow="0" w:firstColumn="1" w:lastColumn="0" w:noHBand="0" w:noVBand="1"/>
      </w:tblPr>
      <w:tblGrid>
        <w:gridCol w:w="1697"/>
        <w:gridCol w:w="345"/>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75</w:t>
            </w:r>
          </w:p>
        </w:tc>
        <w:tc>
          <w:tcPr>
            <w:tcW w:w="33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103</w:t>
            </w:r>
          </w:p>
        </w:tc>
        <w:tc>
          <w:tcPr>
            <w:tcW w:w="33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74</w:t>
            </w:r>
          </w:p>
        </w:tc>
        <w:tc>
          <w:tcPr>
            <w:tcW w:w="33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104</w:t>
            </w:r>
          </w:p>
        </w:tc>
        <w:tc>
          <w:tcPr>
            <w:tcW w:w="33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pStyle w:val="Body"/>
        <w:rPr>
          <w:noProof/>
          <w:lang w:val="en-GB"/>
        </w:rPr>
      </w:pPr>
    </w:p>
    <w:p>
      <w:pPr>
        <w:pStyle w:val="Subtitle"/>
        <w:rPr>
          <w:noProof/>
        </w:rPr>
      </w:pPr>
      <w:r>
        <w:rPr>
          <w:noProof/>
        </w:rPr>
        <w:t>New complaints registered in 2016: main policy areas</w:t>
      </w:r>
    </w:p>
    <w:p>
      <w:pPr>
        <w:pStyle w:val="Body"/>
        <w:rPr>
          <w:noProof/>
          <w:lang w:val="en-GB"/>
        </w:rPr>
      </w:pPr>
      <w:r>
        <w:rPr>
          <w:noProof/>
        </w:rPr>
        <w:drawing>
          <wp:inline distT="0" distB="0" distL="0" distR="0">
            <wp:extent cx="4615543" cy="2416628"/>
            <wp:effectExtent l="0" t="0" r="13970" b="22225"/>
            <wp:docPr id="216"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pPr>
        <w:spacing w:after="200" w:line="276" w:lineRule="auto"/>
        <w:jc w:val="left"/>
        <w:rPr>
          <w:rFonts w:ascii="Arial" w:hAnsi="Arial" w:cs="Arial"/>
          <w:noProof/>
          <w:sz w:val="20"/>
        </w:rPr>
      </w:pPr>
      <w:r>
        <w:rPr>
          <w:noProof/>
        </w:rPr>
        <w:br w:type="page"/>
      </w:r>
    </w:p>
    <w:p>
      <w:pPr>
        <w:pStyle w:val="kop2"/>
        <w:rPr>
          <w:noProof/>
        </w:rPr>
      </w:pPr>
      <w:r>
        <w:rPr>
          <w:noProof/>
        </w:rPr>
        <w:t>EU PILOT</w:t>
      </w:r>
    </w:p>
    <w:p>
      <w:pPr>
        <w:pStyle w:val="Subtitle"/>
        <w:numPr>
          <w:ilvl w:val="0"/>
          <w:numId w:val="257"/>
        </w:numPr>
        <w:rPr>
          <w:noProof/>
        </w:rPr>
      </w:pPr>
      <w:r>
        <w:rPr>
          <w:noProof/>
        </w:rPr>
        <w:t>New EU Pilot files opened against Austria (2012-2016)</w:t>
      </w:r>
    </w:p>
    <w:p>
      <w:pPr>
        <w:pStyle w:val="Body"/>
        <w:tabs>
          <w:tab w:val="left" w:pos="0"/>
        </w:tabs>
        <w:rPr>
          <w:noProof/>
          <w:lang w:val="en-GB"/>
        </w:rPr>
      </w:pPr>
      <w:r>
        <w:rPr>
          <w:noProof/>
        </w:rPr>
        <w:drawing>
          <wp:inline distT="0" distB="0" distL="0" distR="0">
            <wp:extent cx="4591050" cy="2238375"/>
            <wp:effectExtent l="0" t="0" r="19050" b="9525"/>
            <wp:docPr id="217"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pPr>
        <w:pStyle w:val="Subtitle"/>
        <w:rPr>
          <w:noProof/>
        </w:rPr>
      </w:pPr>
      <w:r>
        <w:rPr>
          <w:noProof/>
        </w:rPr>
        <w:t>Files relating to Austria open in EU Pilot at year-end</w:t>
      </w:r>
    </w:p>
    <w:p>
      <w:pPr>
        <w:pStyle w:val="Body"/>
        <w:rPr>
          <w:noProof/>
          <w:lang w:val="en-GB"/>
        </w:rPr>
      </w:pPr>
      <w:r>
        <w:rPr>
          <w:noProof/>
        </w:rPr>
        <w:drawing>
          <wp:inline distT="0" distB="0" distL="0" distR="0">
            <wp:extent cx="4591050" cy="2238375"/>
            <wp:effectExtent l="0" t="0" r="19050" b="9525"/>
            <wp:docPr id="218"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pPr>
        <w:pStyle w:val="Subtitle"/>
        <w:rPr>
          <w:noProof/>
        </w:rPr>
      </w:pPr>
      <w:r>
        <w:rPr>
          <w:noProof/>
        </w:rPr>
        <w:t>New EU Pilot files opened in 2016: main policy areas</w:t>
      </w:r>
    </w:p>
    <w:p>
      <w:pPr>
        <w:pStyle w:val="Body"/>
        <w:rPr>
          <w:noProof/>
          <w:lang w:val="en-GB"/>
        </w:rPr>
      </w:pPr>
      <w:r>
        <w:rPr>
          <w:noProof/>
        </w:rPr>
        <w:drawing>
          <wp:inline distT="0" distB="0" distL="0" distR="0">
            <wp:extent cx="4632960" cy="2446020"/>
            <wp:effectExtent l="0" t="0" r="15240" b="11430"/>
            <wp:docPr id="21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pPr>
        <w:spacing w:after="200" w:line="276" w:lineRule="auto"/>
        <w:jc w:val="left"/>
        <w:rPr>
          <w:rFonts w:ascii="Arial" w:hAnsi="Arial" w:cs="Arial"/>
          <w:noProof/>
          <w:sz w:val="20"/>
        </w:rPr>
      </w:pPr>
      <w:r>
        <w:rPr>
          <w:noProof/>
        </w:rPr>
        <w:br w:type="page"/>
      </w:r>
    </w:p>
    <w:p>
      <w:pPr>
        <w:pStyle w:val="Subtitle"/>
        <w:rPr>
          <w:noProof/>
        </w:rPr>
      </w:pPr>
      <w:r>
        <w:rPr>
          <w:noProof/>
        </w:rPr>
        <w:t>EU Pilot files: Austria’s average response time in 2012-2016 (in days)</w:t>
      </w:r>
    </w:p>
    <w:p>
      <w:pPr>
        <w:pStyle w:val="Body"/>
        <w:rPr>
          <w:noProof/>
          <w:lang w:val="en-GB"/>
        </w:rPr>
      </w:pPr>
      <w:r>
        <w:rPr>
          <w:noProof/>
        </w:rPr>
        <w:drawing>
          <wp:inline distT="0" distB="0" distL="0" distR="0">
            <wp:extent cx="4579620" cy="2209800"/>
            <wp:effectExtent l="0" t="0" r="11430" b="19050"/>
            <wp:docPr id="22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pPr>
        <w:pStyle w:val="Subtitle"/>
        <w:rPr>
          <w:noProof/>
        </w:rPr>
      </w:pPr>
      <w:r>
        <w:rPr>
          <w:noProof/>
        </w:rPr>
        <w:t>EU Pilot files: Austria’s resolution rate in 2012-2016</w:t>
      </w:r>
    </w:p>
    <w:p>
      <w:pPr>
        <w:pStyle w:val="Body"/>
        <w:rPr>
          <w:noProof/>
          <w:lang w:val="en-GB"/>
        </w:rPr>
      </w:pPr>
      <w:r>
        <w:rPr>
          <w:noProof/>
        </w:rPr>
        <w:drawing>
          <wp:inline distT="0" distB="0" distL="0" distR="0">
            <wp:extent cx="4582886" cy="2302328"/>
            <wp:effectExtent l="0" t="0" r="27305" b="22225"/>
            <wp:docPr id="22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pPr>
        <w:pStyle w:val="kop2"/>
        <w:rPr>
          <w:noProof/>
        </w:rPr>
      </w:pPr>
      <w:r>
        <w:rPr>
          <w:noProof/>
        </w:rPr>
        <w:t>INFRINGEMENT CASES</w:t>
      </w:r>
    </w:p>
    <w:p>
      <w:pPr>
        <w:pStyle w:val="Subtitle"/>
        <w:numPr>
          <w:ilvl w:val="0"/>
          <w:numId w:val="119"/>
        </w:numPr>
        <w:rPr>
          <w:noProof/>
        </w:rPr>
      </w:pPr>
      <w:r>
        <w:rPr>
          <w:noProof/>
        </w:rPr>
        <w:t>Infringement cases against Austria open on 31 December (2012-2016)</w:t>
      </w:r>
    </w:p>
    <w:p>
      <w:pPr>
        <w:pStyle w:val="Body"/>
        <w:rPr>
          <w:noProof/>
          <w:lang w:val="en-GB"/>
        </w:rPr>
      </w:pPr>
      <w:r>
        <w:rPr>
          <w:noProof/>
        </w:rPr>
        <w:drawing>
          <wp:inline distT="0" distB="0" distL="0" distR="0">
            <wp:extent cx="4600575" cy="2314575"/>
            <wp:effectExtent l="0" t="0" r="9525" b="9525"/>
            <wp:docPr id="222"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pPr>
        <w:spacing w:after="200" w:line="276" w:lineRule="auto"/>
        <w:jc w:val="left"/>
        <w:rPr>
          <w:rFonts w:ascii="Arial" w:hAnsi="Arial"/>
          <w:noProof/>
          <w:color w:val="002060"/>
          <w:sz w:val="22"/>
          <w:szCs w:val="22"/>
        </w:rPr>
      </w:pPr>
      <w:r>
        <w:rPr>
          <w:noProof/>
        </w:rPr>
        <w:br w:type="page"/>
      </w:r>
    </w:p>
    <w:p>
      <w:pPr>
        <w:pStyle w:val="Subtitle"/>
        <w:rPr>
          <w:noProof/>
        </w:rPr>
      </w:pPr>
      <w:r>
        <w:rPr>
          <w:noProof/>
        </w:rPr>
        <w:t>New infringement cases opened in 2016: main policy areas</w:t>
      </w:r>
    </w:p>
    <w:p>
      <w:pPr>
        <w:pStyle w:val="Body"/>
        <w:rPr>
          <w:noProof/>
          <w:lang w:val="en-GB"/>
        </w:rPr>
      </w:pPr>
      <w:r>
        <w:rPr>
          <w:noProof/>
        </w:rPr>
        <w:drawing>
          <wp:inline distT="0" distB="0" distL="0" distR="0">
            <wp:extent cx="4579620" cy="2247900"/>
            <wp:effectExtent l="0" t="0" r="11430" b="19050"/>
            <wp:docPr id="22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pPr>
        <w:pStyle w:val="Subtitle"/>
        <w:rPr>
          <w:noProof/>
        </w:rPr>
      </w:pPr>
      <w:r>
        <w:rPr>
          <w:noProof/>
        </w:rPr>
        <w:t>Key infringement cases and referrals to the Court</w:t>
      </w:r>
    </w:p>
    <w:p>
      <w:pPr>
        <w:pStyle w:val="Lijstje"/>
        <w:numPr>
          <w:ilvl w:val="0"/>
          <w:numId w:val="259"/>
        </w:numPr>
        <w:ind w:left="1134" w:hanging="284"/>
        <w:rPr>
          <w:rFonts w:ascii="Arial" w:hAnsi="Arial" w:cs="Arial"/>
          <w:noProof/>
          <w:lang w:val="en-GB"/>
        </w:rPr>
      </w:pPr>
      <w:r>
        <w:rPr>
          <w:rFonts w:ascii="Arial" w:hAnsi="Arial" w:cs="Arial"/>
          <w:noProof/>
          <w:lang w:val="en-GB"/>
        </w:rPr>
        <w:t>The Commission opened 47 new infringement cases against Austria in 2016. These, and other major ongoing infringement cases, include:</w:t>
      </w:r>
    </w:p>
    <w:p>
      <w:pPr>
        <w:pStyle w:val="Lijstje2"/>
        <w:spacing w:after="200"/>
        <w:ind w:left="1843" w:hanging="425"/>
        <w:rPr>
          <w:rFonts w:ascii="Arial" w:hAnsi="Arial" w:cs="Arial"/>
          <w:noProof/>
          <w:lang w:val="en-GB"/>
        </w:rPr>
      </w:pPr>
      <w:r>
        <w:rPr>
          <w:rFonts w:ascii="Arial" w:hAnsi="Arial" w:cs="Arial"/>
          <w:noProof/>
          <w:lang w:val="en-GB"/>
        </w:rPr>
        <w:t>non-respect of NO</w:t>
      </w:r>
      <w:r>
        <w:rPr>
          <w:rFonts w:ascii="Arial" w:hAnsi="Arial" w:cs="Arial"/>
          <w:noProof/>
          <w:vertAlign w:val="subscript"/>
          <w:lang w:val="en-GB"/>
        </w:rPr>
        <w:t>2 </w:t>
      </w:r>
      <w:r>
        <w:rPr>
          <w:rFonts w:ascii="Arial" w:hAnsi="Arial" w:cs="Arial"/>
          <w:noProof/>
          <w:lang w:val="en-GB"/>
        </w:rPr>
        <w:t xml:space="preserve"> limit values set by the Air Quality Directive;</w:t>
      </w:r>
      <w:r>
        <w:rPr>
          <w:rStyle w:val="FootnoteReference"/>
          <w:noProof/>
        </w:rPr>
        <w:footnoteReference w:id="101"/>
      </w:r>
    </w:p>
    <w:p>
      <w:pPr>
        <w:pStyle w:val="Lijstje2"/>
        <w:spacing w:after="200"/>
        <w:ind w:left="1843" w:hanging="425"/>
        <w:rPr>
          <w:rFonts w:ascii="Arial" w:hAnsi="Arial" w:cs="Arial"/>
          <w:noProof/>
          <w:lang w:val="en-GB"/>
        </w:rPr>
      </w:pPr>
      <w:r>
        <w:rPr>
          <w:rFonts w:ascii="Arial" w:hAnsi="Arial" w:cs="Arial"/>
          <w:noProof/>
          <w:lang w:val="en-GB"/>
        </w:rPr>
        <w:t>failure to communicate measures transposing the Directive on priority substances in the field of water policy;</w:t>
      </w:r>
      <w:r>
        <w:rPr>
          <w:rStyle w:val="FootnoteReference"/>
          <w:rFonts w:ascii="Arial" w:hAnsi="Arial" w:cs="Arial"/>
          <w:noProof/>
          <w:lang w:val="en-GB"/>
        </w:rPr>
        <w:footnoteReference w:id="102"/>
      </w:r>
    </w:p>
    <w:p>
      <w:pPr>
        <w:pStyle w:val="Lijstje2"/>
        <w:spacing w:after="200"/>
        <w:ind w:left="1843" w:hanging="425"/>
        <w:rPr>
          <w:rFonts w:ascii="Arial" w:hAnsi="Arial" w:cs="Arial"/>
          <w:noProof/>
          <w:lang w:val="en-GB"/>
        </w:rPr>
      </w:pPr>
      <w:r>
        <w:rPr>
          <w:rFonts w:ascii="Arial" w:hAnsi="Arial" w:cs="Arial"/>
          <w:noProof/>
          <w:lang w:val="en-GB"/>
        </w:rPr>
        <w:t>failure to comply with the Third Internal Energy Market Package;</w:t>
      </w:r>
      <w:r>
        <w:rPr>
          <w:rStyle w:val="FootnoteReference"/>
          <w:noProof/>
        </w:rPr>
        <w:footnoteReference w:id="103"/>
      </w:r>
      <w:r>
        <w:rPr>
          <w:rFonts w:ascii="Arial" w:hAnsi="Arial" w:cs="Arial"/>
          <w:noProof/>
          <w:lang w:val="en-GB"/>
        </w:rPr>
        <w:t xml:space="preserve"> </w:t>
      </w:r>
    </w:p>
    <w:p>
      <w:pPr>
        <w:pStyle w:val="Lijstje2"/>
        <w:spacing w:after="200"/>
        <w:ind w:left="1843" w:hanging="425"/>
        <w:rPr>
          <w:rFonts w:ascii="Arial" w:hAnsi="Arial" w:cs="Arial"/>
          <w:noProof/>
          <w:lang w:val="en-GB"/>
        </w:rPr>
      </w:pPr>
      <w:r>
        <w:rPr>
          <w:rFonts w:ascii="Arial" w:hAnsi="Arial" w:cs="Arial"/>
          <w:noProof/>
          <w:lang w:val="en-GB"/>
        </w:rPr>
        <w:t>bilateral investment treaties signed before all state parties became members of the EU and which now overlap and conflict with the EU single market on cross-border investments;</w:t>
      </w:r>
      <w:r>
        <w:rPr>
          <w:rStyle w:val="FootnoteReference"/>
          <w:noProof/>
          <w:lang w:val="en-GB"/>
        </w:rPr>
        <w:footnoteReference w:id="104"/>
      </w:r>
    </w:p>
    <w:p>
      <w:pPr>
        <w:pStyle w:val="Lijstje2"/>
        <w:spacing w:after="200"/>
        <w:ind w:left="1843" w:hanging="426"/>
        <w:rPr>
          <w:rFonts w:ascii="Arial" w:hAnsi="Arial" w:cs="Arial"/>
          <w:noProof/>
          <w:lang w:val="en-GB"/>
        </w:rPr>
      </w:pPr>
      <w:r>
        <w:rPr>
          <w:rFonts w:ascii="Arial" w:hAnsi="Arial" w:cs="Arial"/>
          <w:noProof/>
          <w:lang w:val="en-GB"/>
        </w:rPr>
        <w:t xml:space="preserve">non-conformity with the Directive on </w:t>
      </w:r>
      <w:r>
        <w:rPr>
          <w:rFonts w:ascii="Arial" w:hAnsi="Arial"/>
          <w:noProof/>
          <w:lang w:val="en-GB"/>
        </w:rPr>
        <w:t>structures of excise duties on alcohol and alcoholic beverages</w:t>
      </w:r>
      <w:r>
        <w:rPr>
          <w:rFonts w:ascii="Arial" w:hAnsi="Arial" w:cs="Arial"/>
          <w:noProof/>
          <w:lang w:val="en-GB"/>
        </w:rPr>
        <w:t>;</w:t>
      </w:r>
      <w:r>
        <w:rPr>
          <w:rStyle w:val="FootnoteReference"/>
          <w:rFonts w:ascii="Arial" w:hAnsi="Arial"/>
          <w:noProof/>
          <w:lang w:val="en-GB"/>
        </w:rPr>
        <w:footnoteReference w:id="105"/>
      </w:r>
    </w:p>
    <w:p>
      <w:pPr>
        <w:pStyle w:val="Lijstje2"/>
        <w:ind w:left="1843" w:hanging="426"/>
        <w:rPr>
          <w:rFonts w:ascii="Arial" w:hAnsi="Arial"/>
          <w:noProof/>
          <w:lang w:val="en-GB"/>
        </w:rPr>
      </w:pPr>
      <w:r>
        <w:rPr>
          <w:rFonts w:ascii="Arial" w:hAnsi="Arial" w:cs="Arial"/>
          <w:noProof/>
          <w:lang w:val="en-GB"/>
        </w:rPr>
        <w:t>non-compliance with the VAT Directive</w:t>
      </w:r>
      <w:r>
        <w:rPr>
          <w:rFonts w:ascii="Arial" w:hAnsi="Arial"/>
          <w:noProof/>
          <w:lang w:val="en-GB"/>
        </w:rPr>
        <w:t>;</w:t>
      </w:r>
      <w:r>
        <w:rPr>
          <w:rStyle w:val="FootnoteReference"/>
          <w:rFonts w:ascii="Arial" w:hAnsi="Arial" w:cs="Arial"/>
          <w:noProof/>
          <w:lang w:val="en-GB"/>
        </w:rPr>
        <w:t xml:space="preserve"> </w:t>
      </w:r>
      <w:r>
        <w:rPr>
          <w:rStyle w:val="FootnoteReference"/>
          <w:rFonts w:ascii="Arial" w:hAnsi="Arial" w:cs="Arial"/>
          <w:noProof/>
          <w:lang w:val="en-GB"/>
        </w:rPr>
        <w:footnoteReference w:id="106"/>
      </w:r>
    </w:p>
    <w:p>
      <w:pPr>
        <w:pStyle w:val="Lijstje2"/>
        <w:ind w:left="1843" w:hanging="426"/>
        <w:rPr>
          <w:rFonts w:ascii="Arial" w:hAnsi="Arial" w:cs="Arial"/>
          <w:noProof/>
          <w:lang w:val="en-GB" w:eastAsia="en-GB"/>
        </w:rPr>
      </w:pPr>
      <w:r>
        <w:rPr>
          <w:rFonts w:ascii="Arial" w:hAnsi="Arial" w:cs="Arial"/>
          <w:noProof/>
          <w:lang w:val="en-GB"/>
        </w:rPr>
        <w:t>excessive and unjustified obstacles in the area of professional services that run counter to the Services Directive;</w:t>
      </w:r>
      <w:r>
        <w:rPr>
          <w:rStyle w:val="FootnoteReference"/>
          <w:noProof/>
        </w:rPr>
        <w:footnoteReference w:id="107"/>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one or more of the three Directives on public procurement and concessions;</w:t>
      </w:r>
      <w:r>
        <w:rPr>
          <w:rStyle w:val="FootnoteReference"/>
          <w:rFonts w:ascii="Arial" w:hAnsi="Arial"/>
          <w:i/>
          <w:noProof/>
          <w:lang w:val="en-GB"/>
        </w:rPr>
        <w:footnoteReference w:id="108"/>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Style w:val="FootnoteReference"/>
          <w:rFonts w:ascii="Arial" w:hAnsi="Arial"/>
          <w:noProof/>
          <w:lang w:val="en-GB"/>
        </w:rPr>
        <w:footnoteReference w:id="109"/>
      </w:r>
    </w:p>
    <w:p>
      <w:pPr>
        <w:pStyle w:val="Lijstje2"/>
        <w:ind w:left="1843" w:hanging="426"/>
        <w:rPr>
          <w:rFonts w:ascii="Arial" w:hAnsi="Arial" w:cs="Arial"/>
          <w:noProof/>
          <w:lang w:val="en-GB"/>
        </w:rPr>
      </w:pPr>
      <w:r>
        <w:rPr>
          <w:rFonts w:ascii="Arial" w:hAnsi="Arial" w:cs="Arial"/>
          <w:noProof/>
          <w:lang w:val="en-GB"/>
        </w:rPr>
        <w:t>failure to fully transpose the Capital Requirements Directive</w:t>
      </w:r>
      <w:r>
        <w:rPr>
          <w:rStyle w:val="FootnoteReference"/>
          <w:rFonts w:ascii="Arial" w:hAnsi="Arial"/>
          <w:noProof/>
          <w:lang w:val="en-GB"/>
        </w:rPr>
        <w:footnoteReference w:id="110"/>
      </w:r>
      <w:r>
        <w:rPr>
          <w:rFonts w:ascii="Arial" w:hAnsi="Arial" w:cs="Arial"/>
          <w:noProof/>
          <w:lang w:val="en-GB"/>
        </w:rPr>
        <w:t xml:space="preserve"> and the Bank Recovery and Resolution Directive;</w:t>
      </w:r>
      <w:r>
        <w:rPr>
          <w:rStyle w:val="FootnoteReference"/>
          <w:rFonts w:ascii="Arial" w:hAnsi="Arial" w:cs="Arial"/>
          <w:noProof/>
          <w:lang w:val="en-GB"/>
        </w:rPr>
        <w:footnoteReference w:id="111"/>
      </w:r>
    </w:p>
    <w:p>
      <w:pPr>
        <w:pStyle w:val="Lijstje2"/>
        <w:spacing w:after="60" w:line="276" w:lineRule="auto"/>
        <w:ind w:left="1843" w:hanging="425"/>
        <w:jc w:val="left"/>
        <w:rPr>
          <w:rFonts w:ascii="Arial" w:hAnsi="Arial" w:cs="Arial"/>
          <w:noProof/>
          <w:lang w:val="en-GB"/>
        </w:rPr>
      </w:pPr>
      <w:r>
        <w:rPr>
          <w:rFonts w:ascii="Arial" w:hAnsi="Arial"/>
          <w:noProof/>
          <w:lang w:val="en-GB"/>
        </w:rPr>
        <w:t>charging VAT on the resale rights of works of art, which may violate the VAT Directive</w:t>
      </w:r>
      <w:r>
        <w:rPr>
          <w:rStyle w:val="FootnoteReference"/>
          <w:rFonts w:ascii="Arial" w:hAnsi="Arial"/>
          <w:noProof/>
          <w:lang w:val="en-GB"/>
        </w:rPr>
        <w:footnoteReference w:id="112"/>
      </w:r>
      <w:r>
        <w:rPr>
          <w:rFonts w:ascii="Arial" w:hAnsi="Arial"/>
          <w:noProof/>
          <w:lang w:val="en-GB"/>
        </w:rPr>
        <w:t xml:space="preserve"> due to the lack of a contractual relationship between the resale buyer and the artist.</w:t>
      </w:r>
      <w:r>
        <w:rPr>
          <w:rStyle w:val="FootnoteReference"/>
          <w:rFonts w:ascii="Arial" w:hAnsi="Arial"/>
          <w:noProof/>
          <w:lang w:val="en-GB"/>
        </w:rPr>
        <w:footnoteReference w:id="113"/>
      </w:r>
    </w:p>
    <w:p>
      <w:pPr>
        <w:pStyle w:val="Lijstje"/>
        <w:numPr>
          <w:ilvl w:val="0"/>
          <w:numId w:val="2"/>
        </w:numPr>
        <w:spacing w:after="60"/>
        <w:ind w:left="1417" w:hanging="425"/>
        <w:rPr>
          <w:rFonts w:ascii="Arial" w:hAnsi="Arial" w:cs="Arial"/>
          <w:noProof/>
          <w:lang w:val="en-GB"/>
        </w:rPr>
      </w:pPr>
      <w:r>
        <w:rPr>
          <w:rFonts w:ascii="Arial" w:hAnsi="Arial" w:cs="Arial"/>
          <w:noProof/>
          <w:lang w:val="en-GB"/>
        </w:rPr>
        <w:t>The Commission referred one case to the Court under Article 258 TFEU. It concerns:</w:t>
      </w:r>
    </w:p>
    <w:p>
      <w:pPr>
        <w:pStyle w:val="Lijstje2"/>
        <w:ind w:left="1843" w:hanging="425"/>
        <w:rPr>
          <w:rFonts w:ascii="Arial" w:hAnsi="Arial" w:cs="Arial"/>
          <w:noProof/>
          <w:lang w:val="en-GB"/>
        </w:rPr>
      </w:pPr>
      <w:r>
        <w:rPr>
          <w:rFonts w:ascii="Arial" w:hAnsi="Arial" w:cs="Arial"/>
          <w:noProof/>
          <w:lang w:val="en-GB"/>
        </w:rPr>
        <w:t>direct award of the security printing of official documents (such as passports, ID-cards, residence permits, driving licences) to the Austrian State Printing Office. This is in breach of public procurement legislation.</w:t>
      </w:r>
      <w:r>
        <w:rPr>
          <w:rStyle w:val="FootnoteReference"/>
          <w:noProof/>
        </w:rPr>
        <w:footnoteReference w:id="114"/>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pStyle w:val="kop2"/>
        <w:rPr>
          <w:noProof/>
        </w:rPr>
      </w:pPr>
      <w:r>
        <w:rPr>
          <w:noProof/>
        </w:rPr>
        <w:t>TRANSPOSITION OF DIRECTIVES</w:t>
      </w:r>
    </w:p>
    <w:p>
      <w:pPr>
        <w:pStyle w:val="Subtitle"/>
        <w:numPr>
          <w:ilvl w:val="0"/>
          <w:numId w:val="120"/>
        </w:numPr>
        <w:rPr>
          <w:noProof/>
        </w:rPr>
      </w:pPr>
      <w:r>
        <w:rPr>
          <w:noProof/>
        </w:rPr>
        <w:t>Late transposition infringement cases against Austria open on 31 December (2012-2016)</w:t>
      </w:r>
    </w:p>
    <w:p>
      <w:pPr>
        <w:ind w:left="426" w:firstLine="283"/>
        <w:rPr>
          <w:noProof/>
        </w:rPr>
      </w:pPr>
      <w:r>
        <w:rPr>
          <w:noProof/>
          <w:lang w:val="en-US"/>
        </w:rPr>
        <w:drawing>
          <wp:inline distT="0" distB="0" distL="0" distR="0">
            <wp:extent cx="4602480" cy="1988820"/>
            <wp:effectExtent l="0" t="0" r="26670" b="11430"/>
            <wp:docPr id="224"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pPr>
        <w:pStyle w:val="Subtitle"/>
        <w:rPr>
          <w:noProof/>
        </w:rPr>
      </w:pPr>
      <w:r>
        <w:rPr>
          <w:noProof/>
        </w:rPr>
        <w:t>New late transposition infringement cases against Austria (2012-2016)</w:t>
      </w:r>
    </w:p>
    <w:p>
      <w:pPr>
        <w:pStyle w:val="Body"/>
        <w:rPr>
          <w:noProof/>
          <w:lang w:val="en-GB"/>
        </w:rPr>
      </w:pPr>
      <w:r>
        <w:rPr>
          <w:noProof/>
        </w:rPr>
        <w:drawing>
          <wp:inline distT="0" distB="0" distL="0" distR="0">
            <wp:extent cx="4587240" cy="1996440"/>
            <wp:effectExtent l="0" t="0" r="22860" b="22860"/>
            <wp:docPr id="22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pPr>
        <w:spacing w:after="200" w:line="276" w:lineRule="auto"/>
        <w:jc w:val="left"/>
        <w:rPr>
          <w:rFonts w:ascii="Arial" w:hAnsi="Arial"/>
          <w:noProof/>
          <w:color w:val="002060"/>
          <w:sz w:val="22"/>
          <w:szCs w:val="22"/>
        </w:rPr>
      </w:pPr>
      <w:r>
        <w:rPr>
          <w:noProof/>
        </w:rPr>
        <w:br w:type="page"/>
      </w:r>
    </w:p>
    <w:p>
      <w:pPr>
        <w:pStyle w:val="Subtitle"/>
        <w:rPr>
          <w:noProof/>
        </w:rPr>
      </w:pPr>
      <w:r>
        <w:rPr>
          <w:noProof/>
        </w:rPr>
        <w:t>New late transposition infringement cases opened in 2016: main policy areas</w:t>
      </w:r>
    </w:p>
    <w:p>
      <w:pPr>
        <w:pStyle w:val="Body"/>
        <w:rPr>
          <w:noProof/>
          <w:lang w:val="en-GB"/>
        </w:rPr>
      </w:pPr>
      <w:r>
        <w:rPr>
          <w:noProof/>
        </w:rPr>
        <w:drawing>
          <wp:inline distT="0" distB="0" distL="0" distR="0">
            <wp:extent cx="4587240" cy="2225040"/>
            <wp:effectExtent l="0" t="0" r="22860" b="22860"/>
            <wp:docPr id="22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pPr>
        <w:pStyle w:val="Subtitle"/>
        <w:rPr>
          <w:noProof/>
        </w:rPr>
      </w:pPr>
      <w:r>
        <w:rPr>
          <w:noProof/>
        </w:rPr>
        <w:t>Referrals to the Court</w:t>
      </w:r>
    </w:p>
    <w:p>
      <w:pPr>
        <w:spacing w:after="120"/>
        <w:ind w:firstLine="360"/>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pStyle w:val="kop2"/>
        <w:rPr>
          <w:noProof/>
        </w:rPr>
      </w:pPr>
      <w:r>
        <w:rPr>
          <w:noProof/>
        </w:rPr>
        <w:t>EARLY RESOLUTION OF INFRINGEMENT CASES</w:t>
      </w:r>
    </w:p>
    <w:p>
      <w:pPr>
        <w:pStyle w:val="Subtitle"/>
        <w:numPr>
          <w:ilvl w:val="0"/>
          <w:numId w:val="0"/>
        </w:numPr>
        <w:ind w:left="782"/>
        <w:rPr>
          <w:noProof/>
        </w:rPr>
      </w:pPr>
      <w:r>
        <w:rPr>
          <w:noProof/>
        </w:rPr>
        <w:t>Major cases closed without a Court judgment in 2016</w:t>
      </w:r>
    </w:p>
    <w:p>
      <w:pPr>
        <w:pStyle w:val="Body"/>
        <w:rPr>
          <w:noProof/>
          <w:lang w:val="en-GB"/>
        </w:rPr>
      </w:pPr>
      <w:r>
        <w:rPr>
          <w:noProof/>
          <w:lang w:val="en-GB"/>
        </w:rPr>
        <w:t>These concerned:</w:t>
      </w:r>
    </w:p>
    <w:p>
      <w:pPr>
        <w:numPr>
          <w:ilvl w:val="0"/>
          <w:numId w:val="4"/>
        </w:numPr>
        <w:spacing w:after="0"/>
        <w:ind w:left="1276" w:hanging="357"/>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Industrial Emissions Directive;</w:t>
      </w:r>
      <w:r>
        <w:rPr>
          <w:rStyle w:val="FootnoteReference"/>
          <w:rFonts w:eastAsia="Calibri"/>
          <w:noProof/>
        </w:rPr>
        <w:footnoteReference w:id="115"/>
      </w:r>
    </w:p>
    <w:p>
      <w:pPr>
        <w:numPr>
          <w:ilvl w:val="0"/>
          <w:numId w:val="4"/>
        </w:numPr>
        <w:spacing w:after="0"/>
        <w:ind w:left="1276" w:hanging="357"/>
        <w:contextualSpacing/>
        <w:rPr>
          <w:rFonts w:ascii="Arial" w:eastAsia="Calibri" w:hAnsi="Arial"/>
          <w:noProof/>
        </w:rPr>
      </w:pPr>
      <w:r>
        <w:rPr>
          <w:rFonts w:ascii="Arial" w:eastAsia="Calibri" w:hAnsi="Arial"/>
          <w:noProof/>
          <w:kern w:val="20"/>
          <w:sz w:val="20"/>
        </w:rPr>
        <w:t xml:space="preserve">failure to </w:t>
      </w:r>
      <w:r>
        <w:rPr>
          <w:rFonts w:ascii="Arial" w:eastAsia="Calibri" w:hAnsi="Arial" w:cs="Arial"/>
          <w:noProof/>
          <w:kern w:val="20"/>
          <w:sz w:val="20"/>
        </w:rPr>
        <w:t>fulfil obligations under the</w:t>
      </w:r>
      <w:r>
        <w:rPr>
          <w:rFonts w:ascii="Arial" w:eastAsia="Calibri" w:hAnsi="Arial"/>
          <w:noProof/>
          <w:kern w:val="20"/>
          <w:sz w:val="20"/>
        </w:rPr>
        <w:t xml:space="preserve"> Directive on driving </w:t>
      </w:r>
      <w:r>
        <w:rPr>
          <w:rFonts w:ascii="Arial" w:eastAsia="Calibri" w:hAnsi="Arial" w:cs="Arial"/>
          <w:noProof/>
          <w:kern w:val="20"/>
          <w:sz w:val="20"/>
        </w:rPr>
        <w:t>licences;</w:t>
      </w:r>
      <w:r>
        <w:rPr>
          <w:rStyle w:val="FootnoteReference"/>
          <w:noProof/>
        </w:rPr>
        <w:footnoteReference w:id="116"/>
      </w:r>
    </w:p>
    <w:p>
      <w:pPr>
        <w:pStyle w:val="Lijstje2"/>
        <w:spacing w:after="200"/>
        <w:ind w:left="1276"/>
        <w:rPr>
          <w:rFonts w:ascii="Arial" w:hAnsi="Arial" w:cs="Arial"/>
          <w:noProof/>
          <w:lang w:val="en-GB"/>
        </w:rPr>
      </w:pPr>
      <w:r>
        <w:rPr>
          <w:rFonts w:ascii="Arial" w:eastAsia="Times New Roman" w:hAnsi="Arial"/>
          <w:noProof/>
          <w:kern w:val="0"/>
          <w:lang w:val="en-GB"/>
        </w:rPr>
        <w:t>failure to meet the obligation to interconnect a national electronic register of road transport undertakings;</w:t>
      </w:r>
      <w:r>
        <w:rPr>
          <w:rStyle w:val="FootnoteReference"/>
          <w:noProof/>
        </w:rPr>
        <w:footnoteReference w:id="117"/>
      </w:r>
    </w:p>
    <w:p>
      <w:pPr>
        <w:pStyle w:val="Lijstje2"/>
        <w:spacing w:after="200"/>
        <w:ind w:left="1276"/>
        <w:rPr>
          <w:rFonts w:ascii="Arial" w:hAnsi="Arial" w:cs="Arial"/>
          <w:noProof/>
          <w:lang w:val="en-GB"/>
        </w:rPr>
      </w:pPr>
      <w:r>
        <w:rPr>
          <w:rFonts w:ascii="Arial" w:hAnsi="Arial" w:cs="Arial"/>
          <w:noProof/>
          <w:lang w:val="en-GB"/>
        </w:rPr>
        <w:t>breach of the EU-Turkey association law by the introduction of new restrictions on access to the Austrian labour market and on family reunification of Turkish nationals;</w:t>
      </w:r>
      <w:r>
        <w:rPr>
          <w:rStyle w:val="FootnoteReference"/>
          <w:rFonts w:ascii="Arial" w:hAnsi="Arial" w:cs="Arial"/>
          <w:noProof/>
          <w:lang w:val="en-GB"/>
        </w:rPr>
        <w:footnoteReference w:id="118"/>
      </w:r>
    </w:p>
    <w:p>
      <w:pPr>
        <w:pStyle w:val="Lijstje2"/>
        <w:spacing w:after="200"/>
        <w:ind w:left="1276"/>
        <w:rPr>
          <w:rFonts w:ascii="Arial" w:hAnsi="Arial" w:cs="Arial"/>
          <w:noProof/>
          <w:lang w:val="en-GB"/>
        </w:rPr>
      </w:pPr>
      <w:r>
        <w:rPr>
          <w:rFonts w:ascii="Arial" w:hAnsi="Arial" w:cs="Arial"/>
          <w:noProof/>
          <w:lang w:val="en-GB"/>
        </w:rPr>
        <w:t>restrictions of resort homes in the Vorarlberg region contrary to the free movement of capital.</w:t>
      </w:r>
    </w:p>
    <w:p>
      <w:pPr>
        <w:pStyle w:val="kop2"/>
        <w:rPr>
          <w:noProof/>
        </w:rPr>
      </w:pPr>
      <w:r>
        <w:rPr>
          <w:noProof/>
        </w:rPr>
        <w:t>IMPORTANT JUDGMENTS</w:t>
      </w:r>
    </w:p>
    <w:p>
      <w:pPr>
        <w:pStyle w:val="Subtitle"/>
        <w:numPr>
          <w:ilvl w:val="0"/>
          <w:numId w:val="121"/>
        </w:numPr>
        <w:rPr>
          <w:noProof/>
        </w:rPr>
      </w:pPr>
      <w:r>
        <w:rPr>
          <w:noProof/>
        </w:rPr>
        <w:t>Court rulings</w:t>
      </w:r>
      <w:r>
        <w:rPr>
          <w:rStyle w:val="FootnoteReference"/>
          <w:noProof/>
        </w:rPr>
        <w:footnoteReference w:id="119"/>
      </w:r>
    </w:p>
    <w:p>
      <w:pPr>
        <w:pStyle w:val="Body"/>
        <w:rPr>
          <w:noProof/>
          <w:lang w:val="en-GB"/>
        </w:rPr>
      </w:pPr>
      <w:r>
        <w:rPr>
          <w:noProof/>
          <w:lang w:val="en-GB"/>
        </w:rPr>
        <w:t>The Court ruled that:</w:t>
      </w:r>
    </w:p>
    <w:p>
      <w:pPr>
        <w:pStyle w:val="Lijstje2"/>
        <w:ind w:left="1276"/>
        <w:rPr>
          <w:rFonts w:ascii="Arial" w:hAnsi="Arial" w:cs="Arial"/>
          <w:bCs/>
          <w:noProof/>
          <w:lang w:val="en-GB"/>
        </w:rPr>
      </w:pPr>
      <w:r>
        <w:rPr>
          <w:rFonts w:ascii="Arial" w:hAnsi="Arial" w:cs="Arial"/>
          <w:noProof/>
          <w:lang w:val="en-GB"/>
        </w:rPr>
        <w:t>Austria's failure to fulfil obligations under the Water Framework Directive in relation to the authorisation for the construction of a hydropower plant on the Schwarze Sulm River was unfounded.</w:t>
      </w:r>
      <w:r>
        <w:rPr>
          <w:rStyle w:val="FootnoteReference"/>
          <w:rFonts w:ascii="Arial" w:hAnsi="Arial" w:cs="Arial"/>
          <w:noProof/>
          <w:lang w:val="en-GB"/>
        </w:rPr>
        <w:footnoteReference w:id="120"/>
      </w:r>
    </w:p>
    <w:p>
      <w:pPr>
        <w:pStyle w:val="Subtitle"/>
        <w:rPr>
          <w:noProof/>
        </w:rPr>
      </w:pPr>
      <w:r>
        <w:rPr>
          <w:noProof/>
        </w:rPr>
        <w:t>Preliminary rulings</w:t>
      </w:r>
    </w:p>
    <w:p>
      <w:pPr>
        <w:pStyle w:val="Body"/>
        <w:rPr>
          <w:noProof/>
          <w:lang w:val="en-GB"/>
        </w:rPr>
      </w:pPr>
      <w:r>
        <w:rPr>
          <w:noProof/>
          <w:lang w:val="en-GB"/>
        </w:rPr>
        <w:t>In preliminary rulings addressed to the Austrian judiciary, the Court held that:</w:t>
      </w:r>
    </w:p>
    <w:p>
      <w:pPr>
        <w:numPr>
          <w:ilvl w:val="0"/>
          <w:numId w:val="4"/>
        </w:numPr>
        <w:spacing w:after="120"/>
        <w:ind w:left="1276"/>
        <w:contextualSpacing/>
        <w:rPr>
          <w:rFonts w:ascii="Arial" w:eastAsia="Calibri" w:hAnsi="Arial" w:cs="Arial"/>
          <w:noProof/>
          <w:kern w:val="20"/>
          <w:sz w:val="20"/>
        </w:rPr>
      </w:pPr>
      <w:r>
        <w:rPr>
          <w:rFonts w:ascii="Arial" w:hAnsi="Arial" w:cs="Arial"/>
          <w:noProof/>
          <w:sz w:val="20"/>
        </w:rPr>
        <w:t>processing of personal data carried out by an undertaking engaged in electronic commerce is governed by the law of the Member State to which that undertaking directs its activities, if it is shown that the undertaking carries out the data processing in question in the context of the activities of an establishment situated in that Member State. It is for the national court to ascertain whether that is the case;</w:t>
      </w:r>
      <w:r>
        <w:rPr>
          <w:rStyle w:val="FootnoteReference"/>
          <w:rFonts w:ascii="Arial" w:hAnsi="Arial" w:cs="Arial"/>
          <w:noProof/>
          <w:sz w:val="20"/>
        </w:rPr>
        <w:footnoteReference w:id="121"/>
      </w:r>
    </w:p>
    <w:p>
      <w:pPr>
        <w:numPr>
          <w:ilvl w:val="0"/>
          <w:numId w:val="4"/>
        </w:numPr>
        <w:spacing w:after="0" w:line="276" w:lineRule="auto"/>
        <w:ind w:left="1276"/>
        <w:contextualSpacing/>
        <w:rPr>
          <w:rFonts w:ascii="Arial" w:hAnsi="Arial" w:cs="Arial"/>
          <w:noProof/>
          <w:szCs w:val="24"/>
          <w:lang w:eastAsia="en-GB"/>
        </w:rPr>
      </w:pPr>
      <w:r>
        <w:rPr>
          <w:rFonts w:ascii="Arial" w:eastAsia="Calibri" w:hAnsi="Arial" w:cs="Arial"/>
          <w:noProof/>
          <w:kern w:val="20"/>
          <w:sz w:val="20"/>
        </w:rPr>
        <w:t>old-age benefits provided under an occupational pension scheme of one Member State and those provided under a statutory pension scheme of another Member State are equivalent benefits, where both have the same aim of ensuring that their recipients maintain a standard of living commensurate with that which they enjoyed before retirement;</w:t>
      </w:r>
      <w:r>
        <w:rPr>
          <w:rStyle w:val="FootnoteReference"/>
          <w:rFonts w:eastAsia="Calibri"/>
          <w:noProof/>
        </w:rPr>
        <w:footnoteReference w:id="122"/>
      </w:r>
    </w:p>
    <w:p>
      <w:pPr>
        <w:numPr>
          <w:ilvl w:val="0"/>
          <w:numId w:val="4"/>
        </w:numPr>
        <w:spacing w:after="0" w:line="276" w:lineRule="auto"/>
        <w:ind w:left="1276"/>
        <w:contextualSpacing/>
        <w:rPr>
          <w:rFonts w:ascii="Arial" w:hAnsi="Arial" w:cs="Arial"/>
          <w:noProof/>
          <w:sz w:val="20"/>
          <w:lang w:eastAsia="en-GB"/>
        </w:rPr>
      </w:pPr>
      <w:r>
        <w:rPr>
          <w:rFonts w:ascii="Arial" w:hAnsi="Arial" w:cs="Arial"/>
          <w:noProof/>
          <w:sz w:val="20"/>
        </w:rPr>
        <w:t xml:space="preserve">the Environmental Impact Assessment Directive does not apply to a project covered by a legislative provision according to which a project which has been the subject of a decision taken in breach of the obligation to assess its effects on the environment, for which the time limit for an action for annulment has expired, must be regarded as lawfully authorised. </w:t>
      </w:r>
      <w:r>
        <w:rPr>
          <w:rFonts w:ascii="Arial" w:hAnsi="Arial" w:cs="Arial"/>
          <w:bCs/>
          <w:noProof/>
          <w:sz w:val="20"/>
        </w:rPr>
        <w:t>However, EU law precludes such a legislative provision insofar as it provides that a prior impact assessment is deemed to have been carried out for the project</w:t>
      </w:r>
      <w:r>
        <w:rPr>
          <w:rFonts w:ascii="Arial" w:hAnsi="Arial" w:cs="Arial"/>
          <w:noProof/>
          <w:sz w:val="20"/>
        </w:rPr>
        <w:t>;</w:t>
      </w:r>
      <w:r>
        <w:rPr>
          <w:rStyle w:val="FootnoteReference"/>
          <w:rFonts w:ascii="Arial" w:hAnsi="Arial" w:cs="Arial"/>
          <w:noProof/>
          <w:sz w:val="20"/>
        </w:rPr>
        <w:footnoteReference w:id="123"/>
      </w:r>
    </w:p>
    <w:p>
      <w:pPr>
        <w:pStyle w:val="Lijstje2"/>
        <w:ind w:left="1276" w:hanging="425"/>
        <w:rPr>
          <w:rFonts w:ascii="Arial" w:hAnsi="Arial" w:cs="Arial"/>
          <w:noProof/>
          <w:sz w:val="24"/>
          <w:szCs w:val="24"/>
          <w:lang w:val="en-GB" w:eastAsia="en-GB"/>
        </w:rPr>
      </w:pPr>
      <w:r>
        <w:rPr>
          <w:rFonts w:ascii="Arial" w:hAnsi="Arial" w:cs="Arial"/>
          <w:noProof/>
          <w:lang w:val="en-GB"/>
        </w:rPr>
        <w:t>all postal operators may have imposed on them a number of obligations, ranging from a contribution to the financing of the national regulatory authority to compliance with working conditions and requirements on quality, availability and performance.</w:t>
      </w:r>
      <w:r>
        <w:rPr>
          <w:rStyle w:val="FootnoteReference"/>
          <w:rFonts w:ascii="Arial" w:hAnsi="Arial" w:cs="Arial"/>
          <w:noProof/>
          <w:lang w:val="en-GB"/>
        </w:rPr>
        <w:footnoteReference w:id="124"/>
      </w:r>
    </w:p>
    <w:p>
      <w:pPr>
        <w:pStyle w:val="Body"/>
        <w:rPr>
          <w:noProof/>
          <w:lang w:val="en-GB"/>
        </w:rPr>
      </w:pPr>
    </w:p>
    <w:p>
      <w:pPr>
        <w:pStyle w:val="Heading1"/>
        <w:rPr>
          <w:noProof/>
        </w:rPr>
        <w:sectPr>
          <w:headerReference w:type="even" r:id="rId121"/>
          <w:headerReference w:type="default" r:id="rId122"/>
          <w:footerReference w:type="even" r:id="rId123"/>
          <w:footerReference w:type="default" r:id="rId124"/>
          <w:headerReference w:type="first" r:id="rId125"/>
          <w:footerReference w:type="first" r:id="rId126"/>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33" w:name="_Toc477938603"/>
      <w:r>
        <w:rPr>
          <w:noProof/>
        </w:rPr>
        <w:t>Poland</w:t>
      </w:r>
      <w:bookmarkEnd w:id="30"/>
      <w:bookmarkEnd w:id="31"/>
      <w:bookmarkEnd w:id="32"/>
      <w:bookmarkEnd w:id="33"/>
    </w:p>
    <w:p>
      <w:pPr>
        <w:spacing w:after="120"/>
        <w:rPr>
          <w:rFonts w:ascii="Arial" w:hAnsi="Arial" w:cs="Arial"/>
          <w:i/>
          <w:noProof/>
          <w:sz w:val="22"/>
          <w:szCs w:val="22"/>
        </w:rPr>
      </w:pPr>
      <w:r>
        <w:rPr>
          <w:rFonts w:ascii="Arial" w:hAnsi="Arial" w:cs="Arial"/>
          <w:i/>
          <w:noProof/>
          <w:sz w:val="22"/>
          <w:szCs w:val="22"/>
        </w:rPr>
        <w:t>New complaints against Poland in 2016 continued to fall from 2013’s peak while EU Pilot files held steady. The number of open infringement cases continued the gentle downward trend seen since the previous year. New infringement cases for late transposition continued to rise, reaching a peak of twice their 2012 level.</w:t>
      </w:r>
    </w:p>
    <w:p>
      <w:pPr>
        <w:spacing w:after="120"/>
        <w:rPr>
          <w:rFonts w:ascii="Arial" w:hAnsi="Arial" w:cs="Arial"/>
          <w:i/>
          <w:noProof/>
          <w:sz w:val="22"/>
          <w:szCs w:val="22"/>
        </w:rPr>
      </w:pPr>
    </w:p>
    <w:p>
      <w:pPr>
        <w:pStyle w:val="kop2"/>
        <w:numPr>
          <w:ilvl w:val="0"/>
          <w:numId w:val="14"/>
        </w:numPr>
        <w:rPr>
          <w:noProof/>
        </w:rPr>
      </w:pPr>
      <w:r>
        <w:rPr>
          <w:noProof/>
        </w:rPr>
        <w:t>COMPLAINTS</w:t>
      </w:r>
    </w:p>
    <w:p>
      <w:pPr>
        <w:pStyle w:val="Subtitle"/>
        <w:numPr>
          <w:ilvl w:val="0"/>
          <w:numId w:val="58"/>
        </w:numPr>
        <w:rPr>
          <w:noProof/>
        </w:rPr>
      </w:pPr>
      <w:r>
        <w:rPr>
          <w:noProof/>
        </w:rPr>
        <w:t>New complaints made against Poland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61114" cy="2193471"/>
            <wp:effectExtent l="0" t="0" r="11430" b="16510"/>
            <wp:docPr id="9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pPr>
        <w:pStyle w:val="Subtitle"/>
        <w:numPr>
          <w:ilvl w:val="0"/>
          <w:numId w:val="58"/>
        </w:numPr>
        <w:rPr>
          <w:noProof/>
        </w:rPr>
      </w:pPr>
      <w:r>
        <w:rPr>
          <w:noProof/>
        </w:rPr>
        <w:t>Public complaints against Poland open at year-end</w:t>
      </w:r>
    </w:p>
    <w:tbl>
      <w:tblPr>
        <w:tblStyle w:val="Style120"/>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167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152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186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133</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58"/>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08860"/>
            <wp:effectExtent l="0" t="0" r="11430" b="15240"/>
            <wp:docPr id="911"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60"/>
        </w:numPr>
        <w:rPr>
          <w:noProof/>
        </w:rPr>
      </w:pPr>
      <w:r>
        <w:rPr>
          <w:noProof/>
        </w:rPr>
        <w:t>New EU Pilot files opened against Poland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2000" cy="2242457"/>
            <wp:effectExtent l="0" t="0" r="19050" b="24765"/>
            <wp:docPr id="91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pPr>
        <w:pStyle w:val="Subtitle"/>
        <w:numPr>
          <w:ilvl w:val="0"/>
          <w:numId w:val="60"/>
        </w:numPr>
        <w:rPr>
          <w:noProof/>
        </w:rPr>
      </w:pPr>
      <w:r>
        <w:rPr>
          <w:noProof/>
        </w:rPr>
        <w:t>Files relating to Poland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242457"/>
            <wp:effectExtent l="0" t="0" r="19050" b="24765"/>
            <wp:docPr id="16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pPr>
        <w:pStyle w:val="Subtitle"/>
        <w:numPr>
          <w:ilvl w:val="0"/>
          <w:numId w:val="60"/>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00300"/>
            <wp:effectExtent l="0" t="0" r="15240" b="19050"/>
            <wp:docPr id="913"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60"/>
        </w:numPr>
        <w:rPr>
          <w:noProof/>
        </w:rPr>
      </w:pPr>
      <w:r>
        <w:rPr>
          <w:noProof/>
        </w:rPr>
        <w:t>EU Pilot files: Poland’s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476500"/>
            <wp:effectExtent l="0" t="0" r="22225" b="19050"/>
            <wp:docPr id="91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pPr>
        <w:pStyle w:val="Subtitle"/>
        <w:numPr>
          <w:ilvl w:val="0"/>
          <w:numId w:val="60"/>
        </w:numPr>
        <w:rPr>
          <w:noProof/>
        </w:rPr>
      </w:pPr>
      <w:r>
        <w:rPr>
          <w:noProof/>
        </w:rPr>
        <w:t>EU Pilot files: Poland’s resolution rate in 2012-2016</w:t>
      </w:r>
    </w:p>
    <w:p>
      <w:pPr>
        <w:spacing w:after="120"/>
        <w:ind w:firstLine="709"/>
        <w:rPr>
          <w:rFonts w:ascii="Arial" w:hAnsi="Arial" w:cs="Arial"/>
          <w:noProof/>
          <w:sz w:val="20"/>
        </w:rPr>
      </w:pPr>
      <w:r>
        <w:rPr>
          <w:rFonts w:ascii="Arial" w:hAnsi="Arial" w:cs="Arial"/>
          <w:i/>
          <w:noProof/>
          <w:sz w:val="20"/>
          <w:lang w:val="en-US"/>
        </w:rPr>
        <w:drawing>
          <wp:inline distT="0" distB="0" distL="0" distR="0">
            <wp:extent cx="4588328" cy="2596243"/>
            <wp:effectExtent l="0" t="0" r="22225" b="13970"/>
            <wp:docPr id="91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61"/>
        </w:numPr>
        <w:rPr>
          <w:noProof/>
        </w:rPr>
      </w:pPr>
      <w:r>
        <w:rPr>
          <w:noProof/>
        </w:rPr>
        <w:t>Infringement cases against Poland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247900"/>
            <wp:effectExtent l="0" t="0" r="19050" b="19050"/>
            <wp:docPr id="916"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917"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7"/>
        </w:numPr>
        <w:ind w:hanging="426"/>
        <w:rPr>
          <w:rFonts w:ascii="Arial" w:hAnsi="Arial" w:cs="Arial"/>
          <w:noProof/>
          <w:lang w:val="en-GB"/>
        </w:rPr>
      </w:pPr>
      <w:r>
        <w:rPr>
          <w:rFonts w:ascii="Arial" w:hAnsi="Arial" w:cs="Arial"/>
          <w:noProof/>
          <w:lang w:val="en-GB"/>
        </w:rPr>
        <w:t>The Commission opened 43 new infringement cases against Poland in 2016. These, and other major ongoing infringement cases, include:</w:t>
      </w:r>
    </w:p>
    <w:p>
      <w:pPr>
        <w:pStyle w:val="Lijstje2"/>
        <w:spacing w:after="200"/>
        <w:ind w:left="1843" w:hanging="425"/>
        <w:rPr>
          <w:rFonts w:ascii="Arial" w:hAnsi="Arial" w:cs="Arial"/>
          <w:noProof/>
          <w:lang w:val="en-GB"/>
        </w:rPr>
      </w:pPr>
      <w:r>
        <w:rPr>
          <w:rFonts w:ascii="Arial" w:hAnsi="Arial" w:cs="Arial"/>
          <w:noProof/>
          <w:lang w:val="en-GB"/>
        </w:rPr>
        <w:t>non-compliance with the rules under the Authorisation Directive, the Framework Directive and the Directive on competition in the market for communications networks and services as regards the spectrum assignment to a specific company without an open procedure;</w:t>
      </w:r>
      <w:r>
        <w:rPr>
          <w:rStyle w:val="FootnoteReference"/>
          <w:rFonts w:ascii="Arial" w:hAnsi="Arial" w:cs="Arial"/>
          <w:noProof/>
          <w:lang w:val="en-GB"/>
        </w:rPr>
        <w:footnoteReference w:id="125"/>
      </w:r>
    </w:p>
    <w:p>
      <w:pPr>
        <w:pStyle w:val="Lijstje2"/>
        <w:spacing w:after="200"/>
        <w:ind w:left="1843" w:hanging="425"/>
        <w:rPr>
          <w:rFonts w:ascii="Arial" w:hAnsi="Arial" w:cs="Arial"/>
          <w:noProof/>
          <w:lang w:val="en-GB"/>
        </w:rPr>
      </w:pPr>
      <w:r>
        <w:rPr>
          <w:rFonts w:ascii="Arial" w:hAnsi="Arial" w:cs="Arial"/>
          <w:noProof/>
          <w:lang w:val="en-GB"/>
        </w:rPr>
        <w:t>non-respect of NO</w:t>
      </w:r>
      <w:r>
        <w:rPr>
          <w:rFonts w:ascii="Arial" w:hAnsi="Arial" w:cs="Arial"/>
          <w:noProof/>
          <w:vertAlign w:val="subscript"/>
          <w:lang w:val="en-GB"/>
        </w:rPr>
        <w:t>2 </w:t>
      </w:r>
      <w:r>
        <w:rPr>
          <w:rFonts w:ascii="Arial" w:hAnsi="Arial" w:cs="Arial"/>
          <w:noProof/>
          <w:lang w:val="en-GB"/>
        </w:rPr>
        <w:t xml:space="preserve"> limit values set by the Air Quality Directive;</w:t>
      </w:r>
      <w:r>
        <w:rPr>
          <w:rStyle w:val="FootnoteReference"/>
          <w:noProof/>
        </w:rPr>
        <w:footnoteReference w:id="126"/>
      </w:r>
    </w:p>
    <w:p>
      <w:pPr>
        <w:pStyle w:val="Lijstje2"/>
        <w:spacing w:after="200"/>
        <w:ind w:left="1843" w:hanging="425"/>
        <w:rPr>
          <w:rFonts w:ascii="Arial" w:hAnsi="Arial" w:cs="Arial"/>
          <w:noProof/>
          <w:lang w:val="en-GB"/>
        </w:rPr>
      </w:pPr>
      <w:r>
        <w:rPr>
          <w:rFonts w:ascii="Arial" w:hAnsi="Arial" w:cs="Arial"/>
          <w:noProof/>
          <w:lang w:val="en-GB"/>
        </w:rPr>
        <w:t>increased logging in Białowieża Forest;</w:t>
      </w:r>
    </w:p>
    <w:p>
      <w:pPr>
        <w:pStyle w:val="Lijstje2"/>
        <w:ind w:left="1843" w:hanging="426"/>
        <w:rPr>
          <w:rFonts w:ascii="Arial" w:hAnsi="Arial"/>
          <w:noProof/>
          <w:lang w:val="en-GB"/>
        </w:rPr>
      </w:pPr>
      <w:r>
        <w:rPr>
          <w:rFonts w:ascii="Arial" w:eastAsia="Times New Roman" w:hAnsi="Arial" w:cs="Arial"/>
          <w:noProof/>
          <w:kern w:val="0"/>
          <w:lang w:val="en-GB"/>
        </w:rPr>
        <w:t>failure</w:t>
      </w:r>
      <w:r>
        <w:rPr>
          <w:rFonts w:ascii="Arial" w:hAnsi="Arial"/>
          <w:noProof/>
          <w:lang w:val="en-GB"/>
        </w:rPr>
        <w:t xml:space="preserve"> to communicate measures transposing the Seveso III Directive;</w:t>
      </w:r>
      <w:r>
        <w:rPr>
          <w:rStyle w:val="FootnoteReference"/>
          <w:rFonts w:ascii="Arial" w:hAnsi="Arial"/>
          <w:noProof/>
          <w:lang w:val="en-GB"/>
        </w:rPr>
        <w:footnoteReference w:id="127"/>
      </w:r>
    </w:p>
    <w:p>
      <w:pPr>
        <w:pStyle w:val="Lijstje2"/>
        <w:spacing w:after="200"/>
        <w:ind w:left="1843" w:hanging="425"/>
        <w:rPr>
          <w:rFonts w:ascii="Arial" w:hAnsi="Arial" w:cs="Arial"/>
          <w:noProof/>
          <w:lang w:val="en-GB"/>
        </w:rPr>
      </w:pPr>
      <w:r>
        <w:rPr>
          <w:rFonts w:ascii="Arial" w:hAnsi="Arial"/>
          <w:noProof/>
          <w:lang w:val="en-GB"/>
        </w:rPr>
        <w:t>failure to fully transpose the Energy Efficiency Directive and the Directive on safety of offshore oil and gas operations;</w:t>
      </w:r>
      <w:r>
        <w:rPr>
          <w:rStyle w:val="FootnoteReference"/>
          <w:noProof/>
        </w:rPr>
        <w:footnoteReference w:id="128"/>
      </w:r>
    </w:p>
    <w:p>
      <w:pPr>
        <w:pStyle w:val="Lijstje2"/>
        <w:spacing w:after="200"/>
        <w:ind w:left="1843" w:hanging="425"/>
        <w:rPr>
          <w:rFonts w:ascii="Arial" w:hAnsi="Arial" w:cs="Arial"/>
          <w:noProof/>
          <w:lang w:val="en-GB"/>
        </w:rPr>
      </w:pPr>
      <w:r>
        <w:rPr>
          <w:rFonts w:ascii="Arial" w:hAnsi="Arial" w:cs="Arial"/>
          <w:noProof/>
          <w:lang w:val="en-GB"/>
        </w:rPr>
        <w:t>failure to comply with the requirements of the Renewable Energy Directive;</w:t>
      </w:r>
      <w:r>
        <w:rPr>
          <w:rStyle w:val="FootnoteReference"/>
          <w:noProof/>
        </w:rPr>
        <w:footnoteReference w:id="129"/>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130"/>
      </w:r>
    </w:p>
    <w:p>
      <w:pPr>
        <w:pStyle w:val="Lijstje2"/>
        <w:spacing w:after="200"/>
        <w:ind w:left="1843" w:hanging="425"/>
        <w:rPr>
          <w:rFonts w:ascii="Arial" w:hAnsi="Arial" w:cs="Arial"/>
          <w:i/>
          <w:noProof/>
          <w:lang w:val="en-GB"/>
        </w:rPr>
      </w:pPr>
      <w:r>
        <w:rPr>
          <w:rFonts w:ascii="Arial" w:hAnsi="Arial" w:cs="Arial"/>
          <w:noProof/>
          <w:lang w:val="en-GB"/>
        </w:rPr>
        <w:t>failure to correctly implement the Airport Charges Directive;</w:t>
      </w:r>
      <w:r>
        <w:rPr>
          <w:rStyle w:val="FootnoteReference"/>
          <w:rFonts w:ascii="Arial" w:hAnsi="Arial" w:cs="Arial"/>
          <w:noProof/>
          <w:lang w:val="en-GB"/>
        </w:rPr>
        <w:footnoteReference w:id="131"/>
      </w:r>
    </w:p>
    <w:p>
      <w:pPr>
        <w:pStyle w:val="Lijstje2"/>
        <w:ind w:left="1843" w:hanging="425"/>
        <w:rPr>
          <w:rFonts w:ascii="Arial" w:hAnsi="Arial" w:cs="Arial"/>
          <w:noProof/>
          <w:lang w:val="en-GB" w:eastAsia="en-GB"/>
        </w:rPr>
      </w:pPr>
      <w:r>
        <w:rPr>
          <w:rFonts w:ascii="Arial" w:hAnsi="Arial" w:cs="Arial"/>
          <w:i/>
          <w:noProof/>
          <w:lang w:val="en-GB"/>
        </w:rPr>
        <w:t>e</w:t>
      </w:r>
      <w:r>
        <w:rPr>
          <w:rFonts w:ascii="Arial" w:hAnsi="Arial" w:cs="Arial"/>
          <w:noProof/>
          <w:lang w:val="en-GB"/>
        </w:rPr>
        <w:t>xcessive and unjustified obstacles in the area of professional services that run counter to the Services Directive;</w:t>
      </w:r>
      <w:r>
        <w:rPr>
          <w:rStyle w:val="FootnoteReference"/>
          <w:noProof/>
        </w:rPr>
        <w:footnoteReference w:id="132"/>
      </w:r>
      <w:r>
        <w:rPr>
          <w:rFonts w:ascii="Arial" w:hAnsi="Arial" w:cs="Arial"/>
          <w:noProof/>
          <w:vertAlign w:val="superscript"/>
          <w:lang w:val="en-GB"/>
        </w:rPr>
        <w:t xml:space="preserve"> </w:t>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noProof/>
          <w:lang w:val="en-GB"/>
        </w:rPr>
        <w:footnoteReference w:id="133"/>
      </w:r>
    </w:p>
    <w:p>
      <w:pPr>
        <w:pStyle w:val="Lijstje"/>
        <w:numPr>
          <w:ilvl w:val="0"/>
          <w:numId w:val="107"/>
        </w:numPr>
        <w:ind w:hanging="426"/>
        <w:rPr>
          <w:rFonts w:ascii="Arial" w:hAnsi="Arial" w:cs="Arial"/>
          <w:noProof/>
          <w:lang w:val="en-GB"/>
        </w:rPr>
      </w:pPr>
      <w:r>
        <w:rPr>
          <w:rFonts w:ascii="Arial" w:hAnsi="Arial" w:cs="Arial"/>
          <w:noProof/>
          <w:lang w:val="en-GB"/>
        </w:rPr>
        <w:t>The Commission referred four cases to the Court under Article 258 TFEU. They concern:</w:t>
      </w:r>
    </w:p>
    <w:p>
      <w:pPr>
        <w:numPr>
          <w:ilvl w:val="0"/>
          <w:numId w:val="4"/>
        </w:numPr>
        <w:spacing w:after="200"/>
        <w:ind w:left="1843" w:hanging="426"/>
        <w:contextualSpacing/>
        <w:rPr>
          <w:rFonts w:ascii="Arial" w:eastAsia="Calibri" w:hAnsi="Arial" w:cs="Arial"/>
          <w:noProof/>
          <w:kern w:val="20"/>
          <w:sz w:val="20"/>
        </w:rPr>
      </w:pPr>
      <w:r>
        <w:rPr>
          <w:rFonts w:ascii="Arial" w:eastAsia="Calibri" w:hAnsi="Arial" w:cs="Arial"/>
          <w:noProof/>
          <w:kern w:val="20"/>
          <w:sz w:val="20"/>
        </w:rPr>
        <w:t>widespread non-respect of the PM</w:t>
      </w:r>
      <w:r>
        <w:rPr>
          <w:rFonts w:ascii="Arial" w:eastAsia="Calibri" w:hAnsi="Arial" w:cs="Arial"/>
          <w:noProof/>
          <w:kern w:val="20"/>
          <w:sz w:val="20"/>
          <w:vertAlign w:val="subscript"/>
        </w:rPr>
        <w:t>10</w:t>
      </w:r>
      <w:r>
        <w:rPr>
          <w:rFonts w:ascii="Arial" w:eastAsia="Calibri" w:hAnsi="Arial" w:cs="Arial"/>
          <w:noProof/>
          <w:kern w:val="20"/>
          <w:sz w:val="20"/>
        </w:rPr>
        <w:t xml:space="preserve"> limit values </w:t>
      </w:r>
      <w:r>
        <w:rPr>
          <w:rFonts w:ascii="Arial" w:eastAsia="Calibri" w:hAnsi="Arial"/>
          <w:noProof/>
          <w:kern w:val="20"/>
          <w:sz w:val="20"/>
        </w:rPr>
        <w:t>set by the Air Quality Directive</w:t>
      </w:r>
      <w:r>
        <w:rPr>
          <w:rFonts w:ascii="Arial" w:eastAsia="Calibri" w:hAnsi="Arial" w:cs="Arial"/>
          <w:noProof/>
          <w:kern w:val="20"/>
          <w:sz w:val="20"/>
        </w:rPr>
        <w:t>;</w:t>
      </w:r>
      <w:r>
        <w:rPr>
          <w:rStyle w:val="FootnoteReference"/>
          <w:rFonts w:eastAsia="Calibri"/>
          <w:noProof/>
        </w:rPr>
        <w:footnoteReference w:id="134"/>
      </w:r>
    </w:p>
    <w:p>
      <w:pPr>
        <w:numPr>
          <w:ilvl w:val="0"/>
          <w:numId w:val="4"/>
        </w:numPr>
        <w:spacing w:after="0"/>
        <w:ind w:left="1843" w:hanging="425"/>
        <w:contextualSpacing/>
        <w:rPr>
          <w:rFonts w:ascii="Arial" w:eastAsia="Calibri" w:hAnsi="Arial" w:cs="Arial"/>
          <w:noProof/>
          <w:kern w:val="20"/>
          <w:sz w:val="20"/>
        </w:rPr>
      </w:pPr>
      <w:r>
        <w:rPr>
          <w:rFonts w:ascii="Arial" w:eastAsia="Calibri" w:hAnsi="Arial" w:cs="Arial"/>
          <w:noProof/>
          <w:kern w:val="20"/>
          <w:sz w:val="20"/>
        </w:rPr>
        <w:t>failure to ensure that the environmental impacts of exploratory mining drillings are properly assessed;</w:t>
      </w:r>
      <w:r>
        <w:rPr>
          <w:rStyle w:val="FootnoteReference"/>
          <w:rFonts w:eastAsia="Calibri"/>
          <w:noProof/>
        </w:rPr>
        <w:footnoteReference w:id="135"/>
      </w:r>
    </w:p>
    <w:p>
      <w:pPr>
        <w:pStyle w:val="Lijstje2"/>
        <w:spacing w:after="0"/>
        <w:ind w:left="1843" w:hanging="425"/>
        <w:rPr>
          <w:rFonts w:ascii="Arial" w:hAnsi="Arial" w:cs="Arial"/>
          <w:noProof/>
          <w:lang w:val="en-GB"/>
        </w:rPr>
      </w:pPr>
      <w:r>
        <w:rPr>
          <w:rFonts w:ascii="Arial" w:eastAsia="Times New Roman" w:hAnsi="Arial"/>
          <w:noProof/>
          <w:kern w:val="0"/>
          <w:lang w:val="en-GB"/>
        </w:rPr>
        <w:t>failure to meet the obligation of establishing a national electronic register of road transport undertakings</w:t>
      </w:r>
      <w:r>
        <w:rPr>
          <w:rFonts w:ascii="Arial" w:hAnsi="Arial" w:cs="Arial"/>
          <w:noProof/>
          <w:lang w:val="en-GB"/>
        </w:rPr>
        <w:t>;</w:t>
      </w:r>
      <w:r>
        <w:rPr>
          <w:rStyle w:val="FootnoteReference"/>
          <w:noProof/>
        </w:rPr>
        <w:footnoteReference w:id="136"/>
      </w:r>
    </w:p>
    <w:p>
      <w:pPr>
        <w:numPr>
          <w:ilvl w:val="0"/>
          <w:numId w:val="4"/>
        </w:numPr>
        <w:spacing w:after="200"/>
        <w:ind w:left="1843" w:hanging="425"/>
        <w:contextualSpacing/>
        <w:rPr>
          <w:rFonts w:ascii="Arial" w:eastAsia="Calibri" w:hAnsi="Arial" w:cs="Arial"/>
          <w:noProof/>
          <w:kern w:val="20"/>
          <w:sz w:val="20"/>
        </w:rPr>
      </w:pPr>
      <w:r>
        <w:rPr>
          <w:rFonts w:ascii="Arial" w:hAnsi="Arial" w:cs="Arial"/>
          <w:noProof/>
          <w:sz w:val="20"/>
        </w:rPr>
        <w:t>failure to correctly transpose and implement EU rules on rail safety.</w:t>
      </w:r>
      <w:r>
        <w:rPr>
          <w:rStyle w:val="FootnoteReference"/>
          <w:rFonts w:ascii="Arial" w:eastAsia="Calibri" w:hAnsi="Arial" w:cs="Arial"/>
          <w:noProof/>
          <w:kern w:val="20"/>
          <w:sz w:val="20"/>
        </w:rPr>
        <w:footnoteReference w:id="137"/>
      </w:r>
    </w:p>
    <w:p>
      <w:pPr>
        <w:pStyle w:val="Lijstje"/>
        <w:numPr>
          <w:ilvl w:val="0"/>
          <w:numId w:val="2"/>
        </w:numPr>
        <w:spacing w:after="200"/>
        <w:ind w:left="1417" w:hanging="425"/>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62"/>
        </w:numPr>
        <w:rPr>
          <w:noProof/>
        </w:rPr>
      </w:pPr>
      <w:r>
        <w:rPr>
          <w:noProof/>
        </w:rPr>
        <w:t>Late transposition infringement cases against Poland open on 31 December (2012-2016)</w:t>
      </w:r>
    </w:p>
    <w:p>
      <w:pPr>
        <w:pStyle w:val="Subtitle"/>
        <w:numPr>
          <w:ilvl w:val="0"/>
          <w:numId w:val="0"/>
        </w:numPr>
        <w:ind w:left="786"/>
        <w:rPr>
          <w:noProof/>
        </w:rPr>
      </w:pPr>
      <w:r>
        <w:rPr>
          <w:noProof/>
          <w:lang w:val="en-US"/>
        </w:rPr>
        <w:drawing>
          <wp:inline distT="0" distB="0" distL="0" distR="0">
            <wp:extent cx="4572000" cy="2242458"/>
            <wp:effectExtent l="0" t="0" r="19050" b="24765"/>
            <wp:docPr id="918"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pPr>
        <w:pStyle w:val="Subtitle"/>
        <w:numPr>
          <w:ilvl w:val="0"/>
          <w:numId w:val="62"/>
        </w:numPr>
        <w:rPr>
          <w:noProof/>
        </w:rPr>
      </w:pPr>
      <w:r>
        <w:rPr>
          <w:noProof/>
        </w:rPr>
        <w:t>New late transposition infringement cases against Poland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133600"/>
            <wp:effectExtent l="0" t="0" r="19050" b="19050"/>
            <wp:docPr id="919"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15540"/>
            <wp:effectExtent l="0" t="0" r="22860" b="22860"/>
            <wp:docPr id="920"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276"/>
        <w:contextualSpacing/>
        <w:rPr>
          <w:rFonts w:ascii="Arial" w:eastAsia="Calibri" w:hAnsi="Arial" w:cs="Arial"/>
          <w:noProof/>
          <w:sz w:val="20"/>
        </w:rPr>
      </w:pPr>
      <w:r>
        <w:rPr>
          <w:rFonts w:ascii="Arial" w:eastAsia="Calibri" w:hAnsi="Arial" w:cs="Arial"/>
          <w:noProof/>
          <w:kern w:val="20"/>
          <w:sz w:val="20"/>
        </w:rPr>
        <w:t xml:space="preserve">non-conformity </w:t>
      </w:r>
      <w:r>
        <w:rPr>
          <w:rFonts w:ascii="Arial" w:eastAsia="Calibri" w:hAnsi="Arial" w:cs="Arial"/>
          <w:noProof/>
          <w:sz w:val="20"/>
        </w:rPr>
        <w:t>of national legislation with the Directive on quality and safety of blood and blood components;</w:t>
      </w:r>
      <w:r>
        <w:rPr>
          <w:rStyle w:val="FootnoteReference"/>
          <w:rFonts w:eastAsia="Calibri"/>
          <w:noProof/>
        </w:rPr>
        <w:footnoteReference w:id="138"/>
      </w:r>
    </w:p>
    <w:p>
      <w:pPr>
        <w:numPr>
          <w:ilvl w:val="0"/>
          <w:numId w:val="4"/>
        </w:numPr>
        <w:spacing w:after="200"/>
        <w:ind w:left="1276"/>
        <w:contextualSpacing/>
        <w:rPr>
          <w:rFonts w:ascii="Arial" w:eastAsia="Calibri" w:hAnsi="Arial" w:cs="Arial"/>
          <w:noProof/>
          <w:kern w:val="20"/>
          <w:sz w:val="20"/>
        </w:rPr>
      </w:pPr>
      <w:r>
        <w:rPr>
          <w:rFonts w:ascii="Arial" w:eastAsia="Calibri" w:hAnsi="Arial" w:cs="Arial"/>
          <w:noProof/>
          <w:kern w:val="20"/>
          <w:sz w:val="20"/>
        </w:rPr>
        <w:t xml:space="preserve">incorrect transposition of the </w:t>
      </w:r>
      <w:r>
        <w:rPr>
          <w:rFonts w:ascii="Arial" w:hAnsi="Arial" w:cs="Arial"/>
          <w:noProof/>
          <w:sz w:val="20"/>
        </w:rPr>
        <w:t>Environmental Impact Assessment Directive</w:t>
      </w:r>
      <w:r>
        <w:rPr>
          <w:rFonts w:ascii="Arial" w:eastAsia="Calibri" w:hAnsi="Arial" w:cs="Arial"/>
          <w:noProof/>
          <w:kern w:val="20"/>
          <w:sz w:val="20"/>
        </w:rPr>
        <w:t xml:space="preserve"> and the Habitats Directive in relation to maintenance works on rivers;</w:t>
      </w:r>
      <w:r>
        <w:rPr>
          <w:rStyle w:val="FootnoteReference"/>
          <w:rFonts w:eastAsia="Calibri"/>
          <w:noProof/>
        </w:rPr>
        <w:footnoteReference w:id="139"/>
      </w:r>
    </w:p>
    <w:p>
      <w:pPr>
        <w:numPr>
          <w:ilvl w:val="0"/>
          <w:numId w:val="4"/>
        </w:numPr>
        <w:spacing w:after="200"/>
        <w:ind w:left="1276"/>
        <w:contextualSpacing/>
        <w:rPr>
          <w:rFonts w:ascii="Arial" w:hAnsi="Arial" w:cs="Arial"/>
          <w:noProof/>
          <w:sz w:val="20"/>
        </w:rPr>
      </w:pPr>
      <w:r>
        <w:rPr>
          <w:rFonts w:ascii="Arial" w:eastAsia="Calibri" w:hAnsi="Arial" w:cs="Arial"/>
          <w:noProof/>
          <w:kern w:val="20"/>
          <w:sz w:val="20"/>
        </w:rPr>
        <w:t>non-communication of national measures transposing the Directive on waste electrical and electronic equipment;</w:t>
      </w:r>
      <w:r>
        <w:rPr>
          <w:rStyle w:val="FootnoteReference"/>
          <w:rFonts w:eastAsia="Calibri"/>
          <w:noProof/>
        </w:rPr>
        <w:footnoteReference w:id="140"/>
      </w:r>
    </w:p>
    <w:p>
      <w:pPr>
        <w:numPr>
          <w:ilvl w:val="0"/>
          <w:numId w:val="4"/>
        </w:numPr>
        <w:spacing w:after="200"/>
        <w:ind w:left="1276"/>
        <w:contextualSpacing/>
        <w:rPr>
          <w:rFonts w:ascii="Arial" w:hAnsi="Arial" w:cs="Arial"/>
          <w:noProof/>
          <w:sz w:val="20"/>
        </w:rPr>
      </w:pPr>
      <w:r>
        <w:rPr>
          <w:rFonts w:ascii="Arial" w:eastAsia="Calibri" w:hAnsi="Arial"/>
          <w:noProof/>
          <w:kern w:val="20"/>
          <w:sz w:val="20"/>
        </w:rPr>
        <w:t xml:space="preserve">failure to </w:t>
      </w:r>
      <w:r>
        <w:rPr>
          <w:rFonts w:ascii="Arial" w:eastAsia="Calibri" w:hAnsi="Arial" w:cs="Arial"/>
          <w:noProof/>
          <w:kern w:val="20"/>
          <w:sz w:val="20"/>
        </w:rPr>
        <w:t>fulfil obligations under</w:t>
      </w:r>
      <w:r>
        <w:rPr>
          <w:rFonts w:ascii="Arial" w:eastAsia="Calibri" w:hAnsi="Arial"/>
          <w:noProof/>
          <w:kern w:val="20"/>
          <w:sz w:val="20"/>
        </w:rPr>
        <w:t xml:space="preserve"> the Directive on driving licences</w:t>
      </w:r>
      <w:r>
        <w:rPr>
          <w:rFonts w:ascii="Arial" w:hAnsi="Arial"/>
          <w:noProof/>
          <w:sz w:val="20"/>
        </w:rPr>
        <w:t>;</w:t>
      </w:r>
      <w:r>
        <w:rPr>
          <w:rStyle w:val="FootnoteReference"/>
          <w:noProof/>
        </w:rPr>
        <w:footnoteReference w:id="141"/>
      </w:r>
    </w:p>
    <w:p>
      <w:pPr>
        <w:numPr>
          <w:ilvl w:val="0"/>
          <w:numId w:val="4"/>
        </w:numPr>
        <w:spacing w:after="200"/>
        <w:ind w:left="1276"/>
        <w:contextualSpacing/>
        <w:rPr>
          <w:rFonts w:ascii="Arial" w:hAnsi="Arial" w:cs="Arial"/>
          <w:noProof/>
          <w:sz w:val="20"/>
        </w:rPr>
      </w:pPr>
      <w:r>
        <w:rPr>
          <w:rFonts w:ascii="Arial" w:eastAsia="Calibri" w:hAnsi="Arial"/>
          <w:noProof/>
          <w:kern w:val="20"/>
          <w:sz w:val="20"/>
        </w:rPr>
        <w:t>incorrect implementation of the Directive on a European electronic toll service;</w:t>
      </w:r>
      <w:r>
        <w:rPr>
          <w:rStyle w:val="FootnoteReference"/>
          <w:rFonts w:eastAsia="Calibri"/>
          <w:noProof/>
        </w:rPr>
        <w:footnoteReference w:id="142"/>
      </w:r>
    </w:p>
    <w:p>
      <w:pPr>
        <w:numPr>
          <w:ilvl w:val="0"/>
          <w:numId w:val="4"/>
        </w:numPr>
        <w:spacing w:after="200"/>
        <w:ind w:left="1276"/>
        <w:contextualSpacing/>
        <w:rPr>
          <w:rFonts w:ascii="Arial" w:hAnsi="Arial" w:cs="Arial"/>
          <w:noProof/>
          <w:sz w:val="20"/>
        </w:rPr>
      </w:pPr>
      <w:r>
        <w:rPr>
          <w:rFonts w:ascii="Arial" w:hAnsi="Arial" w:cs="Arial"/>
          <w:noProof/>
          <w:sz w:val="20"/>
        </w:rPr>
        <w:t>failure to correctly transpose and apply EU legislation on the separation of accounts in rail;</w:t>
      </w:r>
      <w:r>
        <w:rPr>
          <w:rStyle w:val="FootnoteReference"/>
          <w:rFonts w:ascii="Arial" w:hAnsi="Arial" w:cs="Arial"/>
          <w:noProof/>
          <w:sz w:val="20"/>
        </w:rPr>
        <w:footnoteReference w:id="143"/>
      </w:r>
    </w:p>
    <w:p>
      <w:pPr>
        <w:numPr>
          <w:ilvl w:val="0"/>
          <w:numId w:val="4"/>
        </w:numPr>
        <w:spacing w:after="200"/>
        <w:ind w:left="1276"/>
        <w:contextualSpacing/>
        <w:rPr>
          <w:rFonts w:ascii="Arial" w:hAnsi="Arial" w:cs="Arial"/>
          <w:noProof/>
          <w:sz w:val="20"/>
        </w:rPr>
      </w:pPr>
      <w:r>
        <w:rPr>
          <w:rFonts w:ascii="Arial" w:hAnsi="Arial" w:cs="Arial"/>
          <w:noProof/>
          <w:sz w:val="20"/>
        </w:rPr>
        <w:t>completing the transposition of the Directive on over-reliance on credit ratings;</w:t>
      </w:r>
      <w:r>
        <w:rPr>
          <w:rStyle w:val="FootnoteReference"/>
          <w:noProof/>
        </w:rPr>
        <w:footnoteReference w:id="144"/>
      </w:r>
    </w:p>
    <w:p>
      <w:pPr>
        <w:numPr>
          <w:ilvl w:val="0"/>
          <w:numId w:val="4"/>
        </w:numPr>
        <w:spacing w:after="200"/>
        <w:ind w:left="1276"/>
        <w:contextualSpacing/>
        <w:rPr>
          <w:rFonts w:ascii="Arial" w:hAnsi="Arial" w:cs="Arial"/>
          <w:noProof/>
          <w:sz w:val="20"/>
        </w:rPr>
      </w:pPr>
      <w:r>
        <w:rPr>
          <w:rFonts w:ascii="Arial" w:hAnsi="Arial" w:cs="Arial"/>
          <w:noProof/>
          <w:sz w:val="20"/>
        </w:rPr>
        <w:t>completing the notification of all national measures necessary to transpose the Financial Conglomerates Directive;</w:t>
      </w:r>
      <w:r>
        <w:rPr>
          <w:rStyle w:val="FootnoteReference"/>
          <w:noProof/>
        </w:rPr>
        <w:footnoteReference w:id="145"/>
      </w:r>
    </w:p>
    <w:p>
      <w:pPr>
        <w:numPr>
          <w:ilvl w:val="0"/>
          <w:numId w:val="4"/>
        </w:numPr>
        <w:spacing w:after="200"/>
        <w:ind w:left="1276" w:hanging="357"/>
        <w:rPr>
          <w:rFonts w:ascii="Arial" w:hAnsi="Arial" w:cs="Arial"/>
          <w:noProof/>
          <w:sz w:val="20"/>
        </w:rPr>
      </w:pPr>
      <w:r>
        <w:rPr>
          <w:rFonts w:ascii="Arial" w:hAnsi="Arial" w:cs="Arial"/>
          <w:noProof/>
          <w:sz w:val="20"/>
        </w:rPr>
        <w:t>minimum amounts of cover in relation to the Motor Insurance Directive.</w:t>
      </w:r>
      <w:r>
        <w:rPr>
          <w:rStyle w:val="FootnoteReference"/>
          <w:rFonts w:ascii="Arial" w:hAnsi="Arial" w:cs="Arial"/>
          <w:noProof/>
          <w:sz w:val="20"/>
        </w:rPr>
        <w:footnoteReference w:id="146"/>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63"/>
        </w:numPr>
        <w:rPr>
          <w:noProof/>
        </w:rPr>
      </w:pPr>
      <w:r>
        <w:rPr>
          <w:noProof/>
        </w:rPr>
        <w:t>Court rulings</w:t>
      </w:r>
      <w:r>
        <w:rPr>
          <w:rStyle w:val="FootnoteReference"/>
          <w:noProof/>
        </w:rPr>
        <w:footnoteReference w:id="147"/>
      </w:r>
    </w:p>
    <w:p>
      <w:pPr>
        <w:pStyle w:val="Body"/>
        <w:rPr>
          <w:noProof/>
          <w:lang w:val="en-GB"/>
        </w:rPr>
      </w:pPr>
      <w:r>
        <w:rPr>
          <w:noProof/>
          <w:lang w:val="en-GB"/>
        </w:rPr>
        <w:t>The Court ruled that:</w:t>
      </w:r>
    </w:p>
    <w:p>
      <w:pPr>
        <w:pStyle w:val="Lijstje2"/>
        <w:ind w:left="1276"/>
        <w:rPr>
          <w:rFonts w:ascii="Arial" w:hAnsi="Arial" w:cs="Arial"/>
          <w:noProof/>
          <w:lang w:val="en-GB"/>
        </w:rPr>
      </w:pPr>
      <w:r>
        <w:rPr>
          <w:rFonts w:ascii="Arial" w:hAnsi="Arial" w:cs="Arial"/>
          <w:noProof/>
          <w:lang w:val="en-GB"/>
        </w:rPr>
        <w:t>Poland has failed to transpose correctly into its national legal framework several provisions of the Water Framework Directive;</w:t>
      </w:r>
      <w:r>
        <w:rPr>
          <w:rStyle w:val="FootnoteReference"/>
          <w:noProof/>
        </w:rPr>
        <w:footnoteReference w:id="148"/>
      </w:r>
      <w:r>
        <w:rPr>
          <w:rFonts w:ascii="Arial" w:hAnsi="Arial" w:cs="Arial"/>
          <w:noProof/>
          <w:lang w:val="en-GB"/>
        </w:rPr>
        <w:t xml:space="preserve"> </w:t>
      </w:r>
    </w:p>
    <w:p>
      <w:pPr>
        <w:pStyle w:val="Lijstje2"/>
        <w:ind w:left="1418"/>
        <w:rPr>
          <w:rFonts w:ascii="Arial" w:hAnsi="Arial" w:cs="Arial"/>
          <w:noProof/>
          <w:lang w:val="en-GB"/>
        </w:rPr>
      </w:pPr>
      <w:r>
        <w:rPr>
          <w:rFonts w:ascii="Arial" w:hAnsi="Arial" w:cs="Arial"/>
          <w:noProof/>
          <w:lang w:val="en-GB"/>
        </w:rPr>
        <w:t>Poland has failed to establish a national electronic register and to interconnect with the national electronic registers of other Member States.</w:t>
      </w:r>
      <w:r>
        <w:rPr>
          <w:rStyle w:val="FootnoteReference"/>
          <w:rFonts w:ascii="Arial" w:hAnsi="Arial" w:cs="Arial"/>
          <w:noProof/>
          <w:lang w:val="en-GB"/>
        </w:rPr>
        <w:footnoteReference w:id="149"/>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a preliminary rulings addressed to the Polish judiciary, the Court held that:</w:t>
      </w:r>
    </w:p>
    <w:p>
      <w:pPr>
        <w:pStyle w:val="Lijstje2"/>
        <w:ind w:left="1418"/>
        <w:rPr>
          <w:rFonts w:ascii="Arial" w:hAnsi="Arial" w:cs="Arial"/>
          <w:noProof/>
          <w:lang w:val="en-GB"/>
        </w:rPr>
      </w:pPr>
      <w:r>
        <w:rPr>
          <w:rFonts w:ascii="Arial" w:hAnsi="Arial" w:cs="Arial"/>
          <w:bCs/>
          <w:noProof/>
          <w:lang w:val="en-GB"/>
        </w:rPr>
        <w:t xml:space="preserve">the use of standard contract terms with content identical to that of terms which have been declared unlawful by a judicial decision having the force of law and which have been entered in a national register of unlawful standard contract terms can be regarded, in relation to another seller or supplier which was not a party to the proceedings culminating in the entry in that register, as an unlawful act, provided that that seller or supplier has an effective judicial remedy </w:t>
      </w:r>
      <w:r>
        <w:rPr>
          <w:rFonts w:ascii="Arial" w:hAnsi="Arial" w:cs="Arial"/>
          <w:noProof/>
          <w:lang w:val="en-GB"/>
        </w:rPr>
        <w:t xml:space="preserve">against the decision declaring the terms to be equivalent, as well as against the decision fixing the amount of the fine imposed. Such a national register of unlawful standard contract terms </w:t>
      </w:r>
      <w:r>
        <w:rPr>
          <w:rFonts w:ascii="Arial" w:hAnsi="Arial" w:cs="Arial"/>
          <w:bCs/>
          <w:noProof/>
          <w:lang w:val="en-GB"/>
        </w:rPr>
        <w:t>must comply with the requirements of Directive 93/13/EEC and of EU law more generally. It must in that regard be</w:t>
      </w:r>
      <w:r>
        <w:rPr>
          <w:rFonts w:ascii="Arial" w:hAnsi="Arial" w:cs="Arial"/>
          <w:noProof/>
          <w:lang w:val="en-GB"/>
        </w:rPr>
        <w:t xml:space="preserve"> managed in a transparent manner in the interest not only of consumers but also of sellers or suppliers and kept up to date; </w:t>
      </w:r>
      <w:r>
        <w:rPr>
          <w:rStyle w:val="FootnoteReference"/>
          <w:rFonts w:ascii="Arial" w:hAnsi="Arial" w:cs="Arial"/>
          <w:noProof/>
          <w:lang w:val="en-GB"/>
        </w:rPr>
        <w:footnoteReference w:id="150"/>
      </w:r>
    </w:p>
    <w:p>
      <w:pPr>
        <w:pStyle w:val="Lijstje2"/>
        <w:ind w:left="1418"/>
        <w:rPr>
          <w:rFonts w:ascii="Arial" w:hAnsi="Arial" w:cs="Arial"/>
          <w:noProof/>
          <w:lang w:val="en-GB"/>
        </w:rPr>
      </w:pPr>
      <w:r>
        <w:rPr>
          <w:rFonts w:ascii="Arial" w:eastAsia="Times New Roman" w:hAnsi="Arial" w:cs="Arial"/>
          <w:noProof/>
          <w:kern w:val="0"/>
          <w:lang w:val="en-GB"/>
        </w:rPr>
        <w:t>the Universal Services Directive</w:t>
      </w:r>
      <w:r>
        <w:rPr>
          <w:rStyle w:val="FootnoteReference"/>
          <w:noProof/>
        </w:rPr>
        <w:footnoteReference w:id="151"/>
      </w:r>
      <w:r>
        <w:rPr>
          <w:rFonts w:ascii="Arial" w:eastAsia="Times New Roman" w:hAnsi="Arial" w:cs="Arial"/>
          <w:noProof/>
          <w:kern w:val="0"/>
          <w:lang w:val="en-GB"/>
        </w:rPr>
        <w:t xml:space="preserve"> must be interpreted to mean that a Member State may provide that an operator of a public electronic communications network must ensure that all end users are able to access non-geographic numbers on its network in that State, and not only those of other Member States;</w:t>
      </w:r>
      <w:r>
        <w:rPr>
          <w:rStyle w:val="FootnoteReference"/>
          <w:noProof/>
        </w:rPr>
        <w:footnoteReference w:id="152"/>
      </w:r>
    </w:p>
    <w:p>
      <w:pPr>
        <w:pStyle w:val="Lijstje2"/>
        <w:ind w:left="1418"/>
        <w:rPr>
          <w:rFonts w:ascii="Arial" w:hAnsi="Arial"/>
          <w:noProof/>
          <w:lang w:val="en-GB"/>
        </w:rPr>
      </w:pPr>
      <w:r>
        <w:rPr>
          <w:rFonts w:ascii="Arial" w:eastAsia="Times New Roman" w:hAnsi="Arial" w:cs="Arial"/>
          <w:noProof/>
          <w:kern w:val="0"/>
          <w:lang w:val="en-GB"/>
        </w:rPr>
        <w:t>a national court hearing an appeal against a decision of the national regulatory authority in the area of electronic communications networks and services</w:t>
      </w:r>
      <w:r>
        <w:rPr>
          <w:rStyle w:val="FootnoteReference"/>
          <w:rFonts w:ascii="Arial" w:eastAsia="Times New Roman" w:hAnsi="Arial" w:cs="Arial"/>
          <w:noProof/>
          <w:kern w:val="0"/>
          <w:lang w:val="en-GB"/>
        </w:rPr>
        <w:footnoteReference w:id="153"/>
      </w:r>
      <w:r>
        <w:rPr>
          <w:rFonts w:ascii="Arial" w:eastAsia="Times New Roman" w:hAnsi="Arial"/>
          <w:noProof/>
          <w:kern w:val="0"/>
          <w:lang w:val="en-GB"/>
        </w:rPr>
        <w:t xml:space="preserve"> </w:t>
      </w:r>
      <w:r>
        <w:rPr>
          <w:rFonts w:ascii="Arial" w:eastAsia="Times New Roman" w:hAnsi="Arial" w:cs="Arial"/>
          <w:noProof/>
          <w:kern w:val="0"/>
          <w:lang w:val="en-GB"/>
        </w:rPr>
        <w:t xml:space="preserve">must be able to annul that decision with retroactive effect if it finds that to be necessary in order to provide effective protection for the rights of the undertaking which has brought the appeal; </w:t>
      </w:r>
      <w:r>
        <w:rPr>
          <w:rStyle w:val="FootnoteReference"/>
          <w:rFonts w:ascii="Arial" w:eastAsia="Times New Roman" w:hAnsi="Arial" w:cs="Arial"/>
          <w:noProof/>
          <w:kern w:val="0"/>
          <w:lang w:val="en-GB"/>
        </w:rPr>
        <w:footnoteReference w:id="154"/>
      </w:r>
    </w:p>
    <w:p>
      <w:pPr>
        <w:pStyle w:val="Lijstje2"/>
        <w:ind w:left="1418"/>
        <w:rPr>
          <w:rFonts w:ascii="Arial" w:hAnsi="Arial" w:cs="Arial"/>
          <w:noProof/>
          <w:lang w:val="en-GB"/>
        </w:rPr>
      </w:pPr>
      <w:r>
        <w:rPr>
          <w:rFonts w:ascii="Arial" w:hAnsi="Arial" w:cs="Arial"/>
          <w:noProof/>
          <w:lang w:val="en-GB"/>
        </w:rPr>
        <w:t>subjecting the organisation of games of chance and gaming on machines to the requirement to hold a licence to operate a gaming casino does not fall within the concept of ‘technical regulation’ under the Single Market Transparency Directive.</w:t>
      </w:r>
      <w:r>
        <w:rPr>
          <w:rStyle w:val="FootnoteReference"/>
          <w:rFonts w:ascii="Arial" w:hAnsi="Arial" w:cs="Arial"/>
          <w:noProof/>
          <w:lang w:val="en-GB"/>
        </w:rPr>
        <w:footnoteReference w:id="155"/>
      </w:r>
    </w:p>
    <w:p>
      <w:pPr>
        <w:spacing w:after="120"/>
        <w:contextualSpacing/>
        <w:rPr>
          <w:rFonts w:ascii="Verdana" w:eastAsia="Calibri" w:hAnsi="Verdana"/>
          <w:noProof/>
          <w:kern w:val="20"/>
          <w:sz w:val="20"/>
        </w:rPr>
      </w:pPr>
    </w:p>
    <w:p>
      <w:pPr>
        <w:spacing w:after="0"/>
        <w:jc w:val="left"/>
        <w:rPr>
          <w:noProof/>
        </w:rPr>
        <w:sectPr>
          <w:headerReference w:type="even" r:id="rId139"/>
          <w:headerReference w:type="default" r:id="rId140"/>
          <w:footerReference w:type="even" r:id="rId141"/>
          <w:footerReference w:type="default" r:id="rId142"/>
          <w:headerReference w:type="first" r:id="rId143"/>
          <w:footerReference w:type="first" r:id="rId144"/>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34" w:name="_Toc475974659"/>
      <w:bookmarkStart w:id="35" w:name="_Toc475980155"/>
      <w:bookmarkStart w:id="36" w:name="_Toc475981404"/>
      <w:bookmarkStart w:id="37" w:name="_Toc477938604"/>
      <w:r>
        <w:rPr>
          <w:noProof/>
        </w:rPr>
        <w:t>Portugal</w:t>
      </w:r>
      <w:bookmarkEnd w:id="34"/>
      <w:bookmarkEnd w:id="35"/>
      <w:bookmarkEnd w:id="36"/>
      <w:bookmarkEnd w:id="37"/>
    </w:p>
    <w:p>
      <w:pPr>
        <w:spacing w:after="120"/>
        <w:rPr>
          <w:rFonts w:ascii="Arial" w:hAnsi="Arial" w:cs="Arial"/>
          <w:i/>
          <w:noProof/>
          <w:sz w:val="22"/>
          <w:szCs w:val="22"/>
        </w:rPr>
      </w:pPr>
      <w:r>
        <w:rPr>
          <w:rFonts w:ascii="Arial" w:hAnsi="Arial" w:cs="Arial"/>
          <w:i/>
          <w:noProof/>
          <w:sz w:val="22"/>
          <w:szCs w:val="22"/>
        </w:rPr>
        <w:t xml:space="preserve">New complaints against Portugal dropped further in 2016, almost equalling their 2013 level. The decreasing trend also continued for new EU Pilot files, which reached a five-year low. In contrast, the number of infringement cases against Portugal open at the end of the year increased sharply, equalling the 2012 peak. New infringement cases for late transposition also jumped, reaching a new five-year high.  </w:t>
      </w:r>
    </w:p>
    <w:p>
      <w:pPr>
        <w:spacing w:after="120"/>
        <w:rPr>
          <w:rFonts w:ascii="Arial" w:hAnsi="Arial" w:cs="Arial"/>
          <w:i/>
          <w:noProof/>
          <w:sz w:val="22"/>
          <w:szCs w:val="22"/>
        </w:rPr>
      </w:pPr>
    </w:p>
    <w:p>
      <w:pPr>
        <w:pStyle w:val="kop2"/>
        <w:numPr>
          <w:ilvl w:val="0"/>
          <w:numId w:val="15"/>
        </w:numPr>
        <w:rPr>
          <w:noProof/>
        </w:rPr>
      </w:pPr>
      <w:r>
        <w:rPr>
          <w:noProof/>
        </w:rPr>
        <w:t>COMPLAINTS</w:t>
      </w:r>
    </w:p>
    <w:p>
      <w:pPr>
        <w:pStyle w:val="Subtitle"/>
        <w:numPr>
          <w:ilvl w:val="0"/>
          <w:numId w:val="64"/>
        </w:numPr>
        <w:rPr>
          <w:noProof/>
        </w:rPr>
      </w:pPr>
      <w:r>
        <w:rPr>
          <w:noProof/>
        </w:rPr>
        <w:t>New complaints made against Portugal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2000" cy="2331720"/>
            <wp:effectExtent l="0" t="0" r="19050" b="11430"/>
            <wp:docPr id="94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pPr>
        <w:pStyle w:val="Subtitle"/>
        <w:numPr>
          <w:ilvl w:val="0"/>
          <w:numId w:val="64"/>
        </w:numPr>
        <w:rPr>
          <w:noProof/>
        </w:rPr>
      </w:pPr>
      <w:r>
        <w:rPr>
          <w:noProof/>
        </w:rPr>
        <w:t>Public complaints against Portugal open at year-end</w:t>
      </w:r>
    </w:p>
    <w:tbl>
      <w:tblPr>
        <w:tblStyle w:val="Style121"/>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78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76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98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56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64"/>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54580"/>
            <wp:effectExtent l="0" t="0" r="11430" b="26670"/>
            <wp:docPr id="942"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65"/>
        </w:numPr>
        <w:rPr>
          <w:noProof/>
        </w:rPr>
      </w:pPr>
      <w:r>
        <w:rPr>
          <w:noProof/>
        </w:rPr>
        <w:t>New EU Pilot files opened against Portugal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7443" cy="2253343"/>
            <wp:effectExtent l="0" t="0" r="13970" b="13970"/>
            <wp:docPr id="94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pPr>
        <w:pStyle w:val="Subtitle"/>
        <w:numPr>
          <w:ilvl w:val="0"/>
          <w:numId w:val="65"/>
        </w:numPr>
        <w:rPr>
          <w:noProof/>
        </w:rPr>
      </w:pPr>
      <w:r>
        <w:rPr>
          <w:noProof/>
        </w:rPr>
        <w:t>Files relating to Portugal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253343"/>
            <wp:effectExtent l="0" t="0" r="13970" b="13970"/>
            <wp:docPr id="16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p>
      <w:pPr>
        <w:pStyle w:val="Subtitle"/>
        <w:numPr>
          <w:ilvl w:val="0"/>
          <w:numId w:val="65"/>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392680"/>
            <wp:effectExtent l="0" t="0" r="15240" b="26670"/>
            <wp:docPr id="944"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65"/>
        </w:numPr>
        <w:rPr>
          <w:noProof/>
        </w:rPr>
      </w:pPr>
      <w:r>
        <w:rPr>
          <w:noProof/>
        </w:rPr>
        <w:t>EU Pilot files: Portugal’s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438400"/>
            <wp:effectExtent l="0" t="0" r="19050" b="19050"/>
            <wp:docPr id="94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pPr>
        <w:pStyle w:val="Subtitle"/>
        <w:numPr>
          <w:ilvl w:val="0"/>
          <w:numId w:val="65"/>
        </w:numPr>
        <w:rPr>
          <w:noProof/>
        </w:rPr>
      </w:pPr>
      <w:r>
        <w:rPr>
          <w:noProof/>
        </w:rPr>
        <w:t>EU Pilot files: Portugal’s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5543" cy="2247900"/>
            <wp:effectExtent l="0" t="0" r="13970" b="19050"/>
            <wp:docPr id="94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66"/>
        </w:numPr>
        <w:rPr>
          <w:noProof/>
        </w:rPr>
      </w:pPr>
      <w:r>
        <w:rPr>
          <w:noProof/>
        </w:rPr>
        <w:t>Infringement cases against Portugal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3771" cy="2411185"/>
            <wp:effectExtent l="0" t="0" r="16510" b="27305"/>
            <wp:docPr id="947"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948"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8"/>
        </w:numPr>
        <w:ind w:hanging="426"/>
        <w:rPr>
          <w:rFonts w:ascii="Arial" w:hAnsi="Arial" w:cs="Arial"/>
          <w:noProof/>
          <w:lang w:val="en-GB"/>
        </w:rPr>
      </w:pPr>
      <w:r>
        <w:rPr>
          <w:rFonts w:ascii="Arial" w:hAnsi="Arial" w:cs="Arial"/>
          <w:noProof/>
          <w:lang w:val="en-GB"/>
        </w:rPr>
        <w:t>The Commission opened 60 new infringement cases against Portugal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non-compliance with the Prüm Decisions on information-sharing to combat terrorism and serious crime;</w:t>
      </w:r>
      <w:r>
        <w:rPr>
          <w:rStyle w:val="FootnoteReference"/>
          <w:rFonts w:ascii="Arial" w:hAnsi="Arial" w:cs="Arial"/>
          <w:noProof/>
          <w:lang w:val="en-GB"/>
        </w:rPr>
        <w:footnoteReference w:id="156"/>
      </w:r>
    </w:p>
    <w:p>
      <w:pPr>
        <w:pStyle w:val="Lijstje2"/>
        <w:spacing w:after="200"/>
        <w:ind w:left="1843" w:hanging="425"/>
        <w:rPr>
          <w:rFonts w:ascii="Arial" w:hAnsi="Arial" w:cs="Arial"/>
          <w:noProof/>
          <w:lang w:val="en-GB"/>
        </w:rPr>
      </w:pPr>
      <w:r>
        <w:rPr>
          <w:rFonts w:ascii="Arial" w:hAnsi="Arial" w:cs="Arial"/>
          <w:noProof/>
          <w:lang w:val="en-GB"/>
        </w:rPr>
        <w:t>bad application of the Habitats Directive as regards designation of special areas of conservation and establishment of the necessary conservation measures;</w:t>
      </w:r>
      <w:r>
        <w:rPr>
          <w:rStyle w:val="FootnoteReference"/>
          <w:noProof/>
        </w:rPr>
        <w:footnoteReference w:id="157"/>
      </w:r>
      <w:r>
        <w:rPr>
          <w:rFonts w:ascii="Arial" w:hAnsi="Arial" w:cs="Arial"/>
          <w:b/>
          <w:noProof/>
          <w:lang w:val="en-GB"/>
        </w:rPr>
        <w:t xml:space="preserve"> </w:t>
      </w:r>
    </w:p>
    <w:p>
      <w:pPr>
        <w:pStyle w:val="Lijstje2"/>
        <w:ind w:left="1843" w:hanging="426"/>
        <w:rPr>
          <w:rFonts w:ascii="Arial" w:hAnsi="Arial" w:cs="Arial"/>
          <w:noProof/>
          <w:lang w:val="en-GB"/>
        </w:rPr>
      </w:pPr>
      <w:r>
        <w:rPr>
          <w:rFonts w:ascii="Arial" w:hAnsi="Arial" w:cs="Arial"/>
          <w:noProof/>
          <w:lang w:val="en-GB"/>
        </w:rPr>
        <w:t>inadequate urban waste water treatment;</w:t>
      </w:r>
    </w:p>
    <w:p>
      <w:pPr>
        <w:pStyle w:val="Lijstje2"/>
        <w:spacing w:after="200"/>
        <w:ind w:left="1843" w:hanging="425"/>
        <w:rPr>
          <w:rFonts w:ascii="Arial" w:hAnsi="Arial" w:cs="Arial"/>
          <w:noProof/>
          <w:lang w:val="en-GB"/>
        </w:rPr>
      </w:pPr>
      <w:r>
        <w:rPr>
          <w:rFonts w:ascii="Arial" w:hAnsi="Arial" w:cs="Arial"/>
          <w:noProof/>
          <w:lang w:val="en-GB"/>
        </w:rPr>
        <w:t>failure to fully transpose the Offshore Safety Directive;</w:t>
      </w:r>
      <w:r>
        <w:rPr>
          <w:rStyle w:val="FootnoteReference"/>
          <w:noProof/>
        </w:rPr>
        <w:footnoteReference w:id="158"/>
      </w:r>
    </w:p>
    <w:p>
      <w:pPr>
        <w:pStyle w:val="Lijstje2"/>
        <w:spacing w:after="200"/>
        <w:ind w:left="1843" w:hanging="425"/>
        <w:rPr>
          <w:rFonts w:ascii="Arial" w:hAnsi="Arial" w:cs="Arial"/>
          <w:noProof/>
          <w:lang w:val="en-GB"/>
        </w:rPr>
      </w:pPr>
      <w:r>
        <w:rPr>
          <w:rFonts w:ascii="Arial" w:hAnsi="Arial" w:cs="Arial"/>
          <w:noProof/>
          <w:lang w:val="en-GB"/>
        </w:rPr>
        <w:t>failure to comply with the requirements of the Renewable Energy Directive;</w:t>
      </w:r>
      <w:r>
        <w:rPr>
          <w:rStyle w:val="FootnoteReference"/>
          <w:noProof/>
        </w:rPr>
        <w:footnoteReference w:id="159"/>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160"/>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Transparency Directive;</w:t>
      </w:r>
      <w:r>
        <w:rPr>
          <w:rStyle w:val="FootnoteReference"/>
          <w:rFonts w:ascii="Arial" w:hAnsi="Arial" w:cs="Arial"/>
          <w:noProof/>
          <w:lang w:val="en-GB"/>
        </w:rPr>
        <w:footnoteReference w:id="161"/>
      </w:r>
    </w:p>
    <w:p>
      <w:pPr>
        <w:pStyle w:val="Lijstje2"/>
        <w:spacing w:after="200"/>
        <w:ind w:left="1843" w:hanging="425"/>
        <w:rPr>
          <w:rFonts w:ascii="Arial" w:hAnsi="Arial" w:cs="Arial"/>
          <w:noProof/>
          <w:lang w:val="en-GB"/>
        </w:rPr>
      </w:pPr>
      <w:r>
        <w:rPr>
          <w:rFonts w:ascii="Arial" w:hAnsi="Arial" w:cs="Arial"/>
          <w:noProof/>
          <w:lang w:val="en-GB"/>
        </w:rPr>
        <w:t>incorrect implementation of the Directive on accident investigations;</w:t>
      </w:r>
      <w:r>
        <w:rPr>
          <w:rStyle w:val="FootnoteReference"/>
          <w:rFonts w:ascii="Arial" w:hAnsi="Arial" w:cs="Arial"/>
          <w:noProof/>
          <w:lang w:val="en-GB"/>
        </w:rPr>
        <w:footnoteReference w:id="162"/>
      </w:r>
    </w:p>
    <w:p>
      <w:pPr>
        <w:pStyle w:val="Lijstje2"/>
        <w:spacing w:after="200"/>
        <w:ind w:left="1843" w:hanging="425"/>
        <w:rPr>
          <w:rFonts w:ascii="Arial" w:hAnsi="Arial" w:cs="Arial"/>
          <w:noProof/>
          <w:lang w:val="en-GB"/>
        </w:rPr>
      </w:pPr>
      <w:r>
        <w:rPr>
          <w:rFonts w:ascii="Arial" w:hAnsi="Arial" w:cs="Arial"/>
          <w:noProof/>
          <w:lang w:val="en-GB"/>
        </w:rPr>
        <w:t>incorrect implementation of the Directive on port State control;</w:t>
      </w:r>
      <w:r>
        <w:rPr>
          <w:rStyle w:val="FootnoteReference"/>
          <w:rFonts w:ascii="Arial" w:hAnsi="Arial" w:cs="Arial"/>
          <w:noProof/>
          <w:lang w:val="en-GB"/>
        </w:rPr>
        <w:footnoteReference w:id="163"/>
      </w:r>
    </w:p>
    <w:p>
      <w:pPr>
        <w:pStyle w:val="Lijstje2"/>
        <w:spacing w:after="200"/>
        <w:ind w:left="1843" w:hanging="425"/>
        <w:rPr>
          <w:rFonts w:ascii="Arial" w:hAnsi="Arial" w:cs="Arial"/>
          <w:noProof/>
          <w:lang w:val="en-GB"/>
        </w:rPr>
      </w:pPr>
      <w:r>
        <w:rPr>
          <w:rFonts w:ascii="Arial" w:hAnsi="Arial" w:cs="Arial"/>
          <w:noProof/>
          <w:lang w:val="en-GB"/>
        </w:rPr>
        <w:t>incorrect implementation of the Flag State Directive;</w:t>
      </w:r>
      <w:r>
        <w:rPr>
          <w:rStyle w:val="FootnoteReference"/>
          <w:rFonts w:ascii="Arial" w:hAnsi="Arial" w:cs="Arial"/>
          <w:noProof/>
          <w:lang w:val="en-GB"/>
        </w:rPr>
        <w:footnoteReference w:id="164"/>
      </w:r>
    </w:p>
    <w:p>
      <w:pPr>
        <w:pStyle w:val="Lijstje2"/>
        <w:spacing w:after="200"/>
        <w:ind w:left="1843" w:hanging="425"/>
        <w:rPr>
          <w:rFonts w:ascii="Arial" w:hAnsi="Arial" w:cs="Arial"/>
          <w:noProof/>
          <w:lang w:val="en-GB"/>
        </w:rPr>
      </w:pPr>
      <w:r>
        <w:rPr>
          <w:rFonts w:ascii="Arial" w:hAnsi="Arial" w:cs="Arial"/>
          <w:noProof/>
          <w:lang w:val="en-GB"/>
        </w:rPr>
        <w:t>failure to report on monitoring activities carried out by the maritime authority;</w:t>
      </w:r>
      <w:r>
        <w:rPr>
          <w:rStyle w:val="FootnoteReference"/>
          <w:rFonts w:ascii="Arial" w:hAnsi="Arial" w:cs="Arial"/>
          <w:noProof/>
          <w:lang w:val="en-GB"/>
        </w:rPr>
        <w:footnoteReference w:id="165"/>
      </w:r>
    </w:p>
    <w:p>
      <w:pPr>
        <w:pStyle w:val="Lijstje2"/>
        <w:spacing w:after="200"/>
        <w:ind w:left="1843" w:hanging="425"/>
        <w:rPr>
          <w:rFonts w:ascii="Arial" w:hAnsi="Arial" w:cs="Arial"/>
          <w:noProof/>
          <w:lang w:val="en-GB"/>
        </w:rPr>
      </w:pPr>
      <w:r>
        <w:rPr>
          <w:rFonts w:ascii="Arial" w:hAnsi="Arial" w:cs="Arial"/>
          <w:noProof/>
          <w:lang w:val="en-GB"/>
        </w:rPr>
        <w:t xml:space="preserve">failure to correctly transpose and </w:t>
      </w:r>
      <w:r>
        <w:rPr>
          <w:rFonts w:ascii="Arial" w:hAnsi="Arial" w:cs="Arial"/>
          <w:bCs/>
          <w:noProof/>
          <w:lang w:val="en-GB"/>
        </w:rPr>
        <w:t>implement EU rules on driving licences;</w:t>
      </w:r>
      <w:r>
        <w:rPr>
          <w:rStyle w:val="FootnoteReference"/>
          <w:rFonts w:ascii="Arial" w:hAnsi="Arial" w:cs="Arial"/>
          <w:bCs/>
          <w:noProof/>
          <w:lang w:val="en-GB"/>
        </w:rPr>
        <w:footnoteReference w:id="166"/>
      </w:r>
    </w:p>
    <w:p>
      <w:pPr>
        <w:pStyle w:val="Lijstje2"/>
        <w:ind w:left="1843" w:hanging="425"/>
        <w:rPr>
          <w:rFonts w:ascii="Arial" w:hAnsi="Arial" w:cs="Arial"/>
          <w:noProof/>
          <w:lang w:val="en-GB"/>
        </w:rPr>
      </w:pPr>
      <w:r>
        <w:rPr>
          <w:rFonts w:ascii="Arial" w:hAnsi="Arial" w:cs="Arial"/>
          <w:noProof/>
          <w:lang w:val="en-GB"/>
        </w:rPr>
        <w:t>failure to transpose in full the three Directives on public procurement and concessions;</w:t>
      </w:r>
      <w:r>
        <w:rPr>
          <w:rStyle w:val="FootnoteReference"/>
          <w:rFonts w:ascii="Arial" w:hAnsi="Arial" w:cs="Arial"/>
          <w:noProof/>
          <w:lang w:val="en-GB"/>
        </w:rPr>
        <w:footnoteReference w:id="167"/>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Fonts w:ascii="Arial" w:hAnsi="Arial" w:cs="Arial"/>
          <w:noProof/>
          <w:lang w:val="en-GB"/>
        </w:rPr>
        <w:t>;</w:t>
      </w:r>
      <w:r>
        <w:rPr>
          <w:rStyle w:val="FootnoteReference"/>
          <w:rFonts w:ascii="Arial" w:hAnsi="Arial" w:cs="Arial"/>
          <w:noProof/>
          <w:lang w:val="en-GB"/>
        </w:rPr>
        <w:footnoteReference w:id="168"/>
      </w:r>
    </w:p>
    <w:p>
      <w:pPr>
        <w:pStyle w:val="Lijstje2"/>
        <w:ind w:left="1843" w:hanging="425"/>
        <w:rPr>
          <w:rFonts w:ascii="Arial" w:hAnsi="Arial" w:cs="Arial"/>
          <w:noProof/>
          <w:lang w:val="en-GB"/>
        </w:rPr>
      </w:pPr>
      <w:r>
        <w:rPr>
          <w:rFonts w:ascii="Arial" w:hAnsi="Arial" w:cs="Arial"/>
          <w:noProof/>
          <w:lang w:val="en-GB"/>
        </w:rPr>
        <w:t>the airport tax applied by the Lisbon municipality on passengers arriving at the Lisbon airport: as passengers with their domicile in Portugal are exempted from the tax, it may constitute a covert discrimination by reason of nationality that infringes Article 18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spacing w:after="200"/>
        <w:ind w:left="1417" w:hanging="425"/>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67"/>
        </w:numPr>
        <w:rPr>
          <w:noProof/>
        </w:rPr>
      </w:pPr>
      <w:r>
        <w:rPr>
          <w:noProof/>
        </w:rPr>
        <w:t>Late transposition infringement cases against Portugal open on 31 December (2012-2016)</w:t>
      </w:r>
    </w:p>
    <w:p>
      <w:pPr>
        <w:ind w:left="426" w:firstLine="283"/>
        <w:rPr>
          <w:noProof/>
        </w:rPr>
      </w:pPr>
      <w:r>
        <w:rPr>
          <w:noProof/>
          <w:lang w:val="en-US"/>
        </w:rPr>
        <w:drawing>
          <wp:inline distT="0" distB="0" distL="0" distR="0">
            <wp:extent cx="4582886" cy="2427514"/>
            <wp:effectExtent l="0" t="0" r="27305" b="11430"/>
            <wp:docPr id="949"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pPr>
        <w:pStyle w:val="Subtitle"/>
        <w:numPr>
          <w:ilvl w:val="0"/>
          <w:numId w:val="67"/>
        </w:numPr>
        <w:rPr>
          <w:noProof/>
        </w:rPr>
      </w:pPr>
      <w:r>
        <w:rPr>
          <w:noProof/>
        </w:rPr>
        <w:t>New late transposition infringement cases against Portugal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427514"/>
            <wp:effectExtent l="0" t="0" r="27305" b="11430"/>
            <wp:docPr id="950"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354580"/>
            <wp:effectExtent l="0" t="0" r="22860" b="26670"/>
            <wp:docPr id="951"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pStyle w:val="Lijstje2"/>
        <w:spacing w:after="200"/>
        <w:ind w:left="1418" w:hanging="425"/>
        <w:rPr>
          <w:rFonts w:ascii="Arial" w:hAnsi="Arial" w:cs="Arial"/>
          <w:noProof/>
          <w:lang w:val="en-GB"/>
        </w:rPr>
      </w:pPr>
      <w:r>
        <w:rPr>
          <w:rFonts w:ascii="Arial" w:hAnsi="Arial" w:cs="Arial"/>
          <w:noProof/>
          <w:lang w:val="en-GB"/>
        </w:rPr>
        <w:t>failure to apply correctly the Directive on the protection of pigs as regards group housing of sows;</w:t>
      </w:r>
      <w:r>
        <w:rPr>
          <w:rStyle w:val="FootnoteReference"/>
          <w:noProof/>
        </w:rPr>
        <w:footnoteReference w:id="169"/>
      </w:r>
    </w:p>
    <w:p>
      <w:pPr>
        <w:pStyle w:val="Lijstje2"/>
        <w:spacing w:after="200"/>
        <w:ind w:left="1418" w:hanging="425"/>
        <w:rPr>
          <w:rFonts w:ascii="Arial" w:hAnsi="Arial" w:cs="Arial"/>
          <w:noProof/>
          <w:lang w:val="en-GB"/>
        </w:rPr>
      </w:pPr>
      <w:r>
        <w:rPr>
          <w:rFonts w:ascii="Arial" w:hAnsi="Arial"/>
          <w:noProof/>
          <w:lang w:val="en-GB"/>
        </w:rPr>
        <w:t>illegal landfills operated in breach of the Landfill Directive;</w:t>
      </w:r>
      <w:r>
        <w:rPr>
          <w:rStyle w:val="FootnoteReference"/>
          <w:noProof/>
        </w:rPr>
        <w:footnoteReference w:id="170"/>
      </w:r>
    </w:p>
    <w:p>
      <w:pPr>
        <w:pStyle w:val="Lijstje2"/>
        <w:spacing w:after="200"/>
        <w:ind w:left="1418" w:hanging="425"/>
        <w:rPr>
          <w:rFonts w:ascii="Arial" w:hAnsi="Arial"/>
          <w:noProof/>
          <w:lang w:val="en-GB"/>
        </w:rPr>
      </w:pPr>
      <w:r>
        <w:rPr>
          <w:rFonts w:ascii="Arial" w:hAnsi="Arial" w:cs="Arial"/>
          <w:noProof/>
          <w:lang w:val="en-GB"/>
        </w:rPr>
        <w:t>the notification of all national measures necessary to transpose the Capital Requirements Directive</w:t>
      </w:r>
      <w:r>
        <w:rPr>
          <w:rStyle w:val="FootnoteReference"/>
          <w:rFonts w:ascii="Arial" w:hAnsi="Arial" w:cs="Arial"/>
          <w:noProof/>
          <w:lang w:val="en-GB"/>
        </w:rPr>
        <w:footnoteReference w:id="171"/>
      </w:r>
      <w:r>
        <w:rPr>
          <w:rFonts w:ascii="Arial" w:hAnsi="Arial" w:cs="Arial"/>
          <w:noProof/>
          <w:lang w:val="en-GB"/>
        </w:rPr>
        <w:t xml:space="preserve"> and the Bank Resolution and Recovery Directive;</w:t>
      </w:r>
      <w:r>
        <w:rPr>
          <w:rStyle w:val="FootnoteReference"/>
          <w:rFonts w:ascii="Arial" w:hAnsi="Arial" w:cs="Arial"/>
          <w:noProof/>
          <w:lang w:val="en-GB"/>
        </w:rPr>
        <w:footnoteReference w:id="172"/>
      </w:r>
    </w:p>
    <w:p>
      <w:pPr>
        <w:pStyle w:val="Lijstje2"/>
        <w:spacing w:after="200"/>
        <w:ind w:left="1418" w:hanging="425"/>
        <w:rPr>
          <w:rFonts w:ascii="Arial" w:hAnsi="Arial"/>
          <w:noProof/>
          <w:lang w:val="en-GB"/>
        </w:rPr>
      </w:pPr>
      <w:r>
        <w:rPr>
          <w:rFonts w:ascii="Arial" w:hAnsi="Arial"/>
          <w:noProof/>
          <w:lang w:val="en-GB"/>
        </w:rPr>
        <w:t>transposition of the Directive on over-reliance on credit ratings;</w:t>
      </w:r>
      <w:r>
        <w:rPr>
          <w:rStyle w:val="FootnoteReference"/>
          <w:noProof/>
        </w:rPr>
        <w:footnoteReference w:id="173"/>
      </w:r>
    </w:p>
    <w:p>
      <w:pPr>
        <w:pStyle w:val="Lijstje2"/>
        <w:spacing w:after="200"/>
        <w:ind w:left="1418" w:hanging="425"/>
        <w:rPr>
          <w:rFonts w:ascii="Arial" w:hAnsi="Arial"/>
          <w:noProof/>
          <w:lang w:val="en-GB"/>
        </w:rPr>
      </w:pPr>
      <w:r>
        <w:rPr>
          <w:rFonts w:ascii="Arial" w:hAnsi="Arial"/>
          <w:noProof/>
          <w:lang w:val="en-GB"/>
        </w:rPr>
        <w:t>incorrect implementation of the Directive on a European electronic toll service;</w:t>
      </w:r>
      <w:r>
        <w:rPr>
          <w:rStyle w:val="FootnoteReference"/>
          <w:noProof/>
        </w:rPr>
        <w:footnoteReference w:id="174"/>
      </w:r>
    </w:p>
    <w:p>
      <w:pPr>
        <w:pStyle w:val="Lijstje2"/>
        <w:ind w:left="1418" w:hanging="425"/>
        <w:rPr>
          <w:rFonts w:ascii="Arial" w:hAnsi="Arial" w:cs="Arial"/>
          <w:noProof/>
          <w:lang w:val="en-GB"/>
        </w:rPr>
      </w:pPr>
      <w:r>
        <w:rPr>
          <w:rFonts w:ascii="Arial" w:hAnsi="Arial" w:cs="Arial"/>
          <w:noProof/>
          <w:lang w:val="en-GB"/>
        </w:rPr>
        <w:t>non-ratification of the Protocol of Accession to the Eurocontrol International Convention;</w:t>
      </w:r>
    </w:p>
    <w:p>
      <w:pPr>
        <w:pStyle w:val="Lijstje2"/>
        <w:ind w:left="1418" w:hanging="425"/>
        <w:rPr>
          <w:rFonts w:ascii="Arial" w:hAnsi="Arial" w:cs="Arial"/>
          <w:noProof/>
          <w:lang w:val="en-GB"/>
        </w:rPr>
      </w:pPr>
      <w:r>
        <w:rPr>
          <w:rFonts w:ascii="Arial" w:hAnsi="Arial" w:cs="Arial"/>
          <w:noProof/>
          <w:lang w:val="en-GB"/>
        </w:rPr>
        <w:t>unequal treatment in recognition of qualifications of fixed-term teachers.</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68"/>
        </w:numPr>
        <w:rPr>
          <w:noProof/>
        </w:rPr>
      </w:pPr>
      <w:r>
        <w:rPr>
          <w:noProof/>
        </w:rPr>
        <w:t>Court rulings</w:t>
      </w:r>
      <w:r>
        <w:rPr>
          <w:rStyle w:val="FootnoteReference"/>
          <w:noProof/>
        </w:rPr>
        <w:footnoteReference w:id="175"/>
      </w:r>
    </w:p>
    <w:p>
      <w:pPr>
        <w:pStyle w:val="Body"/>
        <w:rPr>
          <w:noProof/>
          <w:lang w:val="en-GB"/>
        </w:rPr>
      </w:pPr>
      <w:r>
        <w:rPr>
          <w:noProof/>
          <w:lang w:val="en-GB"/>
        </w:rPr>
        <w:t>The Court ruled that:</w:t>
      </w:r>
    </w:p>
    <w:p>
      <w:pPr>
        <w:pStyle w:val="Lijstje2"/>
        <w:ind w:left="1418"/>
        <w:rPr>
          <w:rFonts w:ascii="Arial" w:hAnsi="Arial" w:cs="Arial"/>
          <w:noProof/>
          <w:lang w:val="en-GB"/>
        </w:rPr>
      </w:pPr>
      <w:r>
        <w:rPr>
          <w:rFonts w:ascii="Arial" w:hAnsi="Arial" w:cs="Arial"/>
          <w:noProof/>
          <w:lang w:val="en-GB"/>
        </w:rPr>
        <w:t>Portugal</w:t>
      </w:r>
      <w:r>
        <w:rPr>
          <w:rFonts w:ascii="Arial" w:hAnsi="Arial" w:cs="Arial"/>
          <w:i/>
          <w:noProof/>
          <w:lang w:val="en-GB"/>
        </w:rPr>
        <w:t xml:space="preserve"> </w:t>
      </w:r>
      <w:r>
        <w:rPr>
          <w:rFonts w:ascii="Arial" w:hAnsi="Arial" w:cs="Arial"/>
          <w:noProof/>
          <w:lang w:val="en-GB"/>
        </w:rPr>
        <w:t>failed to execute in full the Court's 2009 judgment finding that Portugal was not ensuring adequate treatment of urban waste water in certain agglomerations discharging into normal areas. The Court ordered Portugal to pay a lump sum of EUR 3 million and a daily penalty payment of EUR 8 000;</w:t>
      </w:r>
      <w:r>
        <w:rPr>
          <w:rStyle w:val="FootnoteReference"/>
          <w:rFonts w:ascii="Arial" w:hAnsi="Arial" w:cs="Arial"/>
          <w:bCs/>
          <w:noProof/>
          <w:lang w:val="en-GB"/>
        </w:rPr>
        <w:footnoteReference w:id="176"/>
      </w:r>
    </w:p>
    <w:p>
      <w:pPr>
        <w:pStyle w:val="Lijstje2"/>
        <w:ind w:left="1418"/>
        <w:rPr>
          <w:rFonts w:ascii="Arial" w:hAnsi="Arial" w:cs="Arial"/>
          <w:noProof/>
          <w:lang w:val="en-GB"/>
        </w:rPr>
      </w:pPr>
      <w:r>
        <w:rPr>
          <w:rFonts w:ascii="Arial" w:hAnsi="Arial" w:cs="Arial"/>
          <w:noProof/>
          <w:lang w:val="en-GB"/>
        </w:rPr>
        <w:t>Portugal failed to ensure adequate treatment of urban waste water in several smaller agglomerations;</w:t>
      </w:r>
      <w:r>
        <w:rPr>
          <w:rStyle w:val="FootnoteReference"/>
          <w:rFonts w:ascii="Arial" w:hAnsi="Arial" w:cs="Arial"/>
          <w:bCs/>
          <w:noProof/>
          <w:lang w:val="en-GB"/>
        </w:rPr>
        <w:footnoteReference w:id="177"/>
      </w:r>
    </w:p>
    <w:p>
      <w:pPr>
        <w:pStyle w:val="Lijstje2"/>
        <w:ind w:left="1418"/>
        <w:rPr>
          <w:rFonts w:ascii="Arial" w:hAnsi="Arial" w:cs="Arial"/>
          <w:noProof/>
          <w:lang w:val="en-GB"/>
        </w:rPr>
      </w:pPr>
      <w:r>
        <w:rPr>
          <w:rFonts w:ascii="Arial" w:hAnsi="Arial" w:cs="Arial"/>
          <w:noProof/>
          <w:lang w:val="en-GB"/>
        </w:rPr>
        <w:t>Portugal failed to fulfil its obligations under the Regulation on common rules for allocating slots at Community airports. The Court also provided clarification on the notion of independence of the slot allocation body under the Regulation;</w:t>
      </w:r>
      <w:r>
        <w:rPr>
          <w:rStyle w:val="FootnoteReference"/>
          <w:rFonts w:ascii="Arial" w:hAnsi="Arial" w:cs="Arial"/>
          <w:noProof/>
          <w:lang w:val="en-GB"/>
        </w:rPr>
        <w:footnoteReference w:id="178"/>
      </w:r>
    </w:p>
    <w:p>
      <w:pPr>
        <w:pStyle w:val="Lijstje2"/>
        <w:ind w:left="1418"/>
        <w:rPr>
          <w:rFonts w:ascii="Arial" w:hAnsi="Arial" w:cs="Arial"/>
          <w:noProof/>
          <w:lang w:val="en-GB"/>
        </w:rPr>
      </w:pPr>
      <w:r>
        <w:rPr>
          <w:rFonts w:ascii="Arial" w:hAnsi="Arial" w:cs="Arial"/>
          <w:noProof/>
          <w:lang w:val="en-GB"/>
        </w:rPr>
        <w:t>Portugal failed to establish a national electronic register and to interconnect with the national electronic registers of other Member States;</w:t>
      </w:r>
      <w:r>
        <w:rPr>
          <w:rStyle w:val="FootnoteReference"/>
          <w:rFonts w:ascii="Arial" w:hAnsi="Arial" w:cs="Arial"/>
          <w:noProof/>
          <w:lang w:val="en-GB"/>
        </w:rPr>
        <w:footnoteReference w:id="179"/>
      </w:r>
    </w:p>
    <w:p>
      <w:pPr>
        <w:pStyle w:val="Lijstje2"/>
        <w:ind w:left="1418"/>
        <w:rPr>
          <w:rFonts w:ascii="Arial" w:hAnsi="Arial" w:cs="Arial"/>
          <w:noProof/>
          <w:lang w:val="en-GB"/>
        </w:rPr>
      </w:pPr>
      <w:r>
        <w:rPr>
          <w:rFonts w:ascii="Arial" w:hAnsi="Arial" w:cs="Arial"/>
          <w:noProof/>
          <w:lang w:val="en-GB"/>
        </w:rPr>
        <w:t>the depreciation rates applied in Portugal on used vehicles for vehicle registration tax purposes were not in compliance with Article 110 TFEU. This is because no depreciation is taken into account before the vehicle is 1 year old and no further depreciation is taken into account in the case of vehicles older than 5 years.</w:t>
      </w:r>
      <w:r>
        <w:rPr>
          <w:rStyle w:val="FootnoteReference"/>
          <w:rFonts w:ascii="Arial" w:hAnsi="Arial" w:cs="Arial"/>
          <w:noProof/>
          <w:lang w:val="en-GB"/>
        </w:rPr>
        <w:footnoteReference w:id="180"/>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a preliminary ruling addressed to the Portuguese judiciary, the Court held that:</w:t>
      </w:r>
    </w:p>
    <w:p>
      <w:pPr>
        <w:pStyle w:val="Lijstje2"/>
        <w:ind w:left="1418"/>
        <w:rPr>
          <w:rFonts w:ascii="Arial" w:hAnsi="Arial" w:cs="Arial"/>
          <w:i/>
          <w:noProof/>
          <w:lang w:val="en-GB"/>
        </w:rPr>
      </w:pPr>
      <w:r>
        <w:rPr>
          <w:rFonts w:ascii="Arial" w:hAnsi="Arial" w:cs="Arial"/>
          <w:noProof/>
          <w:lang w:val="en-GB"/>
        </w:rPr>
        <w:t>the freedom to provide services under the TFEU allows Member States to apply a withholding tax at source to the income of non-resident banks without levying such a tax on resident banks, if such a tax is justified by an overriding reason in the general interest and necessary to achieve the objective. However, Member States may not tax non-resident banks by prohibiting them from deducting business expenses directly related to their activities while this opportunity is given to resident banks.</w:t>
      </w:r>
      <w:r>
        <w:rPr>
          <w:rStyle w:val="FootnoteReference"/>
          <w:rFonts w:ascii="Arial" w:hAnsi="Arial" w:cs="Arial"/>
          <w:noProof/>
          <w:lang w:val="en-GB"/>
        </w:rPr>
        <w:footnoteReference w:id="181"/>
      </w:r>
    </w:p>
    <w:p>
      <w:pPr>
        <w:pStyle w:val="Lijstje2"/>
        <w:numPr>
          <w:ilvl w:val="0"/>
          <w:numId w:val="0"/>
        </w:numPr>
        <w:ind w:left="1058"/>
        <w:rPr>
          <w:rFonts w:ascii="Arial" w:hAnsi="Arial" w:cs="Arial"/>
          <w:i/>
          <w:noProof/>
          <w:lang w:val="en-GB"/>
        </w:rPr>
      </w:pPr>
    </w:p>
    <w:p>
      <w:pPr>
        <w:spacing w:after="120"/>
        <w:ind w:firstLine="709"/>
        <w:jc w:val="left"/>
        <w:rPr>
          <w:rFonts w:ascii="Arial" w:hAnsi="Arial" w:cs="Arial"/>
          <w:noProof/>
          <w:sz w:val="20"/>
        </w:rPr>
        <w:sectPr>
          <w:headerReference w:type="even" r:id="rId157"/>
          <w:headerReference w:type="default" r:id="rId158"/>
          <w:footerReference w:type="even" r:id="rId159"/>
          <w:footerReference w:type="default" r:id="rId160"/>
          <w:headerReference w:type="first" r:id="rId161"/>
          <w:footerReference w:type="first" r:id="rId162"/>
          <w:footnotePr>
            <w:numRestart w:val="eachSect"/>
          </w:footnotePr>
          <w:pgSz w:w="11906" w:h="16838"/>
          <w:pgMar w:top="1809" w:right="1417" w:bottom="1134" w:left="1417" w:header="567" w:footer="351" w:gutter="0"/>
          <w:cols w:space="708"/>
          <w:titlePg/>
          <w:docGrid w:linePitch="360"/>
        </w:sectPr>
      </w:pPr>
    </w:p>
    <w:p>
      <w:pPr>
        <w:pStyle w:val="Heading1"/>
        <w:rPr>
          <w:noProof/>
        </w:rPr>
      </w:pPr>
      <w:bookmarkStart w:id="38" w:name="_Toc475974660"/>
      <w:bookmarkStart w:id="39" w:name="_Toc475980156"/>
      <w:bookmarkStart w:id="40" w:name="_Toc475981405"/>
      <w:bookmarkStart w:id="41" w:name="_Toc477938605"/>
      <w:r>
        <w:rPr>
          <w:noProof/>
        </w:rPr>
        <w:t>Romania</w:t>
      </w:r>
      <w:bookmarkEnd w:id="38"/>
      <w:bookmarkEnd w:id="39"/>
      <w:bookmarkEnd w:id="40"/>
      <w:bookmarkEnd w:id="41"/>
    </w:p>
    <w:p>
      <w:pPr>
        <w:spacing w:after="120"/>
        <w:rPr>
          <w:rFonts w:ascii="Arial" w:hAnsi="Arial" w:cs="Arial"/>
          <w:i/>
          <w:noProof/>
          <w:sz w:val="22"/>
          <w:szCs w:val="22"/>
        </w:rPr>
      </w:pPr>
      <w:r>
        <w:rPr>
          <w:rFonts w:ascii="Arial" w:hAnsi="Arial" w:cs="Arial"/>
          <w:i/>
          <w:noProof/>
          <w:sz w:val="22"/>
          <w:szCs w:val="22"/>
        </w:rPr>
        <w:t xml:space="preserve">New complaints against Romania rose again in 2016 after falling for 2 years. Open infringement cases and new cases for late transposition also both increased, while remaining below their 2014 peaks. By contrast, new EU Pilot files continued their steady decline, falling to less than half their 2012 level. </w:t>
      </w:r>
    </w:p>
    <w:p>
      <w:pPr>
        <w:spacing w:after="120"/>
        <w:rPr>
          <w:rFonts w:ascii="Arial" w:hAnsi="Arial" w:cs="Arial"/>
          <w:i/>
          <w:noProof/>
          <w:sz w:val="22"/>
          <w:szCs w:val="22"/>
        </w:rPr>
      </w:pPr>
    </w:p>
    <w:p>
      <w:pPr>
        <w:pStyle w:val="kop2"/>
        <w:numPr>
          <w:ilvl w:val="0"/>
          <w:numId w:val="16"/>
        </w:numPr>
        <w:rPr>
          <w:noProof/>
        </w:rPr>
      </w:pPr>
      <w:r>
        <w:rPr>
          <w:noProof/>
        </w:rPr>
        <w:t>COMPLAINTS</w:t>
      </w:r>
    </w:p>
    <w:p>
      <w:pPr>
        <w:pStyle w:val="Subtitle"/>
        <w:numPr>
          <w:ilvl w:val="0"/>
          <w:numId w:val="69"/>
        </w:numPr>
        <w:rPr>
          <w:noProof/>
        </w:rPr>
      </w:pPr>
      <w:r>
        <w:rPr>
          <w:noProof/>
        </w:rPr>
        <w:t>New complaints made against Romania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604657" cy="2226129"/>
            <wp:effectExtent l="0" t="0" r="24765" b="22225"/>
            <wp:docPr id="14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pPr>
        <w:pStyle w:val="Subtitle"/>
        <w:numPr>
          <w:ilvl w:val="0"/>
          <w:numId w:val="69"/>
        </w:numPr>
        <w:rPr>
          <w:noProof/>
        </w:rPr>
      </w:pPr>
      <w:r>
        <w:rPr>
          <w:noProof/>
        </w:rPr>
        <w:t>Public complaints against Romania open at year-end</w:t>
      </w:r>
    </w:p>
    <w:tbl>
      <w:tblPr>
        <w:tblStyle w:val="Style122"/>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98</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133</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117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114</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69"/>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08860"/>
            <wp:effectExtent l="0" t="0" r="11430" b="15240"/>
            <wp:docPr id="148"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70"/>
        </w:numPr>
        <w:rPr>
          <w:noProof/>
        </w:rPr>
      </w:pPr>
      <w:r>
        <w:rPr>
          <w:noProof/>
        </w:rPr>
        <w:t>New EU Pilot files opened against Romania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91050" cy="2238375"/>
            <wp:effectExtent l="0" t="0" r="19050" b="9525"/>
            <wp:docPr id="14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pPr>
        <w:pStyle w:val="Subtitle"/>
        <w:numPr>
          <w:ilvl w:val="0"/>
          <w:numId w:val="70"/>
        </w:numPr>
        <w:rPr>
          <w:noProof/>
        </w:rPr>
      </w:pPr>
      <w:r>
        <w:rPr>
          <w:noProof/>
        </w:rPr>
        <w:t>Files relating to Romania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1050" cy="2238375"/>
            <wp:effectExtent l="0" t="0" r="19050" b="9525"/>
            <wp:docPr id="169" name="Grafiek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pPr>
        <w:pStyle w:val="Subtitle"/>
        <w:numPr>
          <w:ilvl w:val="0"/>
          <w:numId w:val="70"/>
        </w:numPr>
        <w:rPr>
          <w:noProof/>
        </w:rPr>
      </w:pPr>
      <w:r>
        <w:rPr>
          <w:noProof/>
        </w:rPr>
        <w:t>New EU Pilot files opened in 2016: main policy areas</w:t>
      </w:r>
    </w:p>
    <w:p>
      <w:pPr>
        <w:pStyle w:val="Subtitle"/>
        <w:numPr>
          <w:ilvl w:val="0"/>
          <w:numId w:val="0"/>
        </w:numPr>
        <w:ind w:left="786"/>
        <w:rPr>
          <w:noProof/>
        </w:rPr>
      </w:pPr>
      <w:r>
        <w:rPr>
          <w:noProof/>
          <w:lang w:val="en-US"/>
        </w:rPr>
        <w:drawing>
          <wp:inline distT="0" distB="0" distL="0" distR="0">
            <wp:extent cx="4632960" cy="2430780"/>
            <wp:effectExtent l="0" t="0" r="15240" b="26670"/>
            <wp:docPr id="10"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pPr>
        <w:spacing w:after="120"/>
        <w:ind w:firstLine="709"/>
        <w:rPr>
          <w:rFonts w:ascii="Arial" w:hAnsi="Arial" w:cs="Arial"/>
          <w:noProof/>
          <w:sz w:val="20"/>
        </w:rPr>
      </w:pPr>
    </w:p>
    <w:p>
      <w:pPr>
        <w:spacing w:after="200" w:line="276" w:lineRule="auto"/>
        <w:jc w:val="left"/>
        <w:rPr>
          <w:rFonts w:ascii="Arial" w:hAnsi="Arial" w:cs="Arial"/>
          <w:noProof/>
          <w:sz w:val="20"/>
        </w:rPr>
      </w:pPr>
      <w:r>
        <w:rPr>
          <w:noProof/>
        </w:rPr>
        <w:br w:type="page"/>
      </w:r>
    </w:p>
    <w:p>
      <w:pPr>
        <w:pStyle w:val="Subtitle"/>
        <w:numPr>
          <w:ilvl w:val="0"/>
          <w:numId w:val="70"/>
        </w:numPr>
        <w:rPr>
          <w:noProof/>
        </w:rPr>
      </w:pPr>
      <w:r>
        <w:rPr>
          <w:noProof/>
        </w:rPr>
        <w:t>EU Pilot files: Romania’s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09800"/>
            <wp:effectExtent l="0" t="0" r="11430" b="19050"/>
            <wp:docPr id="15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pPr>
        <w:pStyle w:val="Subtitle"/>
        <w:numPr>
          <w:ilvl w:val="0"/>
          <w:numId w:val="70"/>
        </w:numPr>
        <w:rPr>
          <w:noProof/>
        </w:rPr>
      </w:pPr>
      <w:r>
        <w:rPr>
          <w:noProof/>
        </w:rPr>
        <w:t>EU Pilot files: Romania’s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182586"/>
            <wp:effectExtent l="0" t="0" r="27305" b="27305"/>
            <wp:docPr id="15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71"/>
        </w:numPr>
        <w:rPr>
          <w:noProof/>
        </w:rPr>
      </w:pPr>
      <w:r>
        <w:rPr>
          <w:noProof/>
        </w:rPr>
        <w:t>Infringement cases against Romania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00575" cy="2314575"/>
            <wp:effectExtent l="0" t="0" r="9525" b="9525"/>
            <wp:docPr id="153"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154"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09"/>
        </w:numPr>
        <w:ind w:hanging="426"/>
        <w:rPr>
          <w:rFonts w:ascii="Arial" w:hAnsi="Arial" w:cs="Arial"/>
          <w:noProof/>
          <w:lang w:val="en-GB"/>
        </w:rPr>
      </w:pPr>
      <w:r>
        <w:rPr>
          <w:rFonts w:ascii="Arial" w:hAnsi="Arial" w:cs="Arial"/>
          <w:noProof/>
          <w:lang w:val="en-GB"/>
        </w:rPr>
        <w:t>The Commission opened 36 new infringement cases against Romania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eastAsia="en-GB"/>
        </w:rPr>
        <w:t xml:space="preserve">non-compliance with the Regulation on the marketing and use of explosives precursors; </w:t>
      </w:r>
      <w:r>
        <w:rPr>
          <w:rStyle w:val="FootnoteReference"/>
          <w:rFonts w:ascii="Arial" w:hAnsi="Arial" w:cs="Arial"/>
          <w:noProof/>
          <w:lang w:val="en-GB" w:eastAsia="en-GB"/>
        </w:rPr>
        <w:footnoteReference w:id="182"/>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waste management plans and waste prevention programmes required under the Waste Framework Directive;</w:t>
      </w:r>
      <w:r>
        <w:rPr>
          <w:rStyle w:val="FootnoteReference"/>
          <w:noProof/>
        </w:rPr>
        <w:footnoteReference w:id="183"/>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 to fully transpose the Offshore Safety Directive;</w:t>
      </w:r>
      <w:r>
        <w:rPr>
          <w:rStyle w:val="FootnoteReference"/>
          <w:noProof/>
        </w:rPr>
        <w:footnoteReference w:id="184"/>
      </w:r>
    </w:p>
    <w:p>
      <w:pPr>
        <w:pStyle w:val="Lijstje2"/>
        <w:spacing w:after="200"/>
        <w:ind w:left="1843" w:hanging="425"/>
        <w:rPr>
          <w:rFonts w:ascii="Arial" w:hAnsi="Arial" w:cs="Arial"/>
          <w:i/>
          <w:noProof/>
          <w:lang w:val="en-GB"/>
        </w:rPr>
      </w:pPr>
      <w:r>
        <w:rPr>
          <w:rFonts w:ascii="Arial" w:hAnsi="Arial" w:cs="Arial"/>
          <w:noProof/>
          <w:lang w:val="en-GB"/>
        </w:rPr>
        <w:t>failure to comply with the requirements of the Oil Stocks Directive;</w:t>
      </w:r>
      <w:r>
        <w:rPr>
          <w:rStyle w:val="FootnoteReference"/>
          <w:noProof/>
        </w:rPr>
        <w:footnoteReference w:id="185"/>
      </w:r>
    </w:p>
    <w:p>
      <w:pPr>
        <w:pStyle w:val="Lijstje2"/>
        <w:spacing w:after="200"/>
        <w:ind w:left="1843" w:hanging="425"/>
        <w:rPr>
          <w:rFonts w:ascii="Arial" w:hAnsi="Arial" w:cs="Arial"/>
          <w:noProof/>
          <w:lang w:val="en-GB"/>
        </w:rPr>
      </w:pPr>
      <w:r>
        <w:rPr>
          <w:rFonts w:ascii="Arial" w:hAnsi="Arial" w:cs="Arial"/>
          <w:noProof/>
          <w:lang w:val="en-GB"/>
        </w:rPr>
        <w:t>to communicate all national measures transposing the Directive amending the Transparency Directive;</w:t>
      </w:r>
      <w:r>
        <w:rPr>
          <w:rStyle w:val="FootnoteReference"/>
          <w:rFonts w:ascii="Arial" w:hAnsi="Arial" w:cs="Arial"/>
          <w:noProof/>
          <w:lang w:val="en-GB"/>
        </w:rPr>
        <w:footnoteReference w:id="186"/>
      </w:r>
    </w:p>
    <w:p>
      <w:pPr>
        <w:pStyle w:val="Lijstje2"/>
        <w:spacing w:after="200"/>
        <w:ind w:left="1843" w:hanging="425"/>
        <w:rPr>
          <w:rFonts w:ascii="Arial" w:hAnsi="Arial" w:cs="Arial"/>
          <w:noProof/>
          <w:lang w:val="en-GB"/>
        </w:rPr>
      </w:pPr>
      <w:r>
        <w:rPr>
          <w:rFonts w:ascii="Arial" w:hAnsi="Arial" w:cs="Arial"/>
          <w:noProof/>
          <w:lang w:val="en-GB"/>
        </w:rPr>
        <w:t>bilateral investment treaties signed before all state parties became members of the EU and which now overlap and conflict with the EU single market on cross-border investments;</w:t>
      </w:r>
      <w:r>
        <w:rPr>
          <w:rStyle w:val="FootnoteReference"/>
          <w:noProof/>
          <w:lang w:val="en-GB"/>
        </w:rPr>
        <w:footnoteReference w:id="187"/>
      </w:r>
    </w:p>
    <w:p>
      <w:pPr>
        <w:pStyle w:val="Lijstje2"/>
        <w:spacing w:after="200"/>
        <w:ind w:left="1843" w:hanging="426"/>
        <w:rPr>
          <w:rFonts w:ascii="Arial" w:hAnsi="Arial" w:cs="Arial"/>
          <w:noProof/>
          <w:lang w:val="en-GB"/>
        </w:rPr>
      </w:pPr>
      <w:r>
        <w:rPr>
          <w:rFonts w:ascii="Arial" w:hAnsi="Arial" w:cs="Arial"/>
          <w:noProof/>
          <w:lang w:val="en-GB"/>
        </w:rPr>
        <w:t xml:space="preserve">failure to transpose the establishing a single European railway area; </w:t>
      </w:r>
      <w:r>
        <w:rPr>
          <w:rStyle w:val="FootnoteReference"/>
          <w:rFonts w:ascii="Arial" w:hAnsi="Arial" w:cs="Arial"/>
          <w:noProof/>
          <w:lang w:val="en-GB"/>
        </w:rPr>
        <w:footnoteReference w:id="188"/>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noProof/>
          <w:lang w:val="en-GB"/>
        </w:rPr>
        <w:footnoteReference w:id="189"/>
      </w:r>
    </w:p>
    <w:p>
      <w:pPr>
        <w:pStyle w:val="Lijstje2"/>
        <w:ind w:left="1843" w:hanging="425"/>
        <w:rPr>
          <w:rFonts w:ascii="Arial" w:hAnsi="Arial" w:cs="Arial"/>
          <w:noProof/>
          <w:lang w:val="en-GB"/>
        </w:rPr>
      </w:pPr>
      <w:r>
        <w:rPr>
          <w:rFonts w:ascii="Arial" w:hAnsi="Arial" w:cs="Arial"/>
          <w:noProof/>
          <w:lang w:val="en-GB"/>
        </w:rPr>
        <w:t>failure to transpose in full the Directive amending EU legislation on the recognition of professional qualifications and the Internal Market Information System.</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72"/>
        </w:numPr>
        <w:rPr>
          <w:noProof/>
        </w:rPr>
      </w:pPr>
      <w:r>
        <w:rPr>
          <w:noProof/>
        </w:rPr>
        <w:t>Late transposition infringement cases against Romania open on 31 December (2012-2016)</w:t>
      </w:r>
    </w:p>
    <w:p>
      <w:pPr>
        <w:ind w:left="426" w:firstLine="283"/>
        <w:rPr>
          <w:noProof/>
        </w:rPr>
      </w:pPr>
      <w:r>
        <w:rPr>
          <w:noProof/>
          <w:lang w:val="en-US"/>
        </w:rPr>
        <w:drawing>
          <wp:inline distT="0" distB="0" distL="0" distR="0">
            <wp:extent cx="4600575" cy="2314575"/>
            <wp:effectExtent l="0" t="0" r="9525" b="9525"/>
            <wp:docPr id="155" name="Grafiek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pPr>
        <w:pStyle w:val="Subtitle"/>
        <w:numPr>
          <w:ilvl w:val="0"/>
          <w:numId w:val="72"/>
        </w:numPr>
        <w:rPr>
          <w:noProof/>
        </w:rPr>
      </w:pPr>
      <w:r>
        <w:rPr>
          <w:noProof/>
        </w:rPr>
        <w:t>New late transposition infringement cases against Romania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057400"/>
            <wp:effectExtent l="0" t="0" r="22225" b="19050"/>
            <wp:docPr id="156"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506980"/>
            <wp:effectExtent l="0" t="0" r="22860" b="26670"/>
            <wp:docPr id="157"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referred one case to the Court under Articles 258 and 260(3) TFEU. It concerns:</w:t>
      </w:r>
    </w:p>
    <w:p>
      <w:pPr>
        <w:numPr>
          <w:ilvl w:val="0"/>
          <w:numId w:val="4"/>
        </w:numPr>
        <w:spacing w:after="200"/>
        <w:ind w:left="1276" w:hanging="357"/>
        <w:rPr>
          <w:rFonts w:ascii="Arial" w:eastAsia="Calibri" w:hAnsi="Arial" w:cs="Arial"/>
          <w:noProof/>
          <w:kern w:val="20"/>
          <w:sz w:val="20"/>
        </w:rPr>
      </w:pPr>
      <w:r>
        <w:rPr>
          <w:rFonts w:ascii="Arial" w:eastAsia="Calibri" w:hAnsi="Arial" w:cs="Arial"/>
          <w:noProof/>
          <w:kern w:val="20"/>
          <w:sz w:val="20"/>
        </w:rPr>
        <w:t xml:space="preserve">failure to communicate measures transposing the </w:t>
      </w:r>
      <w:hyperlink r:id="rId175" w:history="1">
        <w:r>
          <w:rPr>
            <w:rFonts w:ascii="Arial" w:eastAsia="Calibri" w:hAnsi="Arial" w:cs="Arial"/>
            <w:noProof/>
            <w:kern w:val="20"/>
            <w:sz w:val="20"/>
          </w:rPr>
          <w:t>Directive</w:t>
        </w:r>
      </w:hyperlink>
      <w:r>
        <w:rPr>
          <w:rFonts w:ascii="Arial" w:eastAsia="Calibri" w:hAnsi="Arial" w:cs="Arial"/>
          <w:noProof/>
          <w:kern w:val="20"/>
          <w:sz w:val="20"/>
        </w:rPr>
        <w:t xml:space="preserve"> on the sulphur content of marine fuels.</w:t>
      </w:r>
      <w:r>
        <w:rPr>
          <w:rStyle w:val="FootnoteReference"/>
          <w:rFonts w:eastAsia="Calibri"/>
          <w:noProof/>
        </w:rPr>
        <w:footnoteReference w:id="190"/>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418" w:hanging="425"/>
        <w:contextualSpacing/>
        <w:rPr>
          <w:rFonts w:ascii="Arial" w:hAnsi="Arial" w:cs="Arial"/>
          <w:i/>
          <w:noProof/>
          <w:sz w:val="20"/>
        </w:rPr>
      </w:pPr>
      <w:r>
        <w:rPr>
          <w:rFonts w:ascii="Arial" w:hAnsi="Arial" w:cs="Arial"/>
          <w:noProof/>
          <w:sz w:val="20"/>
        </w:rPr>
        <w:t>incorrect application of the Environmental Impact Assessment Directive in relation to the operation of the FCN Pitesti nuclear power plant;</w:t>
      </w:r>
      <w:r>
        <w:rPr>
          <w:rStyle w:val="FootnoteReference"/>
          <w:noProof/>
        </w:rPr>
        <w:footnoteReference w:id="191"/>
      </w:r>
    </w:p>
    <w:p>
      <w:pPr>
        <w:numPr>
          <w:ilvl w:val="0"/>
          <w:numId w:val="4"/>
        </w:numPr>
        <w:spacing w:after="200"/>
        <w:ind w:left="1418" w:hanging="425"/>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192"/>
      </w:r>
    </w:p>
    <w:p>
      <w:pPr>
        <w:numPr>
          <w:ilvl w:val="0"/>
          <w:numId w:val="4"/>
        </w:numPr>
        <w:spacing w:after="0"/>
        <w:ind w:left="1418" w:hanging="425"/>
        <w:contextualSpacing/>
        <w:rPr>
          <w:rFonts w:ascii="Arial" w:eastAsia="Calibri" w:hAnsi="Arial" w:cs="Arial"/>
          <w:noProof/>
          <w:kern w:val="20"/>
          <w:sz w:val="20"/>
        </w:rPr>
      </w:pPr>
      <w:r>
        <w:rPr>
          <w:rFonts w:ascii="Arial" w:eastAsia="Calibri" w:hAnsi="Arial" w:cs="Arial"/>
          <w:noProof/>
          <w:kern w:val="20"/>
          <w:sz w:val="20"/>
        </w:rPr>
        <w:t>failure to implement the EU Timber Regulation and the Forest Law Enforcement, Governance and Trade Regulation;</w:t>
      </w:r>
      <w:r>
        <w:rPr>
          <w:rStyle w:val="FootnoteReference"/>
          <w:rFonts w:eastAsia="Calibri"/>
          <w:noProof/>
        </w:rPr>
        <w:footnoteReference w:id="193"/>
      </w:r>
    </w:p>
    <w:p>
      <w:pPr>
        <w:pStyle w:val="Lijstje2"/>
        <w:spacing w:after="200"/>
        <w:ind w:left="1418" w:hanging="425"/>
        <w:rPr>
          <w:rFonts w:ascii="Arial" w:hAnsi="Arial" w:cs="Arial"/>
          <w:noProof/>
          <w:lang w:val="en-GB"/>
        </w:rPr>
      </w:pPr>
      <w:r>
        <w:rPr>
          <w:rFonts w:ascii="Arial" w:hAnsi="Arial" w:cs="Arial"/>
          <w:noProof/>
          <w:lang w:val="en-GB"/>
        </w:rPr>
        <w:t>national laws on government employees. These were incompatible with the Working Time Directive as regards workers' right to acquire annual leave during sick leave and to carry over untaken annual leave due to sick leave;</w:t>
      </w:r>
    </w:p>
    <w:p>
      <w:pPr>
        <w:pStyle w:val="Lijstje2"/>
        <w:spacing w:after="200"/>
        <w:ind w:left="1418" w:hanging="425"/>
        <w:rPr>
          <w:rFonts w:ascii="Arial" w:hAnsi="Arial" w:cs="Arial"/>
          <w:noProof/>
          <w:lang w:val="en-GB"/>
        </w:rPr>
      </w:pPr>
      <w:r>
        <w:rPr>
          <w:rFonts w:ascii="Arial" w:hAnsi="Arial"/>
          <w:noProof/>
          <w:lang w:val="en-GB"/>
        </w:rPr>
        <w:t>completing the notification of all national measures necessary to transpose the Bank Resolution and Recovery Directive</w:t>
      </w:r>
      <w:r>
        <w:rPr>
          <w:rStyle w:val="FootnoteReference"/>
          <w:rFonts w:ascii="Arial" w:hAnsi="Arial" w:cs="Arial"/>
          <w:noProof/>
        </w:rPr>
        <w:footnoteReference w:id="194"/>
      </w:r>
      <w:r>
        <w:rPr>
          <w:rFonts w:ascii="Arial" w:hAnsi="Arial"/>
          <w:noProof/>
          <w:lang w:val="en-GB"/>
        </w:rPr>
        <w:t xml:space="preserve"> and the Deposit Guarantee Schemes Directive;</w:t>
      </w:r>
      <w:r>
        <w:rPr>
          <w:rStyle w:val="FootnoteReference"/>
          <w:rFonts w:ascii="Arial" w:hAnsi="Arial" w:cs="Arial"/>
          <w:noProof/>
          <w:lang w:val="en-GB"/>
        </w:rPr>
        <w:footnoteReference w:id="195"/>
      </w:r>
    </w:p>
    <w:p>
      <w:pPr>
        <w:pStyle w:val="Lijstje2"/>
        <w:spacing w:after="200"/>
        <w:ind w:left="1418" w:hanging="425"/>
        <w:rPr>
          <w:rFonts w:ascii="Arial" w:hAnsi="Arial"/>
          <w:noProof/>
          <w:lang w:val="en-GB"/>
        </w:rPr>
      </w:pPr>
      <w:r>
        <w:rPr>
          <w:rFonts w:ascii="Arial" w:hAnsi="Arial"/>
          <w:noProof/>
          <w:lang w:val="en-GB"/>
        </w:rPr>
        <w:t>the status of the RASDAQ market according to the requirements of the Markets in Financial Instruments Directive;</w:t>
      </w:r>
      <w:r>
        <w:rPr>
          <w:rStyle w:val="FootnoteReference"/>
          <w:rFonts w:ascii="Arial" w:hAnsi="Arial"/>
          <w:noProof/>
          <w:lang w:val="en-GB"/>
        </w:rPr>
        <w:footnoteReference w:id="196"/>
      </w:r>
    </w:p>
    <w:p>
      <w:pPr>
        <w:pStyle w:val="Lijstje2"/>
        <w:spacing w:after="200"/>
        <w:ind w:left="1418" w:hanging="425"/>
        <w:rPr>
          <w:rFonts w:ascii="Arial" w:hAnsi="Arial" w:cs="Arial"/>
          <w:noProof/>
          <w:lang w:val="en-GB"/>
        </w:rPr>
      </w:pPr>
      <w:r>
        <w:rPr>
          <w:rFonts w:ascii="Arial" w:hAnsi="Arial" w:cs="Arial"/>
          <w:noProof/>
          <w:lang w:val="en-GB"/>
        </w:rPr>
        <w:t>incorrect application of the Regulation on public passenger transport services by rail and road.</w:t>
      </w:r>
      <w:r>
        <w:rPr>
          <w:rStyle w:val="FootnoteReference"/>
          <w:rFonts w:ascii="Arial" w:hAnsi="Arial" w:cs="Arial"/>
          <w:noProof/>
          <w:lang w:val="en-GB"/>
        </w:rPr>
        <w:footnoteReference w:id="197"/>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73"/>
        </w:numPr>
        <w:rPr>
          <w:noProof/>
        </w:rPr>
      </w:pPr>
      <w:r>
        <w:rPr>
          <w:noProof/>
        </w:rPr>
        <w:t>Court rulings</w:t>
      </w:r>
      <w:r>
        <w:rPr>
          <w:rStyle w:val="FootnoteReference"/>
          <w:noProof/>
        </w:rPr>
        <w:footnoteReference w:id="198"/>
      </w:r>
    </w:p>
    <w:p>
      <w:pPr>
        <w:pStyle w:val="Body"/>
        <w:rPr>
          <w:noProof/>
          <w:lang w:val="en-GB"/>
        </w:rPr>
      </w:pPr>
      <w:r>
        <w:rPr>
          <w:noProof/>
          <w:lang w:val="en-GB"/>
        </w:rPr>
        <w:t>The Court ruled that:</w:t>
      </w:r>
    </w:p>
    <w:p>
      <w:pPr>
        <w:pStyle w:val="Lijstje2"/>
        <w:ind w:left="1418"/>
        <w:rPr>
          <w:rFonts w:ascii="Arial" w:hAnsi="Arial" w:cs="Arial"/>
          <w:noProof/>
          <w:lang w:val="en-GB"/>
        </w:rPr>
      </w:pPr>
      <w:r>
        <w:rPr>
          <w:rFonts w:ascii="Arial" w:hAnsi="Arial"/>
          <w:noProof/>
          <w:lang w:val="en-GB"/>
        </w:rPr>
        <w:t>Romania</w:t>
      </w:r>
      <w:r>
        <w:rPr>
          <w:rFonts w:ascii="Arial" w:hAnsi="Arial" w:cs="Arial"/>
          <w:i/>
          <w:noProof/>
          <w:lang w:val="en-GB"/>
        </w:rPr>
        <w:t xml:space="preserve"> </w:t>
      </w:r>
      <w:r>
        <w:rPr>
          <w:rFonts w:ascii="Arial" w:hAnsi="Arial" w:cs="Arial"/>
          <w:noProof/>
          <w:lang w:val="en-GB"/>
        </w:rPr>
        <w:t>has failed to take the necessary measures to prevent pollution from dust particles coming from a copper mining operation, in breach of the Mining Waste Directive.</w:t>
      </w:r>
      <w:r>
        <w:rPr>
          <w:rStyle w:val="FootnoteReference"/>
          <w:rFonts w:ascii="Arial" w:hAnsi="Arial" w:cs="Arial"/>
          <w:bCs/>
          <w:noProof/>
          <w:lang w:val="en-GB"/>
        </w:rPr>
        <w:footnoteReference w:id="199"/>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rPr>
          <w:noProof/>
          <w:lang w:val="en-GB"/>
        </w:rPr>
      </w:pPr>
      <w:r>
        <w:rPr>
          <w:noProof/>
          <w:lang w:val="en-GB"/>
        </w:rPr>
        <w:t>In preliminary rulings addressed to the Romanian judiciary, the Court held that:</w:t>
      </w:r>
    </w:p>
    <w:p>
      <w:pPr>
        <w:pStyle w:val="Lijstje2"/>
        <w:ind w:left="1418"/>
        <w:rPr>
          <w:rFonts w:ascii="Arial" w:hAnsi="Arial"/>
          <w:i/>
          <w:noProof/>
          <w:lang w:val="en-GB"/>
        </w:rPr>
      </w:pPr>
      <w:r>
        <w:rPr>
          <w:rFonts w:ascii="Arial" w:hAnsi="Arial" w:cs="Arial"/>
          <w:noProof/>
          <w:lang w:val="en-GB"/>
        </w:rPr>
        <w:t xml:space="preserve">the execution of a European arrest warrant must be deferred if there is a real risk of inhuman or degrading treatment because of the conditions of detention of the person concerned in the issuing Member State. If the existence of that risk cannot be discounted within a reasonable period, the executing judicial authority must decide whether the surrender procedure should be brought to an end; </w:t>
      </w:r>
      <w:r>
        <w:rPr>
          <w:rStyle w:val="FootnoteReference"/>
          <w:rFonts w:ascii="Arial" w:hAnsi="Arial" w:cs="Arial"/>
          <w:noProof/>
          <w:lang w:val="en-GB"/>
        </w:rPr>
        <w:footnoteReference w:id="200"/>
      </w:r>
    </w:p>
    <w:p>
      <w:pPr>
        <w:pStyle w:val="Lijstje2"/>
        <w:ind w:left="1418"/>
        <w:rPr>
          <w:noProof/>
          <w:lang w:val="en-GB"/>
        </w:rPr>
      </w:pPr>
      <w:r>
        <w:rPr>
          <w:rFonts w:ascii="Arial" w:hAnsi="Arial" w:cs="Arial"/>
          <w:noProof/>
          <w:lang w:val="en-GB"/>
        </w:rPr>
        <w:t>Member States may not repay taxes incompatible with EU law by instalments over 5 years.</w:t>
      </w:r>
      <w:r>
        <w:rPr>
          <w:rStyle w:val="FootnoteReference"/>
          <w:rFonts w:ascii="Arial" w:hAnsi="Arial" w:cs="Arial"/>
          <w:noProof/>
          <w:lang w:val="en-GB"/>
        </w:rPr>
        <w:footnoteReference w:id="201"/>
      </w:r>
    </w:p>
    <w:p>
      <w:pPr>
        <w:spacing w:after="0"/>
        <w:jc w:val="left"/>
        <w:rPr>
          <w:noProof/>
        </w:rPr>
        <w:sectPr>
          <w:headerReference w:type="even" r:id="rId176"/>
          <w:headerReference w:type="default" r:id="rId177"/>
          <w:footerReference w:type="even" r:id="rId178"/>
          <w:footerReference w:type="default" r:id="rId179"/>
          <w:headerReference w:type="first" r:id="rId180"/>
          <w:footerReference w:type="first" r:id="rId181"/>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42" w:name="_Toc475974662"/>
      <w:bookmarkStart w:id="43" w:name="_Toc475980158"/>
      <w:bookmarkStart w:id="44" w:name="_Toc475981407"/>
      <w:bookmarkStart w:id="45" w:name="_Toc477938606"/>
      <w:bookmarkStart w:id="46" w:name="_Toc475974661"/>
      <w:bookmarkStart w:id="47" w:name="_Toc475980157"/>
      <w:bookmarkStart w:id="48" w:name="_Toc475981406"/>
      <w:r>
        <w:rPr>
          <w:noProof/>
        </w:rPr>
        <w:t>Slovenia</w:t>
      </w:r>
      <w:bookmarkEnd w:id="42"/>
      <w:bookmarkEnd w:id="43"/>
      <w:bookmarkEnd w:id="44"/>
      <w:bookmarkEnd w:id="45"/>
    </w:p>
    <w:p>
      <w:pPr>
        <w:spacing w:after="120"/>
        <w:rPr>
          <w:rFonts w:ascii="Arial" w:hAnsi="Arial" w:cs="Arial"/>
          <w:i/>
          <w:noProof/>
          <w:sz w:val="22"/>
          <w:szCs w:val="22"/>
        </w:rPr>
      </w:pPr>
      <w:r>
        <w:rPr>
          <w:rFonts w:ascii="Arial" w:hAnsi="Arial"/>
          <w:i/>
          <w:noProof/>
          <w:sz w:val="22"/>
        </w:rPr>
        <w:t xml:space="preserve">New complaints against Slovenia fell back to the 2014 level in 2016, and new EU Pilot files dropped to a five-year low. By contrast, the number of open infringement cases and of new infringement cases for late transposition both increased to five-year highs. </w:t>
      </w:r>
    </w:p>
    <w:p>
      <w:pPr>
        <w:spacing w:after="120"/>
        <w:rPr>
          <w:rFonts w:ascii="Arial" w:hAnsi="Arial" w:cs="Arial"/>
          <w:i/>
          <w:noProof/>
          <w:sz w:val="22"/>
          <w:szCs w:val="22"/>
        </w:rPr>
      </w:pPr>
    </w:p>
    <w:p>
      <w:pPr>
        <w:pStyle w:val="kop2"/>
        <w:numPr>
          <w:ilvl w:val="0"/>
          <w:numId w:val="18"/>
        </w:numPr>
        <w:rPr>
          <w:noProof/>
        </w:rPr>
      </w:pPr>
      <w:r>
        <w:rPr>
          <w:noProof/>
        </w:rPr>
        <w:t>COMPLAINTS</w:t>
      </w:r>
    </w:p>
    <w:p>
      <w:pPr>
        <w:pStyle w:val="Subtitle"/>
        <w:numPr>
          <w:ilvl w:val="0"/>
          <w:numId w:val="79"/>
        </w:numPr>
        <w:rPr>
          <w:noProof/>
        </w:rPr>
      </w:pPr>
      <w:r>
        <w:rPr>
          <w:noProof/>
        </w:rPr>
        <w:t>New complaints made against Slovenia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94860" cy="2141220"/>
            <wp:effectExtent l="0" t="0" r="15240" b="11430"/>
            <wp:docPr id="98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p>
    <w:p>
      <w:pPr>
        <w:pStyle w:val="Subtitle"/>
        <w:numPr>
          <w:ilvl w:val="0"/>
          <w:numId w:val="79"/>
        </w:numPr>
        <w:rPr>
          <w:noProof/>
        </w:rPr>
      </w:pPr>
      <w:r>
        <w:rPr>
          <w:noProof/>
        </w:rPr>
        <w:t>Public complaints against Slovenia open at year-end</w:t>
      </w:r>
    </w:p>
    <w:tbl>
      <w:tblPr>
        <w:tblStyle w:val="Style124"/>
        <w:tblW w:w="0" w:type="auto"/>
        <w:jc w:val="center"/>
        <w:tblInd w:w="421" w:type="dxa"/>
        <w:tblLook w:val="04A0" w:firstRow="1" w:lastRow="0" w:firstColumn="1" w:lastColumn="0" w:noHBand="0" w:noVBand="1"/>
      </w:tblPr>
      <w:tblGrid>
        <w:gridCol w:w="1697"/>
        <w:gridCol w:w="355"/>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42</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37</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38</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41</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79"/>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5543" cy="2416628"/>
            <wp:effectExtent l="0" t="0" r="13970" b="22225"/>
            <wp:docPr id="987"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80"/>
        </w:numPr>
        <w:rPr>
          <w:noProof/>
        </w:rPr>
      </w:pPr>
      <w:r>
        <w:rPr>
          <w:noProof/>
        </w:rPr>
        <w:t>New EU Pilot files opened against Slovenia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79620" cy="2339340"/>
            <wp:effectExtent l="0" t="0" r="11430" b="22860"/>
            <wp:docPr id="98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p>
    <w:p>
      <w:pPr>
        <w:pStyle w:val="Subtitle"/>
        <w:numPr>
          <w:ilvl w:val="0"/>
          <w:numId w:val="79"/>
        </w:numPr>
        <w:rPr>
          <w:noProof/>
        </w:rPr>
      </w:pPr>
      <w:r>
        <w:rPr>
          <w:noProof/>
        </w:rPr>
        <w:t>Files relating to Slovenia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339340"/>
            <wp:effectExtent l="0" t="0" r="11430" b="22860"/>
            <wp:docPr id="17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p>
    <w:p>
      <w:pPr>
        <w:pStyle w:val="Subtitle"/>
        <w:numPr>
          <w:ilvl w:val="0"/>
          <w:numId w:val="79"/>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00300"/>
            <wp:effectExtent l="0" t="0" r="15240" b="19050"/>
            <wp:docPr id="989"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79"/>
        </w:numPr>
        <w:rPr>
          <w:noProof/>
        </w:rPr>
      </w:pPr>
      <w:r>
        <w:rPr>
          <w:noProof/>
        </w:rPr>
        <w:t>EU Pilot files: Slovenia’s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128157"/>
            <wp:effectExtent l="0" t="0" r="22225" b="24765"/>
            <wp:docPr id="99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pPr>
        <w:pStyle w:val="Subtitle"/>
        <w:numPr>
          <w:ilvl w:val="0"/>
          <w:numId w:val="79"/>
        </w:numPr>
        <w:rPr>
          <w:noProof/>
        </w:rPr>
      </w:pPr>
      <w:r>
        <w:rPr>
          <w:noProof/>
        </w:rPr>
        <w:t>EU Pilot files: Slovenia’s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694214"/>
            <wp:effectExtent l="0" t="0" r="22225" b="11430"/>
            <wp:docPr id="991"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81"/>
        </w:numPr>
        <w:rPr>
          <w:noProof/>
        </w:rPr>
      </w:pPr>
      <w:r>
        <w:rPr>
          <w:noProof/>
        </w:rPr>
        <w:t>Infringement cases against Slovenia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1920240"/>
            <wp:effectExtent l="0" t="0" r="22860" b="22860"/>
            <wp:docPr id="992"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99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11"/>
        </w:numPr>
        <w:ind w:hanging="426"/>
        <w:rPr>
          <w:rFonts w:ascii="Arial" w:hAnsi="Arial" w:cs="Arial"/>
          <w:noProof/>
          <w:lang w:val="en-GB"/>
        </w:rPr>
      </w:pPr>
      <w:r>
        <w:rPr>
          <w:rFonts w:ascii="Arial" w:hAnsi="Arial" w:cs="Arial"/>
          <w:noProof/>
          <w:lang w:val="en-GB"/>
        </w:rPr>
        <w:t>The Commission opened 37 new infringement cases against Slovenia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 xml:space="preserve">failure to notify measures transposing the Tobacco Directive; </w:t>
      </w:r>
      <w:r>
        <w:rPr>
          <w:rStyle w:val="FootnoteReference"/>
          <w:rFonts w:ascii="Arial" w:hAnsi="Arial" w:cs="Arial"/>
          <w:noProof/>
          <w:lang w:val="en-GB"/>
        </w:rPr>
        <w:footnoteReference w:id="202"/>
      </w:r>
    </w:p>
    <w:p>
      <w:pPr>
        <w:pStyle w:val="Lijstje2"/>
        <w:spacing w:after="200"/>
        <w:ind w:left="1843" w:hanging="426"/>
        <w:rPr>
          <w:rFonts w:ascii="Arial" w:hAnsi="Arial" w:cs="Arial"/>
          <w:noProof/>
          <w:lang w:val="en-GB"/>
        </w:rPr>
      </w:pPr>
      <w:r>
        <w:rPr>
          <w:rFonts w:ascii="Arial" w:hAnsi="Arial" w:cs="Arial"/>
          <w:noProof/>
          <w:lang w:val="en-GB"/>
        </w:rPr>
        <w:t xml:space="preserve">failure to ensure that waste landfills operate in compliance with EU standards; </w:t>
      </w:r>
      <w:r>
        <w:rPr>
          <w:rStyle w:val="FootnoteReference"/>
          <w:noProof/>
        </w:rPr>
        <w:footnoteReference w:id="203"/>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strategic noise maps and/or action plans required by the Environmental Noise Directive;</w:t>
      </w:r>
      <w:r>
        <w:rPr>
          <w:rStyle w:val="FootnoteReference"/>
          <w:noProof/>
        </w:rPr>
        <w:footnoteReference w:id="204"/>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w:t>
      </w:r>
      <w:r>
        <w:rPr>
          <w:rFonts w:ascii="Arial" w:hAnsi="Arial" w:cs="Arial"/>
          <w:noProof/>
          <w:lang w:val="en-GB"/>
        </w:rPr>
        <w:t xml:space="preserve"> of public participation and access to justice in relation to spatial planning;</w:t>
      </w:r>
    </w:p>
    <w:p>
      <w:pPr>
        <w:pStyle w:val="Lijstje2"/>
        <w:spacing w:after="200"/>
        <w:ind w:left="1843"/>
        <w:rPr>
          <w:rFonts w:ascii="Arial" w:hAnsi="Arial" w:cs="Arial"/>
          <w:noProof/>
          <w:lang w:val="en-GB"/>
        </w:rPr>
      </w:pPr>
      <w:r>
        <w:rPr>
          <w:rFonts w:ascii="Arial" w:hAnsi="Arial" w:cs="Arial"/>
          <w:noProof/>
          <w:lang w:val="en-GB"/>
        </w:rPr>
        <w:t>failure to comply with the Energy Efficiency and Energy Performance of Buildings Directives;</w:t>
      </w:r>
      <w:r>
        <w:rPr>
          <w:rStyle w:val="FootnoteReference"/>
          <w:noProof/>
        </w:rPr>
        <w:footnoteReference w:id="205"/>
      </w:r>
    </w:p>
    <w:p>
      <w:pPr>
        <w:pStyle w:val="Lijstje2"/>
        <w:spacing w:after="200"/>
        <w:ind w:left="1843" w:hanging="425"/>
        <w:rPr>
          <w:rFonts w:ascii="Arial" w:hAnsi="Arial" w:cs="Arial"/>
          <w:i/>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206"/>
      </w:r>
      <w:r>
        <w:rPr>
          <w:rFonts w:ascii="Arial" w:hAnsi="Arial" w:cs="Arial"/>
          <w:noProof/>
          <w:lang w:val="en-GB"/>
        </w:rPr>
        <w:t xml:space="preserve"> and the Bank Recovery and Resolution Directive;</w:t>
      </w:r>
      <w:r>
        <w:rPr>
          <w:rStyle w:val="FootnoteReference"/>
          <w:rFonts w:cs="Arial"/>
          <w:noProof/>
          <w:lang w:val="en-GB"/>
        </w:rPr>
        <w:footnoteReference w:id="207"/>
      </w:r>
    </w:p>
    <w:p>
      <w:pPr>
        <w:pStyle w:val="Lijstje2"/>
        <w:ind w:left="1843" w:hanging="426"/>
        <w:rPr>
          <w:rFonts w:ascii="Arial" w:hAnsi="Arial"/>
          <w:noProof/>
          <w:lang w:val="en-GB"/>
        </w:rPr>
      </w:pPr>
      <w:r>
        <w:rPr>
          <w:rFonts w:ascii="Arial" w:eastAsia="Times New Roman" w:hAnsi="Arial" w:cs="Arial"/>
          <w:noProof/>
          <w:kern w:val="0"/>
          <w:lang w:val="en-GB"/>
        </w:rPr>
        <w:t>failure to fulfil air safety oversight obligations regarding initial and continuous airworthiness;</w:t>
      </w:r>
      <w:r>
        <w:rPr>
          <w:rStyle w:val="FootnoteReference"/>
          <w:noProof/>
        </w:rPr>
        <w:footnoteReference w:id="208"/>
      </w:r>
    </w:p>
    <w:p>
      <w:pPr>
        <w:pStyle w:val="Lijstje2"/>
        <w:ind w:left="1843" w:hanging="426"/>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noProof/>
          <w:lang w:val="en-GB"/>
        </w:rPr>
        <w:footnoteReference w:id="209"/>
      </w:r>
    </w:p>
    <w:p>
      <w:pPr>
        <w:pStyle w:val="Lijstje2"/>
        <w:spacing w:after="0"/>
        <w:ind w:left="1843" w:hanging="426"/>
        <w:rPr>
          <w:rFonts w:ascii="Arial" w:hAnsi="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Style w:val="FootnoteReference"/>
          <w:rFonts w:ascii="Arial" w:hAnsi="Arial"/>
          <w:noProof/>
          <w:lang w:val="en-GB"/>
        </w:rPr>
        <w:footnoteReference w:id="210"/>
      </w:r>
    </w:p>
    <w:p>
      <w:pPr>
        <w:pStyle w:val="Lijstje2"/>
        <w:numPr>
          <w:ilvl w:val="0"/>
          <w:numId w:val="0"/>
        </w:numPr>
        <w:spacing w:after="0"/>
        <w:ind w:left="1843"/>
        <w:rPr>
          <w:rFonts w:ascii="Arial" w:hAnsi="Arial"/>
          <w:noProof/>
          <w:lang w:val="en-GB"/>
        </w:rPr>
      </w:pPr>
    </w:p>
    <w:p>
      <w:pPr>
        <w:pStyle w:val="Lijstje"/>
        <w:numPr>
          <w:ilvl w:val="0"/>
          <w:numId w:val="2"/>
        </w:numPr>
        <w:ind w:hanging="426"/>
        <w:rPr>
          <w:rFonts w:ascii="Arial" w:hAnsi="Arial"/>
          <w:noProof/>
          <w:lang w:val="en-GB"/>
        </w:rPr>
      </w:pPr>
      <w:r>
        <w:rPr>
          <w:rFonts w:ascii="Arial" w:hAnsi="Arial" w:cs="Arial"/>
          <w:noProof/>
          <w:lang w:val="en-GB"/>
        </w:rPr>
        <w:t>The Commission referred one case to the Court under Article 258 TFEU. It concerns:</w:t>
      </w:r>
    </w:p>
    <w:p>
      <w:pPr>
        <w:pStyle w:val="Lijstje2"/>
        <w:spacing w:after="200"/>
        <w:ind w:left="1843" w:hanging="426"/>
        <w:rPr>
          <w:rFonts w:ascii="Arial" w:hAnsi="Arial" w:cs="Arial"/>
          <w:noProof/>
          <w:lang w:val="en-GB"/>
        </w:rPr>
      </w:pPr>
      <w:r>
        <w:rPr>
          <w:rFonts w:ascii="Arial" w:hAnsi="Arial" w:cs="Arial"/>
          <w:noProof/>
          <w:lang w:val="en-GB"/>
        </w:rPr>
        <w:t>inappropriate treatment of waste tyres in Lovrenc na Dravskem polju.</w:t>
      </w:r>
      <w:r>
        <w:rPr>
          <w:rStyle w:val="FootnoteReference"/>
          <w:noProof/>
        </w:rPr>
        <w:footnoteReference w:id="211"/>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82"/>
        </w:numPr>
        <w:rPr>
          <w:noProof/>
        </w:rPr>
      </w:pPr>
      <w:r>
        <w:rPr>
          <w:noProof/>
        </w:rPr>
        <w:t>Late transposition infringement cases against Slovenia open on 31 December (2012-2016)</w:t>
      </w:r>
    </w:p>
    <w:p>
      <w:pPr>
        <w:ind w:left="426" w:firstLine="283"/>
        <w:rPr>
          <w:noProof/>
        </w:rPr>
      </w:pPr>
      <w:r>
        <w:rPr>
          <w:noProof/>
          <w:lang w:val="en-US"/>
        </w:rPr>
        <w:drawing>
          <wp:inline distT="0" distB="0" distL="0" distR="0">
            <wp:extent cx="4539343" cy="2275114"/>
            <wp:effectExtent l="0" t="0" r="13970" b="11430"/>
            <wp:docPr id="99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p>
    <w:p>
      <w:pPr>
        <w:pStyle w:val="Subtitle"/>
        <w:numPr>
          <w:ilvl w:val="0"/>
          <w:numId w:val="82"/>
        </w:numPr>
        <w:rPr>
          <w:noProof/>
        </w:rPr>
      </w:pPr>
      <w:r>
        <w:rPr>
          <w:noProof/>
        </w:rPr>
        <w:t>New late transposition infringement cases against Slovenia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39343" cy="2275114"/>
            <wp:effectExtent l="0" t="0" r="13970" b="11430"/>
            <wp:docPr id="995"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68880"/>
            <wp:effectExtent l="0" t="0" r="22860" b="26670"/>
            <wp:docPr id="996"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pStyle w:val="Lijstje2"/>
        <w:spacing w:after="200"/>
        <w:ind w:left="1418"/>
        <w:rPr>
          <w:rFonts w:ascii="Arial" w:hAnsi="Arial" w:cs="Arial"/>
          <w:noProof/>
          <w:lang w:val="en-GB"/>
        </w:rPr>
      </w:pPr>
      <w:r>
        <w:rPr>
          <w:rFonts w:ascii="Arial" w:hAnsi="Arial" w:cs="Arial"/>
          <w:noProof/>
          <w:lang w:val="en-GB"/>
        </w:rPr>
        <w:t>the independence of the national equality body;</w:t>
      </w:r>
      <w:r>
        <w:rPr>
          <w:rStyle w:val="FootnoteReference"/>
          <w:rFonts w:ascii="Arial" w:hAnsi="Arial" w:cs="Arial"/>
          <w:noProof/>
          <w:lang w:val="en-GB"/>
        </w:rPr>
        <w:footnoteReference w:id="212"/>
      </w:r>
    </w:p>
    <w:p>
      <w:pPr>
        <w:pStyle w:val="Lijstje2"/>
        <w:spacing w:after="200"/>
        <w:ind w:left="1418"/>
        <w:rPr>
          <w:rFonts w:ascii="Arial" w:hAnsi="Arial" w:cs="Arial"/>
          <w:noProof/>
          <w:lang w:val="en-GB"/>
        </w:rPr>
      </w:pPr>
      <w:r>
        <w:rPr>
          <w:rFonts w:ascii="Arial" w:hAnsi="Arial" w:cs="Arial"/>
          <w:noProof/>
          <w:lang w:val="en-GB"/>
        </w:rPr>
        <w:t>non-communication of national measures transposing the Directive on attacks against information systems;</w:t>
      </w:r>
      <w:r>
        <w:rPr>
          <w:rStyle w:val="FootnoteReference"/>
          <w:noProof/>
        </w:rPr>
        <w:footnoteReference w:id="213"/>
      </w:r>
    </w:p>
    <w:p>
      <w:pPr>
        <w:pStyle w:val="Lijstje2"/>
        <w:spacing w:after="200"/>
        <w:ind w:left="1418"/>
        <w:rPr>
          <w:rFonts w:ascii="Arial" w:hAnsi="Arial" w:cs="Arial"/>
          <w:noProof/>
          <w:lang w:val="en-GB"/>
        </w:rPr>
      </w:pPr>
      <w:r>
        <w:rPr>
          <w:rFonts w:ascii="Arial" w:hAnsi="Arial" w:cs="Arial"/>
          <w:noProof/>
          <w:lang w:val="en-GB"/>
        </w:rPr>
        <w:t>failure to adopt a national waste management plan and a waste prevention programme required under the Waste Framework Directive;</w:t>
      </w:r>
      <w:r>
        <w:rPr>
          <w:rStyle w:val="FootnoteReference"/>
          <w:noProof/>
        </w:rPr>
        <w:footnoteReference w:id="214"/>
      </w:r>
    </w:p>
    <w:p>
      <w:pPr>
        <w:pStyle w:val="Lijstje2"/>
        <w:spacing w:after="0"/>
        <w:ind w:left="1418" w:hanging="357"/>
        <w:rPr>
          <w:rFonts w:ascii="Arial" w:hAnsi="Arial" w:cs="Arial"/>
          <w:noProof/>
          <w:lang w:val="en-GB"/>
        </w:rPr>
      </w:pPr>
      <w:r>
        <w:rPr>
          <w:rFonts w:ascii="Arial" w:hAnsi="Arial" w:cs="Arial"/>
          <w:noProof/>
          <w:lang w:val="en-GB"/>
        </w:rPr>
        <w:t>non-communication of national measures transposing the Industrial Emissions Directive;</w:t>
      </w:r>
      <w:r>
        <w:rPr>
          <w:rStyle w:val="FootnoteReference"/>
          <w:noProof/>
        </w:rPr>
        <w:footnoteReference w:id="215"/>
      </w:r>
    </w:p>
    <w:p>
      <w:pPr>
        <w:numPr>
          <w:ilvl w:val="0"/>
          <w:numId w:val="4"/>
        </w:numPr>
        <w:spacing w:after="200"/>
        <w:ind w:left="1418"/>
        <w:contextualSpacing/>
        <w:rPr>
          <w:rFonts w:ascii="Arial" w:eastAsia="Calibri" w:hAnsi="Arial" w:cs="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216"/>
      </w:r>
    </w:p>
    <w:p>
      <w:pPr>
        <w:numPr>
          <w:ilvl w:val="0"/>
          <w:numId w:val="4"/>
        </w:numPr>
        <w:spacing w:after="200"/>
        <w:ind w:left="1418"/>
        <w:contextualSpacing/>
        <w:rPr>
          <w:rFonts w:ascii="Arial" w:eastAsia="Calibri" w:hAnsi="Arial" w:cs="Arial"/>
          <w:noProof/>
          <w:kern w:val="20"/>
          <w:sz w:val="20"/>
        </w:rPr>
      </w:pPr>
      <w:r>
        <w:rPr>
          <w:rFonts w:ascii="Arial" w:eastAsia="Calibri" w:hAnsi="Arial" w:cs="Arial"/>
          <w:noProof/>
          <w:kern w:val="20"/>
          <w:sz w:val="20"/>
        </w:rPr>
        <w:t>completing the transposition of the Directive on over-reliance on credit ratings;</w:t>
      </w:r>
      <w:r>
        <w:rPr>
          <w:rStyle w:val="FootnoteReference"/>
          <w:rFonts w:eastAsia="Calibri"/>
          <w:noProof/>
        </w:rPr>
        <w:footnoteReference w:id="217"/>
      </w:r>
    </w:p>
    <w:p>
      <w:pPr>
        <w:numPr>
          <w:ilvl w:val="0"/>
          <w:numId w:val="4"/>
        </w:numPr>
        <w:spacing w:after="200"/>
        <w:ind w:left="1418" w:hanging="357"/>
        <w:rPr>
          <w:rFonts w:ascii="Arial" w:eastAsia="Calibri" w:hAnsi="Arial" w:cs="Arial"/>
          <w:noProof/>
          <w:kern w:val="20"/>
          <w:sz w:val="20"/>
        </w:rPr>
      </w:pPr>
      <w:r>
        <w:rPr>
          <w:rFonts w:ascii="Arial" w:eastAsia="Calibri" w:hAnsi="Arial" w:cs="Arial"/>
          <w:noProof/>
          <w:kern w:val="20"/>
          <w:sz w:val="20"/>
        </w:rPr>
        <w:t>failure</w:t>
      </w:r>
      <w:r>
        <w:rPr>
          <w:rFonts w:ascii="Arial" w:eastAsia="Calibri" w:hAnsi="Arial"/>
          <w:noProof/>
          <w:kern w:val="20"/>
          <w:sz w:val="20"/>
        </w:rPr>
        <w:t xml:space="preserve"> to </w:t>
      </w:r>
      <w:r>
        <w:rPr>
          <w:rFonts w:ascii="Arial" w:eastAsia="Calibri" w:hAnsi="Arial" w:cs="Arial"/>
          <w:noProof/>
          <w:kern w:val="20"/>
          <w:sz w:val="20"/>
        </w:rPr>
        <w:t>fulfil obligations under</w:t>
      </w:r>
      <w:r>
        <w:rPr>
          <w:rFonts w:ascii="Arial" w:eastAsia="Calibri" w:hAnsi="Arial"/>
          <w:noProof/>
          <w:kern w:val="20"/>
          <w:sz w:val="20"/>
        </w:rPr>
        <w:t xml:space="preserve"> the Directive on driving licences</w:t>
      </w:r>
      <w:r>
        <w:rPr>
          <w:rFonts w:ascii="Arial" w:hAnsi="Arial"/>
          <w:noProof/>
          <w:sz w:val="20"/>
        </w:rPr>
        <w:t>.</w:t>
      </w:r>
      <w:r>
        <w:rPr>
          <w:rStyle w:val="FootnoteReference"/>
          <w:noProof/>
        </w:rPr>
        <w:footnoteReference w:id="218"/>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83"/>
        </w:numPr>
        <w:rPr>
          <w:noProof/>
        </w:rPr>
      </w:pPr>
      <w:r>
        <w:rPr>
          <w:noProof/>
        </w:rPr>
        <w:t>Court ruling</w:t>
      </w:r>
      <w:r>
        <w:rPr>
          <w:rStyle w:val="FootnoteReference"/>
          <w:noProof/>
        </w:rPr>
        <w:footnoteReference w:id="219"/>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a preliminary ruling addressed to the Slovenian judiciary, the Court held that:</w:t>
      </w:r>
    </w:p>
    <w:p>
      <w:pPr>
        <w:pStyle w:val="Lijstje2"/>
        <w:ind w:left="1418" w:hanging="425"/>
        <w:rPr>
          <w:rFonts w:ascii="Arial" w:hAnsi="Arial" w:cs="Arial"/>
          <w:noProof/>
          <w:lang w:val="en-GB"/>
        </w:rPr>
      </w:pPr>
      <w:r>
        <w:rPr>
          <w:rFonts w:ascii="Arial" w:hAnsi="Arial" w:cs="Arial"/>
          <w:noProof/>
          <w:lang w:val="en-GB"/>
        </w:rPr>
        <w:t>when defining the concept ‘undertaking’ under the Late Payment Directive,</w:t>
      </w:r>
      <w:r>
        <w:rPr>
          <w:rStyle w:val="FootnoteReference"/>
          <w:rFonts w:ascii="Arial" w:hAnsi="Arial" w:cs="Arial"/>
          <w:noProof/>
          <w:lang w:val="en-GB"/>
        </w:rPr>
        <w:footnoteReference w:id="220"/>
      </w:r>
      <w:r>
        <w:rPr>
          <w:rFonts w:ascii="Arial" w:hAnsi="Arial" w:cs="Arial"/>
          <w:noProof/>
          <w:lang w:val="en-GB"/>
        </w:rPr>
        <w:t xml:space="preserve"> all circumstances must be taken into account where a transaction forms part of the exercise of an independent economic or professional activity that is carried out in a structured and stable way. Therefore a natural person can be regarded as an undertaking and the transactions concluded are also to be considered as ‘commercial transactions’ according to the Directive. Also, as the Directive lays down only a ‘minimum harmonisation framework’, it is lawful for a Member State to introduce and maintain national provisions capping the accrual of interest.</w:t>
      </w:r>
      <w:r>
        <w:rPr>
          <w:rStyle w:val="FootnoteReference"/>
          <w:rFonts w:ascii="Arial" w:hAnsi="Arial" w:cs="Arial"/>
          <w:noProof/>
          <w:lang w:val="en-GB"/>
        </w:rPr>
        <w:footnoteReference w:id="221"/>
      </w:r>
    </w:p>
    <w:p>
      <w:pPr>
        <w:spacing w:after="120"/>
        <w:contextualSpacing/>
        <w:rPr>
          <w:rFonts w:ascii="Arial" w:hAnsi="Arial" w:cs="Arial"/>
          <w:noProof/>
          <w:sz w:val="20"/>
        </w:rPr>
      </w:pPr>
    </w:p>
    <w:p>
      <w:pPr>
        <w:spacing w:after="120"/>
        <w:ind w:firstLine="709"/>
        <w:rPr>
          <w:rFonts w:ascii="Arial" w:hAnsi="Arial" w:cs="Arial"/>
          <w:noProof/>
          <w:sz w:val="20"/>
        </w:rPr>
        <w:sectPr>
          <w:headerReference w:type="even" r:id="rId194"/>
          <w:headerReference w:type="default" r:id="rId195"/>
          <w:footerReference w:type="even" r:id="rId196"/>
          <w:footerReference w:type="default" r:id="rId197"/>
          <w:headerReference w:type="first" r:id="rId198"/>
          <w:footerReference w:type="first" r:id="rId199"/>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49" w:name="_Toc477938607"/>
      <w:r>
        <w:rPr>
          <w:noProof/>
        </w:rPr>
        <w:t>Slovakia</w:t>
      </w:r>
      <w:bookmarkEnd w:id="46"/>
      <w:bookmarkEnd w:id="47"/>
      <w:bookmarkEnd w:id="48"/>
      <w:bookmarkEnd w:id="49"/>
    </w:p>
    <w:p>
      <w:pPr>
        <w:spacing w:after="120"/>
        <w:rPr>
          <w:rFonts w:ascii="Arial" w:hAnsi="Arial" w:cs="Arial"/>
          <w:i/>
          <w:noProof/>
          <w:sz w:val="22"/>
          <w:szCs w:val="22"/>
        </w:rPr>
      </w:pPr>
      <w:r>
        <w:rPr>
          <w:rFonts w:ascii="Arial" w:hAnsi="Arial"/>
          <w:i/>
          <w:noProof/>
          <w:sz w:val="22"/>
        </w:rPr>
        <w:t xml:space="preserve">New complaints against Slovakia in 2016 continued the steady fall seen since 2012. New EU Pilot files have </w:t>
      </w:r>
      <w:r>
        <w:rPr>
          <w:rFonts w:ascii="Arial" w:hAnsi="Arial" w:cs="Arial"/>
          <w:i/>
          <w:noProof/>
          <w:sz w:val="22"/>
          <w:szCs w:val="22"/>
        </w:rPr>
        <w:t>decreased</w:t>
      </w:r>
      <w:r>
        <w:rPr>
          <w:rFonts w:ascii="Arial" w:hAnsi="Arial"/>
          <w:i/>
          <w:noProof/>
          <w:sz w:val="22"/>
        </w:rPr>
        <w:t xml:space="preserve"> since 2012 and are now at their lowest for 5 years</w:t>
      </w:r>
      <w:r>
        <w:rPr>
          <w:rFonts w:ascii="Arial" w:hAnsi="Arial" w:cs="Arial"/>
          <w:i/>
          <w:noProof/>
          <w:sz w:val="22"/>
          <w:szCs w:val="22"/>
        </w:rPr>
        <w:t>.</w:t>
      </w:r>
      <w:r>
        <w:rPr>
          <w:rFonts w:ascii="Arial" w:hAnsi="Arial"/>
          <w:i/>
          <w:noProof/>
          <w:sz w:val="22"/>
        </w:rPr>
        <w:t xml:space="preserve"> Open infringement cases also fell from their 2015 peak. New infringement cases for late transposition held steady. </w:t>
      </w:r>
    </w:p>
    <w:p>
      <w:pPr>
        <w:spacing w:after="120"/>
        <w:rPr>
          <w:rFonts w:ascii="Arial" w:hAnsi="Arial" w:cs="Arial"/>
          <w:i/>
          <w:noProof/>
          <w:sz w:val="22"/>
          <w:szCs w:val="22"/>
        </w:rPr>
      </w:pPr>
    </w:p>
    <w:p>
      <w:pPr>
        <w:pStyle w:val="kop2"/>
        <w:numPr>
          <w:ilvl w:val="0"/>
          <w:numId w:val="17"/>
        </w:numPr>
        <w:rPr>
          <w:noProof/>
        </w:rPr>
      </w:pPr>
      <w:r>
        <w:rPr>
          <w:noProof/>
        </w:rPr>
        <w:t>COMPLAINTS</w:t>
      </w:r>
    </w:p>
    <w:p>
      <w:pPr>
        <w:pStyle w:val="Subtitle"/>
        <w:numPr>
          <w:ilvl w:val="0"/>
          <w:numId w:val="74"/>
        </w:numPr>
        <w:rPr>
          <w:noProof/>
        </w:rPr>
      </w:pPr>
      <w:r>
        <w:rPr>
          <w:noProof/>
        </w:rPr>
        <w:t>New complaints made against Slovakia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93771" cy="2373086"/>
            <wp:effectExtent l="0" t="0" r="16510" b="27305"/>
            <wp:docPr id="18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pPr>
        <w:pStyle w:val="Subtitle"/>
        <w:numPr>
          <w:ilvl w:val="0"/>
          <w:numId w:val="74"/>
        </w:numPr>
        <w:rPr>
          <w:noProof/>
        </w:rPr>
      </w:pPr>
      <w:r>
        <w:rPr>
          <w:noProof/>
        </w:rPr>
        <w:t>Public complaints against Slovakia open at year-end</w:t>
      </w:r>
    </w:p>
    <w:tbl>
      <w:tblPr>
        <w:tblStyle w:val="Style123"/>
        <w:tblW w:w="0" w:type="auto"/>
        <w:jc w:val="center"/>
        <w:tblInd w:w="421" w:type="dxa"/>
        <w:tblLook w:val="04A0" w:firstRow="1" w:lastRow="0" w:firstColumn="1" w:lastColumn="0" w:noHBand="0" w:noVBand="1"/>
      </w:tblPr>
      <w:tblGrid>
        <w:gridCol w:w="1697"/>
        <w:gridCol w:w="355"/>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36</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36</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33</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39</w:t>
            </w:r>
          </w:p>
        </w:tc>
        <w:tc>
          <w:tcPr>
            <w:tcW w:w="355"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74"/>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339340"/>
            <wp:effectExtent l="0" t="0" r="11430" b="22860"/>
            <wp:docPr id="184"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75"/>
        </w:numPr>
        <w:rPr>
          <w:noProof/>
        </w:rPr>
      </w:pPr>
      <w:r>
        <w:rPr>
          <w:noProof/>
        </w:rPr>
        <w:t>New EU Pilot files opened against Slovakia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610100" cy="2286000"/>
            <wp:effectExtent l="0" t="0" r="19050" b="19050"/>
            <wp:docPr id="185"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p>
    <w:p>
      <w:pPr>
        <w:pStyle w:val="Subtitle"/>
        <w:numPr>
          <w:ilvl w:val="0"/>
          <w:numId w:val="75"/>
        </w:numPr>
        <w:rPr>
          <w:noProof/>
        </w:rPr>
      </w:pPr>
      <w:r>
        <w:rPr>
          <w:noProof/>
        </w:rPr>
        <w:t>Files relating to Slovakia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0100" cy="2286000"/>
            <wp:effectExtent l="0" t="0" r="19050" b="19050"/>
            <wp:docPr id="17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p>
      <w:pPr>
        <w:pStyle w:val="Subtitle"/>
        <w:numPr>
          <w:ilvl w:val="0"/>
          <w:numId w:val="75"/>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30780"/>
            <wp:effectExtent l="0" t="0" r="15240" b="26670"/>
            <wp:docPr id="186"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75"/>
        </w:numPr>
        <w:rPr>
          <w:noProof/>
        </w:rPr>
      </w:pPr>
      <w:r>
        <w:rPr>
          <w:noProof/>
        </w:rPr>
        <w:t>EU Pilot files: Slovakia’s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2886" cy="2215243"/>
            <wp:effectExtent l="0" t="0" r="27305" b="13970"/>
            <wp:docPr id="18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pPr>
        <w:pStyle w:val="Subtitle"/>
        <w:numPr>
          <w:ilvl w:val="0"/>
          <w:numId w:val="75"/>
        </w:numPr>
        <w:rPr>
          <w:noProof/>
        </w:rPr>
      </w:pPr>
      <w:r>
        <w:rPr>
          <w:noProof/>
        </w:rPr>
        <w:t>EU Pilot files: Slovakia’s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296886"/>
            <wp:effectExtent l="0" t="0" r="19050" b="27305"/>
            <wp:docPr id="18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76"/>
        </w:numPr>
        <w:rPr>
          <w:noProof/>
        </w:rPr>
      </w:pPr>
      <w:r>
        <w:rPr>
          <w:noProof/>
        </w:rPr>
        <w:t>Infringement cases against Slovakia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61114" cy="2362200"/>
            <wp:effectExtent l="0" t="0" r="11430" b="19050"/>
            <wp:docPr id="189"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9620" cy="2263140"/>
            <wp:effectExtent l="0" t="0" r="11430" b="22860"/>
            <wp:docPr id="190"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10"/>
        </w:numPr>
        <w:ind w:hanging="426"/>
        <w:rPr>
          <w:rFonts w:ascii="Arial" w:hAnsi="Arial" w:cs="Arial"/>
          <w:noProof/>
          <w:lang w:val="en-GB"/>
        </w:rPr>
      </w:pPr>
      <w:r>
        <w:rPr>
          <w:rFonts w:ascii="Arial" w:hAnsi="Arial" w:cs="Arial"/>
          <w:noProof/>
          <w:lang w:val="en-GB"/>
        </w:rPr>
        <w:t>The Commission opened 19 new infringement cases against Slovakia in 2016. These, and other major ongoing infringement cases, include:</w:t>
      </w:r>
    </w:p>
    <w:p>
      <w:pPr>
        <w:pStyle w:val="Lijstje2"/>
        <w:spacing w:after="200"/>
        <w:ind w:left="1843" w:hanging="426"/>
        <w:rPr>
          <w:rFonts w:ascii="Arial" w:hAnsi="Arial" w:cs="Arial"/>
          <w:noProof/>
          <w:lang w:val="en-GB"/>
        </w:rPr>
      </w:pPr>
      <w:r>
        <w:rPr>
          <w:rFonts w:ascii="Arial" w:eastAsia="Times New Roman" w:hAnsi="Arial" w:cs="Arial"/>
          <w:noProof/>
          <w:kern w:val="0"/>
          <w:lang w:val="en-GB"/>
        </w:rPr>
        <w:t>lack of strategic noise maps and/or action plans required by the Environmental Noise Directive;</w:t>
      </w:r>
      <w:r>
        <w:rPr>
          <w:rStyle w:val="FootnoteReference"/>
          <w:noProof/>
        </w:rPr>
        <w:footnoteReference w:id="222"/>
      </w:r>
    </w:p>
    <w:p>
      <w:pPr>
        <w:pStyle w:val="Lijstje2"/>
        <w:spacing w:after="200"/>
        <w:ind w:left="1843" w:hanging="426"/>
        <w:rPr>
          <w:rFonts w:ascii="Arial" w:hAnsi="Arial" w:cs="Arial"/>
          <w:noProof/>
          <w:lang w:val="en-GB"/>
        </w:rPr>
      </w:pPr>
      <w:r>
        <w:rPr>
          <w:rFonts w:ascii="Arial" w:eastAsia="Times New Roman" w:hAnsi="Arial" w:cs="Arial"/>
          <w:noProof/>
          <w:kern w:val="0"/>
          <w:lang w:val="en-GB"/>
        </w:rPr>
        <w:t>non-compliance with the EU Timber Regulation;</w:t>
      </w:r>
      <w:r>
        <w:rPr>
          <w:rStyle w:val="FootnoteReference"/>
          <w:noProof/>
        </w:rPr>
        <w:footnoteReference w:id="223"/>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Capital Requirements Directive;</w:t>
      </w:r>
      <w:r>
        <w:rPr>
          <w:rStyle w:val="FootnoteReference"/>
          <w:noProof/>
          <w:lang w:val="en-GB"/>
        </w:rPr>
        <w:footnoteReference w:id="224"/>
      </w:r>
    </w:p>
    <w:p>
      <w:pPr>
        <w:pStyle w:val="Lijstje2"/>
        <w:spacing w:after="200"/>
        <w:ind w:left="1843" w:hanging="425"/>
        <w:rPr>
          <w:rFonts w:ascii="Arial" w:hAnsi="Arial" w:cs="Arial"/>
          <w:noProof/>
          <w:lang w:val="en-GB"/>
        </w:rPr>
      </w:pPr>
      <w:r>
        <w:rPr>
          <w:rFonts w:ascii="Arial" w:hAnsi="Arial" w:cs="Arial"/>
          <w:noProof/>
          <w:lang w:val="en-GB"/>
        </w:rPr>
        <w:t>bilateral investment treaties signed before all State parties became members of the EU and which now overlap and conflict with the EU single market on cross-border investments;</w:t>
      </w:r>
      <w:r>
        <w:rPr>
          <w:rStyle w:val="FootnoteReference"/>
          <w:noProof/>
          <w:lang w:val="en-GB"/>
        </w:rPr>
        <w:footnoteReference w:id="225"/>
      </w:r>
    </w:p>
    <w:p>
      <w:pPr>
        <w:pStyle w:val="Lijstje2"/>
        <w:spacing w:after="200"/>
        <w:ind w:left="1843" w:hanging="425"/>
        <w:rPr>
          <w:rFonts w:ascii="Arial" w:hAnsi="Arial" w:cs="Arial"/>
          <w:noProof/>
          <w:lang w:val="en-GB"/>
        </w:rPr>
      </w:pPr>
      <w:r>
        <w:rPr>
          <w:rFonts w:ascii="Arial" w:hAnsi="Arial" w:cs="Arial"/>
          <w:noProof/>
          <w:lang w:val="en-GB"/>
        </w:rPr>
        <w:t>national restrictions on the acquisition of agricultural land which limit the free movement of capital and freedom of establishment by being discriminatory and/or disproportionate;</w:t>
      </w:r>
      <w:r>
        <w:rPr>
          <w:rStyle w:val="FootnoteReference"/>
          <w:noProof/>
          <w:lang w:val="en-GB"/>
        </w:rPr>
        <w:footnoteReference w:id="226"/>
      </w:r>
    </w:p>
    <w:p>
      <w:pPr>
        <w:pStyle w:val="Lijstje2"/>
        <w:ind w:left="1843" w:hanging="426"/>
        <w:rPr>
          <w:rFonts w:ascii="Arial" w:hAnsi="Arial"/>
          <w:noProof/>
          <w:lang w:val="en-GB"/>
        </w:rPr>
      </w:pPr>
      <w:r>
        <w:rPr>
          <w:rFonts w:ascii="Arial" w:eastAsia="Times New Roman" w:hAnsi="Arial" w:cs="Arial"/>
          <w:noProof/>
          <w:kern w:val="0"/>
          <w:lang w:val="en-GB"/>
        </w:rPr>
        <w:t>failure to fulfil air safety oversight obligations regarding initial and continuous airworthiness;</w:t>
      </w:r>
      <w:r>
        <w:rPr>
          <w:rStyle w:val="FootnoteReference"/>
          <w:noProof/>
        </w:rPr>
        <w:footnoteReference w:id="227"/>
      </w:r>
    </w:p>
    <w:p>
      <w:pPr>
        <w:pStyle w:val="Lijstje2"/>
        <w:ind w:left="1843" w:hanging="426"/>
        <w:rPr>
          <w:rFonts w:ascii="Arial" w:hAnsi="Arial" w:cs="Arial"/>
          <w:noProof/>
          <w:lang w:val="en-GB"/>
        </w:rPr>
      </w:pPr>
      <w:r>
        <w:rPr>
          <w:rFonts w:ascii="Arial" w:eastAsia="Times New Roman" w:hAnsi="Arial" w:cs="Arial"/>
          <w:noProof/>
          <w:kern w:val="0"/>
          <w:lang w:val="en-GB"/>
        </w:rPr>
        <w:t>failure</w:t>
      </w:r>
      <w:r>
        <w:rPr>
          <w:rFonts w:ascii="Arial" w:hAnsi="Arial" w:cs="Arial"/>
          <w:noProof/>
          <w:lang w:val="en-GB"/>
        </w:rPr>
        <w:t xml:space="preserve"> to fulfil obligations under the Directive on the protection of waters against pollution caused by nitrates from agricultural sources;</w:t>
      </w:r>
      <w:r>
        <w:rPr>
          <w:rStyle w:val="FootnoteReference"/>
          <w:rFonts w:ascii="Arial" w:hAnsi="Arial" w:cs="Arial"/>
          <w:noProof/>
          <w:lang w:val="en-GB"/>
        </w:rPr>
        <w:footnoteReference w:id="228"/>
      </w:r>
    </w:p>
    <w:p>
      <w:pPr>
        <w:pStyle w:val="Lijstje2"/>
        <w:ind w:left="1843" w:hanging="426"/>
        <w:rPr>
          <w:rFonts w:ascii="Arial" w:hAnsi="Arial" w:cs="Arial"/>
          <w:noProof/>
          <w:lang w:val="en-GB"/>
        </w:rPr>
      </w:pPr>
      <w:r>
        <w:rPr>
          <w:rFonts w:ascii="Arial" w:hAnsi="Arial" w:cs="Arial"/>
          <w:noProof/>
          <w:lang w:val="en-GB"/>
        </w:rPr>
        <w:t>an incomplete Natura 2000 network;</w:t>
      </w:r>
    </w:p>
    <w:p>
      <w:pPr>
        <w:pStyle w:val="Lijstje2"/>
        <w:ind w:left="1843" w:hanging="425"/>
        <w:rPr>
          <w:rFonts w:ascii="Arial" w:hAnsi="Arial" w:cs="Arial"/>
          <w:noProof/>
          <w:lang w:val="en-GB"/>
        </w:rPr>
      </w:pPr>
      <w:r>
        <w:rPr>
          <w:rFonts w:ascii="Arial" w:hAnsi="Arial" w:cs="Arial"/>
          <w:noProof/>
          <w:lang w:val="en-GB"/>
        </w:rPr>
        <w:t>incorrect implementation of the Remedies Directive.</w:t>
      </w:r>
      <w:r>
        <w:rPr>
          <w:rStyle w:val="FootnoteReference"/>
          <w:rFonts w:ascii="Arial" w:hAnsi="Arial" w:cs="Arial"/>
          <w:noProof/>
          <w:lang w:val="en-GB"/>
        </w:rPr>
        <w:footnoteReference w:id="229"/>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referred one case to the Court under Article 260(2) TFEU. It concerns:</w:t>
      </w:r>
    </w:p>
    <w:p>
      <w:pPr>
        <w:pStyle w:val="Lijstje2"/>
        <w:spacing w:after="200"/>
        <w:ind w:left="1843" w:hanging="426"/>
        <w:rPr>
          <w:rFonts w:ascii="Arial" w:hAnsi="Arial" w:cs="Arial"/>
          <w:noProof/>
          <w:lang w:val="en-GB"/>
        </w:rPr>
      </w:pPr>
      <w:r>
        <w:rPr>
          <w:rFonts w:ascii="Arial" w:hAnsi="Arial" w:cs="Arial"/>
          <w:noProof/>
          <w:lang w:val="en-GB"/>
        </w:rPr>
        <w:t>failure to implement a Court judgment that Slovakia was failing to ensure that decisions on the operation of the landfill in Žilina–Považský Chlmec were taken in line with EU rules on landfilling of waste. The Commission proposed to the Court to impose a lump sum payment of EUR 939 000 and a daily penalty payment of EUR 6 793.80 until full compliance with EU law is ensured.</w:t>
      </w:r>
      <w:r>
        <w:rPr>
          <w:rStyle w:val="FootnoteReference"/>
          <w:noProof/>
        </w:rPr>
        <w:footnoteReference w:id="230"/>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77"/>
        </w:numPr>
        <w:rPr>
          <w:noProof/>
        </w:rPr>
      </w:pPr>
      <w:r>
        <w:rPr>
          <w:noProof/>
        </w:rPr>
        <w:t>Late transposition infringement cases against Slovakia open on 31 December (2012-2016)</w:t>
      </w:r>
    </w:p>
    <w:p>
      <w:pPr>
        <w:ind w:left="426" w:firstLine="283"/>
        <w:rPr>
          <w:noProof/>
        </w:rPr>
      </w:pPr>
      <w:r>
        <w:rPr>
          <w:noProof/>
          <w:lang w:val="en-US"/>
        </w:rPr>
        <w:drawing>
          <wp:inline distT="0" distB="0" distL="0" distR="0">
            <wp:extent cx="4610100" cy="2179320"/>
            <wp:effectExtent l="0" t="0" r="19050" b="11430"/>
            <wp:docPr id="191"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pPr>
        <w:pStyle w:val="Subtitle"/>
        <w:numPr>
          <w:ilvl w:val="0"/>
          <w:numId w:val="77"/>
        </w:numPr>
        <w:rPr>
          <w:noProof/>
        </w:rPr>
      </w:pPr>
      <w:r>
        <w:rPr>
          <w:noProof/>
        </w:rPr>
        <w:t>New late transposition infringement cases against Slovakia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0100" cy="2164080"/>
            <wp:effectExtent l="0" t="0" r="19050" b="26670"/>
            <wp:docPr id="960"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p>
    <w:p>
      <w:pPr>
        <w:spacing w:after="200" w:line="276" w:lineRule="auto"/>
        <w:jc w:val="left"/>
        <w:rPr>
          <w:rFonts w:ascii="Arial" w:hAnsi="Arial"/>
          <w:noProof/>
          <w:color w:val="002060"/>
          <w:sz w:val="22"/>
          <w:szCs w:val="22"/>
        </w:rPr>
      </w:pPr>
      <w:r>
        <w:rPr>
          <w:rFonts w:ascii="Arial" w:hAnsi="Arial"/>
          <w:noProof/>
          <w:color w:val="002060"/>
          <w:sz w:val="22"/>
          <w:szCs w:val="22"/>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324100"/>
            <wp:effectExtent l="0" t="0" r="22860" b="19050"/>
            <wp:docPr id="961"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pStyle w:val="Lijstje2"/>
        <w:spacing w:after="200"/>
        <w:ind w:left="1418" w:hanging="425"/>
        <w:rPr>
          <w:rFonts w:ascii="Arial" w:hAnsi="Arial" w:cs="Arial"/>
          <w:noProof/>
          <w:lang w:val="en-GB"/>
        </w:rPr>
      </w:pPr>
      <w:r>
        <w:rPr>
          <w:rFonts w:ascii="Arial" w:hAnsi="Arial" w:cs="Arial"/>
          <w:noProof/>
          <w:lang w:val="en-GB"/>
        </w:rPr>
        <w:t>breach of EU citizens’ right to stand as candidates in local and European elections in the Member State of residence due to restrictions on their involvement in political parties;</w:t>
      </w:r>
    </w:p>
    <w:p>
      <w:pPr>
        <w:pStyle w:val="Lijstje2"/>
        <w:spacing w:after="200"/>
        <w:ind w:left="1418" w:hanging="425"/>
        <w:rPr>
          <w:rFonts w:ascii="Arial" w:hAnsi="Arial" w:cs="Arial"/>
          <w:noProof/>
          <w:lang w:val="en-GB"/>
        </w:rPr>
      </w:pPr>
      <w:r>
        <w:rPr>
          <w:rFonts w:ascii="Arial" w:hAnsi="Arial" w:cs="Arial"/>
          <w:noProof/>
          <w:lang w:val="en-GB"/>
        </w:rPr>
        <w:t>failure to ensure adequate protection of wolves, in line with the Habitats Directive;</w:t>
      </w:r>
      <w:r>
        <w:rPr>
          <w:rStyle w:val="FootnoteReference"/>
          <w:noProof/>
        </w:rPr>
        <w:footnoteReference w:id="231"/>
      </w:r>
    </w:p>
    <w:p>
      <w:pPr>
        <w:pStyle w:val="Lijstje2"/>
        <w:spacing w:after="200"/>
        <w:ind w:left="1418" w:hanging="425"/>
        <w:rPr>
          <w:rFonts w:ascii="Arial" w:hAnsi="Arial" w:cs="Arial"/>
          <w:noProof/>
          <w:lang w:val="en-GB"/>
        </w:rPr>
      </w:pPr>
      <w:r>
        <w:rPr>
          <w:rFonts w:ascii="Arial" w:hAnsi="Arial"/>
          <w:noProof/>
          <w:lang w:val="en-GB"/>
        </w:rPr>
        <w:t>incorrect transposition of the Floods Directive;</w:t>
      </w:r>
      <w:r>
        <w:rPr>
          <w:rStyle w:val="FootnoteReference"/>
          <w:noProof/>
        </w:rPr>
        <w:footnoteReference w:id="232"/>
      </w:r>
    </w:p>
    <w:p>
      <w:pPr>
        <w:pStyle w:val="Lijstje2"/>
        <w:spacing w:after="200"/>
        <w:ind w:left="1418" w:hanging="425"/>
        <w:rPr>
          <w:rFonts w:ascii="Arial" w:hAnsi="Arial" w:cs="Arial"/>
          <w:noProof/>
          <w:lang w:val="en-GB"/>
        </w:rPr>
      </w:pPr>
      <w:r>
        <w:rPr>
          <w:rFonts w:ascii="Arial" w:hAnsi="Arial"/>
          <w:noProof/>
          <w:lang w:val="en-GB"/>
        </w:rPr>
        <w:t>completing the notification of all national measures necessary to transpose:</w:t>
      </w:r>
    </w:p>
    <w:p>
      <w:pPr>
        <w:pStyle w:val="Lijstje2"/>
        <w:numPr>
          <w:ilvl w:val="0"/>
          <w:numId w:val="255"/>
        </w:numPr>
        <w:spacing w:after="200"/>
        <w:rPr>
          <w:rFonts w:ascii="Arial" w:hAnsi="Arial" w:cs="Arial"/>
          <w:noProof/>
          <w:lang w:val="en-GB"/>
        </w:rPr>
      </w:pPr>
      <w:r>
        <w:rPr>
          <w:rFonts w:ascii="Arial" w:hAnsi="Arial"/>
          <w:noProof/>
          <w:lang w:val="en-GB"/>
        </w:rPr>
        <w:t>the Capital Requirements Directive;</w:t>
      </w:r>
      <w:r>
        <w:rPr>
          <w:rStyle w:val="FootnoteReference"/>
          <w:rFonts w:ascii="Arial" w:hAnsi="Arial" w:cs="Arial"/>
          <w:noProof/>
          <w:lang w:val="en-GB"/>
        </w:rPr>
        <w:footnoteReference w:id="233"/>
      </w:r>
    </w:p>
    <w:p>
      <w:pPr>
        <w:pStyle w:val="Lijstje2"/>
        <w:numPr>
          <w:ilvl w:val="0"/>
          <w:numId w:val="255"/>
        </w:numPr>
        <w:spacing w:after="200"/>
        <w:rPr>
          <w:rFonts w:ascii="Arial" w:hAnsi="Arial" w:cs="Arial"/>
          <w:noProof/>
          <w:lang w:val="en-GB"/>
        </w:rPr>
      </w:pPr>
      <w:r>
        <w:rPr>
          <w:rFonts w:ascii="Arial" w:hAnsi="Arial"/>
          <w:noProof/>
          <w:lang w:val="en-GB"/>
        </w:rPr>
        <w:t xml:space="preserve">the Bank Resolution and Recovery Directive; </w:t>
      </w:r>
      <w:r>
        <w:rPr>
          <w:rStyle w:val="FootnoteReference"/>
          <w:rFonts w:ascii="Arial" w:hAnsi="Arial" w:cs="Arial"/>
          <w:noProof/>
          <w:lang w:val="en-GB"/>
        </w:rPr>
        <w:footnoteReference w:id="234"/>
      </w:r>
    </w:p>
    <w:p>
      <w:pPr>
        <w:pStyle w:val="Lijstje2"/>
        <w:numPr>
          <w:ilvl w:val="0"/>
          <w:numId w:val="255"/>
        </w:numPr>
        <w:spacing w:after="200"/>
        <w:rPr>
          <w:rFonts w:ascii="Arial" w:hAnsi="Arial" w:cs="Arial"/>
          <w:noProof/>
          <w:lang w:val="en-GB"/>
        </w:rPr>
      </w:pPr>
      <w:r>
        <w:rPr>
          <w:rFonts w:ascii="Arial" w:hAnsi="Arial"/>
          <w:noProof/>
          <w:lang w:val="en-GB"/>
        </w:rPr>
        <w:t>the Deposit Guarantee Schemes Directive;</w:t>
      </w:r>
      <w:r>
        <w:rPr>
          <w:rStyle w:val="FootnoteReference"/>
          <w:rFonts w:ascii="Arial" w:hAnsi="Arial" w:cs="Arial"/>
          <w:noProof/>
          <w:lang w:val="en-GB"/>
        </w:rPr>
        <w:footnoteReference w:id="235"/>
      </w:r>
    </w:p>
    <w:p>
      <w:pPr>
        <w:pStyle w:val="Lijstje2"/>
        <w:spacing w:after="200"/>
        <w:ind w:left="1418" w:hanging="425"/>
        <w:rPr>
          <w:rFonts w:ascii="Arial" w:hAnsi="Arial" w:cs="Arial"/>
          <w:noProof/>
          <w:lang w:val="en-GB"/>
        </w:rPr>
      </w:pPr>
      <w:r>
        <w:rPr>
          <w:rFonts w:ascii="Arial" w:hAnsi="Arial"/>
          <w:noProof/>
          <w:lang w:val="en-GB"/>
        </w:rPr>
        <w:t xml:space="preserve">failure to </w:t>
      </w:r>
      <w:r>
        <w:rPr>
          <w:rFonts w:ascii="Arial" w:hAnsi="Arial" w:cs="Arial"/>
          <w:noProof/>
          <w:lang w:val="en-GB"/>
        </w:rPr>
        <w:t>fulfil obligations under</w:t>
      </w:r>
      <w:r>
        <w:rPr>
          <w:rFonts w:ascii="Arial" w:hAnsi="Arial"/>
          <w:noProof/>
          <w:lang w:val="en-GB"/>
        </w:rPr>
        <w:t xml:space="preserve"> the Directive on driving licences;</w:t>
      </w:r>
      <w:r>
        <w:rPr>
          <w:rStyle w:val="FootnoteReference"/>
          <w:noProof/>
        </w:rPr>
        <w:footnoteReference w:id="236"/>
      </w:r>
    </w:p>
    <w:p>
      <w:pPr>
        <w:pStyle w:val="Lijstje2"/>
        <w:spacing w:after="200"/>
        <w:ind w:left="1418" w:hanging="425"/>
        <w:rPr>
          <w:rFonts w:ascii="Arial" w:hAnsi="Arial" w:cs="Arial"/>
          <w:noProof/>
          <w:lang w:val="en-GB"/>
        </w:rPr>
      </w:pPr>
      <w:r>
        <w:rPr>
          <w:rFonts w:ascii="Arial" w:hAnsi="Arial" w:cs="Arial"/>
          <w:noProof/>
          <w:lang w:val="en-GB"/>
        </w:rPr>
        <w:t>non-compliance with the Directive on the interoperability of the rail system;</w:t>
      </w:r>
      <w:r>
        <w:rPr>
          <w:rStyle w:val="FootnoteReference"/>
          <w:rFonts w:ascii="Arial" w:hAnsi="Arial" w:cs="Arial"/>
          <w:noProof/>
          <w:lang w:val="en-GB"/>
        </w:rPr>
        <w:footnoteReference w:id="237"/>
      </w:r>
    </w:p>
    <w:p>
      <w:pPr>
        <w:pStyle w:val="Lijstje2"/>
        <w:spacing w:after="200"/>
        <w:ind w:left="1418" w:hanging="425"/>
        <w:rPr>
          <w:rFonts w:ascii="Arial" w:hAnsi="Arial" w:cs="Arial"/>
          <w:noProof/>
          <w:lang w:val="en-GB"/>
        </w:rPr>
      </w:pPr>
      <w:r>
        <w:rPr>
          <w:rFonts w:ascii="Arial" w:hAnsi="Arial" w:cs="Arial"/>
          <w:noProof/>
          <w:lang w:val="en-GB"/>
        </w:rPr>
        <w:t>car registration tax, following a change in tax rates for second hand cars imported from other Member States.</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78"/>
        </w:numPr>
        <w:rPr>
          <w:noProof/>
        </w:rPr>
      </w:pPr>
      <w:r>
        <w:rPr>
          <w:noProof/>
        </w:rPr>
        <w:t>Court rulings</w:t>
      </w:r>
      <w:r>
        <w:rPr>
          <w:rStyle w:val="FootnoteReference"/>
          <w:noProof/>
        </w:rPr>
        <w:footnoteReference w:id="238"/>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preliminary rulings addressed to the Slovak judiciary, the Court held that:</w:t>
      </w:r>
    </w:p>
    <w:p>
      <w:pPr>
        <w:pStyle w:val="Lijstje2"/>
        <w:ind w:left="1418" w:hanging="425"/>
        <w:rPr>
          <w:rFonts w:ascii="Arial" w:hAnsi="Arial"/>
          <w:i/>
          <w:noProof/>
          <w:lang w:val="en-GB"/>
        </w:rPr>
      </w:pPr>
      <w:r>
        <w:rPr>
          <w:rFonts w:ascii="Arial" w:hAnsi="Arial"/>
          <w:noProof/>
          <w:lang w:val="en-GB"/>
        </w:rPr>
        <w:t xml:space="preserve">a lender must include in a </w:t>
      </w:r>
      <w:r>
        <w:rPr>
          <w:rFonts w:ascii="Arial" w:hAnsi="Arial" w:cs="Arial"/>
          <w:noProof/>
          <w:lang w:val="en-GB"/>
        </w:rPr>
        <w:t xml:space="preserve">consumer </w:t>
      </w:r>
      <w:r>
        <w:rPr>
          <w:rFonts w:ascii="Arial" w:hAnsi="Arial"/>
          <w:noProof/>
          <w:lang w:val="en-GB"/>
        </w:rPr>
        <w:t>credit agreement all the information required under the Directive on consumer credit</w:t>
      </w:r>
      <w:r>
        <w:rPr>
          <w:rFonts w:ascii="Arial" w:hAnsi="Arial" w:cs="Arial"/>
          <w:noProof/>
          <w:lang w:val="en-GB"/>
        </w:rPr>
        <w:t>.</w:t>
      </w:r>
      <w:r>
        <w:rPr>
          <w:rStyle w:val="FootnoteReference"/>
          <w:rFonts w:ascii="Arial" w:hAnsi="Arial" w:cs="Arial"/>
          <w:noProof/>
          <w:lang w:val="en-GB"/>
        </w:rPr>
        <w:footnoteReference w:id="239"/>
      </w:r>
      <w:r>
        <w:rPr>
          <w:rFonts w:ascii="Arial" w:hAnsi="Arial"/>
          <w:noProof/>
          <w:lang w:val="en-GB"/>
        </w:rPr>
        <w:t xml:space="preserve"> Failure to do so may be penalised by Member States by </w:t>
      </w:r>
      <w:r>
        <w:rPr>
          <w:rFonts w:ascii="Arial" w:hAnsi="Arial" w:cs="Arial"/>
          <w:noProof/>
          <w:lang w:val="en-GB"/>
        </w:rPr>
        <w:t xml:space="preserve">depriving the lender of an </w:t>
      </w:r>
      <w:r>
        <w:rPr>
          <w:rFonts w:ascii="Arial" w:hAnsi="Arial"/>
          <w:noProof/>
          <w:lang w:val="en-GB"/>
        </w:rPr>
        <w:t>entitlement to interest and charges</w:t>
      </w:r>
      <w:r>
        <w:rPr>
          <w:rFonts w:ascii="Arial" w:hAnsi="Arial" w:cs="Arial"/>
          <w:noProof/>
          <w:lang w:val="en-GB"/>
        </w:rPr>
        <w:t xml:space="preserve">. Such a penalty is permitted where the information </w:t>
      </w:r>
      <w:r>
        <w:rPr>
          <w:rFonts w:ascii="Arial" w:hAnsi="Arial"/>
          <w:noProof/>
          <w:lang w:val="en-GB"/>
        </w:rPr>
        <w:t>covers matters which, if not included</w:t>
      </w:r>
      <w:r>
        <w:rPr>
          <w:rFonts w:ascii="Arial" w:hAnsi="Arial" w:cs="Arial"/>
          <w:noProof/>
          <w:lang w:val="en-GB"/>
        </w:rPr>
        <w:t xml:space="preserve"> </w:t>
      </w:r>
      <w:r>
        <w:rPr>
          <w:rFonts w:ascii="Arial" w:hAnsi="Arial"/>
          <w:noProof/>
          <w:lang w:val="en-GB"/>
        </w:rPr>
        <w:t>may compromise the consumer's ability to assess the extent of his liability;</w:t>
      </w:r>
      <w:r>
        <w:rPr>
          <w:rStyle w:val="FootnoteReference"/>
          <w:rFonts w:ascii="Arial" w:eastAsia="Times New Roman" w:hAnsi="Arial" w:cs="Arial"/>
          <w:noProof/>
          <w:kern w:val="0"/>
          <w:lang w:val="en-GB"/>
        </w:rPr>
        <w:footnoteReference w:id="240"/>
      </w:r>
    </w:p>
    <w:p>
      <w:pPr>
        <w:pStyle w:val="Lijstje2"/>
        <w:ind w:left="1418" w:hanging="425"/>
        <w:rPr>
          <w:rFonts w:ascii="Arial" w:hAnsi="Arial" w:cs="Arial"/>
          <w:i/>
          <w:noProof/>
          <w:lang w:val="en-GB"/>
        </w:rPr>
      </w:pPr>
      <w:r>
        <w:rPr>
          <w:rFonts w:ascii="Arial" w:hAnsi="Arial" w:cs="Arial"/>
          <w:noProof/>
          <w:lang w:val="en-GB"/>
        </w:rPr>
        <w:t>when an environmental organisation</w:t>
      </w:r>
      <w:r>
        <w:rPr>
          <w:rFonts w:ascii="Arial" w:hAnsi="Arial" w:cs="Arial"/>
          <w:b/>
          <w:noProof/>
          <w:lang w:val="en-GB"/>
        </w:rPr>
        <w:t xml:space="preserve"> </w:t>
      </w:r>
      <w:r>
        <w:rPr>
          <w:rFonts w:ascii="Arial" w:hAnsi="Arial" w:cs="Arial"/>
          <w:noProof/>
          <w:lang w:val="en-GB"/>
        </w:rPr>
        <w:t>is refused the status of party to a procedure for the authorisation of a project to be carried out on a site protected under the Habitats Directive, EU law precludes national rules which do not request the examination in the course of the authorisation procedure of an action against that refusal decision, do not prevent the conclusion of the authorisation procedure in the absence of a definitive judicial decision on the status of party and consider the action automatically dismissed as soon as the project is authorised.</w:t>
      </w:r>
      <w:r>
        <w:rPr>
          <w:rStyle w:val="FootnoteReference"/>
          <w:rFonts w:ascii="Arial" w:hAnsi="Arial" w:cs="Arial"/>
          <w:noProof/>
          <w:lang w:val="en-GB"/>
        </w:rPr>
        <w:footnoteReference w:id="241"/>
      </w:r>
    </w:p>
    <w:p>
      <w:pPr>
        <w:spacing w:after="120"/>
        <w:contextualSpacing/>
        <w:rPr>
          <w:rFonts w:ascii="Verdana" w:eastAsia="Calibri" w:hAnsi="Verdana"/>
          <w:noProof/>
          <w:kern w:val="20"/>
          <w:sz w:val="20"/>
        </w:rPr>
      </w:pPr>
    </w:p>
    <w:p>
      <w:pPr>
        <w:spacing w:after="0"/>
        <w:jc w:val="left"/>
        <w:rPr>
          <w:noProof/>
        </w:rPr>
      </w:pPr>
    </w:p>
    <w:p>
      <w:pPr>
        <w:spacing w:after="0"/>
        <w:jc w:val="left"/>
        <w:rPr>
          <w:noProof/>
        </w:rPr>
        <w:sectPr>
          <w:headerReference w:type="even" r:id="rId212"/>
          <w:headerReference w:type="default" r:id="rId213"/>
          <w:footerReference w:type="even" r:id="rId214"/>
          <w:footerReference w:type="default" r:id="rId215"/>
          <w:headerReference w:type="first" r:id="rId216"/>
          <w:footerReference w:type="first" r:id="rId217"/>
          <w:footnotePr>
            <w:numRestart w:val="eachSect"/>
          </w:footnotePr>
          <w:pgSz w:w="11906" w:h="16838"/>
          <w:pgMar w:top="1843" w:right="1417" w:bottom="1134" w:left="1417" w:header="567" w:footer="351" w:gutter="0"/>
          <w:cols w:space="708"/>
          <w:titlePg/>
          <w:docGrid w:linePitch="360"/>
        </w:sectPr>
      </w:pPr>
    </w:p>
    <w:p>
      <w:pPr>
        <w:pStyle w:val="Heading1"/>
        <w:rPr>
          <w:noProof/>
        </w:rPr>
      </w:pPr>
      <w:bookmarkStart w:id="50" w:name="_Toc477938608"/>
      <w:bookmarkStart w:id="51" w:name="_Toc475974664"/>
      <w:bookmarkStart w:id="52" w:name="_Toc475980160"/>
      <w:bookmarkStart w:id="53" w:name="_Toc475981409"/>
      <w:r>
        <w:rPr>
          <w:noProof/>
        </w:rPr>
        <w:t>Finland</w:t>
      </w:r>
      <w:bookmarkEnd w:id="50"/>
    </w:p>
    <w:p>
      <w:pPr>
        <w:spacing w:after="120"/>
        <w:rPr>
          <w:rFonts w:ascii="Arial" w:hAnsi="Arial" w:cs="Arial"/>
          <w:i/>
          <w:noProof/>
          <w:sz w:val="22"/>
          <w:szCs w:val="22"/>
        </w:rPr>
      </w:pPr>
      <w:r>
        <w:rPr>
          <w:rFonts w:ascii="Arial" w:hAnsi="Arial" w:cs="Arial"/>
          <w:i/>
          <w:noProof/>
          <w:sz w:val="22"/>
          <w:szCs w:val="22"/>
        </w:rPr>
        <w:t>New complaints against Finland rose again in 2016 after the previous year's sharp fall. The number of infringement cases open at the end of 2016 rose sharply to only slightly below its 2012 peak. New infringement cases for late transposition doubled. By contrast, the number of new EU Pilot files fell to its lowest level ever.</w:t>
      </w:r>
    </w:p>
    <w:p>
      <w:pPr>
        <w:spacing w:after="120"/>
        <w:rPr>
          <w:rFonts w:ascii="Arial" w:hAnsi="Arial" w:cs="Arial"/>
          <w:i/>
          <w:noProof/>
          <w:sz w:val="22"/>
          <w:szCs w:val="22"/>
        </w:rPr>
      </w:pPr>
    </w:p>
    <w:p>
      <w:pPr>
        <w:pStyle w:val="kop2"/>
        <w:numPr>
          <w:ilvl w:val="0"/>
          <w:numId w:val="169"/>
        </w:numPr>
        <w:rPr>
          <w:noProof/>
        </w:rPr>
      </w:pPr>
      <w:r>
        <w:rPr>
          <w:noProof/>
        </w:rPr>
        <w:t>COMPLAINTS</w:t>
      </w:r>
    </w:p>
    <w:p>
      <w:pPr>
        <w:pStyle w:val="Subtitle"/>
        <w:numPr>
          <w:ilvl w:val="0"/>
          <w:numId w:val="168"/>
        </w:numPr>
        <w:rPr>
          <w:noProof/>
        </w:rPr>
      </w:pPr>
      <w:r>
        <w:rPr>
          <w:noProof/>
        </w:rPr>
        <w:t>New complaints made against Finland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77443" cy="2079171"/>
            <wp:effectExtent l="0" t="0" r="13970" b="16510"/>
            <wp:docPr id="7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p>
    <w:p>
      <w:pPr>
        <w:pStyle w:val="Subtitle"/>
        <w:numPr>
          <w:ilvl w:val="0"/>
          <w:numId w:val="23"/>
        </w:numPr>
        <w:rPr>
          <w:noProof/>
        </w:rPr>
      </w:pPr>
      <w:r>
        <w:rPr>
          <w:noProof/>
        </w:rPr>
        <w:t>Public complaints against Finland open at year-end</w:t>
      </w:r>
    </w:p>
    <w:tbl>
      <w:tblPr>
        <w:tblStyle w:val="Style18"/>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35</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43</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 xml:space="preserve"> 41</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37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0"/>
        <w:ind w:firstLine="709"/>
        <w:rPr>
          <w:rFonts w:ascii="Arial" w:hAnsi="Arial" w:cs="Arial"/>
          <w:noProof/>
          <w:sz w:val="20"/>
        </w:rPr>
      </w:pPr>
    </w:p>
    <w:p>
      <w:pPr>
        <w:pStyle w:val="Subtitle"/>
        <w:numPr>
          <w:ilvl w:val="0"/>
          <w:numId w:val="23"/>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286000"/>
            <wp:effectExtent l="0" t="0" r="11430" b="19050"/>
            <wp:docPr id="78"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p>
    <w:p>
      <w:pPr>
        <w:spacing w:after="200" w:line="276" w:lineRule="auto"/>
        <w:jc w:val="left"/>
        <w:rPr>
          <w:rFonts w:ascii="Arial" w:hAnsi="Arial" w:cs="Arial"/>
          <w:noProof/>
          <w:sz w:val="20"/>
        </w:rPr>
      </w:pPr>
      <w:r>
        <w:rPr>
          <w:noProof/>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170"/>
        </w:numPr>
        <w:rPr>
          <w:noProof/>
        </w:rPr>
      </w:pPr>
      <w:r>
        <w:rPr>
          <w:noProof/>
        </w:rPr>
        <w:t>New EU Pilot files opened against Finland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93771" cy="2133600"/>
            <wp:effectExtent l="0" t="0" r="16510" b="19050"/>
            <wp:docPr id="7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p>
    <w:p>
      <w:pPr>
        <w:pStyle w:val="Subtitle"/>
        <w:numPr>
          <w:ilvl w:val="0"/>
          <w:numId w:val="23"/>
        </w:numPr>
        <w:rPr>
          <w:noProof/>
        </w:rPr>
      </w:pPr>
      <w:r>
        <w:rPr>
          <w:noProof/>
        </w:rPr>
        <w:t>Files relating to Finland open in EU Pilot at year-end</w:t>
      </w:r>
    </w:p>
    <w:p>
      <w:pPr>
        <w:spacing w:after="0"/>
        <w:ind w:firstLine="709"/>
        <w:rPr>
          <w:rFonts w:ascii="Arial" w:hAnsi="Arial" w:cs="Arial"/>
          <w:noProof/>
          <w:sz w:val="20"/>
        </w:rPr>
      </w:pPr>
      <w:r>
        <w:rPr>
          <w:rFonts w:ascii="Arial" w:hAnsi="Arial" w:cs="Arial"/>
          <w:noProof/>
          <w:sz w:val="20"/>
          <w:lang w:val="en-US"/>
        </w:rPr>
        <w:drawing>
          <wp:inline distT="0" distB="0" distL="0" distR="0">
            <wp:extent cx="4593771" cy="2133600"/>
            <wp:effectExtent l="0" t="0" r="16510" b="19050"/>
            <wp:docPr id="137"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p>
    <w:p>
      <w:pPr>
        <w:pStyle w:val="Subtitle"/>
        <w:numPr>
          <w:ilvl w:val="0"/>
          <w:numId w:val="23"/>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38400"/>
            <wp:effectExtent l="0" t="0" r="15240" b="19050"/>
            <wp:docPr id="8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23"/>
        </w:numPr>
        <w:rPr>
          <w:noProof/>
        </w:rPr>
      </w:pPr>
      <w:r>
        <w:rPr>
          <w:noProof/>
        </w:rPr>
        <w:t>EU Pilot files: Finland’s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166257"/>
            <wp:effectExtent l="0" t="0" r="13970" b="24765"/>
            <wp:docPr id="8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p>
      <w:pPr>
        <w:pStyle w:val="Subtitle"/>
        <w:numPr>
          <w:ilvl w:val="0"/>
          <w:numId w:val="23"/>
        </w:numPr>
        <w:rPr>
          <w:noProof/>
        </w:rPr>
      </w:pPr>
      <w:r>
        <w:rPr>
          <w:noProof/>
        </w:rPr>
        <w:t>EU Pilot files: Finland’s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106385"/>
            <wp:effectExtent l="0" t="0" r="13970" b="27305"/>
            <wp:docPr id="8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171"/>
        </w:numPr>
        <w:rPr>
          <w:noProof/>
        </w:rPr>
      </w:pPr>
      <w:r>
        <w:rPr>
          <w:noProof/>
        </w:rPr>
        <w:t>Infringement cases against Finland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258785"/>
            <wp:effectExtent l="0" t="0" r="13970" b="27305"/>
            <wp:docPr id="84"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85"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72"/>
        </w:numPr>
        <w:ind w:hanging="426"/>
        <w:rPr>
          <w:rFonts w:ascii="Arial" w:hAnsi="Arial" w:cs="Arial"/>
          <w:noProof/>
          <w:lang w:val="en-GB"/>
        </w:rPr>
      </w:pPr>
      <w:r>
        <w:rPr>
          <w:rFonts w:ascii="Arial" w:hAnsi="Arial" w:cs="Arial"/>
          <w:noProof/>
          <w:lang w:val="en-GB"/>
        </w:rPr>
        <w:t>The Commission opened 40 new infringement cases against Finland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non-conformity of national legislation with the Directive on patients’ rights in cross-border healthcare. The case relates to the level of costs reimbursed by the Member State of affiliation to an insured person who receives cross-border healthcare;</w:t>
      </w:r>
      <w:r>
        <w:rPr>
          <w:rStyle w:val="FootnoteReference"/>
          <w:rFonts w:ascii="Arial" w:hAnsi="Arial" w:cs="Arial"/>
          <w:noProof/>
          <w:lang w:val="en-GB"/>
        </w:rPr>
        <w:footnoteReference w:id="242"/>
      </w:r>
    </w:p>
    <w:p>
      <w:pPr>
        <w:pStyle w:val="Lijstje2"/>
        <w:spacing w:after="200"/>
        <w:ind w:left="1843" w:hanging="426"/>
        <w:rPr>
          <w:rFonts w:ascii="Arial" w:hAnsi="Arial" w:cs="Arial"/>
          <w:noProof/>
          <w:lang w:val="en-GB"/>
        </w:rPr>
      </w:pPr>
      <w:r>
        <w:rPr>
          <w:rFonts w:ascii="Arial" w:hAnsi="Arial" w:cs="Arial"/>
          <w:noProof/>
          <w:lang w:val="en-GB"/>
        </w:rPr>
        <w:t>non-compliant transposition of the Waste Framework Directive;</w:t>
      </w:r>
      <w:r>
        <w:rPr>
          <w:rStyle w:val="FootnoteReference"/>
          <w:noProof/>
        </w:rPr>
        <w:footnoteReference w:id="243"/>
      </w:r>
    </w:p>
    <w:p>
      <w:pPr>
        <w:pStyle w:val="Lijstje2"/>
        <w:spacing w:after="200"/>
        <w:ind w:left="1843" w:hanging="426"/>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244"/>
      </w:r>
    </w:p>
    <w:p>
      <w:pPr>
        <w:pStyle w:val="Lijstje2"/>
        <w:spacing w:after="200"/>
        <w:ind w:left="1843" w:hanging="425"/>
        <w:rPr>
          <w:rFonts w:ascii="Arial" w:hAnsi="Arial" w:cs="Arial"/>
          <w:noProof/>
          <w:lang w:val="en-GB"/>
        </w:rPr>
      </w:pPr>
      <w:r>
        <w:rPr>
          <w:rFonts w:ascii="Arial" w:hAnsi="Arial" w:cs="Arial"/>
          <w:noProof/>
          <w:lang w:val="en-GB"/>
        </w:rPr>
        <w:t>failure to correctly implement the Airport Charges Directive;</w:t>
      </w:r>
      <w:r>
        <w:rPr>
          <w:rStyle w:val="FootnoteReference"/>
          <w:rFonts w:ascii="Arial" w:hAnsi="Arial" w:cs="Arial"/>
          <w:noProof/>
          <w:lang w:val="en-GB"/>
        </w:rPr>
        <w:footnoteReference w:id="245"/>
      </w:r>
    </w:p>
    <w:p>
      <w:pPr>
        <w:pStyle w:val="Lijstje2"/>
        <w:spacing w:after="200"/>
        <w:ind w:left="1843" w:hanging="425"/>
        <w:rPr>
          <w:rFonts w:ascii="Arial" w:hAnsi="Arial" w:cs="Arial"/>
          <w:noProof/>
          <w:lang w:val="en-GB"/>
        </w:rPr>
      </w:pPr>
      <w:r>
        <w:rPr>
          <w:rFonts w:ascii="Arial" w:hAnsi="Arial" w:cs="Arial"/>
          <w:noProof/>
          <w:lang w:val="en-GB"/>
        </w:rPr>
        <w:t xml:space="preserve">failure to </w:t>
      </w:r>
      <w:r>
        <w:rPr>
          <w:rFonts w:ascii="Arial" w:hAnsi="Arial" w:cs="Arial"/>
          <w:bCs/>
          <w:noProof/>
          <w:lang w:val="en-GB"/>
        </w:rPr>
        <w:t>transpose amendments to EU legislation on ship inspection and survey organisations;</w:t>
      </w:r>
      <w:r>
        <w:rPr>
          <w:rStyle w:val="FootnoteReference"/>
          <w:rFonts w:ascii="Arial" w:hAnsi="Arial" w:cs="Arial"/>
          <w:bCs/>
          <w:noProof/>
          <w:lang w:val="en-GB"/>
        </w:rPr>
        <w:footnoteReference w:id="246"/>
      </w:r>
    </w:p>
    <w:p>
      <w:pPr>
        <w:pStyle w:val="Lijstje2"/>
        <w:spacing w:after="200"/>
        <w:ind w:left="1843" w:hanging="425"/>
        <w:rPr>
          <w:rFonts w:ascii="Arial" w:hAnsi="Arial" w:cs="Arial"/>
          <w:noProof/>
          <w:lang w:val="en-GB"/>
        </w:rPr>
      </w:pPr>
      <w:r>
        <w:rPr>
          <w:rFonts w:ascii="Arial" w:hAnsi="Arial" w:cs="Arial"/>
          <w:noProof/>
          <w:lang w:val="en-GB"/>
        </w:rPr>
        <w:t>non-communication of national measures transposing the Maritime Spatial Planning Directive;</w:t>
      </w:r>
      <w:r>
        <w:rPr>
          <w:rStyle w:val="FootnoteReference"/>
          <w:noProof/>
        </w:rPr>
        <w:footnoteReference w:id="247"/>
      </w:r>
      <w:r>
        <w:rPr>
          <w:rFonts w:ascii="Arial" w:hAnsi="Arial" w:cs="Arial"/>
          <w:noProof/>
          <w:lang w:val="en-GB"/>
        </w:rPr>
        <w:t xml:space="preserve"> </w:t>
      </w:r>
    </w:p>
    <w:p>
      <w:pPr>
        <w:pStyle w:val="Lijstje2"/>
        <w:spacing w:after="200"/>
        <w:ind w:left="1843" w:hanging="426"/>
        <w:rPr>
          <w:rFonts w:ascii="Arial" w:hAnsi="Arial" w:cs="Arial"/>
          <w:noProof/>
          <w:lang w:val="en-GB"/>
        </w:rPr>
      </w:pPr>
      <w:r>
        <w:rPr>
          <w:rFonts w:ascii="Arial" w:hAnsi="Arial" w:cs="Arial"/>
          <w:noProof/>
          <w:lang w:val="en-GB"/>
        </w:rPr>
        <w:t>failure to transpose in full the three Directives on public procurement and concessions;</w:t>
      </w:r>
      <w:r>
        <w:rPr>
          <w:rStyle w:val="FootnoteReference"/>
          <w:rFonts w:ascii="Arial" w:hAnsi="Arial" w:cs="Arial"/>
          <w:noProof/>
          <w:lang w:val="en-GB"/>
        </w:rPr>
        <w:footnoteReference w:id="248"/>
      </w:r>
    </w:p>
    <w:p>
      <w:pPr>
        <w:pStyle w:val="Lijstje2"/>
        <w:spacing w:after="200"/>
        <w:ind w:left="1843" w:hanging="426"/>
        <w:rPr>
          <w:rFonts w:ascii="Arial" w:hAnsi="Arial" w:cs="Arial"/>
          <w:noProof/>
          <w:lang w:val="en-GB"/>
        </w:rPr>
      </w:pPr>
      <w:r>
        <w:rPr>
          <w:rFonts w:ascii="Arial" w:hAnsi="Arial" w:cs="Arial"/>
          <w:noProof/>
          <w:lang w:val="en-GB"/>
        </w:rPr>
        <w:t>illegal spring hunting of male eiders in the province of Åland, in breach of the Birds Directive;</w:t>
      </w:r>
      <w:r>
        <w:rPr>
          <w:rStyle w:val="FootnoteReference"/>
          <w:rFonts w:ascii="Arial" w:hAnsi="Arial" w:cs="Arial"/>
          <w:noProof/>
          <w:lang w:val="en-GB"/>
        </w:rPr>
        <w:footnoteReference w:id="249"/>
      </w:r>
    </w:p>
    <w:p>
      <w:pPr>
        <w:pStyle w:val="Lijstje2"/>
        <w:spacing w:after="200"/>
        <w:ind w:left="1843" w:hanging="426"/>
        <w:rPr>
          <w:rFonts w:ascii="Arial" w:hAnsi="Arial" w:cs="Arial"/>
          <w:noProof/>
          <w:lang w:val="en-GB"/>
        </w:rPr>
      </w:pPr>
      <w:r>
        <w:rPr>
          <w:rFonts w:ascii="Arial" w:hAnsi="Arial" w:cs="Arial"/>
          <w:noProof/>
          <w:lang w:val="en-GB"/>
        </w:rPr>
        <w:t>non-communication of national measures transposing the Seveso III Directive;</w:t>
      </w:r>
      <w:r>
        <w:rPr>
          <w:rStyle w:val="FootnoteReference"/>
          <w:rFonts w:ascii="Arial" w:hAnsi="Arial" w:cs="Arial"/>
          <w:noProof/>
          <w:lang w:val="en-GB"/>
        </w:rPr>
        <w:footnoteReference w:id="250"/>
      </w:r>
    </w:p>
    <w:p>
      <w:pPr>
        <w:pStyle w:val="Lijstje2"/>
        <w:spacing w:after="200"/>
        <w:ind w:left="1843" w:hanging="426"/>
        <w:rPr>
          <w:rFonts w:ascii="Arial" w:hAnsi="Arial" w:cs="Arial"/>
          <w:noProof/>
          <w:lang w:val="en-GB"/>
        </w:rPr>
      </w:pPr>
      <w:r>
        <w:rPr>
          <w:rFonts w:ascii="Arial" w:hAnsi="Arial" w:cs="Arial"/>
          <w:noProof/>
          <w:lang w:val="en-GB"/>
        </w:rPr>
        <w:t>non-compliant transposition of the Directive on public access to environmental information;</w:t>
      </w:r>
      <w:r>
        <w:rPr>
          <w:rStyle w:val="FootnoteReference"/>
          <w:rFonts w:ascii="Arial" w:hAnsi="Arial" w:cs="Arial"/>
          <w:noProof/>
          <w:lang w:val="en-GB"/>
        </w:rPr>
        <w:footnoteReference w:id="251"/>
      </w:r>
    </w:p>
    <w:p>
      <w:pPr>
        <w:pStyle w:val="Lijstje2"/>
        <w:ind w:left="1843" w:hanging="425"/>
        <w:rPr>
          <w:rFonts w:ascii="Arial" w:hAnsi="Arial" w:cs="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Fonts w:ascii="Arial" w:hAnsi="Arial" w:cs="Arial"/>
          <w:noProof/>
          <w:lang w:val="en-GB"/>
        </w:rPr>
        <w:t>.</w:t>
      </w:r>
      <w:r>
        <w:rPr>
          <w:rStyle w:val="FootnoteReference"/>
          <w:rFonts w:ascii="Arial" w:hAnsi="Arial" w:cs="Arial"/>
          <w:noProof/>
          <w:lang w:val="en-GB"/>
        </w:rPr>
        <w:footnoteReference w:id="252"/>
      </w:r>
    </w:p>
    <w:p>
      <w:pPr>
        <w:pStyle w:val="Lijstje"/>
        <w:numPr>
          <w:ilvl w:val="0"/>
          <w:numId w:val="2"/>
        </w:numPr>
        <w:ind w:hanging="426"/>
        <w:rPr>
          <w:rFonts w:ascii="Arial" w:hAnsi="Arial" w:cs="Arial"/>
          <w:noProof/>
          <w:lang w:val="en-GB"/>
        </w:rPr>
      </w:pPr>
      <w:r>
        <w:rPr>
          <w:rFonts w:ascii="Arial" w:hAnsi="Arial" w:cs="Arial"/>
          <w:noProof/>
          <w:lang w:val="en-GB"/>
        </w:rPr>
        <w:t>The Commission referred one case to the Court under Article 258 TFEU. It concerns:</w:t>
      </w:r>
    </w:p>
    <w:p>
      <w:pPr>
        <w:pStyle w:val="Lijstje2"/>
        <w:ind w:left="1843" w:hanging="426"/>
        <w:rPr>
          <w:rFonts w:ascii="Arial" w:hAnsi="Arial" w:cs="Arial"/>
          <w:noProof/>
          <w:lang w:val="en-GB"/>
        </w:rPr>
      </w:pPr>
      <w:r>
        <w:rPr>
          <w:rFonts w:ascii="Arial" w:hAnsi="Arial" w:cs="Arial"/>
          <w:noProof/>
          <w:lang w:val="en-GB"/>
        </w:rPr>
        <w:t>failure to correctly transpose EU rules on driving licences.</w:t>
      </w:r>
      <w:r>
        <w:rPr>
          <w:rStyle w:val="FootnoteReference"/>
          <w:noProof/>
        </w:rPr>
        <w:footnoteReference w:id="253"/>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173"/>
        </w:numPr>
        <w:rPr>
          <w:noProof/>
        </w:rPr>
      </w:pPr>
      <w:r>
        <w:rPr>
          <w:noProof/>
        </w:rPr>
        <w:t>Late transposition infringement cases against Finland open on 31 December (2012-2016)</w:t>
      </w:r>
    </w:p>
    <w:p>
      <w:pPr>
        <w:ind w:left="426" w:firstLine="283"/>
        <w:rPr>
          <w:noProof/>
        </w:rPr>
      </w:pPr>
      <w:r>
        <w:rPr>
          <w:noProof/>
          <w:lang w:val="en-US"/>
        </w:rPr>
        <w:drawing>
          <wp:inline distT="0" distB="0" distL="0" distR="0">
            <wp:extent cx="4610100" cy="2133600"/>
            <wp:effectExtent l="0" t="0" r="19050" b="19050"/>
            <wp:docPr id="86"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p>
      <w:pPr>
        <w:pStyle w:val="Subtitle"/>
        <w:numPr>
          <w:ilvl w:val="0"/>
          <w:numId w:val="23"/>
        </w:numPr>
        <w:rPr>
          <w:noProof/>
        </w:rPr>
      </w:pPr>
      <w:r>
        <w:rPr>
          <w:noProof/>
        </w:rPr>
        <w:t>New late transposition infringement cases against Finland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0100" cy="2080260"/>
            <wp:effectExtent l="0" t="0" r="19050" b="15240"/>
            <wp:docPr id="87"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362200"/>
            <wp:effectExtent l="0" t="0" r="22860" b="19050"/>
            <wp:docPr id="88"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pStyle w:val="Lijstje2"/>
        <w:spacing w:after="200"/>
        <w:ind w:left="1276" w:hanging="283"/>
        <w:rPr>
          <w:rFonts w:ascii="Arial" w:hAnsi="Arial" w:cs="Arial"/>
          <w:noProof/>
          <w:lang w:val="en-GB"/>
        </w:rPr>
      </w:pPr>
      <w:r>
        <w:rPr>
          <w:rFonts w:ascii="Arial" w:eastAsia="Times New Roman" w:hAnsi="Arial" w:cs="Arial"/>
          <w:noProof/>
          <w:kern w:val="0"/>
          <w:lang w:val="en-GB"/>
        </w:rPr>
        <w:t>failure to apply correctly the Directive on the protection of pigs as regards group housing of sows;</w:t>
      </w:r>
      <w:r>
        <w:rPr>
          <w:rStyle w:val="FootnoteReference"/>
          <w:noProof/>
        </w:rPr>
        <w:footnoteReference w:id="254"/>
      </w:r>
    </w:p>
    <w:p>
      <w:pPr>
        <w:pStyle w:val="Lijstje2"/>
        <w:spacing w:after="200"/>
        <w:ind w:left="1276" w:hanging="283"/>
        <w:rPr>
          <w:rFonts w:ascii="Arial" w:hAnsi="Arial" w:cs="Arial"/>
          <w:noProof/>
          <w:lang w:val="en-GB"/>
        </w:rPr>
      </w:pPr>
      <w:r>
        <w:rPr>
          <w:rFonts w:ascii="Arial" w:hAnsi="Arial" w:cs="Arial"/>
          <w:noProof/>
          <w:lang w:val="en-GB"/>
        </w:rPr>
        <w:t>incorrect transposition of the Water Framework Directive;</w:t>
      </w:r>
      <w:r>
        <w:rPr>
          <w:rStyle w:val="FootnoteReference"/>
          <w:noProof/>
        </w:rPr>
        <w:footnoteReference w:id="255"/>
      </w:r>
      <w:r>
        <w:rPr>
          <w:rFonts w:ascii="Arial" w:hAnsi="Arial" w:cs="Arial"/>
          <w:noProof/>
          <w:lang w:val="en-GB"/>
        </w:rPr>
        <w:t xml:space="preserve"> </w:t>
      </w:r>
    </w:p>
    <w:p>
      <w:pPr>
        <w:pStyle w:val="Lijstje2"/>
        <w:numPr>
          <w:ilvl w:val="0"/>
          <w:numId w:val="251"/>
        </w:numPr>
        <w:spacing w:after="200"/>
        <w:rPr>
          <w:rFonts w:ascii="Arial" w:hAnsi="Arial" w:cs="Arial"/>
          <w:noProof/>
          <w:lang w:val="en-GB"/>
        </w:rPr>
      </w:pPr>
      <w:r>
        <w:rPr>
          <w:rFonts w:ascii="Arial" w:hAnsi="Arial" w:cs="Arial"/>
          <w:noProof/>
          <w:lang w:val="en-GB"/>
        </w:rPr>
        <w:t>notification of all national measures necessary to transpose the Capital Requirements Directive</w:t>
      </w:r>
      <w:r>
        <w:rPr>
          <w:rStyle w:val="FootnoteReference"/>
          <w:rFonts w:ascii="Arial" w:hAnsi="Arial" w:cs="Arial"/>
          <w:noProof/>
          <w:lang w:val="en-GB"/>
        </w:rPr>
        <w:footnoteReference w:id="256"/>
      </w:r>
      <w:r>
        <w:rPr>
          <w:rFonts w:ascii="Arial" w:hAnsi="Arial" w:cs="Arial"/>
          <w:noProof/>
          <w:lang w:val="en-GB"/>
        </w:rPr>
        <w:t xml:space="preserve"> and the Bank Resolution and Recovery Directive;</w:t>
      </w:r>
      <w:r>
        <w:rPr>
          <w:rStyle w:val="FootnoteReference"/>
          <w:rFonts w:ascii="Arial" w:hAnsi="Arial" w:cs="Arial"/>
          <w:noProof/>
          <w:lang w:val="en-GB"/>
        </w:rPr>
        <w:footnoteReference w:id="257"/>
      </w:r>
    </w:p>
    <w:p>
      <w:pPr>
        <w:pStyle w:val="Lijstje2"/>
        <w:spacing w:after="200"/>
        <w:ind w:left="1276" w:hanging="283"/>
        <w:rPr>
          <w:rFonts w:ascii="Arial" w:eastAsia="Times New Roman" w:hAnsi="Arial" w:cs="Arial"/>
          <w:noProof/>
          <w:kern w:val="0"/>
          <w:lang w:val="en-GB"/>
        </w:rPr>
      </w:pPr>
      <w:r>
        <w:rPr>
          <w:rFonts w:ascii="Arial" w:hAnsi="Arial" w:cs="Arial"/>
          <w:noProof/>
          <w:lang w:val="en-GB"/>
        </w:rPr>
        <w:t>failure to fulfil obligations under the Directive on driving licences</w:t>
      </w:r>
      <w:r>
        <w:rPr>
          <w:rFonts w:ascii="Arial" w:eastAsia="Times New Roman" w:hAnsi="Arial"/>
          <w:noProof/>
          <w:kern w:val="0"/>
          <w:lang w:val="en-GB"/>
        </w:rPr>
        <w:t>;</w:t>
      </w:r>
      <w:r>
        <w:rPr>
          <w:rStyle w:val="FootnoteReference"/>
          <w:noProof/>
        </w:rPr>
        <w:footnoteReference w:id="258"/>
      </w:r>
    </w:p>
    <w:p>
      <w:pPr>
        <w:pStyle w:val="Lijstje2"/>
        <w:spacing w:after="200"/>
        <w:ind w:left="1276" w:hanging="283"/>
        <w:rPr>
          <w:rFonts w:ascii="Arial" w:hAnsi="Arial" w:cs="Arial"/>
          <w:noProof/>
          <w:lang w:val="en-GB"/>
        </w:rPr>
      </w:pPr>
      <w:r>
        <w:rPr>
          <w:rFonts w:ascii="Arial" w:hAnsi="Arial"/>
          <w:noProof/>
          <w:lang w:val="en-GB"/>
        </w:rPr>
        <w:t>non-compliance with the rules on access to the occupation of road transport operator and with rules on cabotage.</w:t>
      </w:r>
      <w:r>
        <w:rPr>
          <w:rStyle w:val="FootnoteReference"/>
          <w:noProof/>
        </w:rPr>
        <w:footnoteReference w:id="259"/>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174"/>
        </w:numPr>
        <w:rPr>
          <w:noProof/>
        </w:rPr>
      </w:pPr>
      <w:r>
        <w:rPr>
          <w:noProof/>
        </w:rPr>
        <w:t>Court rulings</w:t>
      </w:r>
      <w:r>
        <w:rPr>
          <w:rStyle w:val="FootnoteReference"/>
          <w:noProof/>
        </w:rPr>
        <w:footnoteReference w:id="260"/>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786" w:firstLine="0"/>
        <w:rPr>
          <w:noProof/>
          <w:lang w:val="en-GB"/>
        </w:rPr>
      </w:pPr>
      <w:r>
        <w:rPr>
          <w:noProof/>
          <w:lang w:val="en-GB"/>
        </w:rPr>
        <w:t>In preliminary rulings addressed to the Finnish judiciary, the Court held that:</w:t>
      </w:r>
    </w:p>
    <w:p>
      <w:pPr>
        <w:pStyle w:val="Lijstje2"/>
        <w:ind w:left="1276"/>
        <w:rPr>
          <w:rFonts w:ascii="Arial" w:hAnsi="Arial" w:cs="Arial"/>
          <w:noProof/>
          <w:lang w:val="en-GB"/>
        </w:rPr>
      </w:pPr>
      <w:r>
        <w:rPr>
          <w:rFonts w:ascii="Arial" w:hAnsi="Arial" w:cs="Arial"/>
          <w:noProof/>
          <w:lang w:val="en-GB"/>
        </w:rPr>
        <w:t>a separation between a programme’s closing credits and advertising can be made spatially and not necessarily also optically or acoustically, as long as the advertising remains readily recognisable and distinguishable from editorial content. The Court also held that sponsorship announcements not placed at the beginning or end of a programme, as well as so-called black seconds that briefly separate one advertising spot from another, must be counted within the hourly limit for advertising;</w:t>
      </w:r>
      <w:r>
        <w:rPr>
          <w:rStyle w:val="FootnoteReference"/>
          <w:noProof/>
        </w:rPr>
        <w:footnoteReference w:id="261"/>
      </w:r>
    </w:p>
    <w:p>
      <w:pPr>
        <w:numPr>
          <w:ilvl w:val="0"/>
          <w:numId w:val="4"/>
        </w:numPr>
        <w:spacing w:after="200" w:line="276" w:lineRule="auto"/>
        <w:ind w:left="1276"/>
        <w:contextualSpacing/>
        <w:rPr>
          <w:rFonts w:ascii="Arial" w:eastAsia="Calibri" w:hAnsi="Arial" w:cs="Arial"/>
          <w:noProof/>
          <w:kern w:val="20"/>
          <w:sz w:val="20"/>
        </w:rPr>
      </w:pPr>
      <w:r>
        <w:rPr>
          <w:rFonts w:ascii="Arial" w:eastAsia="Calibri" w:hAnsi="Arial" w:cs="Arial"/>
          <w:noProof/>
          <w:kern w:val="20"/>
          <w:sz w:val="20"/>
        </w:rPr>
        <w:t>when assessing whether the name of a spirit drink can be classified as an ‘evocation’ of a protected geographical indication, national courts must refer to the perception of the average European consumer who is reasonably well informed, observant and circumspect, and must take into consideration the phonetic and visual relationship between the names concerned and any evidence showing that such a relationship is not fortuitous. Evocation may exist even in the absence of any likelihood of confusion between the products concerned. The Court clarified these aspects in a case about the marketing of a Finnish spirit drink named ‘Verlados’.</w:t>
      </w:r>
      <w:r>
        <w:rPr>
          <w:rStyle w:val="FootnoteReference"/>
          <w:rFonts w:eastAsia="Calibri"/>
          <w:noProof/>
        </w:rPr>
        <w:footnoteReference w:id="262"/>
      </w:r>
    </w:p>
    <w:p>
      <w:pPr>
        <w:spacing w:after="0"/>
        <w:jc w:val="left"/>
        <w:rPr>
          <w:noProof/>
        </w:rPr>
        <w:sectPr>
          <w:headerReference w:type="even" r:id="rId230"/>
          <w:headerReference w:type="default" r:id="rId231"/>
          <w:footerReference w:type="even" r:id="rId232"/>
          <w:footerReference w:type="default" r:id="rId233"/>
          <w:headerReference w:type="first" r:id="rId234"/>
          <w:footerReference w:type="first" r:id="rId235"/>
          <w:footnotePr>
            <w:numRestart w:val="eachSect"/>
          </w:footnotePr>
          <w:pgSz w:w="11906" w:h="16838"/>
          <w:pgMar w:top="1701" w:right="1417" w:bottom="1134" w:left="1417" w:header="567" w:footer="351" w:gutter="0"/>
          <w:cols w:space="708"/>
          <w:titlePg/>
          <w:docGrid w:linePitch="360"/>
        </w:sectPr>
      </w:pPr>
    </w:p>
    <w:p>
      <w:pPr>
        <w:pStyle w:val="Heading1"/>
        <w:rPr>
          <w:noProof/>
        </w:rPr>
      </w:pPr>
      <w:bookmarkStart w:id="54" w:name="_Toc477938609"/>
      <w:r>
        <w:rPr>
          <w:noProof/>
        </w:rPr>
        <w:t>Sweden</w:t>
      </w:r>
      <w:bookmarkEnd w:id="51"/>
      <w:bookmarkEnd w:id="52"/>
      <w:bookmarkEnd w:id="53"/>
      <w:bookmarkEnd w:id="54"/>
    </w:p>
    <w:p>
      <w:pPr>
        <w:spacing w:after="120"/>
        <w:rPr>
          <w:rFonts w:ascii="Arial" w:hAnsi="Arial" w:cs="Arial"/>
          <w:i/>
          <w:noProof/>
          <w:sz w:val="22"/>
          <w:szCs w:val="22"/>
        </w:rPr>
      </w:pPr>
      <w:r>
        <w:rPr>
          <w:rFonts w:ascii="Arial" w:hAnsi="Arial"/>
          <w:i/>
          <w:noProof/>
          <w:sz w:val="22"/>
        </w:rPr>
        <w:t>New complaints against Sweden jumped in 2016 to their highest level since 2012, and new EU Pilot files rose slightly after falling for 2 years. Open infringement cases continued to increase, reaching a five-year peak. The number of new cases for late transposition fell slightly after the previous year's sharp rise.</w:t>
      </w:r>
    </w:p>
    <w:p>
      <w:pPr>
        <w:pStyle w:val="kop2"/>
        <w:numPr>
          <w:ilvl w:val="0"/>
          <w:numId w:val="20"/>
        </w:numPr>
        <w:rPr>
          <w:noProof/>
        </w:rPr>
      </w:pPr>
      <w:r>
        <w:rPr>
          <w:noProof/>
        </w:rPr>
        <w:t>COMPLAINTS</w:t>
      </w:r>
    </w:p>
    <w:p>
      <w:pPr>
        <w:pStyle w:val="Subtitle"/>
        <w:numPr>
          <w:ilvl w:val="0"/>
          <w:numId w:val="89"/>
        </w:numPr>
        <w:rPr>
          <w:noProof/>
        </w:rPr>
      </w:pPr>
      <w:r>
        <w:rPr>
          <w:noProof/>
        </w:rPr>
        <w:t>New complaints made against Sweden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93771" cy="2465614"/>
            <wp:effectExtent l="0" t="0" r="16510" b="11430"/>
            <wp:docPr id="1058"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p>
    <w:p>
      <w:pPr>
        <w:pStyle w:val="Subtitle"/>
        <w:numPr>
          <w:ilvl w:val="0"/>
          <w:numId w:val="89"/>
        </w:numPr>
        <w:rPr>
          <w:noProof/>
        </w:rPr>
      </w:pPr>
      <w:r>
        <w:rPr>
          <w:noProof/>
        </w:rPr>
        <w:t>Public complaints against Sweden open at year-end</w:t>
      </w:r>
    </w:p>
    <w:tbl>
      <w:tblPr>
        <w:tblStyle w:val="Style126"/>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80</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106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97</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89</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89"/>
        </w:numPr>
        <w:rPr>
          <w:noProof/>
        </w:rPr>
      </w:pPr>
      <w:r>
        <w:rPr>
          <w:noProof/>
        </w:rPr>
        <w:t>New complaints registered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17720" cy="2293620"/>
            <wp:effectExtent l="0" t="0" r="11430" b="11430"/>
            <wp:docPr id="1059"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90"/>
        </w:numPr>
        <w:rPr>
          <w:noProof/>
        </w:rPr>
      </w:pPr>
      <w:r>
        <w:rPr>
          <w:noProof/>
        </w:rPr>
        <w:t>New EU Pilot files opened against Sweden (2011-2016)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66557" cy="2188029"/>
            <wp:effectExtent l="0" t="0" r="24765" b="22225"/>
            <wp:docPr id="106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p>
    <w:p>
      <w:pPr>
        <w:pStyle w:val="Subtitle"/>
        <w:numPr>
          <w:ilvl w:val="0"/>
          <w:numId w:val="89"/>
        </w:numPr>
        <w:rPr>
          <w:noProof/>
        </w:rPr>
      </w:pPr>
      <w:r>
        <w:rPr>
          <w:noProof/>
        </w:rPr>
        <w:t>Files relating to Sweden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66557" cy="2188029"/>
            <wp:effectExtent l="0" t="0" r="24765" b="22225"/>
            <wp:docPr id="17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p>
    <w:p>
      <w:pPr>
        <w:pStyle w:val="Subtitle"/>
        <w:numPr>
          <w:ilvl w:val="0"/>
          <w:numId w:val="89"/>
        </w:numPr>
        <w:rPr>
          <w:noProof/>
        </w:rPr>
      </w:pPr>
      <w:r>
        <w:rPr>
          <w:noProof/>
        </w:rPr>
        <w:t>New EU Pilot files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23160"/>
            <wp:effectExtent l="0" t="0" r="15240" b="15240"/>
            <wp:docPr id="1061"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89"/>
        </w:numPr>
        <w:rPr>
          <w:noProof/>
        </w:rPr>
      </w:pPr>
      <w:r>
        <w:rPr>
          <w:noProof/>
        </w:rPr>
        <w:t>EU Pilot files: Sweden’s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732314"/>
            <wp:effectExtent l="0" t="0" r="22225" b="11430"/>
            <wp:docPr id="106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pPr>
        <w:pStyle w:val="Subtitle"/>
        <w:numPr>
          <w:ilvl w:val="0"/>
          <w:numId w:val="89"/>
        </w:numPr>
        <w:rPr>
          <w:noProof/>
        </w:rPr>
      </w:pPr>
      <w:r>
        <w:rPr>
          <w:noProof/>
        </w:rPr>
        <w:t>EU Pilot files: Sweden’s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1871" cy="2345872"/>
            <wp:effectExtent l="0" t="0" r="16510" b="16510"/>
            <wp:docPr id="1063"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91"/>
        </w:numPr>
        <w:rPr>
          <w:noProof/>
        </w:rPr>
      </w:pPr>
      <w:r>
        <w:rPr>
          <w:noProof/>
        </w:rPr>
        <w:t>Infringement cases against Sweden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278380"/>
            <wp:effectExtent l="0" t="0" r="22860" b="26670"/>
            <wp:docPr id="1064"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080" cy="2280920"/>
            <wp:effectExtent l="0" t="0" r="13970" b="24130"/>
            <wp:docPr id="1065"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13"/>
        </w:numPr>
        <w:ind w:hanging="426"/>
        <w:rPr>
          <w:rFonts w:ascii="Arial" w:hAnsi="Arial" w:cs="Arial"/>
          <w:noProof/>
          <w:lang w:val="en-GB"/>
        </w:rPr>
      </w:pPr>
      <w:r>
        <w:rPr>
          <w:rFonts w:ascii="Arial" w:hAnsi="Arial" w:cs="Arial"/>
          <w:noProof/>
          <w:lang w:val="en-GB"/>
        </w:rPr>
        <w:t>The Commission opened 24 new infringement cases against Sweden in 2016. These, and other major ongoing infringement cases, include:</w:t>
      </w:r>
    </w:p>
    <w:p>
      <w:pPr>
        <w:pStyle w:val="Lijstje2"/>
        <w:spacing w:after="200"/>
        <w:ind w:left="1843" w:hanging="426"/>
        <w:rPr>
          <w:rFonts w:ascii="Arial" w:hAnsi="Arial" w:cs="Arial"/>
          <w:noProof/>
          <w:lang w:val="en-GB"/>
        </w:rPr>
      </w:pPr>
      <w:r>
        <w:rPr>
          <w:rFonts w:ascii="Arial" w:hAnsi="Arial" w:cs="Arial"/>
          <w:noProof/>
          <w:lang w:val="en-GB"/>
        </w:rPr>
        <w:t xml:space="preserve">failure to notify measures transposing the Tobacco Directive; </w:t>
      </w:r>
      <w:r>
        <w:rPr>
          <w:rStyle w:val="FootnoteReference"/>
          <w:rFonts w:ascii="Arial" w:hAnsi="Arial" w:cs="Arial"/>
          <w:noProof/>
          <w:lang w:val="en-GB"/>
        </w:rPr>
        <w:footnoteReference w:id="263"/>
      </w:r>
    </w:p>
    <w:p>
      <w:pPr>
        <w:pStyle w:val="Lijstje2"/>
        <w:spacing w:after="200"/>
        <w:ind w:left="1843" w:hanging="426"/>
        <w:rPr>
          <w:rFonts w:ascii="Arial" w:hAnsi="Arial" w:cs="Arial"/>
          <w:noProof/>
          <w:lang w:val="en-GB"/>
        </w:rPr>
      </w:pPr>
      <w:r>
        <w:rPr>
          <w:rFonts w:ascii="Arial" w:hAnsi="Arial" w:cs="Arial"/>
          <w:noProof/>
          <w:lang w:val="en-GB"/>
        </w:rPr>
        <w:t>non-complaint transposition of the Waste Framework Directive</w:t>
      </w:r>
      <w:r>
        <w:rPr>
          <w:rStyle w:val="FootnoteReference"/>
          <w:noProof/>
          <w:lang w:val="en-GB"/>
        </w:rPr>
        <w:footnoteReference w:id="264"/>
      </w:r>
      <w:r>
        <w:rPr>
          <w:rFonts w:ascii="Arial" w:hAnsi="Arial" w:cs="Arial"/>
          <w:noProof/>
          <w:lang w:val="en-GB"/>
        </w:rPr>
        <w:t xml:space="preserve"> and </w:t>
      </w:r>
      <w:r>
        <w:rPr>
          <w:rFonts w:ascii="Arial" w:eastAsia="Times New Roman" w:hAnsi="Arial" w:cs="Arial"/>
          <w:noProof/>
          <w:kern w:val="0"/>
          <w:lang w:val="en-GB"/>
        </w:rPr>
        <w:t>the Water Framework Directive;</w:t>
      </w:r>
      <w:r>
        <w:rPr>
          <w:rStyle w:val="FootnoteReference"/>
          <w:noProof/>
        </w:rPr>
        <w:footnoteReference w:id="265"/>
      </w:r>
    </w:p>
    <w:p>
      <w:pPr>
        <w:pStyle w:val="Lijstje2"/>
        <w:spacing w:after="200"/>
        <w:ind w:left="1843" w:hanging="425"/>
        <w:rPr>
          <w:rFonts w:ascii="Arial" w:hAnsi="Arial" w:cs="Arial"/>
          <w:noProof/>
          <w:lang w:val="en-GB"/>
        </w:rPr>
      </w:pPr>
      <w:r>
        <w:rPr>
          <w:rFonts w:ascii="Arial" w:hAnsi="Arial" w:cs="Arial"/>
          <w:noProof/>
          <w:lang w:val="en-GB"/>
        </w:rPr>
        <w:t>failure to communicate all national measures transposing the Mortgage Credit Directive;</w:t>
      </w:r>
      <w:r>
        <w:rPr>
          <w:rStyle w:val="FootnoteReference"/>
          <w:rFonts w:ascii="Arial" w:hAnsi="Arial" w:cs="Arial"/>
          <w:noProof/>
          <w:lang w:val="en-GB"/>
        </w:rPr>
        <w:footnoteReference w:id="266"/>
      </w:r>
    </w:p>
    <w:p>
      <w:pPr>
        <w:pStyle w:val="Lijstje2"/>
        <w:spacing w:after="200"/>
        <w:ind w:left="1843" w:hanging="425"/>
        <w:rPr>
          <w:rFonts w:ascii="Arial" w:hAnsi="Arial" w:cs="Arial"/>
          <w:noProof/>
          <w:lang w:val="en-GB"/>
        </w:rPr>
      </w:pPr>
      <w:r>
        <w:rPr>
          <w:rFonts w:ascii="Arial" w:hAnsi="Arial" w:cs="Arial"/>
          <w:noProof/>
          <w:lang w:val="en-GB"/>
        </w:rPr>
        <w:t>bilateral investment treaties signed before all state parties became members of the EU and which now overlap and conflict with the EU single market on cross-border investments;</w:t>
      </w:r>
      <w:r>
        <w:rPr>
          <w:rStyle w:val="FootnoteReference"/>
          <w:noProof/>
          <w:lang w:val="en-GB"/>
        </w:rPr>
        <w:footnoteReference w:id="267"/>
      </w:r>
    </w:p>
    <w:p>
      <w:pPr>
        <w:pStyle w:val="Lijstje2"/>
        <w:spacing w:after="200"/>
        <w:ind w:left="1843" w:hanging="425"/>
        <w:rPr>
          <w:rFonts w:ascii="Arial" w:hAnsi="Arial" w:cs="Arial"/>
          <w:i/>
          <w:noProof/>
          <w:lang w:val="en-GB"/>
        </w:rPr>
      </w:pPr>
      <w:r>
        <w:rPr>
          <w:rFonts w:ascii="Arial" w:hAnsi="Arial" w:cs="Arial"/>
          <w:noProof/>
          <w:lang w:val="en-GB"/>
        </w:rPr>
        <w:t>failure to correctly implement the Airport Charges Directive;</w:t>
      </w:r>
      <w:r>
        <w:rPr>
          <w:rStyle w:val="FootnoteReference"/>
          <w:rFonts w:ascii="Arial" w:hAnsi="Arial" w:cs="Arial"/>
          <w:noProof/>
          <w:lang w:val="en-GB"/>
        </w:rPr>
        <w:footnoteReference w:id="268"/>
      </w:r>
    </w:p>
    <w:p>
      <w:pPr>
        <w:pStyle w:val="Lijstje2"/>
        <w:ind w:left="1843" w:hanging="426"/>
        <w:rPr>
          <w:rFonts w:ascii="Arial" w:hAnsi="Arial"/>
          <w:noProof/>
          <w:lang w:val="en-GB"/>
        </w:rPr>
      </w:pPr>
      <w:r>
        <w:rPr>
          <w:rFonts w:ascii="Arial" w:hAnsi="Arial"/>
          <w:noProof/>
          <w:lang w:val="en-GB"/>
        </w:rPr>
        <w:t>failure to correctly transpose the Directive on driving licences;</w:t>
      </w:r>
      <w:r>
        <w:rPr>
          <w:rStyle w:val="FootnoteReference"/>
          <w:rFonts w:ascii="Arial" w:hAnsi="Arial"/>
          <w:noProof/>
          <w:lang w:val="en-GB"/>
        </w:rPr>
        <w:footnoteReference w:id="269"/>
      </w:r>
    </w:p>
    <w:p>
      <w:pPr>
        <w:pStyle w:val="Lijstje2"/>
        <w:ind w:left="1843" w:hanging="425"/>
        <w:rPr>
          <w:rFonts w:ascii="Arial" w:hAnsi="Arial" w:cs="Arial"/>
          <w:noProof/>
          <w:lang w:val="en-GB"/>
        </w:rPr>
      </w:pPr>
      <w:r>
        <w:rPr>
          <w:rFonts w:ascii="Arial" w:hAnsi="Arial" w:cs="Arial"/>
          <w:noProof/>
          <w:lang w:val="en-GB"/>
        </w:rPr>
        <w:t>failure to transpose in full one or more of the three Directives on public procurement and concessions.</w:t>
      </w:r>
      <w:r>
        <w:rPr>
          <w:rStyle w:val="FootnoteReference"/>
          <w:rFonts w:ascii="Arial" w:hAnsi="Arial"/>
          <w:noProof/>
          <w:lang w:val="en-GB"/>
        </w:rPr>
        <w:footnoteReference w:id="270"/>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spacing w:after="200"/>
        <w:ind w:left="1417" w:hanging="425"/>
        <w:rPr>
          <w:rFonts w:ascii="Arial" w:hAnsi="Arial" w:cs="Arial"/>
          <w:noProof/>
          <w:lang w:val="en-GB"/>
        </w:rPr>
      </w:pPr>
      <w:r>
        <w:rPr>
          <w:rFonts w:ascii="Arial" w:hAnsi="Arial" w:cs="Arial"/>
          <w:noProof/>
          <w:lang w:val="en-GB"/>
        </w:rPr>
        <w:t>The Commission did not refer any cases to the Court under Article 260(2) TFEU.</w:t>
      </w:r>
    </w:p>
    <w:p>
      <w:pPr>
        <w:spacing w:after="200" w:line="276" w:lineRule="auto"/>
        <w:jc w:val="left"/>
        <w:rPr>
          <w:rFonts w:ascii="Arial" w:eastAsia="MS Gothic" w:hAnsi="Arial" w:cs="Arial"/>
          <w:caps/>
          <w:noProof/>
          <w:color w:val="4F81BD"/>
          <w:kern w:val="20"/>
          <w:szCs w:val="24"/>
        </w:rPr>
      </w:pPr>
      <w:r>
        <w:rPr>
          <w:rFonts w:ascii="Arial" w:eastAsia="MS Gothic" w:hAnsi="Arial" w:cs="Arial"/>
          <w:caps/>
          <w:noProof/>
          <w:color w:val="4F81BD"/>
          <w:kern w:val="20"/>
          <w:szCs w:val="24"/>
        </w:rPr>
        <w:br w:type="page"/>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92"/>
        </w:numPr>
        <w:rPr>
          <w:noProof/>
        </w:rPr>
      </w:pPr>
      <w:r>
        <w:rPr>
          <w:noProof/>
        </w:rPr>
        <w:t>Late transposition infringement cases against Sweden open on 31 December (2012-2016)</w:t>
      </w:r>
    </w:p>
    <w:p>
      <w:pPr>
        <w:pStyle w:val="Body"/>
        <w:rPr>
          <w:noProof/>
          <w:lang w:val="en-GB"/>
        </w:rPr>
      </w:pPr>
      <w:r>
        <w:rPr>
          <w:noProof/>
        </w:rPr>
        <w:drawing>
          <wp:inline distT="0" distB="0" distL="0" distR="0">
            <wp:extent cx="4561840" cy="2296160"/>
            <wp:effectExtent l="0" t="0" r="10160" b="27940"/>
            <wp:docPr id="1066"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p>
    <w:p>
      <w:pPr>
        <w:pStyle w:val="Subtitle"/>
        <w:numPr>
          <w:ilvl w:val="0"/>
          <w:numId w:val="92"/>
        </w:numPr>
        <w:rPr>
          <w:noProof/>
        </w:rPr>
      </w:pPr>
      <w:r>
        <w:rPr>
          <w:noProof/>
        </w:rPr>
        <w:t>New late transposition infringement cases against Sweden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61840" cy="2265680"/>
            <wp:effectExtent l="0" t="0" r="10160" b="20320"/>
            <wp:docPr id="1067"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late transposition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2320" cy="2296160"/>
            <wp:effectExtent l="0" t="0" r="17780" b="27940"/>
            <wp:docPr id="1068"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0"/>
        <w:ind w:left="1418" w:hanging="425"/>
        <w:contextualSpacing/>
        <w:rPr>
          <w:rFonts w:ascii="Arial" w:eastAsia="Calibri" w:hAnsi="Arial" w:cs="Arial"/>
          <w:noProof/>
          <w:kern w:val="20"/>
          <w:sz w:val="20"/>
        </w:rPr>
      </w:pPr>
      <w:r>
        <w:rPr>
          <w:rFonts w:ascii="Arial" w:eastAsia="Calibri" w:hAnsi="Arial" w:cs="Arial"/>
          <w:noProof/>
          <w:kern w:val="20"/>
          <w:sz w:val="20"/>
        </w:rPr>
        <w:t>lack of access to justice in relation to hunting decisions taken by the County Administrative Boards;</w:t>
      </w:r>
    </w:p>
    <w:p>
      <w:pPr>
        <w:pStyle w:val="Lijstje2"/>
        <w:spacing w:after="0"/>
        <w:ind w:left="1418" w:hanging="425"/>
        <w:rPr>
          <w:rFonts w:ascii="Arial" w:hAnsi="Arial" w:cs="Arial"/>
          <w:noProof/>
          <w:lang w:val="en-GB"/>
        </w:rPr>
      </w:pPr>
      <w:r>
        <w:rPr>
          <w:rFonts w:ascii="Arial" w:hAnsi="Arial" w:cs="Arial"/>
          <w:noProof/>
          <w:lang w:val="en-GB"/>
        </w:rPr>
        <w:t>insufficient protection in national legislation against abuse of successive fixed-term employment contracts. This allowed employers to use various fixed-term contracts without limitation;</w:t>
      </w:r>
    </w:p>
    <w:p>
      <w:pPr>
        <w:numPr>
          <w:ilvl w:val="0"/>
          <w:numId w:val="4"/>
        </w:numPr>
        <w:spacing w:after="200"/>
        <w:ind w:left="1418" w:hanging="425"/>
        <w:rPr>
          <w:rFonts w:ascii="Arial" w:eastAsia="Calibri" w:hAnsi="Arial" w:cs="Arial"/>
          <w:noProof/>
          <w:kern w:val="20"/>
          <w:sz w:val="20"/>
        </w:rPr>
      </w:pPr>
      <w:r>
        <w:rPr>
          <w:rFonts w:ascii="Arial" w:eastAsia="Calibri" w:hAnsi="Arial" w:cs="Arial"/>
          <w:noProof/>
          <w:kern w:val="20"/>
          <w:sz w:val="20"/>
        </w:rPr>
        <w:t>completing the notification of all national measures necessary to transpose the Capital Requirements Directive.</w:t>
      </w:r>
      <w:r>
        <w:rPr>
          <w:rStyle w:val="FootnoteReference"/>
          <w:rFonts w:ascii="Arial" w:hAnsi="Arial" w:cs="Arial"/>
          <w:noProof/>
          <w:sz w:val="20"/>
        </w:rPr>
        <w:footnoteReference w:id="271"/>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93"/>
        </w:numPr>
        <w:rPr>
          <w:noProof/>
        </w:rPr>
      </w:pPr>
      <w:r>
        <w:rPr>
          <w:noProof/>
        </w:rPr>
        <w:t>Court ruling</w:t>
      </w:r>
      <w:r>
        <w:rPr>
          <w:rStyle w:val="FootnoteReference"/>
          <w:noProof/>
        </w:rPr>
        <w:footnoteReference w:id="272"/>
      </w:r>
    </w:p>
    <w:p>
      <w:pPr>
        <w:pStyle w:val="Body"/>
        <w:rPr>
          <w:noProof/>
          <w:lang w:val="en-GB"/>
        </w:rPr>
      </w:pPr>
      <w:r>
        <w:rPr>
          <w:noProof/>
          <w:lang w:val="en-GB"/>
        </w:rPr>
        <w:t>There were no major Court rulings in 2016.</w:t>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w:t>
      </w:r>
    </w:p>
    <w:p>
      <w:pPr>
        <w:pStyle w:val="Body"/>
        <w:ind w:left="426" w:firstLine="294"/>
        <w:rPr>
          <w:noProof/>
          <w:lang w:val="en-GB"/>
        </w:rPr>
      </w:pPr>
      <w:r>
        <w:rPr>
          <w:noProof/>
          <w:lang w:val="en-GB"/>
        </w:rPr>
        <w:t>In preliminary rulings addressed to or concerning the Swedish judiciary, the Court held that:</w:t>
      </w:r>
    </w:p>
    <w:p>
      <w:pPr>
        <w:pStyle w:val="Lijstje2"/>
        <w:ind w:left="1418"/>
        <w:rPr>
          <w:rFonts w:ascii="Arial" w:hAnsi="Arial" w:cs="Arial"/>
          <w:noProof/>
          <w:lang w:val="en-GB"/>
        </w:rPr>
      </w:pPr>
      <w:r>
        <w:rPr>
          <w:rFonts w:ascii="Arial" w:hAnsi="Arial" w:cs="Arial"/>
          <w:noProof/>
          <w:lang w:val="en-GB"/>
        </w:rPr>
        <w:t>an asylum applicant may, in an action challenging a transfer decision made about him, invoke an infringement of the rule set out in the Dublin Regulation</w:t>
      </w:r>
      <w:r>
        <w:rPr>
          <w:rStyle w:val="FootnoteReference"/>
          <w:rFonts w:ascii="Arial" w:hAnsi="Arial" w:cs="Arial"/>
          <w:noProof/>
          <w:lang w:val="en-GB"/>
        </w:rPr>
        <w:footnoteReference w:id="273"/>
      </w:r>
      <w:r>
        <w:rPr>
          <w:rFonts w:ascii="Arial" w:hAnsi="Arial" w:cs="Arial"/>
          <w:noProof/>
          <w:lang w:val="en-GB"/>
        </w:rPr>
        <w:t xml:space="preserve"> concerning an absence of at least 3 months from the territory of the Member State concerned;</w:t>
      </w:r>
      <w:r>
        <w:rPr>
          <w:rStyle w:val="FootnoteReference"/>
          <w:rFonts w:ascii="Arial" w:hAnsi="Arial" w:cs="Arial"/>
          <w:noProof/>
          <w:lang w:val="en-GB"/>
        </w:rPr>
        <w:footnoteReference w:id="274"/>
      </w:r>
    </w:p>
    <w:p>
      <w:pPr>
        <w:pStyle w:val="Lijstje2"/>
        <w:ind w:left="1418"/>
        <w:rPr>
          <w:rFonts w:ascii="Arial" w:hAnsi="Arial" w:cs="Arial"/>
          <w:noProof/>
          <w:lang w:val="en-GB"/>
        </w:rPr>
      </w:pPr>
      <w:r>
        <w:rPr>
          <w:rFonts w:ascii="Arial" w:eastAsia="Times New Roman" w:hAnsi="Arial" w:cs="Arial"/>
          <w:noProof/>
          <w:kern w:val="0"/>
          <w:lang w:val="en-GB"/>
        </w:rPr>
        <w:t>under the Directive on privacy and electronic communications</w:t>
      </w:r>
      <w:r>
        <w:rPr>
          <w:rStyle w:val="FootnoteReference"/>
          <w:noProof/>
        </w:rPr>
        <w:footnoteReference w:id="275"/>
      </w:r>
      <w:r>
        <w:rPr>
          <w:rFonts w:ascii="Arial" w:eastAsia="Times New Roman" w:hAnsi="Arial" w:cs="Arial"/>
          <w:noProof/>
          <w:kern w:val="0"/>
          <w:lang w:val="en-GB"/>
        </w:rPr>
        <w:t xml:space="preserve"> Member States may establish, as a preventive measure, a targeted retention of data solely for the purpose of fighting serious crime, provided that such retention is limited to what is strictly necessary regarding the categories of data to be retained, means of communication affected, persons concerned and duration of the retention period. The Court further clarified that the access of national authorities to the retained data must be subject to conditions, including prior review by an independent authority, and that the data must be retained within the EU;</w:t>
      </w:r>
      <w:r>
        <w:rPr>
          <w:rStyle w:val="FootnoteReference"/>
          <w:noProof/>
        </w:rPr>
        <w:footnoteReference w:id="276"/>
      </w:r>
    </w:p>
    <w:p>
      <w:pPr>
        <w:pStyle w:val="Lijstje2"/>
        <w:spacing w:after="0"/>
        <w:ind w:left="1418"/>
        <w:rPr>
          <w:rFonts w:ascii="Arial" w:hAnsi="Arial"/>
          <w:noProof/>
          <w:lang w:val="en-GB"/>
        </w:rPr>
      </w:pPr>
      <w:r>
        <w:rPr>
          <w:rFonts w:ascii="Arial" w:hAnsi="Arial" w:cs="Arial"/>
          <w:noProof/>
          <w:lang w:val="en-GB"/>
        </w:rPr>
        <w:t>the European arrest warrant issued by the Swedish National Police Board is invalid as such body is not covered by the term ‘issuing judicial authority’ and acts issued by police service cannot be regarded as a ‘judicial decision’;</w:t>
      </w:r>
      <w:r>
        <w:rPr>
          <w:rStyle w:val="FootnoteReference"/>
          <w:rFonts w:ascii="Arial" w:hAnsi="Arial" w:cs="Arial"/>
          <w:noProof/>
          <w:lang w:val="en-GB"/>
        </w:rPr>
        <w:footnoteReference w:id="277"/>
      </w:r>
    </w:p>
    <w:p>
      <w:pPr>
        <w:pStyle w:val="Lijstje2"/>
        <w:ind w:left="1418"/>
        <w:rPr>
          <w:rFonts w:ascii="Arial" w:hAnsi="Arial" w:cs="Arial"/>
          <w:noProof/>
          <w:lang w:val="en-GB"/>
        </w:rPr>
      </w:pPr>
      <w:r>
        <w:rPr>
          <w:rFonts w:ascii="Arial" w:hAnsi="Arial" w:cs="Arial"/>
          <w:noProof/>
          <w:lang w:val="en-GB"/>
        </w:rPr>
        <w:t>higher taxation of Swedish dividends paid to non-resident pension funds than of dividends paid to resident pension funds is not contrary to EU law because resident and non-resident pension funds are not in a comparable situation. This is so because the objective of the Swedish yield tax, applicable to resident pension funds, is to tax the fund’s entire capital, and this objective cannot be fulfilled for non-resident pension funds as they are by definition only liable for tax on Swedish-sourced income, not on their entire capital.</w:t>
      </w:r>
      <w:r>
        <w:rPr>
          <w:rStyle w:val="FootnoteReference"/>
          <w:rFonts w:ascii="Arial" w:hAnsi="Arial" w:cs="Arial"/>
          <w:noProof/>
          <w:lang w:val="en-GB"/>
        </w:rPr>
        <w:footnoteReference w:id="278"/>
      </w:r>
    </w:p>
    <w:p>
      <w:pPr>
        <w:pStyle w:val="Lijstje2"/>
        <w:numPr>
          <w:ilvl w:val="0"/>
          <w:numId w:val="0"/>
        </w:numPr>
        <w:spacing w:after="0"/>
        <w:rPr>
          <w:rFonts w:ascii="Arial" w:hAnsi="Arial" w:cs="Arial"/>
          <w:noProof/>
          <w:lang w:val="en-GB"/>
        </w:rPr>
      </w:pPr>
    </w:p>
    <w:p>
      <w:pPr>
        <w:spacing w:after="0"/>
        <w:jc w:val="left"/>
        <w:rPr>
          <w:noProof/>
        </w:rPr>
        <w:sectPr>
          <w:headerReference w:type="even" r:id="rId248"/>
          <w:headerReference w:type="default" r:id="rId249"/>
          <w:footerReference w:type="even" r:id="rId250"/>
          <w:footerReference w:type="default" r:id="rId251"/>
          <w:headerReference w:type="first" r:id="rId252"/>
          <w:footerReference w:type="first" r:id="rId253"/>
          <w:footnotePr>
            <w:numRestart w:val="eachSect"/>
          </w:footnotePr>
          <w:pgSz w:w="11906" w:h="16838"/>
          <w:pgMar w:top="1948" w:right="1417" w:bottom="1134" w:left="1417" w:header="567" w:footer="351" w:gutter="0"/>
          <w:cols w:space="708"/>
          <w:titlePg/>
          <w:docGrid w:linePitch="360"/>
        </w:sectPr>
      </w:pPr>
    </w:p>
    <w:p>
      <w:pPr>
        <w:pStyle w:val="Heading1"/>
        <w:rPr>
          <w:noProof/>
        </w:rPr>
      </w:pPr>
      <w:bookmarkStart w:id="55" w:name="_Toc444769611"/>
      <w:bookmarkStart w:id="56" w:name="_Toc444772067"/>
      <w:bookmarkStart w:id="57" w:name="_Toc444773386"/>
      <w:bookmarkStart w:id="58" w:name="_Toc444776758"/>
      <w:bookmarkStart w:id="59" w:name="_Toc475974665"/>
      <w:bookmarkStart w:id="60" w:name="_Toc475980161"/>
      <w:bookmarkStart w:id="61" w:name="_Toc475981410"/>
      <w:bookmarkStart w:id="62" w:name="_Toc477938610"/>
      <w:r>
        <w:rPr>
          <w:noProof/>
        </w:rPr>
        <w:t>United Kingdom</w:t>
      </w:r>
      <w:bookmarkEnd w:id="55"/>
      <w:bookmarkEnd w:id="56"/>
      <w:bookmarkEnd w:id="57"/>
      <w:bookmarkEnd w:id="58"/>
      <w:bookmarkEnd w:id="59"/>
      <w:bookmarkEnd w:id="60"/>
      <w:bookmarkEnd w:id="61"/>
      <w:bookmarkEnd w:id="62"/>
    </w:p>
    <w:p>
      <w:pPr>
        <w:spacing w:after="120"/>
        <w:rPr>
          <w:rFonts w:ascii="Arial" w:hAnsi="Arial" w:cs="Arial"/>
          <w:i/>
          <w:noProof/>
          <w:sz w:val="22"/>
          <w:szCs w:val="22"/>
        </w:rPr>
      </w:pPr>
      <w:r>
        <w:rPr>
          <w:rFonts w:ascii="Arial" w:hAnsi="Arial" w:cs="Arial"/>
          <w:i/>
          <w:noProof/>
          <w:sz w:val="22"/>
          <w:szCs w:val="22"/>
        </w:rPr>
        <w:t>New complaints against the United Kingdom decreased markedly in 2016 to a five-year low. The number of new EU Pilot files continued its downward trend since 2012, also reaching a five-year low. Open infringement cases at the end of 2016 increased somewhat and the Commission initiated more new infringement cases for late transposition.</w:t>
      </w:r>
    </w:p>
    <w:p>
      <w:pPr>
        <w:spacing w:after="120"/>
        <w:rPr>
          <w:rFonts w:ascii="Arial" w:hAnsi="Arial" w:cs="Arial"/>
          <w:i/>
          <w:noProof/>
          <w:sz w:val="22"/>
          <w:szCs w:val="22"/>
        </w:rPr>
      </w:pPr>
    </w:p>
    <w:p>
      <w:pPr>
        <w:pStyle w:val="kop2"/>
        <w:numPr>
          <w:ilvl w:val="0"/>
          <w:numId w:val="21"/>
        </w:numPr>
        <w:rPr>
          <w:noProof/>
        </w:rPr>
      </w:pPr>
      <w:r>
        <w:rPr>
          <w:noProof/>
        </w:rPr>
        <w:t>COMPLAINTS</w:t>
      </w:r>
    </w:p>
    <w:p>
      <w:pPr>
        <w:pStyle w:val="Subtitle"/>
        <w:numPr>
          <w:ilvl w:val="0"/>
          <w:numId w:val="94"/>
        </w:numPr>
        <w:rPr>
          <w:noProof/>
        </w:rPr>
      </w:pPr>
      <w:r>
        <w:rPr>
          <w:noProof/>
        </w:rPr>
        <w:t>New complaints made against the United Kingdom by members of the public (2012-2016)</w:t>
      </w:r>
    </w:p>
    <w:p>
      <w:pPr>
        <w:ind w:firstLine="709"/>
        <w:rPr>
          <w:rFonts w:ascii="Arial" w:hAnsi="Arial" w:cs="Arial"/>
          <w:noProof/>
          <w:sz w:val="20"/>
        </w:rPr>
      </w:pPr>
      <w:r>
        <w:rPr>
          <w:rFonts w:ascii="Arial" w:hAnsi="Arial" w:cs="Arial"/>
          <w:noProof/>
          <w:sz w:val="20"/>
          <w:lang w:val="en-US"/>
        </w:rPr>
        <w:drawing>
          <wp:inline distT="0" distB="0" distL="0" distR="0">
            <wp:extent cx="4582886" cy="2383972"/>
            <wp:effectExtent l="0" t="0" r="27305" b="16510"/>
            <wp:docPr id="19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p>
    <w:p>
      <w:pPr>
        <w:pStyle w:val="Subtitle"/>
        <w:numPr>
          <w:ilvl w:val="0"/>
          <w:numId w:val="94"/>
        </w:numPr>
        <w:rPr>
          <w:noProof/>
        </w:rPr>
      </w:pPr>
      <w:r>
        <w:rPr>
          <w:noProof/>
        </w:rPr>
        <w:t>Public complaints against the United Kingdom open at year-end</w:t>
      </w:r>
    </w:p>
    <w:tbl>
      <w:tblPr>
        <w:tblStyle w:val="Style127"/>
        <w:tblW w:w="0" w:type="auto"/>
        <w:jc w:val="center"/>
        <w:tblInd w:w="421" w:type="dxa"/>
        <w:tblLook w:val="04A0" w:firstRow="1" w:lastRow="0" w:firstColumn="1" w:lastColumn="0" w:noHBand="0" w:noVBand="1"/>
      </w:tblPr>
      <w:tblGrid>
        <w:gridCol w:w="1697"/>
        <w:gridCol w:w="452"/>
        <w:gridCol w:w="5310"/>
      </w:tblGrid>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186</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end-2015</w:t>
            </w:r>
          </w:p>
        </w:tc>
      </w:tr>
      <w:tr>
        <w:trPr>
          <w:trHeight w:val="403"/>
          <w:jc w:val="center"/>
        </w:trPr>
        <w:tc>
          <w:tcPr>
            <w:tcW w:w="1697"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150</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New complaints registered in 2016</w:t>
            </w:r>
          </w:p>
        </w:tc>
      </w:tr>
      <w:tr>
        <w:trPr>
          <w:trHeight w:val="403"/>
          <w:jc w:val="center"/>
        </w:trPr>
        <w:tc>
          <w:tcPr>
            <w:tcW w:w="1697" w:type="dxa"/>
            <w:tcBorders>
              <w:bottom w:val="single" w:sz="24" w:space="0" w:color="548DD4" w:themeColor="text2" w:themeTint="99"/>
            </w:tcBorders>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164</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handled in 2016</w:t>
            </w:r>
          </w:p>
        </w:tc>
      </w:tr>
      <w:tr>
        <w:trPr>
          <w:trHeight w:val="403"/>
          <w:jc w:val="center"/>
        </w:trPr>
        <w:tc>
          <w:tcPr>
            <w:tcW w:w="1697" w:type="dxa"/>
            <w:tcBorders>
              <w:top w:val="single" w:sz="24" w:space="0" w:color="548DD4" w:themeColor="text2" w:themeTint="99"/>
            </w:tcBorders>
            <w:vAlign w:val="center"/>
          </w:tcPr>
          <w:p>
            <w:pPr>
              <w:spacing w:after="0"/>
              <w:jc w:val="right"/>
              <w:rPr>
                <w:rFonts w:ascii="Arial" w:hAnsi="Arial" w:cs="Arial"/>
                <w:noProof/>
                <w:color w:val="C00000"/>
                <w:sz w:val="22"/>
                <w:szCs w:val="28"/>
              </w:rPr>
            </w:pPr>
            <w:r>
              <w:rPr>
                <w:rFonts w:ascii="Arial" w:hAnsi="Arial" w:cs="Arial"/>
                <w:noProof/>
                <w:color w:val="C00000"/>
                <w:sz w:val="22"/>
                <w:szCs w:val="28"/>
              </w:rPr>
              <w:t>= 172</w:t>
            </w:r>
          </w:p>
        </w:tc>
        <w:tc>
          <w:tcPr>
            <w:tcW w:w="452" w:type="dxa"/>
            <w:vAlign w:val="center"/>
          </w:tcPr>
          <w:p>
            <w:pPr>
              <w:spacing w:after="0"/>
              <w:jc w:val="right"/>
              <w:rPr>
                <w:rFonts w:ascii="Arial" w:hAnsi="Arial" w:cs="Arial"/>
                <w:noProof/>
                <w:color w:val="548DD4" w:themeColor="text2" w:themeTint="99"/>
                <w:sz w:val="22"/>
                <w:szCs w:val="28"/>
              </w:rPr>
            </w:pPr>
            <w:r>
              <w:rPr>
                <w:rFonts w:ascii="Arial" w:hAnsi="Arial" w:cs="Arial"/>
                <w:noProof/>
                <w:color w:val="548DD4" w:themeColor="text2" w:themeTint="99"/>
                <w:sz w:val="22"/>
                <w:szCs w:val="28"/>
              </w:rPr>
              <w:t>&gt;</w:t>
            </w:r>
          </w:p>
        </w:tc>
        <w:tc>
          <w:tcPr>
            <w:tcW w:w="5310" w:type="dxa"/>
            <w:vAlign w:val="center"/>
          </w:tcPr>
          <w:p>
            <w:pPr>
              <w:spacing w:after="0"/>
              <w:jc w:val="left"/>
              <w:rPr>
                <w:rFonts w:ascii="Arial" w:hAnsi="Arial" w:cs="Arial"/>
                <w:noProof/>
                <w:color w:val="548DD4" w:themeColor="text2" w:themeTint="99"/>
                <w:sz w:val="22"/>
                <w:szCs w:val="28"/>
              </w:rPr>
            </w:pPr>
            <w:r>
              <w:rPr>
                <w:rFonts w:ascii="Arial" w:hAnsi="Arial" w:cs="Arial"/>
                <w:noProof/>
                <w:color w:val="548DD4" w:themeColor="text2" w:themeTint="99"/>
                <w:sz w:val="22"/>
                <w:szCs w:val="28"/>
              </w:rPr>
              <w:t>Complaints open at end-2016</w:t>
            </w:r>
          </w:p>
        </w:tc>
      </w:tr>
    </w:tbl>
    <w:p>
      <w:pPr>
        <w:spacing w:after="120"/>
        <w:ind w:firstLine="709"/>
        <w:rPr>
          <w:rFonts w:ascii="Arial" w:hAnsi="Arial" w:cs="Arial"/>
          <w:noProof/>
          <w:sz w:val="20"/>
        </w:rPr>
      </w:pPr>
    </w:p>
    <w:p>
      <w:pPr>
        <w:pStyle w:val="Subtitle"/>
        <w:numPr>
          <w:ilvl w:val="0"/>
          <w:numId w:val="94"/>
        </w:numPr>
        <w:rPr>
          <w:noProof/>
        </w:rPr>
      </w:pPr>
      <w:r>
        <w:rPr>
          <w:noProof/>
        </w:rPr>
        <w:t xml:space="preserve">New complaints registered in 2016: main policy areas </w:t>
      </w:r>
    </w:p>
    <w:p>
      <w:pPr>
        <w:pStyle w:val="Body"/>
        <w:rPr>
          <w:rFonts w:eastAsia="MS Gothic"/>
          <w:noProof/>
          <w:lang w:val="en-GB"/>
        </w:rPr>
      </w:pPr>
      <w:r>
        <w:rPr>
          <w:noProof/>
        </w:rPr>
        <w:drawing>
          <wp:inline distT="0" distB="0" distL="0" distR="0">
            <wp:extent cx="4617720" cy="2202180"/>
            <wp:effectExtent l="0" t="0" r="11430" b="26670"/>
            <wp:docPr id="195" name="Grafiek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p>
    <w:p>
      <w:pPr>
        <w:pStyle w:val="Body"/>
        <w:rPr>
          <w:rFonts w:eastAsia="MS Gothic"/>
          <w:noProof/>
          <w:lang w:val="en-GB"/>
        </w:rPr>
      </w:pPr>
      <w:r>
        <w:rPr>
          <w:rFonts w:eastAsia="MS Gothic"/>
          <w:noProof/>
          <w:lang w:val="en-GB"/>
        </w:rPr>
        <w:br w:type="page"/>
      </w:r>
    </w:p>
    <w:p>
      <w:pPr>
        <w:keepNext/>
        <w:keepLines/>
        <w:numPr>
          <w:ilvl w:val="0"/>
          <w:numId w:val="1"/>
        </w:numPr>
        <w:spacing w:after="120"/>
        <w:ind w:firstLine="709"/>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EU PILOT</w:t>
      </w:r>
    </w:p>
    <w:p>
      <w:pPr>
        <w:pStyle w:val="Subtitle"/>
        <w:numPr>
          <w:ilvl w:val="0"/>
          <w:numId w:val="95"/>
        </w:numPr>
        <w:rPr>
          <w:noProof/>
        </w:rPr>
      </w:pPr>
      <w:r>
        <w:rPr>
          <w:noProof/>
        </w:rPr>
        <w:t>New EU Pilot files opened against the United Kingdom (2012-2016)</w:t>
      </w:r>
    </w:p>
    <w:p>
      <w:pPr>
        <w:tabs>
          <w:tab w:val="left" w:pos="0"/>
        </w:tabs>
        <w:ind w:firstLine="709"/>
        <w:rPr>
          <w:rFonts w:ascii="Arial" w:hAnsi="Arial" w:cs="Arial"/>
          <w:noProof/>
          <w:sz w:val="20"/>
        </w:rPr>
      </w:pPr>
      <w:r>
        <w:rPr>
          <w:rFonts w:ascii="Arial" w:hAnsi="Arial" w:cs="Arial"/>
          <w:noProof/>
          <w:sz w:val="20"/>
          <w:lang w:val="en-US"/>
        </w:rPr>
        <w:drawing>
          <wp:inline distT="0" distB="0" distL="0" distR="0">
            <wp:extent cx="4593771" cy="2280557"/>
            <wp:effectExtent l="0" t="0" r="16510" b="24765"/>
            <wp:docPr id="196"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p>
    <w:p>
      <w:pPr>
        <w:pStyle w:val="Subtitle"/>
        <w:numPr>
          <w:ilvl w:val="0"/>
          <w:numId w:val="94"/>
        </w:numPr>
        <w:rPr>
          <w:noProof/>
        </w:rPr>
      </w:pPr>
      <w:r>
        <w:rPr>
          <w:noProof/>
        </w:rPr>
        <w:t>Files relating to the United Kingdom open in EU Pilot at year-end</w:t>
      </w:r>
    </w:p>
    <w:p>
      <w:pPr>
        <w:spacing w:after="120"/>
        <w:ind w:firstLine="709"/>
        <w:rPr>
          <w:rFonts w:ascii="Arial" w:hAnsi="Arial" w:cs="Arial"/>
          <w:noProof/>
          <w:sz w:val="20"/>
        </w:rPr>
      </w:pPr>
      <w:r>
        <w:rPr>
          <w:rFonts w:ascii="Arial" w:hAnsi="Arial" w:cs="Arial"/>
          <w:noProof/>
          <w:sz w:val="20"/>
          <w:lang w:val="en-US"/>
        </w:rPr>
        <w:drawing>
          <wp:inline distT="0" distB="0" distL="0" distR="0">
            <wp:extent cx="4593771" cy="2280557"/>
            <wp:effectExtent l="0" t="0" r="16510" b="24765"/>
            <wp:docPr id="174"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p>
    <w:p>
      <w:pPr>
        <w:pStyle w:val="Subtitle"/>
        <w:numPr>
          <w:ilvl w:val="0"/>
          <w:numId w:val="94"/>
        </w:numPr>
        <w:rPr>
          <w:noProof/>
        </w:rPr>
      </w:pPr>
      <w:r>
        <w:rPr>
          <w:noProof/>
        </w:rPr>
        <w:t xml:space="preserve">New EU Pilot files opened in 2016: main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632960" cy="2453640"/>
            <wp:effectExtent l="0" t="0" r="15240" b="22860"/>
            <wp:docPr id="198"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p>
    <w:p>
      <w:pPr>
        <w:spacing w:after="200" w:line="276" w:lineRule="auto"/>
        <w:jc w:val="left"/>
        <w:rPr>
          <w:rFonts w:ascii="Arial" w:hAnsi="Arial" w:cs="Arial"/>
          <w:noProof/>
          <w:sz w:val="20"/>
        </w:rPr>
      </w:pPr>
      <w:r>
        <w:rPr>
          <w:noProof/>
        </w:rPr>
        <w:br w:type="page"/>
      </w:r>
    </w:p>
    <w:p>
      <w:pPr>
        <w:pStyle w:val="Subtitle"/>
        <w:numPr>
          <w:ilvl w:val="0"/>
          <w:numId w:val="94"/>
        </w:numPr>
        <w:rPr>
          <w:noProof/>
        </w:rPr>
      </w:pPr>
      <w:r>
        <w:rPr>
          <w:noProof/>
        </w:rPr>
        <w:t>EU Pilot files: United Kingdom’s average response time in 2012-2016 (in days)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264229"/>
            <wp:effectExtent l="0" t="0" r="19050" b="22225"/>
            <wp:docPr id="199"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pPr>
        <w:pStyle w:val="Subtitle"/>
        <w:numPr>
          <w:ilvl w:val="0"/>
          <w:numId w:val="94"/>
        </w:numPr>
        <w:rPr>
          <w:noProof/>
        </w:rPr>
      </w:pPr>
      <w:r>
        <w:rPr>
          <w:noProof/>
        </w:rPr>
        <w:t>EU Pilot files: United Kingdom’s resolution rate in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2000" cy="2144486"/>
            <wp:effectExtent l="0" t="0" r="19050" b="27305"/>
            <wp:docPr id="202"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INFRINGEMENT CASES</w:t>
      </w:r>
    </w:p>
    <w:p>
      <w:pPr>
        <w:pStyle w:val="Subtitle"/>
        <w:numPr>
          <w:ilvl w:val="0"/>
          <w:numId w:val="96"/>
        </w:numPr>
        <w:rPr>
          <w:noProof/>
        </w:rPr>
      </w:pPr>
      <w:r>
        <w:rPr>
          <w:noProof/>
        </w:rPr>
        <w:t>Infringement cases against the United Kingdom open on 31 December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209800"/>
            <wp:effectExtent l="0" t="0" r="22225" b="19050"/>
            <wp:docPr id="203" name="Grafiek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p>
    <w:p>
      <w:pPr>
        <w:spacing w:after="200" w:line="276" w:lineRule="auto"/>
        <w:jc w:val="left"/>
        <w:rPr>
          <w:rFonts w:ascii="Arial" w:hAnsi="Arial"/>
          <w:noProof/>
          <w:color w:val="002060"/>
          <w:sz w:val="22"/>
          <w:szCs w:val="22"/>
        </w:rPr>
      </w:pPr>
      <w:r>
        <w:rPr>
          <w:noProof/>
        </w:rPr>
        <w:br w:type="page"/>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New infringement cases opened in 2016: main policy areas</w:t>
      </w:r>
    </w:p>
    <w:p>
      <w:pPr>
        <w:spacing w:after="120"/>
        <w:ind w:firstLine="709"/>
        <w:rPr>
          <w:rFonts w:ascii="Arial" w:hAnsi="Arial" w:cs="Arial"/>
          <w:noProof/>
          <w:sz w:val="20"/>
        </w:rPr>
      </w:pPr>
      <w:r>
        <w:rPr>
          <w:rFonts w:ascii="Arial" w:hAnsi="Arial" w:cs="Arial"/>
          <w:noProof/>
          <w:sz w:val="20"/>
          <w:lang w:val="en-US"/>
        </w:rPr>
        <w:drawing>
          <wp:inline distT="0" distB="0" distL="0" distR="0">
            <wp:extent cx="4577443" cy="2324100"/>
            <wp:effectExtent l="0" t="0" r="13970" b="19050"/>
            <wp:docPr id="205"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Key infringement cases and referrals to the Court</w:t>
      </w:r>
    </w:p>
    <w:p>
      <w:pPr>
        <w:pStyle w:val="Lijstje"/>
        <w:numPr>
          <w:ilvl w:val="0"/>
          <w:numId w:val="114"/>
        </w:numPr>
        <w:ind w:hanging="426"/>
        <w:rPr>
          <w:rFonts w:ascii="Arial" w:hAnsi="Arial" w:cs="Arial"/>
          <w:noProof/>
          <w:lang w:val="en-GB"/>
        </w:rPr>
      </w:pPr>
      <w:r>
        <w:rPr>
          <w:rFonts w:ascii="Arial" w:hAnsi="Arial" w:cs="Arial"/>
          <w:noProof/>
          <w:lang w:val="en-GB"/>
        </w:rPr>
        <w:t>The Commission opened 28 new infringement cases against the United Kingdom in 2016. These, and other major ongoing infringement cases, include:</w:t>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 to fully transpose the Offshore Safety Directive;</w:t>
      </w:r>
      <w:r>
        <w:rPr>
          <w:rStyle w:val="FootnoteReference"/>
          <w:noProof/>
        </w:rPr>
        <w:footnoteReference w:id="279"/>
      </w:r>
    </w:p>
    <w:p>
      <w:pPr>
        <w:pStyle w:val="Lijstje2"/>
        <w:spacing w:after="200"/>
        <w:ind w:left="1843" w:hanging="426"/>
        <w:rPr>
          <w:rFonts w:ascii="Arial" w:hAnsi="Arial" w:cs="Arial"/>
          <w:noProof/>
          <w:lang w:val="en-GB"/>
        </w:rPr>
      </w:pPr>
      <w:r>
        <w:rPr>
          <w:rFonts w:ascii="Arial" w:eastAsia="Times New Roman" w:hAnsi="Arial" w:cs="Arial"/>
          <w:noProof/>
          <w:kern w:val="0"/>
          <w:lang w:val="en-GB"/>
        </w:rPr>
        <w:t>restrictions on the provision of transport services and free movement of goods;</w:t>
      </w:r>
      <w:r>
        <w:rPr>
          <w:rStyle w:val="FootnoteReference"/>
          <w:noProof/>
        </w:rPr>
        <w:footnoteReference w:id="280"/>
      </w:r>
    </w:p>
    <w:p>
      <w:pPr>
        <w:pStyle w:val="Lijstje2"/>
        <w:spacing w:after="200"/>
        <w:ind w:left="1843" w:hanging="426"/>
        <w:rPr>
          <w:rFonts w:ascii="Arial" w:hAnsi="Arial" w:cs="Arial"/>
          <w:noProof/>
          <w:lang w:val="en-GB"/>
        </w:rPr>
      </w:pPr>
      <w:r>
        <w:rPr>
          <w:rFonts w:ascii="Arial" w:eastAsia="Times New Roman" w:hAnsi="Arial" w:cs="Arial"/>
          <w:noProof/>
          <w:kern w:val="0"/>
          <w:lang w:val="en-GB"/>
        </w:rPr>
        <w:t>failure</w:t>
      </w:r>
      <w:r>
        <w:rPr>
          <w:rFonts w:ascii="Arial" w:hAnsi="Arial" w:cs="Arial"/>
          <w:noProof/>
          <w:lang w:val="en-GB"/>
        </w:rPr>
        <w:t xml:space="preserve"> to protect priority blanket bogs, in particular from excessive burning, in special areas of conservation in England;</w:t>
      </w:r>
    </w:p>
    <w:p>
      <w:pPr>
        <w:pStyle w:val="Lijstje2"/>
        <w:spacing w:after="0"/>
        <w:ind w:left="1843" w:hanging="426"/>
        <w:rPr>
          <w:rFonts w:ascii="Arial" w:hAnsi="Arial"/>
          <w:noProof/>
          <w:lang w:val="en-GB"/>
        </w:rPr>
      </w:pPr>
      <w:r>
        <w:rPr>
          <w:rFonts w:ascii="Arial" w:hAnsi="Arial" w:cs="Arial"/>
          <w:noProof/>
          <w:lang w:val="en-GB"/>
        </w:rPr>
        <w:t xml:space="preserve">failure </w:t>
      </w:r>
      <w:r>
        <w:rPr>
          <w:rFonts w:ascii="Arial" w:hAnsi="Arial"/>
          <w:noProof/>
          <w:lang w:val="en-GB"/>
        </w:rPr>
        <w:t>to transpose in full the Directive amending EU legislation on the recognition of professional qualifications and the Internal Market Information System;</w:t>
      </w:r>
      <w:r>
        <w:rPr>
          <w:rStyle w:val="FootnoteReference"/>
          <w:rFonts w:ascii="Arial" w:hAnsi="Arial"/>
          <w:noProof/>
          <w:lang w:val="en-GB"/>
        </w:rPr>
        <w:footnoteReference w:id="281"/>
      </w:r>
    </w:p>
    <w:p>
      <w:pPr>
        <w:pStyle w:val="Lijstje2"/>
        <w:ind w:left="1843" w:hanging="425"/>
        <w:rPr>
          <w:rFonts w:ascii="Arial" w:hAnsi="Arial" w:cs="Arial"/>
          <w:noProof/>
          <w:lang w:val="en-GB"/>
        </w:rPr>
      </w:pPr>
      <w:r>
        <w:rPr>
          <w:rFonts w:ascii="Arial" w:hAnsi="Arial" w:cs="Arial"/>
          <w:noProof/>
          <w:lang w:val="en-GB"/>
        </w:rPr>
        <w:t>failure to fulfil the obligations under EU vehicle type approval legislation.</w:t>
      </w:r>
      <w:r>
        <w:rPr>
          <w:rStyle w:val="FootnoteReference"/>
          <w:rFonts w:ascii="Arial" w:hAnsi="Arial" w:cs="Arial"/>
          <w:noProof/>
          <w:lang w:val="en-GB"/>
        </w:rPr>
        <w:footnoteReference w:id="282"/>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258 TFEU.</w:t>
      </w:r>
    </w:p>
    <w:p>
      <w:pPr>
        <w:pStyle w:val="Lijstje"/>
        <w:numPr>
          <w:ilvl w:val="0"/>
          <w:numId w:val="2"/>
        </w:numPr>
        <w:ind w:hanging="426"/>
        <w:rPr>
          <w:rFonts w:ascii="Arial" w:hAnsi="Arial" w:cs="Arial"/>
          <w:noProof/>
          <w:lang w:val="en-GB"/>
        </w:rPr>
      </w:pPr>
      <w:r>
        <w:rPr>
          <w:rFonts w:ascii="Arial" w:hAnsi="Arial" w:cs="Arial"/>
          <w:noProof/>
          <w:lang w:val="en-GB"/>
        </w:rPr>
        <w:t>The Commission did not refer any cases to the Court under Article 260(2)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TRANSPOSITION OF DIRECTIVES</w:t>
      </w:r>
    </w:p>
    <w:p>
      <w:pPr>
        <w:pStyle w:val="Subtitle"/>
        <w:numPr>
          <w:ilvl w:val="0"/>
          <w:numId w:val="97"/>
        </w:numPr>
        <w:rPr>
          <w:noProof/>
        </w:rPr>
      </w:pPr>
      <w:r>
        <w:rPr>
          <w:noProof/>
        </w:rPr>
        <w:t>Late transposition infringement cases against the United Kingdom open on 31 December (2012-2016)</w:t>
      </w:r>
    </w:p>
    <w:p>
      <w:pPr>
        <w:ind w:left="426" w:firstLine="283"/>
        <w:rPr>
          <w:noProof/>
        </w:rPr>
      </w:pPr>
      <w:r>
        <w:rPr>
          <w:noProof/>
          <w:lang w:val="en-US"/>
        </w:rPr>
        <w:drawing>
          <wp:inline distT="0" distB="0" distL="0" distR="0">
            <wp:extent cx="4588328" cy="2340428"/>
            <wp:effectExtent l="0" t="0" r="22225" b="22225"/>
            <wp:docPr id="206"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p>
    <w:p>
      <w:pPr>
        <w:pStyle w:val="Subtitle"/>
        <w:numPr>
          <w:ilvl w:val="0"/>
          <w:numId w:val="97"/>
        </w:numPr>
        <w:rPr>
          <w:noProof/>
        </w:rPr>
      </w:pPr>
      <w:r>
        <w:rPr>
          <w:noProof/>
        </w:rPr>
        <w:t>New late transposition infringement cases against the United Kingdom (2012-2016)</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8328" cy="2340428"/>
            <wp:effectExtent l="0" t="0" r="22225" b="22225"/>
            <wp:docPr id="207"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 xml:space="preserve">New late transposition infringement cases opened in 2016: main policy areas </w:t>
      </w:r>
    </w:p>
    <w:p>
      <w:pPr>
        <w:spacing w:after="120"/>
        <w:ind w:firstLine="709"/>
        <w:rPr>
          <w:rFonts w:ascii="Arial" w:hAnsi="Arial" w:cs="Arial"/>
          <w:noProof/>
          <w:sz w:val="20"/>
        </w:rPr>
      </w:pPr>
      <w:r>
        <w:rPr>
          <w:rFonts w:ascii="Arial" w:hAnsi="Arial" w:cs="Arial"/>
          <w:noProof/>
          <w:sz w:val="20"/>
          <w:lang w:val="en-US"/>
        </w:rPr>
        <w:drawing>
          <wp:inline distT="0" distB="0" distL="0" distR="0">
            <wp:extent cx="4587240" cy="2499360"/>
            <wp:effectExtent l="0" t="0" r="22860" b="15240"/>
            <wp:docPr id="208"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Referrals to the Court</w:t>
      </w:r>
    </w:p>
    <w:p>
      <w:pPr>
        <w:spacing w:after="120"/>
        <w:ind w:left="709"/>
        <w:rPr>
          <w:rFonts w:ascii="Arial" w:eastAsia="Calibri" w:hAnsi="Arial" w:cs="Arial"/>
          <w:noProof/>
          <w:kern w:val="20"/>
          <w:sz w:val="20"/>
        </w:rPr>
      </w:pPr>
      <w:r>
        <w:rPr>
          <w:rFonts w:ascii="Arial" w:eastAsia="Calibri" w:hAnsi="Arial" w:cs="Arial"/>
          <w:noProof/>
          <w:kern w:val="20"/>
          <w:sz w:val="20"/>
        </w:rPr>
        <w:t>The Commission did not refer any cases to the Court under Articles 258 and 260(3) TFEU.</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EARLY RESOLUTION OF INFRINGEMENT CASES</w:t>
      </w:r>
    </w:p>
    <w:p>
      <w:pPr>
        <w:spacing w:after="60"/>
        <w:ind w:firstLine="360"/>
        <w:jc w:val="left"/>
        <w:outlineLvl w:val="1"/>
        <w:rPr>
          <w:rFonts w:ascii="Arial" w:hAnsi="Arial"/>
          <w:noProof/>
          <w:color w:val="002060"/>
          <w:sz w:val="22"/>
          <w:szCs w:val="22"/>
        </w:rPr>
      </w:pPr>
      <w:r>
        <w:rPr>
          <w:rFonts w:ascii="Arial" w:hAnsi="Arial"/>
          <w:noProof/>
          <w:color w:val="002060"/>
          <w:sz w:val="22"/>
          <w:szCs w:val="22"/>
        </w:rPr>
        <w:t>Major cases closed without a Court judgment in 2016</w:t>
      </w:r>
    </w:p>
    <w:p>
      <w:pPr>
        <w:spacing w:after="120"/>
        <w:ind w:firstLine="709"/>
        <w:rPr>
          <w:rFonts w:ascii="Arial" w:hAnsi="Arial" w:cs="Arial"/>
          <w:noProof/>
          <w:sz w:val="20"/>
        </w:rPr>
      </w:pPr>
      <w:r>
        <w:rPr>
          <w:rFonts w:ascii="Arial" w:hAnsi="Arial" w:cs="Arial"/>
          <w:noProof/>
          <w:sz w:val="20"/>
        </w:rPr>
        <w:t>These concerned:</w:t>
      </w:r>
    </w:p>
    <w:p>
      <w:pPr>
        <w:numPr>
          <w:ilvl w:val="0"/>
          <w:numId w:val="4"/>
        </w:numPr>
        <w:spacing w:after="200"/>
        <w:ind w:left="1418" w:hanging="283"/>
        <w:contextualSpacing/>
        <w:rPr>
          <w:rFonts w:ascii="Arial" w:eastAsia="Calibri" w:hAnsi="Arial"/>
          <w:noProof/>
          <w:kern w:val="20"/>
          <w:sz w:val="20"/>
        </w:rPr>
      </w:pPr>
      <w:r>
        <w:rPr>
          <w:rFonts w:ascii="Arial" w:eastAsia="Calibri" w:hAnsi="Arial" w:cs="Arial"/>
          <w:noProof/>
          <w:kern w:val="20"/>
          <w:sz w:val="20"/>
        </w:rPr>
        <w:t>failure to comply with the Habitats Directive as regards protection of wild salmon in Scotland;</w:t>
      </w:r>
      <w:r>
        <w:rPr>
          <w:rStyle w:val="FootnoteReference"/>
          <w:rFonts w:eastAsia="Calibri"/>
          <w:noProof/>
        </w:rPr>
        <w:footnoteReference w:id="283"/>
      </w:r>
    </w:p>
    <w:p>
      <w:pPr>
        <w:numPr>
          <w:ilvl w:val="0"/>
          <w:numId w:val="4"/>
        </w:numPr>
        <w:spacing w:after="200"/>
        <w:ind w:left="1418" w:hanging="283"/>
        <w:contextualSpacing/>
        <w:rPr>
          <w:rFonts w:ascii="Arial" w:eastAsia="Calibri" w:hAnsi="Arial"/>
          <w:noProof/>
          <w:kern w:val="20"/>
          <w:sz w:val="20"/>
        </w:rPr>
      </w:pPr>
      <w:r>
        <w:rPr>
          <w:rFonts w:ascii="Arial" w:eastAsia="Calibri" w:hAnsi="Arial" w:cs="Arial"/>
          <w:noProof/>
          <w:kern w:val="20"/>
          <w:sz w:val="20"/>
        </w:rPr>
        <w:t>non-communication of national measures transposing the Seveso III Directive;</w:t>
      </w:r>
      <w:r>
        <w:rPr>
          <w:rStyle w:val="FootnoteReference"/>
          <w:rFonts w:eastAsia="Calibri"/>
          <w:noProof/>
        </w:rPr>
        <w:footnoteReference w:id="284"/>
      </w:r>
    </w:p>
    <w:p>
      <w:pPr>
        <w:numPr>
          <w:ilvl w:val="0"/>
          <w:numId w:val="4"/>
        </w:numPr>
        <w:spacing w:after="200"/>
        <w:ind w:left="1418" w:hanging="283"/>
        <w:contextualSpacing/>
        <w:rPr>
          <w:rFonts w:ascii="Arial" w:eastAsia="Calibri" w:hAnsi="Arial"/>
          <w:noProof/>
          <w:kern w:val="20"/>
          <w:sz w:val="20"/>
        </w:rPr>
      </w:pPr>
      <w:r>
        <w:rPr>
          <w:rFonts w:ascii="Arial" w:eastAsia="Calibri" w:hAnsi="Arial" w:cs="Arial"/>
          <w:noProof/>
          <w:kern w:val="20"/>
          <w:sz w:val="20"/>
        </w:rPr>
        <w:t>incorrect application of the Industrial Emissions Directive by excluding small waste oil burners from the scope of the definition of waste incineration plants;</w:t>
      </w:r>
      <w:r>
        <w:rPr>
          <w:rStyle w:val="FootnoteReference"/>
          <w:rFonts w:eastAsia="Calibri"/>
          <w:noProof/>
        </w:rPr>
        <w:footnoteReference w:id="285"/>
      </w:r>
    </w:p>
    <w:p>
      <w:pPr>
        <w:numPr>
          <w:ilvl w:val="0"/>
          <w:numId w:val="4"/>
        </w:numPr>
        <w:spacing w:after="200"/>
        <w:ind w:left="1418" w:hanging="283"/>
        <w:contextualSpacing/>
        <w:rPr>
          <w:rFonts w:ascii="Arial" w:eastAsia="Calibri" w:hAnsi="Arial"/>
          <w:noProof/>
          <w:kern w:val="20"/>
          <w:sz w:val="20"/>
        </w:rPr>
      </w:pPr>
      <w:r>
        <w:rPr>
          <w:rFonts w:ascii="Arial" w:eastAsia="Calibri" w:hAnsi="Arial" w:cs="Arial"/>
          <w:noProof/>
          <w:kern w:val="20"/>
          <w:sz w:val="20"/>
        </w:rPr>
        <w:t>notification of all national measures necessary to transpose the Capital Requirements Directive</w:t>
      </w:r>
      <w:r>
        <w:rPr>
          <w:rStyle w:val="FootnoteReference"/>
          <w:rFonts w:ascii="Arial" w:hAnsi="Arial" w:cs="Arial"/>
          <w:noProof/>
          <w:sz w:val="20"/>
        </w:rPr>
        <w:footnoteReference w:id="286"/>
      </w:r>
      <w:r>
        <w:rPr>
          <w:rFonts w:ascii="Arial" w:eastAsia="Calibri" w:hAnsi="Arial" w:cs="Arial"/>
          <w:noProof/>
          <w:kern w:val="20"/>
          <w:sz w:val="20"/>
        </w:rPr>
        <w:t xml:space="preserve"> and </w:t>
      </w:r>
      <w:r>
        <w:rPr>
          <w:rFonts w:ascii="Arial" w:eastAsia="Calibri" w:hAnsi="Arial"/>
          <w:noProof/>
          <w:kern w:val="20"/>
          <w:sz w:val="20"/>
        </w:rPr>
        <w:t>the Financial Conglomerates Directive;</w:t>
      </w:r>
      <w:r>
        <w:rPr>
          <w:rStyle w:val="FootnoteReference"/>
          <w:rFonts w:eastAsia="Calibri" w:cs="Arial"/>
          <w:noProof/>
        </w:rPr>
        <w:footnoteReference w:id="287"/>
      </w:r>
    </w:p>
    <w:p>
      <w:pPr>
        <w:numPr>
          <w:ilvl w:val="0"/>
          <w:numId w:val="4"/>
        </w:numPr>
        <w:spacing w:after="200"/>
        <w:ind w:left="1418" w:hanging="283"/>
        <w:contextualSpacing/>
        <w:rPr>
          <w:rFonts w:ascii="Arial" w:eastAsia="Calibri" w:hAnsi="Arial"/>
          <w:noProof/>
          <w:kern w:val="20"/>
          <w:sz w:val="20"/>
        </w:rPr>
      </w:pPr>
      <w:r>
        <w:rPr>
          <w:rFonts w:ascii="Arial" w:eastAsia="Calibri" w:hAnsi="Arial"/>
          <w:noProof/>
          <w:kern w:val="20"/>
          <w:sz w:val="20"/>
        </w:rPr>
        <w:t>transposition of the Directive on over-reliance on credit ratings;</w:t>
      </w:r>
      <w:r>
        <w:rPr>
          <w:rStyle w:val="FootnoteReference"/>
          <w:rFonts w:ascii="Arial" w:eastAsia="Calibri" w:hAnsi="Arial" w:cs="Arial"/>
          <w:noProof/>
          <w:sz w:val="20"/>
        </w:rPr>
        <w:footnoteReference w:id="288"/>
      </w:r>
    </w:p>
    <w:p>
      <w:pPr>
        <w:numPr>
          <w:ilvl w:val="0"/>
          <w:numId w:val="4"/>
        </w:numPr>
        <w:spacing w:after="200"/>
        <w:ind w:left="1418" w:hanging="284"/>
        <w:rPr>
          <w:rFonts w:ascii="Arial" w:eastAsia="Calibri" w:hAnsi="Arial"/>
          <w:noProof/>
          <w:kern w:val="20"/>
          <w:sz w:val="20"/>
        </w:rPr>
      </w:pPr>
      <w:r>
        <w:rPr>
          <w:rFonts w:ascii="Arial" w:eastAsia="Calibri" w:hAnsi="Arial"/>
          <w:noProof/>
          <w:kern w:val="20"/>
          <w:sz w:val="20"/>
        </w:rPr>
        <w:t>non-compliance with the First Railway Package.</w:t>
      </w:r>
    </w:p>
    <w:p>
      <w:pPr>
        <w:keepNext/>
        <w:keepLines/>
        <w:numPr>
          <w:ilvl w:val="0"/>
          <w:numId w:val="1"/>
        </w:numPr>
        <w:spacing w:after="120"/>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IMPORTANT JUDGMENTS</w:t>
      </w:r>
    </w:p>
    <w:p>
      <w:pPr>
        <w:pStyle w:val="Subtitle"/>
        <w:numPr>
          <w:ilvl w:val="0"/>
          <w:numId w:val="98"/>
        </w:numPr>
        <w:rPr>
          <w:noProof/>
        </w:rPr>
      </w:pPr>
      <w:r>
        <w:rPr>
          <w:noProof/>
        </w:rPr>
        <w:t>Court rulings</w:t>
      </w:r>
      <w:r>
        <w:rPr>
          <w:rStyle w:val="FootnoteReference"/>
          <w:noProof/>
        </w:rPr>
        <w:footnoteReference w:id="289"/>
      </w:r>
    </w:p>
    <w:p>
      <w:pPr>
        <w:pStyle w:val="Body"/>
        <w:rPr>
          <w:noProof/>
          <w:lang w:val="en-GB"/>
        </w:rPr>
      </w:pPr>
      <w:r>
        <w:rPr>
          <w:noProof/>
          <w:lang w:val="en-GB"/>
        </w:rPr>
        <w:t>The Court ruled that:</w:t>
      </w:r>
    </w:p>
    <w:p>
      <w:pPr>
        <w:pStyle w:val="Lijstje2"/>
        <w:ind w:left="1418" w:hanging="283"/>
        <w:rPr>
          <w:rFonts w:ascii="Arial" w:hAnsi="Arial" w:cs="Arial"/>
          <w:noProof/>
          <w:lang w:val="en-GB"/>
        </w:rPr>
      </w:pPr>
      <w:r>
        <w:rPr>
          <w:rFonts w:ascii="Arial" w:hAnsi="Arial"/>
          <w:noProof/>
          <w:lang w:val="en-GB"/>
        </w:rPr>
        <w:t>the United Kingdom</w:t>
      </w:r>
      <w:r>
        <w:rPr>
          <w:rFonts w:ascii="Arial" w:hAnsi="Arial" w:cs="Arial"/>
          <w:noProof/>
          <w:lang w:val="en-GB"/>
        </w:rPr>
        <w:t xml:space="preserve"> has incorrectly applied the Large Combustion Plants Directive to the Aberthaw Power Station in Wales, by not respecting the emission limit value for nitrogen oxides (NOx);</w:t>
      </w:r>
      <w:r>
        <w:rPr>
          <w:rStyle w:val="FootnoteReference"/>
          <w:rFonts w:ascii="Arial" w:hAnsi="Arial" w:cs="Arial"/>
          <w:bCs/>
          <w:noProof/>
          <w:lang w:val="en-GB"/>
        </w:rPr>
        <w:footnoteReference w:id="290"/>
      </w:r>
    </w:p>
    <w:p>
      <w:pPr>
        <w:pStyle w:val="Lijstje2"/>
        <w:ind w:left="1418" w:hanging="283"/>
        <w:rPr>
          <w:rFonts w:ascii="Arial" w:hAnsi="Arial" w:cs="Arial"/>
          <w:noProof/>
          <w:lang w:val="en-GB"/>
        </w:rPr>
      </w:pPr>
      <w:r>
        <w:rPr>
          <w:rFonts w:ascii="Arial" w:hAnsi="Arial"/>
          <w:noProof/>
          <w:lang w:val="en-GB"/>
        </w:rPr>
        <w:t>the United Kingdom</w:t>
      </w:r>
      <w:r>
        <w:rPr>
          <w:rFonts w:ascii="Arial" w:hAnsi="Arial" w:cs="Arial"/>
          <w:i/>
          <w:noProof/>
          <w:lang w:val="en-GB"/>
        </w:rPr>
        <w:t xml:space="preserve"> </w:t>
      </w:r>
      <w:r>
        <w:rPr>
          <w:rFonts w:ascii="Arial" w:hAnsi="Arial" w:cs="Arial"/>
          <w:noProof/>
          <w:lang w:val="en-GB"/>
        </w:rPr>
        <w:t>did not violate the Regulation on the coordination of social security systems</w:t>
      </w:r>
      <w:r>
        <w:rPr>
          <w:rStyle w:val="FootnoteReference"/>
          <w:bCs/>
          <w:noProof/>
          <w:lang w:val="en-GB"/>
        </w:rPr>
        <w:footnoteReference w:id="291"/>
      </w:r>
      <w:r>
        <w:rPr>
          <w:rFonts w:ascii="Arial" w:hAnsi="Arial" w:cs="Arial"/>
          <w:noProof/>
          <w:lang w:val="en-GB"/>
        </w:rPr>
        <w:t xml:space="preserve"> by requiring a person claiming certain social benefits (child benefit and child tax credit) to satisfy the so-called right to reside test in order to be treated as habitually resident in the UK.</w:t>
      </w:r>
      <w:r>
        <w:rPr>
          <w:rStyle w:val="FootnoteReference"/>
          <w:bCs/>
          <w:noProof/>
          <w:lang w:val="en-GB"/>
        </w:rPr>
        <w:footnoteReference w:id="292"/>
      </w:r>
    </w:p>
    <w:p>
      <w:pPr>
        <w:numPr>
          <w:ilvl w:val="0"/>
          <w:numId w:val="3"/>
        </w:numPr>
        <w:spacing w:after="60"/>
        <w:jc w:val="left"/>
        <w:outlineLvl w:val="1"/>
        <w:rPr>
          <w:rFonts w:ascii="Arial" w:hAnsi="Arial"/>
          <w:noProof/>
          <w:color w:val="002060"/>
          <w:sz w:val="22"/>
          <w:szCs w:val="22"/>
        </w:rPr>
      </w:pPr>
      <w:r>
        <w:rPr>
          <w:rFonts w:ascii="Arial" w:hAnsi="Arial"/>
          <w:noProof/>
          <w:color w:val="002060"/>
          <w:sz w:val="22"/>
          <w:szCs w:val="22"/>
        </w:rPr>
        <w:t>Preliminary rulings²</w:t>
      </w:r>
    </w:p>
    <w:p>
      <w:pPr>
        <w:pStyle w:val="Body"/>
        <w:ind w:left="426" w:firstLine="294"/>
        <w:rPr>
          <w:noProof/>
          <w:lang w:val="en-GB"/>
        </w:rPr>
      </w:pPr>
      <w:r>
        <w:rPr>
          <w:noProof/>
          <w:lang w:val="en-GB"/>
        </w:rPr>
        <w:t>In preliminary rulings addressed to the UK judiciary, the Court held that:</w:t>
      </w:r>
    </w:p>
    <w:p>
      <w:pPr>
        <w:pStyle w:val="Lijstje2"/>
        <w:ind w:left="1418" w:hanging="283"/>
        <w:rPr>
          <w:rFonts w:ascii="Arial" w:hAnsi="Arial" w:cs="Arial"/>
          <w:noProof/>
          <w:lang w:val="en-GB"/>
        </w:rPr>
      </w:pPr>
      <w:r>
        <w:rPr>
          <w:rFonts w:ascii="Arial" w:hAnsi="Arial" w:cs="Arial"/>
          <w:noProof/>
          <w:lang w:val="en-GB"/>
        </w:rPr>
        <w:t>a national of a non-EU country who has the sole care of an EU citizen who is a minor cannot be automatically refused a residence permit or expelled from the territory of the European Union on the sole ground that he has a criminal record. To be capable of being adopted, an expulsion measure must be proportionate and founded on the personal conduct of the national of a non-EU country. That conduct must constitute a genuine, present and sufficiently serious threat adversely affecting one of the fundamental interests of the society of the host Member State;</w:t>
      </w:r>
      <w:r>
        <w:rPr>
          <w:noProof/>
          <w:lang w:val="en-GB"/>
        </w:rPr>
        <w:t xml:space="preserve"> </w:t>
      </w:r>
      <w:r>
        <w:rPr>
          <w:rStyle w:val="FootnoteReference"/>
          <w:rFonts w:ascii="Arial" w:hAnsi="Arial" w:cs="Arial"/>
          <w:noProof/>
          <w:lang w:val="en-GB"/>
        </w:rPr>
        <w:footnoteReference w:id="293"/>
      </w:r>
    </w:p>
    <w:p>
      <w:pPr>
        <w:pStyle w:val="Lijstje2"/>
        <w:ind w:left="1418" w:hanging="283"/>
        <w:rPr>
          <w:rFonts w:ascii="Arial" w:hAnsi="Arial" w:cs="Arial"/>
          <w:noProof/>
          <w:lang w:val="en-GB"/>
        </w:rPr>
      </w:pPr>
      <w:r>
        <w:rPr>
          <w:rFonts w:ascii="Arial" w:eastAsia="Times New Roman" w:hAnsi="Arial" w:cs="Arial"/>
          <w:noProof/>
          <w:kern w:val="0"/>
          <w:lang w:val="en-GB"/>
        </w:rPr>
        <w:t>under the Directive on privacy and electronic communications</w:t>
      </w:r>
      <w:r>
        <w:rPr>
          <w:rStyle w:val="FootnoteReference"/>
          <w:noProof/>
        </w:rPr>
        <w:footnoteReference w:id="294"/>
      </w:r>
      <w:r>
        <w:rPr>
          <w:rFonts w:ascii="Arial" w:eastAsia="Times New Roman" w:hAnsi="Arial" w:cs="Arial"/>
          <w:noProof/>
          <w:kern w:val="0"/>
          <w:lang w:val="en-GB"/>
        </w:rPr>
        <w:t xml:space="preserve"> Member States may establish, as a preventive measure, a targeted retention of data solely for the purpose of fighting serious crime, provided that such retention is limited to what is strictly necessary regarding the categories of data to be retained, means of communication affected, persons concerned and duration of the retention period. The Court further clarified that the access of national authorities to the retained data must be subject to conditions, including prior review by an independent authority, and that the data must be retained within the EU;</w:t>
      </w:r>
      <w:r>
        <w:rPr>
          <w:rFonts w:ascii="Arial" w:eastAsia="Times New Roman" w:hAnsi="Arial" w:cs="Arial"/>
          <w:noProof/>
          <w:kern w:val="0"/>
          <w:sz w:val="22"/>
          <w:vertAlign w:val="superscript"/>
          <w:lang w:val="en-GB"/>
        </w:rPr>
        <w:t xml:space="preserve"> </w:t>
      </w:r>
      <w:r>
        <w:rPr>
          <w:rStyle w:val="FootnoteReference"/>
          <w:noProof/>
        </w:rPr>
        <w:footnoteReference w:id="295"/>
      </w:r>
    </w:p>
    <w:p>
      <w:pPr>
        <w:pStyle w:val="Lijstje2"/>
        <w:ind w:left="1418" w:hanging="283"/>
        <w:rPr>
          <w:rFonts w:ascii="Arial" w:hAnsi="Arial" w:cs="Arial"/>
          <w:noProof/>
          <w:lang w:val="en-GB"/>
        </w:rPr>
      </w:pPr>
      <w:r>
        <w:rPr>
          <w:rFonts w:ascii="Arial" w:hAnsi="Arial" w:cs="Arial"/>
          <w:noProof/>
          <w:lang w:val="en-GB"/>
        </w:rPr>
        <w:t>a fee demanded for the issuing of services licences was excessive as it did not correspond to the real cost of authorisation procedures. The national legislation on granting the licences was therefore judged non-compliant with the Services Directive;</w:t>
      </w:r>
      <w:r>
        <w:rPr>
          <w:rStyle w:val="FootnoteReference"/>
          <w:rFonts w:ascii="Arial" w:hAnsi="Arial" w:cs="Arial"/>
          <w:noProof/>
          <w:lang w:val="en-GB"/>
        </w:rPr>
        <w:footnoteReference w:id="296"/>
      </w:r>
    </w:p>
    <w:p>
      <w:pPr>
        <w:pStyle w:val="Lijstje2"/>
        <w:ind w:left="1418" w:hanging="283"/>
        <w:rPr>
          <w:rFonts w:ascii="Arial" w:hAnsi="Arial" w:cs="Arial"/>
          <w:noProof/>
          <w:lang w:val="en-GB"/>
        </w:rPr>
      </w:pPr>
      <w:r>
        <w:rPr>
          <w:rFonts w:ascii="Arial" w:hAnsi="Arial" w:cs="Arial"/>
          <w:noProof/>
          <w:lang w:val="en-GB"/>
        </w:rPr>
        <w:t>the placing on the EU market of cosmetic products containing some ingredients that have been tested on animals outside the EU in order to market those products in third countries may be prohibited if the data resulting from that testing is used to prove the safety of the products concerned for the purposes of placing them on the EU market.</w:t>
      </w:r>
      <w:r>
        <w:rPr>
          <w:rStyle w:val="FootnoteReference"/>
          <w:rFonts w:ascii="Arial" w:hAnsi="Arial" w:cs="Arial"/>
          <w:noProof/>
          <w:lang w:val="en-GB"/>
        </w:rPr>
        <w:footnoteReference w:id="297"/>
      </w:r>
    </w:p>
    <w:p>
      <w:pPr>
        <w:ind w:firstLine="720"/>
        <w:rPr>
          <w:rFonts w:ascii="Arial" w:hAnsi="Arial" w:cs="Arial"/>
          <w:noProof/>
          <w:sz w:val="20"/>
        </w:rPr>
      </w:pPr>
    </w:p>
    <w:p>
      <w:pPr>
        <w:ind w:firstLine="720"/>
        <w:rPr>
          <w:rFonts w:ascii="Arial" w:hAnsi="Arial" w:cs="Arial"/>
          <w:noProof/>
          <w:sz w:val="20"/>
        </w:rPr>
        <w:sectPr>
          <w:headerReference w:type="even" r:id="rId266"/>
          <w:headerReference w:type="default" r:id="rId267"/>
          <w:footerReference w:type="even" r:id="rId268"/>
          <w:footerReference w:type="default" r:id="rId269"/>
          <w:headerReference w:type="first" r:id="rId270"/>
          <w:footerReference w:type="first" r:id="rId271"/>
          <w:footnotePr>
            <w:numRestart w:val="eachSect"/>
          </w:footnotePr>
          <w:pgSz w:w="11906" w:h="16838"/>
          <w:pgMar w:top="1702" w:right="1418" w:bottom="1134" w:left="1418" w:header="567" w:footer="352" w:gutter="0"/>
          <w:cols w:space="708"/>
          <w:titlePg/>
          <w:docGrid w:linePitch="360"/>
        </w:sectPr>
      </w:pPr>
    </w:p>
    <w:p>
      <w:pPr>
        <w:jc w:val="center"/>
        <w:rPr>
          <w:rFonts w:ascii="Arial" w:hAnsi="Arial"/>
          <w:noProof/>
          <w:color w:val="BFBFBF" w:themeColor="background1" w:themeShade="BF"/>
          <w:szCs w:val="24"/>
        </w:rPr>
      </w:pPr>
      <w:r>
        <w:rPr>
          <w:rFonts w:ascii="Arial" w:hAnsi="Arial"/>
          <w:noProof/>
          <w:color w:val="BFBFBF" w:themeColor="background1" w:themeShade="BF"/>
          <w:szCs w:val="24"/>
        </w:rPr>
        <w:t>METHODOLOGY AND EXPLANATIONS</w:t>
      </w:r>
    </w:p>
    <w:p>
      <w:pPr>
        <w:keepNext/>
        <w:keepLines/>
        <w:ind w:left="357"/>
        <w:outlineLvl w:val="1"/>
        <w:rPr>
          <w:rFonts w:ascii="Arial" w:eastAsia="MS Gothic" w:hAnsi="Arial" w:cs="Arial"/>
          <w:caps/>
          <w:noProof/>
          <w:color w:val="4F81BD"/>
          <w:kern w:val="20"/>
          <w:szCs w:val="24"/>
        </w:rPr>
      </w:pPr>
      <w:r>
        <w:rPr>
          <w:rFonts w:ascii="Arial" w:eastAsia="MS Gothic" w:hAnsi="Arial" w:cs="Arial"/>
          <w:caps/>
          <w:noProof/>
          <w:color w:val="4F81BD"/>
          <w:kern w:val="20"/>
          <w:szCs w:val="24"/>
        </w:rPr>
        <w:t>Annex II — MEMBER STATES</w:t>
      </w:r>
    </w:p>
    <w:p>
      <w:pPr>
        <w:keepNext/>
        <w:keepLines/>
        <w:numPr>
          <w:ilvl w:val="1"/>
          <w:numId w:val="116"/>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COMPLAINTS</w:t>
      </w:r>
    </w:p>
    <w:p>
      <w:pPr>
        <w:rPr>
          <w:rFonts w:ascii="Arial" w:hAnsi="Arial" w:cs="Arial"/>
          <w:b/>
          <w:noProof/>
          <w:color w:val="002060"/>
          <w:sz w:val="20"/>
        </w:rPr>
      </w:pPr>
      <w:r>
        <w:rPr>
          <w:rFonts w:ascii="Arial" w:hAnsi="Arial" w:cs="Arial"/>
          <w:b/>
          <w:noProof/>
          <w:color w:val="002060"/>
          <w:sz w:val="20"/>
        </w:rPr>
        <w:t>First chart: New complaints made against the Member State by members of the public (2012-2016)</w:t>
      </w:r>
    </w:p>
    <w:p>
      <w:pPr>
        <w:spacing w:after="120"/>
        <w:rPr>
          <w:rFonts w:ascii="Arial" w:hAnsi="Arial" w:cs="Arial"/>
          <w:noProof/>
          <w:sz w:val="20"/>
        </w:rPr>
      </w:pPr>
      <w:r>
        <w:rPr>
          <w:rFonts w:ascii="Arial" w:hAnsi="Arial" w:cs="Arial"/>
          <w:noProof/>
          <w:sz w:val="20"/>
        </w:rPr>
        <w:t>This shows the number of public complaints the Commission registered against the Member State for the years 2012-2016.</w:t>
      </w:r>
    </w:p>
    <w:p>
      <w:pPr>
        <w:rPr>
          <w:rFonts w:ascii="Arial" w:hAnsi="Arial" w:cs="Arial"/>
          <w:b/>
          <w:noProof/>
          <w:color w:val="002060"/>
          <w:sz w:val="20"/>
        </w:rPr>
      </w:pPr>
      <w:r>
        <w:rPr>
          <w:rFonts w:ascii="Arial" w:hAnsi="Arial" w:cs="Arial"/>
          <w:b/>
          <w:noProof/>
          <w:color w:val="002060"/>
          <w:sz w:val="20"/>
        </w:rPr>
        <w:t>Second chart: Public complaints against the Member State open at year-end</w:t>
      </w:r>
    </w:p>
    <w:p>
      <w:pPr>
        <w:rPr>
          <w:rFonts w:ascii="Arial" w:hAnsi="Arial" w:cs="Arial"/>
          <w:noProof/>
          <w:sz w:val="20"/>
        </w:rPr>
      </w:pPr>
      <w:r>
        <w:rPr>
          <w:rFonts w:ascii="Arial" w:hAnsi="Arial" w:cs="Arial"/>
          <w:noProof/>
          <w:sz w:val="20"/>
        </w:rPr>
        <w:t>This starts with the number of open complaints against the Member State carried over from 2015 (first column). The second column shows the number of new complaints registered in 2016. The third column shows the number of complaints on which the Commission took a decision in 2016. The fourth column shows the number of complaints against the Member State that were open at the end of 2016 (calculated by taking the first figure, adding the second and subtracting the third).</w:t>
      </w:r>
    </w:p>
    <w:p>
      <w:pPr>
        <w:rPr>
          <w:rFonts w:ascii="Arial" w:hAnsi="Arial" w:cs="Arial"/>
          <w:b/>
          <w:noProof/>
          <w:color w:val="002060"/>
          <w:sz w:val="20"/>
        </w:rPr>
      </w:pPr>
      <w:r>
        <w:rPr>
          <w:rFonts w:ascii="Arial" w:hAnsi="Arial" w:cs="Arial"/>
          <w:b/>
          <w:noProof/>
          <w:color w:val="002060"/>
          <w:sz w:val="20"/>
        </w:rPr>
        <w:t>Third chart: New complaints registered in 2016: main policy areas</w:t>
      </w:r>
    </w:p>
    <w:p>
      <w:pPr>
        <w:rPr>
          <w:rFonts w:ascii="Arial" w:hAnsi="Arial" w:cs="Arial"/>
          <w:noProof/>
          <w:sz w:val="20"/>
        </w:rPr>
      </w:pPr>
      <w:r>
        <w:rPr>
          <w:rFonts w:ascii="Arial" w:hAnsi="Arial" w:cs="Arial"/>
          <w:noProof/>
          <w:sz w:val="20"/>
        </w:rPr>
        <w:t>The number of complaints registered in 2016 is broken down by policy area. Generally, this breakdown shows the three policy areas which attracted the most complaints. However, four (or more) policy areas are mentioned if two (or more) policy areas tied for the third highest number of complaints.</w:t>
      </w:r>
    </w:p>
    <w:p>
      <w:pPr>
        <w:keepNext/>
        <w:keepLines/>
        <w:numPr>
          <w:ilvl w:val="1"/>
          <w:numId w:val="116"/>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EU PILOT</w:t>
      </w:r>
    </w:p>
    <w:p>
      <w:pPr>
        <w:rPr>
          <w:rFonts w:ascii="Arial" w:hAnsi="Arial" w:cs="Arial"/>
          <w:b/>
          <w:noProof/>
          <w:color w:val="002060"/>
          <w:sz w:val="20"/>
        </w:rPr>
      </w:pPr>
      <w:r>
        <w:rPr>
          <w:rFonts w:ascii="Arial" w:hAnsi="Arial" w:cs="Arial"/>
          <w:b/>
          <w:noProof/>
          <w:color w:val="002060"/>
          <w:sz w:val="20"/>
        </w:rPr>
        <w:t>First chart: New EU Pilot files opened against the Member State (2012-2016)</w:t>
      </w:r>
    </w:p>
    <w:p>
      <w:pPr>
        <w:rPr>
          <w:rFonts w:ascii="Arial" w:hAnsi="Arial" w:cs="Arial"/>
          <w:noProof/>
          <w:sz w:val="20"/>
        </w:rPr>
      </w:pPr>
      <w:r>
        <w:rPr>
          <w:rFonts w:ascii="Arial" w:hAnsi="Arial" w:cs="Arial"/>
          <w:noProof/>
          <w:sz w:val="20"/>
        </w:rPr>
        <w:t>This analyses the number of EU Pilot files the Commission opened against the Member State for the years 2012-2016.</w:t>
      </w:r>
    </w:p>
    <w:p>
      <w:pPr>
        <w:rPr>
          <w:rFonts w:ascii="Arial" w:hAnsi="Arial" w:cs="Arial"/>
          <w:b/>
          <w:noProof/>
          <w:color w:val="002060"/>
          <w:sz w:val="20"/>
        </w:rPr>
      </w:pPr>
      <w:r>
        <w:rPr>
          <w:rFonts w:ascii="Arial" w:hAnsi="Arial" w:cs="Arial"/>
          <w:b/>
          <w:noProof/>
          <w:color w:val="002060"/>
          <w:sz w:val="20"/>
        </w:rPr>
        <w:t>Second chart: EU Pilot files relating to the Member State open at year-end</w:t>
      </w:r>
    </w:p>
    <w:p>
      <w:pPr>
        <w:rPr>
          <w:rFonts w:ascii="Arial" w:hAnsi="Arial" w:cs="Arial"/>
          <w:noProof/>
          <w:sz w:val="20"/>
        </w:rPr>
      </w:pPr>
      <w:r>
        <w:rPr>
          <w:rFonts w:ascii="Arial" w:hAnsi="Arial" w:cs="Arial"/>
          <w:noProof/>
          <w:sz w:val="20"/>
        </w:rPr>
        <w:t>This analyses the number of EU Pilot files still pending at year-end against the Member State for the years 2012-2016.</w:t>
      </w:r>
    </w:p>
    <w:p>
      <w:pPr>
        <w:rPr>
          <w:rFonts w:ascii="Arial" w:hAnsi="Arial" w:cs="Arial"/>
          <w:b/>
          <w:noProof/>
          <w:color w:val="002060"/>
          <w:sz w:val="20"/>
        </w:rPr>
      </w:pPr>
      <w:r>
        <w:rPr>
          <w:rFonts w:ascii="Arial" w:hAnsi="Arial" w:cs="Arial"/>
          <w:b/>
          <w:noProof/>
          <w:color w:val="002060"/>
          <w:sz w:val="20"/>
        </w:rPr>
        <w:t>Third chart: New EU Pilot files opened in 2016: main policy areas</w:t>
      </w:r>
    </w:p>
    <w:p>
      <w:pPr>
        <w:rPr>
          <w:rFonts w:ascii="Arial" w:hAnsi="Arial" w:cs="Arial"/>
          <w:noProof/>
          <w:sz w:val="20"/>
        </w:rPr>
      </w:pPr>
      <w:r>
        <w:rPr>
          <w:rFonts w:ascii="Arial" w:hAnsi="Arial" w:cs="Arial"/>
          <w:noProof/>
          <w:sz w:val="20"/>
        </w:rPr>
        <w:t>The figure for the number of new EU Pilot files opened against the Member State in 2016 is broken down by policy area. Generally, this breakdown shows the three policy areas in which the most EU Pilot files were opened in 2016. However, four (or more) policy areas are mentioned if two (or more) policy areas tied for the third highest number of EU Pilot files or if the top three policy areas do not account for more than 50 % of the cases.</w:t>
      </w:r>
    </w:p>
    <w:p>
      <w:pPr>
        <w:rPr>
          <w:rFonts w:ascii="Arial" w:hAnsi="Arial" w:cs="Arial"/>
          <w:b/>
          <w:noProof/>
          <w:color w:val="002060"/>
          <w:sz w:val="20"/>
          <w:szCs w:val="22"/>
        </w:rPr>
      </w:pPr>
      <w:r>
        <w:rPr>
          <w:rFonts w:ascii="Arial" w:hAnsi="Arial" w:cs="Arial"/>
          <w:b/>
          <w:noProof/>
          <w:color w:val="002060"/>
          <w:sz w:val="20"/>
          <w:szCs w:val="22"/>
        </w:rPr>
        <w:t>Fourth chart: EU Pilot files: Member State’s average response time in 2012-2016 (in days)</w:t>
      </w:r>
    </w:p>
    <w:p>
      <w:pPr>
        <w:jc w:val="left"/>
        <w:rPr>
          <w:rFonts w:ascii="Arial" w:hAnsi="Arial" w:cs="Arial"/>
          <w:noProof/>
          <w:sz w:val="20"/>
        </w:rPr>
      </w:pPr>
      <w:r>
        <w:rPr>
          <w:rFonts w:ascii="Arial" w:hAnsi="Arial" w:cs="Arial"/>
          <w:noProof/>
          <w:sz w:val="20"/>
        </w:rPr>
        <w:t>This shows how the Member State’s average response time in EU Pilot has changed over the past 5 years.</w:t>
      </w:r>
    </w:p>
    <w:p>
      <w:pPr>
        <w:jc w:val="left"/>
        <w:rPr>
          <w:rFonts w:ascii="Arial" w:hAnsi="Arial" w:cs="Arial"/>
          <w:b/>
          <w:noProof/>
          <w:color w:val="002060"/>
          <w:sz w:val="20"/>
          <w:szCs w:val="22"/>
        </w:rPr>
      </w:pPr>
      <w:r>
        <w:rPr>
          <w:rFonts w:ascii="Arial" w:hAnsi="Arial" w:cs="Arial"/>
          <w:b/>
          <w:noProof/>
          <w:color w:val="002060"/>
          <w:sz w:val="20"/>
          <w:szCs w:val="22"/>
        </w:rPr>
        <w:t>Fifth chart: EU Pilot files: Member State’s resolution rate in 2012-2016</w:t>
      </w:r>
    </w:p>
    <w:p>
      <w:pPr>
        <w:rPr>
          <w:rFonts w:ascii="Arial" w:hAnsi="Arial" w:cs="Arial"/>
          <w:noProof/>
          <w:sz w:val="20"/>
        </w:rPr>
      </w:pPr>
      <w:r>
        <w:rPr>
          <w:rFonts w:ascii="Arial" w:hAnsi="Arial" w:cs="Arial"/>
          <w:noProof/>
          <w:sz w:val="20"/>
        </w:rPr>
        <w:t>This shows how many EU Pilot files the Commission closed without opening an infringement case by 31 December of each year from 2012 to 2016.</w:t>
      </w:r>
    </w:p>
    <w:p>
      <w:pPr>
        <w:spacing w:after="200" w:line="276" w:lineRule="auto"/>
        <w:jc w:val="left"/>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br w:type="page"/>
      </w:r>
    </w:p>
    <w:p>
      <w:pPr>
        <w:keepNext/>
        <w:keepLines/>
        <w:numPr>
          <w:ilvl w:val="1"/>
          <w:numId w:val="116"/>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INFRINGEMENT CASES</w:t>
      </w:r>
    </w:p>
    <w:p>
      <w:pPr>
        <w:rPr>
          <w:rFonts w:ascii="Arial" w:hAnsi="Arial" w:cs="Arial"/>
          <w:b/>
          <w:noProof/>
          <w:color w:val="002060"/>
          <w:sz w:val="20"/>
          <w:szCs w:val="22"/>
        </w:rPr>
      </w:pPr>
      <w:r>
        <w:rPr>
          <w:rFonts w:ascii="Arial" w:hAnsi="Arial" w:cs="Arial"/>
          <w:b/>
          <w:noProof/>
          <w:color w:val="002060"/>
          <w:sz w:val="20"/>
          <w:szCs w:val="22"/>
        </w:rPr>
        <w:t>First chart: Infringement cases against the Member State open on 31 December (2012-2016)</w:t>
      </w:r>
    </w:p>
    <w:p>
      <w:pPr>
        <w:rPr>
          <w:rFonts w:ascii="Arial" w:hAnsi="Arial" w:cs="Arial"/>
          <w:noProof/>
          <w:sz w:val="20"/>
        </w:rPr>
      </w:pPr>
      <w:r>
        <w:rPr>
          <w:rFonts w:ascii="Arial" w:hAnsi="Arial" w:cs="Arial"/>
          <w:noProof/>
          <w:sz w:val="20"/>
        </w:rPr>
        <w:t xml:space="preserve">These figures include all procedures the Commission initiated against the Member State by sending a letter of formal notice under Article 258 TFEU. It covers letters sent in 2016 or before, irrespective of the stages the cases have reached. Only cases which have not yet been closed by a formal decision are shown.  </w:t>
      </w:r>
    </w:p>
    <w:p>
      <w:pPr>
        <w:rPr>
          <w:rFonts w:ascii="Arial" w:hAnsi="Arial" w:cs="Arial"/>
          <w:noProof/>
          <w:sz w:val="20"/>
        </w:rPr>
      </w:pPr>
      <w:r>
        <w:rPr>
          <w:rFonts w:ascii="Arial" w:hAnsi="Arial" w:cs="Arial"/>
          <w:noProof/>
          <w:sz w:val="20"/>
        </w:rPr>
        <w:t>Accordingly, these numbers include all cases that, on 31 December of the years 2012 to 2016:</w:t>
      </w:r>
    </w:p>
    <w:p>
      <w:pPr>
        <w:numPr>
          <w:ilvl w:val="0"/>
          <w:numId w:val="115"/>
        </w:numPr>
        <w:ind w:left="714" w:hanging="357"/>
        <w:contextualSpacing/>
        <w:rPr>
          <w:rFonts w:ascii="Arial" w:eastAsia="Calibri" w:hAnsi="Arial" w:cs="Arial"/>
          <w:noProof/>
          <w:sz w:val="20"/>
        </w:rPr>
      </w:pPr>
      <w:r>
        <w:rPr>
          <w:rFonts w:ascii="Arial" w:eastAsia="Calibri" w:hAnsi="Arial" w:cs="Arial"/>
          <w:noProof/>
          <w:sz w:val="20"/>
        </w:rPr>
        <w:t>were in the pre-litigation phase (letter of formal notice, reasoned opinion or decision on referral to the Court under Article 258 TFEU);</w:t>
      </w:r>
    </w:p>
    <w:p>
      <w:pPr>
        <w:numPr>
          <w:ilvl w:val="0"/>
          <w:numId w:val="115"/>
        </w:numPr>
        <w:ind w:left="714" w:hanging="357"/>
        <w:contextualSpacing/>
        <w:rPr>
          <w:rFonts w:ascii="Arial" w:eastAsia="Calibri" w:hAnsi="Arial" w:cs="Arial"/>
          <w:noProof/>
          <w:sz w:val="20"/>
        </w:rPr>
      </w:pPr>
      <w:r>
        <w:rPr>
          <w:rFonts w:ascii="Arial" w:eastAsia="Calibri" w:hAnsi="Arial" w:cs="Arial"/>
          <w:noProof/>
          <w:sz w:val="20"/>
        </w:rPr>
        <w:t>were pending before the Court under Article 258 TFEU and Article 260(3) TFEU;</w:t>
      </w:r>
    </w:p>
    <w:p>
      <w:pPr>
        <w:numPr>
          <w:ilvl w:val="0"/>
          <w:numId w:val="115"/>
        </w:numPr>
        <w:ind w:left="714" w:hanging="357"/>
        <w:contextualSpacing/>
        <w:rPr>
          <w:rFonts w:ascii="Arial" w:eastAsia="Calibri" w:hAnsi="Arial" w:cs="Arial"/>
          <w:noProof/>
          <w:sz w:val="20"/>
        </w:rPr>
      </w:pPr>
      <w:r>
        <w:rPr>
          <w:rFonts w:ascii="Arial" w:eastAsia="Calibri" w:hAnsi="Arial" w:cs="Arial"/>
          <w:noProof/>
          <w:sz w:val="20"/>
        </w:rPr>
        <w:t>the Court had ruled on but where the Commission could not yet confirm that the Member State had implemented the judgment correctly;</w:t>
      </w:r>
    </w:p>
    <w:p>
      <w:pPr>
        <w:numPr>
          <w:ilvl w:val="0"/>
          <w:numId w:val="115"/>
        </w:numPr>
        <w:ind w:left="714" w:hanging="357"/>
        <w:contextualSpacing/>
        <w:rPr>
          <w:rFonts w:ascii="Arial" w:eastAsia="Calibri" w:hAnsi="Arial" w:cs="Arial"/>
          <w:noProof/>
          <w:sz w:val="20"/>
        </w:rPr>
      </w:pPr>
      <w:r>
        <w:rPr>
          <w:rFonts w:ascii="Arial" w:eastAsia="Calibri" w:hAnsi="Arial" w:cs="Arial"/>
          <w:noProof/>
          <w:sz w:val="20"/>
        </w:rPr>
        <w:t>were in the second pre-litigation procedure (letter of formal notice or referral decision under Article 260(2) TFEU);</w:t>
      </w:r>
    </w:p>
    <w:p>
      <w:pPr>
        <w:numPr>
          <w:ilvl w:val="0"/>
          <w:numId w:val="115"/>
        </w:numPr>
        <w:ind w:left="714" w:hanging="357"/>
        <w:contextualSpacing/>
        <w:rPr>
          <w:rFonts w:ascii="Arial" w:eastAsia="Calibri" w:hAnsi="Arial" w:cs="Arial"/>
          <w:noProof/>
          <w:sz w:val="20"/>
        </w:rPr>
      </w:pPr>
      <w:r>
        <w:rPr>
          <w:rFonts w:ascii="Arial" w:eastAsia="Calibri" w:hAnsi="Arial" w:cs="Arial"/>
          <w:noProof/>
          <w:sz w:val="20"/>
        </w:rPr>
        <w:t>were pending before the Court due to a second referral; and</w:t>
      </w:r>
    </w:p>
    <w:p>
      <w:pPr>
        <w:numPr>
          <w:ilvl w:val="0"/>
          <w:numId w:val="115"/>
        </w:numPr>
        <w:ind w:left="714" w:hanging="357"/>
        <w:contextualSpacing/>
        <w:rPr>
          <w:rFonts w:ascii="Arial" w:eastAsia="Calibri" w:hAnsi="Arial" w:cs="Arial"/>
          <w:noProof/>
          <w:sz w:val="20"/>
        </w:rPr>
      </w:pPr>
      <w:r>
        <w:rPr>
          <w:rFonts w:ascii="Arial" w:eastAsia="Calibri" w:hAnsi="Arial" w:cs="Arial"/>
          <w:noProof/>
          <w:sz w:val="20"/>
        </w:rPr>
        <w:t>the Court had ruled on for the second time but where the Commission could not yet confirm that the Member State had implemented the second judgment correctly.</w:t>
      </w:r>
    </w:p>
    <w:p>
      <w:pPr>
        <w:rPr>
          <w:rFonts w:ascii="Arial" w:hAnsi="Arial" w:cs="Arial"/>
          <w:noProof/>
          <w:sz w:val="20"/>
        </w:rPr>
      </w:pPr>
      <w:r>
        <w:rPr>
          <w:rFonts w:ascii="Arial" w:hAnsi="Arial" w:cs="Arial"/>
          <w:noProof/>
          <w:sz w:val="20"/>
        </w:rPr>
        <w:t xml:space="preserve">These figures do </w:t>
      </w:r>
      <w:r>
        <w:rPr>
          <w:rFonts w:ascii="Arial" w:hAnsi="Arial" w:cs="Arial"/>
          <w:i/>
          <w:noProof/>
          <w:sz w:val="20"/>
        </w:rPr>
        <w:t xml:space="preserve">not </w:t>
      </w:r>
      <w:r>
        <w:rPr>
          <w:rFonts w:ascii="Arial" w:hAnsi="Arial" w:cs="Arial"/>
          <w:noProof/>
          <w:sz w:val="20"/>
        </w:rPr>
        <w:t>include, for example, open EU Pilot files in the policy area. They also do not include EU Pilot files for which the Commission had already rejected a Member State’s response but had not yet sent a letter of formal notice under Article 258 TFEU.</w:t>
      </w:r>
    </w:p>
    <w:p>
      <w:pPr>
        <w:rPr>
          <w:rFonts w:ascii="Arial" w:hAnsi="Arial" w:cs="Arial"/>
          <w:b/>
          <w:noProof/>
          <w:color w:val="002060"/>
          <w:sz w:val="20"/>
          <w:szCs w:val="22"/>
        </w:rPr>
      </w:pPr>
      <w:r>
        <w:rPr>
          <w:rFonts w:ascii="Arial" w:hAnsi="Arial" w:cs="Arial"/>
          <w:b/>
          <w:noProof/>
          <w:color w:val="002060"/>
          <w:sz w:val="20"/>
          <w:szCs w:val="22"/>
        </w:rPr>
        <w:t>Second chart: New infringement cases opened in 2016: main policy areas</w:t>
      </w:r>
    </w:p>
    <w:p>
      <w:pPr>
        <w:rPr>
          <w:rFonts w:ascii="Arial" w:hAnsi="Arial" w:cs="Arial"/>
          <w:noProof/>
          <w:sz w:val="20"/>
        </w:rPr>
      </w:pPr>
      <w:r>
        <w:rPr>
          <w:rFonts w:ascii="Arial" w:hAnsi="Arial" w:cs="Arial"/>
          <w:noProof/>
          <w:sz w:val="20"/>
        </w:rPr>
        <w:t>As a rule, this chart shows the three policy areas in which the most infringements were open on 31 December 2016. Four (or more) policies are mentioned if two (or more) policies tied for the third highest number of open infringements. Only two policies are highlighted if too many policies tied for the third highest number, or if this would make the chart very fragmented (this might occur in Member States with relatively few infringements).</w:t>
      </w:r>
    </w:p>
    <w:p>
      <w:pPr>
        <w:rPr>
          <w:rFonts w:ascii="Arial" w:hAnsi="Arial" w:cs="Arial"/>
          <w:b/>
          <w:noProof/>
          <w:color w:val="002060"/>
          <w:sz w:val="20"/>
          <w:szCs w:val="22"/>
        </w:rPr>
      </w:pPr>
      <w:r>
        <w:rPr>
          <w:rFonts w:ascii="Arial" w:hAnsi="Arial" w:cs="Arial"/>
          <w:b/>
          <w:noProof/>
          <w:color w:val="002060"/>
          <w:sz w:val="20"/>
          <w:szCs w:val="22"/>
        </w:rPr>
        <w:t>Key infringement cases and referrals to the Court</w:t>
      </w:r>
    </w:p>
    <w:p>
      <w:pPr>
        <w:rPr>
          <w:rFonts w:ascii="Arial" w:hAnsi="Arial" w:cs="Arial"/>
          <w:noProof/>
          <w:sz w:val="20"/>
        </w:rPr>
      </w:pPr>
      <w:r>
        <w:rPr>
          <w:rFonts w:ascii="Arial" w:hAnsi="Arial" w:cs="Arial"/>
          <w:noProof/>
          <w:sz w:val="20"/>
        </w:rPr>
        <w:t>This section has three parts:</w:t>
      </w:r>
    </w:p>
    <w:p>
      <w:pPr>
        <w:rPr>
          <w:rFonts w:ascii="Arial" w:hAnsi="Arial" w:cs="Arial"/>
          <w:noProof/>
          <w:sz w:val="20"/>
        </w:rPr>
      </w:pPr>
      <w:r>
        <w:rPr>
          <w:rFonts w:ascii="Arial" w:hAnsi="Arial" w:cs="Arial"/>
          <w:noProof/>
          <w:sz w:val="20"/>
        </w:rPr>
        <w:t>Part a) shows the number of new infringement cases opened against the Member State in 2016 and lists the major new and ongoing infringement cases at the stage of letters of formal notice or reasoned opinions (under Article 258 TFEU).</w:t>
      </w:r>
    </w:p>
    <w:p>
      <w:pPr>
        <w:rPr>
          <w:rFonts w:ascii="Arial" w:hAnsi="Arial" w:cs="Arial"/>
          <w:noProof/>
          <w:sz w:val="20"/>
        </w:rPr>
      </w:pPr>
      <w:r>
        <w:rPr>
          <w:rFonts w:ascii="Arial" w:hAnsi="Arial" w:cs="Arial"/>
          <w:noProof/>
          <w:sz w:val="20"/>
        </w:rPr>
        <w:t xml:space="preserve">Part b) lists the cases which the Commission referred to the Court solely under Article 258 TFEU by 31 December 2016. The cases submitted to the Court under Article 258 </w:t>
      </w:r>
      <w:r>
        <w:rPr>
          <w:rFonts w:ascii="Arial" w:hAnsi="Arial" w:cs="Arial"/>
          <w:i/>
          <w:noProof/>
          <w:sz w:val="20"/>
        </w:rPr>
        <w:t>and</w:t>
      </w:r>
      <w:r>
        <w:rPr>
          <w:rFonts w:ascii="Arial" w:hAnsi="Arial" w:cs="Arial"/>
          <w:noProof/>
          <w:sz w:val="20"/>
        </w:rPr>
        <w:t xml:space="preserve"> 260(3) TFEU are discussed in the ‘Transposition of directives’ section (see below).</w:t>
      </w:r>
    </w:p>
    <w:p>
      <w:pPr>
        <w:rPr>
          <w:rFonts w:ascii="Arial" w:hAnsi="Arial" w:cs="Arial"/>
          <w:noProof/>
          <w:sz w:val="20"/>
        </w:rPr>
      </w:pPr>
      <w:r>
        <w:rPr>
          <w:rFonts w:ascii="Arial" w:hAnsi="Arial" w:cs="Arial"/>
          <w:noProof/>
          <w:sz w:val="20"/>
        </w:rPr>
        <w:t>Part c) lists the cases which the Commission referred to the Court under Article 260(2) TFEU by 31 December 2016.</w:t>
      </w:r>
    </w:p>
    <w:p>
      <w:pPr>
        <w:keepNext/>
        <w:keepLines/>
        <w:numPr>
          <w:ilvl w:val="1"/>
          <w:numId w:val="116"/>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TRANSPOSITION OF DIRECTIVES</w:t>
      </w:r>
    </w:p>
    <w:p>
      <w:pPr>
        <w:rPr>
          <w:rFonts w:ascii="Arial" w:hAnsi="Arial" w:cs="Arial"/>
          <w:b/>
          <w:noProof/>
          <w:color w:val="002060"/>
          <w:sz w:val="20"/>
          <w:szCs w:val="22"/>
        </w:rPr>
      </w:pPr>
      <w:r>
        <w:rPr>
          <w:rFonts w:ascii="Arial" w:hAnsi="Arial" w:cs="Arial"/>
          <w:b/>
          <w:noProof/>
          <w:color w:val="002060"/>
          <w:sz w:val="20"/>
          <w:szCs w:val="22"/>
        </w:rPr>
        <w:t>First chart: Late transposition infringement cases against the Member State open on 31 December (2012-2016)</w:t>
      </w:r>
    </w:p>
    <w:p>
      <w:pPr>
        <w:rPr>
          <w:rFonts w:ascii="Arial" w:hAnsi="Arial" w:cs="Arial"/>
          <w:noProof/>
          <w:sz w:val="20"/>
        </w:rPr>
      </w:pPr>
      <w:r>
        <w:rPr>
          <w:rFonts w:ascii="Arial" w:hAnsi="Arial" w:cs="Arial"/>
          <w:noProof/>
          <w:sz w:val="20"/>
        </w:rPr>
        <w:t>This shows the number of letters of formal notice sent to the Member State under Article 258 TFEU for missing or partial notification of national transposition measures. It covers letters sent in 2016 or before, irrespective of the stages the cases have reached. Only cases which have not yet been closed by a formal decision are shown.</w:t>
      </w:r>
    </w:p>
    <w:p>
      <w:pPr>
        <w:rPr>
          <w:rFonts w:ascii="Arial" w:hAnsi="Arial" w:cs="Arial"/>
          <w:noProof/>
          <w:sz w:val="20"/>
        </w:rPr>
      </w:pPr>
      <w:r>
        <w:rPr>
          <w:rFonts w:ascii="Arial" w:hAnsi="Arial" w:cs="Arial"/>
          <w:noProof/>
          <w:sz w:val="20"/>
        </w:rPr>
        <w:t>Accordingly, the number includes all cases that, on 31 December of the years 2012 to 2016:</w:t>
      </w:r>
    </w:p>
    <w:p>
      <w:pPr>
        <w:numPr>
          <w:ilvl w:val="0"/>
          <w:numId w:val="117"/>
        </w:numPr>
        <w:ind w:left="714" w:hanging="357"/>
        <w:contextualSpacing/>
        <w:rPr>
          <w:rFonts w:ascii="Arial" w:hAnsi="Arial" w:cs="Arial"/>
          <w:noProof/>
          <w:sz w:val="20"/>
        </w:rPr>
      </w:pPr>
      <w:r>
        <w:rPr>
          <w:rFonts w:ascii="Arial" w:hAnsi="Arial" w:cs="Arial"/>
          <w:noProof/>
          <w:sz w:val="20"/>
        </w:rPr>
        <w:t>were in the pre-litigation phase (letter of formal notice, reasoned opinion or decision on referral to the Court under Article 258 TFEU and Article 260(3) TFEU),</w:t>
      </w:r>
    </w:p>
    <w:p>
      <w:pPr>
        <w:numPr>
          <w:ilvl w:val="0"/>
          <w:numId w:val="117"/>
        </w:numPr>
        <w:ind w:left="714" w:hanging="357"/>
        <w:contextualSpacing/>
        <w:rPr>
          <w:rFonts w:ascii="Arial" w:eastAsia="Calibri" w:hAnsi="Arial" w:cs="Arial"/>
          <w:noProof/>
          <w:sz w:val="20"/>
        </w:rPr>
      </w:pPr>
      <w:r>
        <w:rPr>
          <w:rFonts w:ascii="Arial" w:hAnsi="Arial" w:cs="Arial"/>
          <w:noProof/>
          <w:sz w:val="20"/>
        </w:rPr>
        <w:t>were pending before the Court under Article 258 TFEU and Article 260(3) TFEU.</w:t>
      </w:r>
    </w:p>
    <w:p>
      <w:pPr>
        <w:ind w:left="714"/>
        <w:contextualSpacing/>
        <w:rPr>
          <w:rFonts w:ascii="Arial" w:eastAsia="Calibri" w:hAnsi="Arial" w:cs="Arial"/>
          <w:noProof/>
          <w:sz w:val="20"/>
        </w:rPr>
      </w:pPr>
    </w:p>
    <w:p>
      <w:pPr>
        <w:rPr>
          <w:rFonts w:ascii="Arial" w:hAnsi="Arial" w:cs="Arial"/>
          <w:noProof/>
          <w:sz w:val="20"/>
        </w:rPr>
      </w:pPr>
      <w:r>
        <w:rPr>
          <w:rFonts w:ascii="Arial" w:hAnsi="Arial" w:cs="Arial"/>
          <w:noProof/>
          <w:sz w:val="20"/>
        </w:rPr>
        <w:t xml:space="preserve">This figure is already included in the total number of infringement cases open against the Member State in 2016. It should therefore </w:t>
      </w:r>
      <w:r>
        <w:rPr>
          <w:rFonts w:ascii="Arial" w:hAnsi="Arial" w:cs="Arial"/>
          <w:i/>
          <w:noProof/>
          <w:sz w:val="20"/>
        </w:rPr>
        <w:t>not</w:t>
      </w:r>
      <w:r>
        <w:rPr>
          <w:rFonts w:ascii="Arial" w:hAnsi="Arial" w:cs="Arial"/>
          <w:noProof/>
          <w:sz w:val="20"/>
        </w:rPr>
        <w:t xml:space="preserve"> be added to the figure shown in the first chart of the general statistics section.</w:t>
      </w:r>
    </w:p>
    <w:p>
      <w:pPr>
        <w:rPr>
          <w:rFonts w:ascii="Arial" w:hAnsi="Arial" w:cs="Arial"/>
          <w:b/>
          <w:noProof/>
          <w:color w:val="002060"/>
          <w:sz w:val="20"/>
          <w:szCs w:val="22"/>
        </w:rPr>
      </w:pPr>
      <w:r>
        <w:rPr>
          <w:rFonts w:ascii="Arial" w:hAnsi="Arial" w:cs="Arial"/>
          <w:b/>
          <w:noProof/>
          <w:color w:val="002060"/>
          <w:sz w:val="20"/>
          <w:szCs w:val="22"/>
        </w:rPr>
        <w:t>Second chart: New late transposition infringement cases against the Member State (2012-2016)</w:t>
      </w:r>
    </w:p>
    <w:p>
      <w:pPr>
        <w:rPr>
          <w:rFonts w:ascii="Arial" w:hAnsi="Arial" w:cs="Arial"/>
          <w:noProof/>
          <w:sz w:val="20"/>
        </w:rPr>
      </w:pPr>
      <w:r>
        <w:rPr>
          <w:rFonts w:ascii="Arial" w:hAnsi="Arial" w:cs="Arial"/>
          <w:noProof/>
          <w:sz w:val="20"/>
        </w:rPr>
        <w:t xml:space="preserve">This shows the number of new letters of formal notice sent in 2016 to the Member State under Article 258 TFEU for missing or partial notifications of national transposition measures. This figure is already included in the total number of new infringement cases initiated against the Member State in 2016. It should therefore </w:t>
      </w:r>
      <w:r>
        <w:rPr>
          <w:rFonts w:ascii="Arial" w:hAnsi="Arial" w:cs="Arial"/>
          <w:i/>
          <w:noProof/>
          <w:sz w:val="20"/>
        </w:rPr>
        <w:t>not</w:t>
      </w:r>
      <w:r>
        <w:rPr>
          <w:rFonts w:ascii="Arial" w:hAnsi="Arial" w:cs="Arial"/>
          <w:noProof/>
          <w:sz w:val="20"/>
        </w:rPr>
        <w:t xml:space="preserve"> be added to the figure shown in the second chart of the general statistics section.</w:t>
      </w:r>
    </w:p>
    <w:p>
      <w:pPr>
        <w:rPr>
          <w:rFonts w:ascii="Arial" w:hAnsi="Arial" w:cs="Arial"/>
          <w:noProof/>
          <w:sz w:val="20"/>
        </w:rPr>
      </w:pPr>
      <w:r>
        <w:rPr>
          <w:rFonts w:ascii="Arial" w:hAnsi="Arial" w:cs="Arial"/>
          <w:noProof/>
          <w:sz w:val="20"/>
        </w:rPr>
        <w:t>Please note that not all of these new infringement cases for late transposition were necessarily still open on 31 December 2016. For example, if the Commission opened a late transposition infringement procedure in March 2016 by sending a letter of formal notice, this would be added to the new infringement cases even if the Commission closed the case in October 2016 as a result of the Member State notifying complete transposition.</w:t>
      </w:r>
    </w:p>
    <w:p>
      <w:pPr>
        <w:rPr>
          <w:rFonts w:ascii="Arial" w:hAnsi="Arial" w:cs="Arial"/>
          <w:b/>
          <w:noProof/>
          <w:color w:val="002060"/>
          <w:sz w:val="20"/>
          <w:szCs w:val="22"/>
        </w:rPr>
      </w:pPr>
      <w:r>
        <w:rPr>
          <w:rFonts w:ascii="Arial" w:hAnsi="Arial" w:cs="Arial"/>
          <w:b/>
          <w:noProof/>
          <w:color w:val="002060"/>
          <w:sz w:val="20"/>
          <w:szCs w:val="22"/>
        </w:rPr>
        <w:t>Third chart: New late transposition infringement cases opened in 2016: main policy areas</w:t>
      </w:r>
    </w:p>
    <w:p>
      <w:pPr>
        <w:rPr>
          <w:rFonts w:ascii="Arial" w:hAnsi="Arial" w:cs="Arial"/>
          <w:noProof/>
          <w:sz w:val="20"/>
        </w:rPr>
      </w:pPr>
      <w:r>
        <w:rPr>
          <w:rFonts w:ascii="Arial" w:hAnsi="Arial" w:cs="Arial"/>
          <w:noProof/>
          <w:sz w:val="20"/>
        </w:rPr>
        <w:t>As a rule, this chart shows the three policy areas in which the most infringement procedures for late transposition were launched in 2016. Four (or more) policies are mentioned if two (or more) policies tied for the third highest number of open infringements. Only two policy areas are highlighted if too many policy areas tied for the third highest number, or if this would make the chart very fragmented (this might occur in Member States with relatively few infringements).</w:t>
      </w:r>
    </w:p>
    <w:p>
      <w:pPr>
        <w:rPr>
          <w:rFonts w:ascii="Arial" w:hAnsi="Arial" w:cs="Arial"/>
          <w:b/>
          <w:noProof/>
          <w:color w:val="002060"/>
          <w:sz w:val="20"/>
          <w:szCs w:val="22"/>
        </w:rPr>
      </w:pPr>
      <w:r>
        <w:rPr>
          <w:rFonts w:ascii="Arial" w:hAnsi="Arial" w:cs="Arial"/>
          <w:b/>
          <w:noProof/>
          <w:color w:val="002060"/>
          <w:sz w:val="20"/>
          <w:szCs w:val="22"/>
        </w:rPr>
        <w:t>Referrals to the Court</w:t>
      </w:r>
    </w:p>
    <w:p>
      <w:pPr>
        <w:rPr>
          <w:rFonts w:ascii="Arial" w:hAnsi="Arial" w:cs="Arial"/>
          <w:noProof/>
          <w:sz w:val="20"/>
        </w:rPr>
      </w:pPr>
      <w:r>
        <w:rPr>
          <w:rFonts w:ascii="Arial" w:hAnsi="Arial" w:cs="Arial"/>
          <w:noProof/>
          <w:sz w:val="20"/>
        </w:rPr>
        <w:t>This section contains the cases which the Commission referred to the Court under Article 258 TFEU and Article 260(3) by 31 December 2016.</w:t>
      </w:r>
    </w:p>
    <w:p>
      <w:pPr>
        <w:keepNext/>
        <w:keepLines/>
        <w:numPr>
          <w:ilvl w:val="1"/>
          <w:numId w:val="116"/>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EARLY RESOLUTION OF INFRINGEMENT CASES</w:t>
      </w:r>
    </w:p>
    <w:p>
      <w:pPr>
        <w:rPr>
          <w:rFonts w:ascii="Arial" w:hAnsi="Arial" w:cs="Arial"/>
          <w:b/>
          <w:noProof/>
          <w:color w:val="002060"/>
          <w:sz w:val="20"/>
          <w:szCs w:val="22"/>
        </w:rPr>
      </w:pPr>
      <w:r>
        <w:rPr>
          <w:rFonts w:ascii="Arial" w:hAnsi="Arial" w:cs="Arial"/>
          <w:b/>
          <w:noProof/>
          <w:color w:val="002060"/>
          <w:sz w:val="20"/>
          <w:szCs w:val="22"/>
        </w:rPr>
        <w:t>Major cases closed without a Court judgment in 2016</w:t>
      </w:r>
    </w:p>
    <w:p>
      <w:pPr>
        <w:rPr>
          <w:rFonts w:ascii="Arial" w:hAnsi="Arial" w:cs="Arial"/>
          <w:noProof/>
          <w:sz w:val="20"/>
        </w:rPr>
      </w:pPr>
      <w:r>
        <w:rPr>
          <w:rFonts w:ascii="Arial" w:hAnsi="Arial" w:cs="Arial"/>
          <w:noProof/>
          <w:sz w:val="20"/>
        </w:rPr>
        <w:t>This section contains a list of the major infringement cases the Commission closed in 2016 without a Court judgment. The list is not exhaustive.</w:t>
      </w:r>
    </w:p>
    <w:p>
      <w:pPr>
        <w:keepNext/>
        <w:keepLines/>
        <w:numPr>
          <w:ilvl w:val="1"/>
          <w:numId w:val="116"/>
        </w:numPr>
        <w:spacing w:after="120"/>
        <w:ind w:left="788" w:hanging="431"/>
        <w:outlineLvl w:val="2"/>
        <w:rPr>
          <w:rFonts w:ascii="Arial" w:eastAsia="MS Gothic" w:hAnsi="Arial" w:cs="Arial"/>
          <w:bCs/>
          <w:noProof/>
          <w:color w:val="006FB4"/>
          <w:kern w:val="20"/>
          <w:sz w:val="20"/>
          <w:lang w:eastAsia="zh-CN"/>
        </w:rPr>
      </w:pPr>
      <w:r>
        <w:rPr>
          <w:rFonts w:ascii="Arial" w:eastAsia="MS Gothic" w:hAnsi="Arial" w:cs="Arial"/>
          <w:bCs/>
          <w:noProof/>
          <w:color w:val="006FB4"/>
          <w:kern w:val="20"/>
          <w:sz w:val="20"/>
          <w:lang w:eastAsia="zh-CN"/>
        </w:rPr>
        <w:t>IMPORTANT JUDGMENTS</w:t>
      </w:r>
    </w:p>
    <w:p>
      <w:pPr>
        <w:rPr>
          <w:rFonts w:ascii="Arial" w:hAnsi="Arial" w:cs="Arial"/>
          <w:noProof/>
          <w:sz w:val="20"/>
        </w:rPr>
      </w:pPr>
      <w:r>
        <w:rPr>
          <w:rFonts w:ascii="Arial" w:hAnsi="Arial" w:cs="Arial"/>
          <w:noProof/>
          <w:sz w:val="20"/>
        </w:rPr>
        <w:t>This section contains two lists:</w:t>
      </w:r>
    </w:p>
    <w:p>
      <w:pPr>
        <w:rPr>
          <w:rFonts w:ascii="Arial" w:hAnsi="Arial" w:cs="Arial"/>
          <w:noProof/>
          <w:sz w:val="20"/>
        </w:rPr>
      </w:pPr>
      <w:r>
        <w:rPr>
          <w:rFonts w:ascii="Arial" w:hAnsi="Arial" w:cs="Arial"/>
          <w:noProof/>
          <w:sz w:val="20"/>
        </w:rPr>
        <w:t>The first list contains the Court’s most important judgments against the Member State in 2016. These judgments are almost exclusively handed down under Article 258 or Articles 260(2) TFEU.</w:t>
      </w:r>
    </w:p>
    <w:p>
      <w:pPr>
        <w:rPr>
          <w:rFonts w:ascii="Arial" w:hAnsi="Arial" w:cs="Arial"/>
          <w:noProof/>
          <w:sz w:val="20"/>
        </w:rPr>
      </w:pPr>
      <w:r>
        <w:rPr>
          <w:rFonts w:ascii="Arial" w:hAnsi="Arial" w:cs="Arial"/>
          <w:noProof/>
          <w:sz w:val="20"/>
        </w:rPr>
        <w:t>The second list contains the most important preliminary rulings the Court has issued to the Member State’s judiciary. These lists are not necessarily exhaustive.</w:t>
      </w:r>
    </w:p>
    <w:sectPr>
      <w:headerReference w:type="even" r:id="rId272"/>
      <w:headerReference w:type="default" r:id="rId273"/>
      <w:footerReference w:type="even" r:id="rId274"/>
      <w:footerReference w:type="default" r:id="rId275"/>
      <w:headerReference w:type="first" r:id="rId276"/>
      <w:footerReference w:type="first" r:id="rId277"/>
      <w:pgSz w:w="11906" w:h="16838"/>
      <w:pgMar w:top="195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2631042"/>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117</w:t>
        </w:r>
        <w:r>
          <w:rPr>
            <w:rFonts w:ascii="Arial" w:hAnsi="Arial" w:cs="Arial"/>
            <w:sz w:val="18"/>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2157329"/>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111</w:t>
        </w:r>
        <w:r>
          <w:rPr>
            <w:rFonts w:ascii="Arial" w:hAnsi="Arial" w:cs="Arial"/>
            <w:sz w:val="18"/>
          </w:rPr>
          <w:fldChar w:fldCharType="end"/>
        </w:r>
      </w:p>
    </w:sdtContent>
  </w:sdt>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71386"/>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124</w:t>
        </w:r>
        <w:r>
          <w:rPr>
            <w:rFonts w:ascii="Arial" w:hAnsi="Arial" w:cs="Arial"/>
            <w:sz w:val="18"/>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746878"/>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118</w:t>
        </w:r>
        <w:r>
          <w:rPr>
            <w:rFonts w:ascii="Arial" w:hAnsi="Arial" w:cs="Arial"/>
            <w:sz w:val="18"/>
          </w:rPr>
          <w:fldChar w:fldCharType="end"/>
        </w:r>
      </w:p>
    </w:sdtContent>
  </w:sdt>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0584175"/>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132</w:t>
        </w:r>
        <w:r>
          <w:rPr>
            <w:rFonts w:ascii="Arial" w:hAnsi="Arial" w:cs="Arial"/>
            <w:sz w:val="18"/>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281353"/>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125</w:t>
        </w:r>
        <w:r>
          <w:rPr>
            <w:rFonts w:ascii="Arial" w:hAnsi="Arial" w:cs="Arial"/>
            <w:sz w:val="18"/>
          </w:rPr>
          <w:fldChar w:fldCharType="end"/>
        </w:r>
      </w:p>
    </w:sdtContent>
  </w:sdt>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fldChar w:fldCharType="begin"/>
    </w:r>
    <w:r>
      <w:instrText xml:space="preserve"> DOCVARIABLE "LW_Confidence" \* MERGEFORMAT </w:instrText>
    </w:r>
    <w:r>
      <w:fldChar w:fldCharType="separate"/>
    </w:r>
    <w:r>
      <w:t xml:space="preserve"> </w:t>
    </w:r>
    <w:r>
      <w:fldChar w:fldCharType="end"/>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452926"/>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140</w:t>
        </w:r>
        <w:r>
          <w:rPr>
            <w:rFonts w:ascii="Arial" w:hAnsi="Arial" w:cs="Arial"/>
            <w:sz w:val="18"/>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4326750"/>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133</w:t>
        </w:r>
        <w:r>
          <w:rPr>
            <w:rFonts w:ascii="Arial" w:hAnsi="Arial" w:cs="Arial"/>
            <w:sz w:val="18"/>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224198"/>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149</w:t>
        </w:r>
        <w:r>
          <w:rPr>
            <w:rFonts w:ascii="Arial" w:hAnsi="Arial" w:cs="Arial"/>
            <w:sz w:val="18"/>
          </w:rPr>
          <w:fldChar w:fldCharType="end"/>
        </w:r>
      </w:p>
    </w:sdtContent>
  </w:sdt>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361865"/>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141</w:t>
        </w:r>
        <w:r>
          <w:rPr>
            <w:rFonts w:ascii="Arial" w:hAnsi="Arial" w:cs="Arial"/>
            <w:sz w:val="18"/>
          </w:rPr>
          <w:fldChar w:fldCharType="end"/>
        </w:r>
      </w:p>
    </w:sdtContent>
  </w:sdt>
  <w:p>
    <w:pPr>
      <w:pStyle w:val="Footer"/>
    </w:pPr>
  </w:p>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042371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157</w:t>
        </w:r>
        <w:r>
          <w:rPr>
            <w:rFonts w:ascii="Arial" w:hAnsi="Arial" w:cs="Arial"/>
            <w:sz w:val="18"/>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3183872"/>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150</w:t>
        </w:r>
        <w:r>
          <w:rPr>
            <w:rFonts w:ascii="Arial" w:hAnsi="Arial" w:cs="Arial"/>
            <w:sz w:val="18"/>
          </w:rPr>
          <w:fldChar w:fldCharType="end"/>
        </w:r>
      </w:p>
    </w:sdtContent>
  </w:sdt>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196411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165</w:t>
        </w:r>
        <w:r>
          <w:rPr>
            <w:rFonts w:ascii="Arial" w:hAnsi="Arial" w:cs="Arial"/>
            <w:sz w:val="18"/>
          </w:rPr>
          <w:fldChar w:fldCharType="end"/>
        </w:r>
      </w:p>
    </w:sdtContent>
  </w:sdt>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4688054"/>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158</w:t>
        </w:r>
        <w:r>
          <w:rPr>
            <w:rFonts w:ascii="Arial" w:hAnsi="Arial" w:cs="Arial"/>
            <w:sz w:val="18"/>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1554777"/>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172</w:t>
        </w:r>
        <w:r>
          <w:rPr>
            <w:rFonts w:ascii="Arial" w:hAnsi="Arial" w:cs="Arial"/>
            <w:sz w:val="18"/>
          </w:rPr>
          <w:fldChar w:fldCharType="end"/>
        </w:r>
      </w:p>
    </w:sdtContent>
  </w:sdt>
  <w:p>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6028223"/>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166</w:t>
        </w:r>
        <w:r>
          <w:rPr>
            <w:rFonts w:ascii="Arial" w:hAnsi="Arial" w:cs="Arial"/>
            <w:sz w:val="18"/>
          </w:rPr>
          <w:fldChar w:fldCharType="end"/>
        </w:r>
      </w:p>
    </w:sdtContent>
  </w:sdt>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101410"/>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168</w:t>
        </w:r>
        <w:r>
          <w:rPr>
            <w:rFonts w:ascii="Arial" w:hAnsi="Arial" w:cs="Arial"/>
            <w:sz w:val="18"/>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7800248"/>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173</w:t>
        </w:r>
        <w:r>
          <w:rPr>
            <w:rFonts w:ascii="Arial" w:hAnsi="Arial" w:cs="Arial"/>
            <w:sz w:val="18"/>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24332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174</w:t>
        </w:r>
        <w:r>
          <w:rPr>
            <w:rFonts w:ascii="Arial" w:hAnsi="Arial" w:cs="Arial"/>
            <w:sz w:val="18"/>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2771517"/>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169</w:t>
        </w:r>
        <w:r>
          <w:rPr>
            <w:rFonts w:ascii="Arial" w:hAnsi="Arial" w:cs="Arial"/>
            <w:sz w:val="18"/>
          </w:rPr>
          <w:fldChar w:fldCharType="end"/>
        </w:r>
      </w:p>
    </w:sdtContent>
  </w:sdt>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2157205"/>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180</w:t>
        </w:r>
        <w:r>
          <w:rPr>
            <w:rFonts w:ascii="Arial" w:hAnsi="Arial" w:cs="Arial"/>
            <w:sz w:val="18"/>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2215235"/>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175</w:t>
        </w:r>
        <w:r>
          <w:rPr>
            <w:rFonts w:ascii="Arial" w:hAnsi="Arial" w:cs="Arial"/>
            <w:sz w:val="18"/>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5832700"/>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186</w:t>
        </w:r>
        <w:r>
          <w:rPr>
            <w:rFonts w:ascii="Arial" w:hAnsi="Arial" w:cs="Arial"/>
            <w:sz w:val="18"/>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1501183"/>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181</w:t>
        </w:r>
        <w:r>
          <w:rPr>
            <w:rFonts w:ascii="Arial" w:hAnsi="Arial" w:cs="Arial"/>
            <w:sz w:val="18"/>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620412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189</w:t>
        </w:r>
        <w:r>
          <w:rPr>
            <w:rFonts w:ascii="Arial" w:hAnsi="Arial" w:cs="Arial"/>
            <w:sz w:val="18"/>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339769"/>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187</w:t>
        </w:r>
        <w:r>
          <w:rPr>
            <w:rFonts w:ascii="Arial" w:hAnsi="Arial" w:cs="Arial"/>
            <w:sz w:val="1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2265043"/>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97</w:t>
        </w:r>
        <w:r>
          <w:rPr>
            <w:rFonts w:ascii="Arial" w:hAnsi="Arial" w:cs="Arial"/>
            <w:sz w:val="18"/>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5943141"/>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96</w:t>
        </w:r>
        <w:r>
          <w:rPr>
            <w:rFonts w:ascii="Arial" w:hAnsi="Arial" w:cs="Arial"/>
            <w:sz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3568858"/>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110</w:t>
        </w:r>
        <w:r>
          <w:rPr>
            <w:rFonts w:ascii="Arial" w:hAnsi="Arial" w:cs="Arial"/>
            <w:sz w:val="18"/>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5811634"/>
      <w:docPartObj>
        <w:docPartGallery w:val="Page Numbers (Bottom of Page)"/>
        <w:docPartUnique/>
      </w:docPartObj>
    </w:sdtPr>
    <w:sdtEndPr>
      <w:rPr>
        <w:rFonts w:ascii="Arial" w:hAnsi="Arial" w:cs="Arial"/>
        <w:sz w:val="18"/>
      </w:rPr>
    </w:sdtEndPr>
    <w:sdtContent>
      <w:p>
        <w:pPr>
          <w:pStyle w:val="Footer"/>
          <w:jc w:val="center"/>
          <w:rPr>
            <w:rFonts w:ascii="Arial" w:hAnsi="Arial" w:cs="Arial"/>
            <w:sz w:val="18"/>
          </w:rPr>
        </w:pPr>
        <w:r>
          <w:rPr>
            <w:rFonts w:ascii="Arial" w:hAnsi="Arial" w:cs="Arial"/>
            <w:sz w:val="18"/>
          </w:rPr>
          <w:fldChar w:fldCharType="begin"/>
        </w:r>
        <w:r>
          <w:rPr>
            <w:rFonts w:ascii="Arial" w:hAnsi="Arial" w:cs="Arial"/>
            <w:sz w:val="18"/>
          </w:rPr>
          <w:instrText xml:space="preserve"> PAGE   \* MERGEFORMAT </w:instrText>
        </w:r>
        <w:r>
          <w:rPr>
            <w:rFonts w:ascii="Arial" w:hAnsi="Arial" w:cs="Arial"/>
            <w:sz w:val="18"/>
          </w:rPr>
          <w:fldChar w:fldCharType="separate"/>
        </w:r>
        <w:r>
          <w:rPr>
            <w:rFonts w:ascii="Arial" w:hAnsi="Arial" w:cs="Arial"/>
            <w:noProof/>
            <w:sz w:val="18"/>
          </w:rPr>
          <w:t>103</w:t>
        </w:r>
        <w:r>
          <w:rPr>
            <w:rFonts w:ascii="Arial" w:hAnsi="Arial" w:cs="Arial"/>
            <w:sz w:val="18"/>
          </w:rPr>
          <w:fldChar w:fldCharType="end"/>
        </w:r>
      </w:p>
    </w:sdtContent>
  </w:sdt>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pPr>
      <w:r>
        <w:rPr>
          <w:rStyle w:val="FootnoteReference"/>
        </w:rPr>
        <w:footnoteRef/>
      </w:r>
      <w:r>
        <w:t xml:space="preserve"> </w:t>
      </w:r>
      <w:r>
        <w:tab/>
        <w:t xml:space="preserve">Framework Decision </w:t>
      </w:r>
      <w:hyperlink r:id="rId1" w:history="1">
        <w:r>
          <w:rPr>
            <w:rStyle w:val="Hyperlink"/>
          </w:rPr>
          <w:t>2006/960/JHA</w:t>
        </w:r>
      </w:hyperlink>
      <w:r>
        <w:t>.</w:t>
      </w:r>
    </w:p>
  </w:footnote>
  <w:footnote w:id="3">
    <w:p>
      <w:pPr>
        <w:pStyle w:val="FootnoteText"/>
      </w:pPr>
      <w:r>
        <w:rPr>
          <w:rStyle w:val="FootnoteReference"/>
        </w:rPr>
        <w:footnoteRef/>
      </w:r>
      <w:r>
        <w:t xml:space="preserve"> </w:t>
      </w:r>
      <w:r>
        <w:tab/>
        <w:t xml:space="preserve">Directive </w:t>
      </w:r>
      <w:hyperlink r:id="rId2" w:history="1">
        <w:r>
          <w:rPr>
            <w:rStyle w:val="Hyperlink"/>
          </w:rPr>
          <w:t>2010/64/EU</w:t>
        </w:r>
      </w:hyperlink>
      <w:r>
        <w:t xml:space="preserve">; </w:t>
      </w:r>
      <w:hyperlink r:id="rId3" w:history="1">
        <w:r>
          <w:rPr>
            <w:rStyle w:val="Hyperlink"/>
          </w:rPr>
          <w:t>MEMO/16/3644</w:t>
        </w:r>
      </w:hyperlink>
      <w:r>
        <w:t>.</w:t>
      </w:r>
    </w:p>
  </w:footnote>
  <w:footnote w:id="4">
    <w:p>
      <w:pPr>
        <w:pStyle w:val="FootnoteText"/>
      </w:pPr>
      <w:r>
        <w:rPr>
          <w:rStyle w:val="FootnoteReference"/>
        </w:rPr>
        <w:footnoteRef/>
      </w:r>
      <w:r>
        <w:t xml:space="preserve"> </w:t>
      </w:r>
      <w:r>
        <w:tab/>
        <w:t xml:space="preserve">Press releases </w:t>
      </w:r>
      <w:hyperlink r:id="rId4" w:history="1">
        <w:r>
          <w:rPr>
            <w:rStyle w:val="Hyperlink"/>
          </w:rPr>
          <w:t>IP/16/1827</w:t>
        </w:r>
      </w:hyperlink>
      <w:r>
        <w:t xml:space="preserve"> and </w:t>
      </w:r>
      <w:hyperlink r:id="rId5" w:history="1">
        <w:r>
          <w:rPr>
            <w:rStyle w:val="Hyperlink"/>
          </w:rPr>
          <w:t>MEMO/16/1823</w:t>
        </w:r>
      </w:hyperlink>
      <w:r>
        <w:t>.</w:t>
      </w:r>
    </w:p>
  </w:footnote>
  <w:footnote w:id="5">
    <w:p>
      <w:pPr>
        <w:pStyle w:val="FootnoteText"/>
        <w:rPr>
          <w:lang w:val="pt-PT"/>
        </w:rPr>
      </w:pPr>
      <w:r>
        <w:rPr>
          <w:rStyle w:val="FootnoteReference"/>
        </w:rPr>
        <w:footnoteRef/>
      </w:r>
      <w:r>
        <w:rPr>
          <w:lang w:val="pt-PT"/>
        </w:rPr>
        <w:t xml:space="preserve"> </w:t>
      </w:r>
      <w:r>
        <w:rPr>
          <w:lang w:val="pt-PT"/>
        </w:rPr>
        <w:tab/>
        <w:t xml:space="preserve">Directive </w:t>
      </w:r>
      <w:hyperlink r:id="rId6" w:history="1">
        <w:r>
          <w:rPr>
            <w:rStyle w:val="Hyperlink"/>
            <w:lang w:val="pt-PT"/>
          </w:rPr>
          <w:t>2014/89/EU</w:t>
        </w:r>
      </w:hyperlink>
      <w:r>
        <w:rPr>
          <w:lang w:val="pt-PT"/>
        </w:rPr>
        <w:t>.</w:t>
      </w:r>
    </w:p>
  </w:footnote>
  <w:footnote w:id="6">
    <w:p>
      <w:pPr>
        <w:pStyle w:val="FootnoteText"/>
        <w:rPr>
          <w:lang w:val="pt-PT"/>
        </w:rPr>
      </w:pPr>
      <w:r>
        <w:rPr>
          <w:rStyle w:val="FootnoteReference"/>
        </w:rPr>
        <w:footnoteRef/>
      </w:r>
      <w:r>
        <w:rPr>
          <w:lang w:val="pt-PT"/>
        </w:rPr>
        <w:t xml:space="preserve"> </w:t>
      </w:r>
      <w:r>
        <w:rPr>
          <w:lang w:val="pt-PT"/>
        </w:rPr>
        <w:tab/>
        <w:t xml:space="preserve">Directive </w:t>
      </w:r>
      <w:hyperlink r:id="rId7" w:history="1">
        <w:r>
          <w:rPr>
            <w:rStyle w:val="Hyperlink"/>
            <w:lang w:val="pt-PT"/>
          </w:rPr>
          <w:t>2006/123/EC</w:t>
        </w:r>
      </w:hyperlink>
      <w:r>
        <w:rPr>
          <w:lang w:val="pt-PT"/>
        </w:rPr>
        <w:t xml:space="preserve">, </w:t>
      </w:r>
      <w:hyperlink r:id="rId8" w:history="1">
        <w:r>
          <w:rPr>
            <w:rStyle w:val="Hyperlink"/>
            <w:lang w:val="pt-PT"/>
          </w:rPr>
          <w:t>IP/16/3646</w:t>
        </w:r>
      </w:hyperlink>
      <w:r>
        <w:rPr>
          <w:lang w:val="pt-PT"/>
        </w:rPr>
        <w:t xml:space="preserve">, </w:t>
      </w:r>
      <w:hyperlink r:id="rId9" w:history="1">
        <w:r>
          <w:rPr>
            <w:rStyle w:val="Hyperlink"/>
            <w:lang w:val="pt-PT"/>
          </w:rPr>
          <w:t>MEMO/16/3644</w:t>
        </w:r>
      </w:hyperlink>
      <w:r>
        <w:rPr>
          <w:lang w:val="pt-PT"/>
        </w:rPr>
        <w:t>.</w:t>
      </w:r>
    </w:p>
  </w:footnote>
  <w:footnote w:id="7">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10" w:history="1">
        <w:r>
          <w:rPr>
            <w:rStyle w:val="Hyperlink"/>
            <w:lang w:val="pt-PT"/>
          </w:rPr>
          <w:t>2014/23/EU</w:t>
        </w:r>
      </w:hyperlink>
      <w:r>
        <w:rPr>
          <w:lang w:val="pt-PT"/>
        </w:rPr>
        <w:t xml:space="preserve">, </w:t>
      </w:r>
      <w:hyperlink r:id="rId11" w:history="1">
        <w:r>
          <w:rPr>
            <w:rStyle w:val="Hyperlink"/>
            <w:lang w:val="pt-PT"/>
          </w:rPr>
          <w:t>2014/24/EU</w:t>
        </w:r>
      </w:hyperlink>
      <w:r>
        <w:rPr>
          <w:lang w:val="pt-PT"/>
        </w:rPr>
        <w:t xml:space="preserve">, </w:t>
      </w:r>
      <w:hyperlink r:id="rId12" w:history="1">
        <w:r>
          <w:rPr>
            <w:rStyle w:val="Hyperlink"/>
            <w:lang w:val="pt-PT"/>
          </w:rPr>
          <w:t>2014/25/EU</w:t>
        </w:r>
      </w:hyperlink>
      <w:r>
        <w:rPr>
          <w:lang w:val="pt-PT"/>
        </w:rPr>
        <w:t xml:space="preserve">, </w:t>
      </w:r>
      <w:hyperlink r:id="rId13" w:history="1">
        <w:r>
          <w:rPr>
            <w:rStyle w:val="Hyperlink"/>
            <w:lang w:val="pt-PT"/>
          </w:rPr>
          <w:t>MEMO/16/1823</w:t>
        </w:r>
      </w:hyperlink>
      <w:r>
        <w:rPr>
          <w:lang w:val="pt-PT"/>
        </w:rPr>
        <w:t>.</w:t>
      </w:r>
    </w:p>
  </w:footnote>
  <w:footnote w:id="8">
    <w:p>
      <w:pPr>
        <w:pStyle w:val="FootnoteText"/>
        <w:rPr>
          <w:rFonts w:cs="Arial"/>
        </w:rPr>
      </w:pPr>
      <w:r>
        <w:rPr>
          <w:rStyle w:val="FootnoteReference"/>
        </w:rPr>
        <w:footnoteRef/>
      </w:r>
      <w:r>
        <w:t xml:space="preserve"> </w:t>
      </w:r>
      <w:r>
        <w:tab/>
        <w:t xml:space="preserve">Directive </w:t>
      </w:r>
      <w:hyperlink r:id="rId14" w:history="1">
        <w:r>
          <w:rPr>
            <w:rStyle w:val="Hyperlink"/>
          </w:rPr>
          <w:t>2007/46/EC</w:t>
        </w:r>
      </w:hyperlink>
      <w:r>
        <w:t xml:space="preserve"> and Regulation </w:t>
      </w:r>
      <w:hyperlink r:id="rId15" w:history="1">
        <w:r>
          <w:rPr>
            <w:rStyle w:val="Hyperlink"/>
          </w:rPr>
          <w:t>2007/715/EC</w:t>
        </w:r>
      </w:hyperlink>
      <w:r>
        <w:t xml:space="preserve">, </w:t>
      </w:r>
      <w:hyperlink r:id="rId16" w:history="1">
        <w:r>
          <w:rPr>
            <w:rStyle w:val="Hyperlink"/>
          </w:rPr>
          <w:t>IP/16/4214</w:t>
        </w:r>
      </w:hyperlink>
      <w:r>
        <w:t>.</w:t>
      </w:r>
    </w:p>
  </w:footnote>
  <w:footnote w:id="9">
    <w:p>
      <w:pPr>
        <w:pStyle w:val="FootnoteText"/>
      </w:pPr>
      <w:r>
        <w:rPr>
          <w:rStyle w:val="FootnoteReference"/>
        </w:rPr>
        <w:footnoteRef/>
      </w:r>
      <w:r>
        <w:t xml:space="preserve"> </w:t>
      </w:r>
      <w:r>
        <w:tab/>
        <w:t xml:space="preserve">Directive </w:t>
      </w:r>
      <w:hyperlink r:id="rId17" w:history="1">
        <w:r>
          <w:rPr>
            <w:rStyle w:val="Hyperlink"/>
          </w:rPr>
          <w:t>2012/18/EU</w:t>
        </w:r>
      </w:hyperlink>
      <w:r>
        <w:t>.</w:t>
      </w:r>
    </w:p>
  </w:footnote>
  <w:footnote w:id="10">
    <w:p>
      <w:pPr>
        <w:pStyle w:val="FootnoteText"/>
      </w:pPr>
      <w:r>
        <w:rPr>
          <w:rStyle w:val="FootnoteReference"/>
        </w:rPr>
        <w:footnoteRef/>
      </w:r>
      <w:r>
        <w:t xml:space="preserve"> </w:t>
      </w:r>
      <w:r>
        <w:tab/>
        <w:t xml:space="preserve">Directive </w:t>
      </w:r>
      <w:hyperlink r:id="rId18" w:history="1">
        <w:r>
          <w:rPr>
            <w:rStyle w:val="Hyperlink"/>
          </w:rPr>
          <w:t>2013/36/EU</w:t>
        </w:r>
      </w:hyperlink>
      <w:r>
        <w:t>.</w:t>
      </w:r>
    </w:p>
  </w:footnote>
  <w:footnote w:id="11">
    <w:p>
      <w:pPr>
        <w:pStyle w:val="FootnoteText"/>
      </w:pPr>
      <w:r>
        <w:rPr>
          <w:rStyle w:val="FootnoteReference"/>
        </w:rPr>
        <w:footnoteRef/>
      </w:r>
      <w:r>
        <w:t xml:space="preserve"> </w:t>
      </w:r>
      <w:r>
        <w:tab/>
        <w:t xml:space="preserve">Directive </w:t>
      </w:r>
      <w:hyperlink r:id="rId19" w:history="1">
        <w:r>
          <w:rPr>
            <w:rStyle w:val="Hyperlink"/>
          </w:rPr>
          <w:t>2014/59/EU</w:t>
        </w:r>
      </w:hyperlink>
      <w:r>
        <w:t>.</w:t>
      </w:r>
    </w:p>
  </w:footnote>
  <w:footnote w:id="12">
    <w:p>
      <w:pPr>
        <w:pStyle w:val="FootnoteText"/>
        <w:rPr>
          <w:szCs w:val="18"/>
        </w:rPr>
      </w:pPr>
      <w:r>
        <w:rPr>
          <w:rStyle w:val="FootnoteReference"/>
        </w:rPr>
        <w:footnoteRef/>
      </w:r>
      <w:r>
        <w:t xml:space="preserve"> </w:t>
      </w:r>
      <w:r>
        <w:tab/>
        <w:t xml:space="preserve">Directive </w:t>
      </w:r>
      <w:hyperlink r:id="rId20" w:history="1">
        <w:r>
          <w:rPr>
            <w:rStyle w:val="Hyperlink"/>
          </w:rPr>
          <w:t>2004/49/EC</w:t>
        </w:r>
      </w:hyperlink>
      <w:r>
        <w:t>.</w:t>
      </w:r>
    </w:p>
  </w:footnote>
  <w:footnote w:id="13">
    <w:p>
      <w:pPr>
        <w:pStyle w:val="FootnoteText"/>
        <w:rPr>
          <w:rFonts w:cs="Arial"/>
        </w:rPr>
      </w:pPr>
      <w:r>
        <w:rPr>
          <w:rStyle w:val="FootnoteReference"/>
        </w:rPr>
        <w:footnoteRef/>
      </w:r>
      <w:r>
        <w:t xml:space="preserve"> </w:t>
      </w:r>
      <w:r>
        <w:tab/>
        <w:t xml:space="preserve">Regulations (EU) </w:t>
      </w:r>
      <w:hyperlink r:id="rId21" w:history="1">
        <w:r>
          <w:rPr>
            <w:rStyle w:val="Hyperlink"/>
          </w:rPr>
          <w:t>748/2012</w:t>
        </w:r>
      </w:hyperlink>
      <w:r>
        <w:t xml:space="preserve"> and </w:t>
      </w:r>
      <w:hyperlink r:id="rId22" w:history="1">
        <w:r>
          <w:rPr>
            <w:rStyle w:val="Hyperlink"/>
          </w:rPr>
          <w:t>1321/2014</w:t>
        </w:r>
      </w:hyperlink>
      <w:r>
        <w:t>.</w:t>
      </w:r>
    </w:p>
  </w:footnote>
  <w:footnote w:id="14">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15">
    <w:p>
      <w:pPr>
        <w:pStyle w:val="FootnoteText"/>
        <w:rPr>
          <w:rFonts w:cs="Arial"/>
        </w:rPr>
      </w:pPr>
      <w:r>
        <w:rPr>
          <w:rStyle w:val="FootnoteReference"/>
        </w:rPr>
        <w:footnoteRef/>
      </w:r>
      <w:r>
        <w:t xml:space="preserve"> </w:t>
      </w:r>
      <w:r>
        <w:tab/>
        <w:t xml:space="preserve">Air Baltic Corporation AS v Lietuvos Respublikos specialiųjų tyrimų tarnyba, </w:t>
      </w:r>
      <w:hyperlink r:id="rId23" w:history="1">
        <w:r>
          <w:rPr>
            <w:rStyle w:val="Hyperlink"/>
          </w:rPr>
          <w:t>C-429/14</w:t>
        </w:r>
      </w:hyperlink>
      <w:r>
        <w:t>.</w:t>
      </w:r>
    </w:p>
  </w:footnote>
  <w:footnote w:id="16">
    <w:p>
      <w:pPr>
        <w:pStyle w:val="FootnoteText"/>
        <w:rPr>
          <w:lang w:val="pt-PT"/>
        </w:rPr>
      </w:pPr>
      <w:r>
        <w:rPr>
          <w:rStyle w:val="FootnoteReference"/>
        </w:rPr>
        <w:footnoteRef/>
      </w:r>
      <w:r>
        <w:rPr>
          <w:lang w:val="pt-PT"/>
        </w:rPr>
        <w:t xml:space="preserve"> </w:t>
      </w:r>
      <w:r>
        <w:rPr>
          <w:lang w:val="pt-PT"/>
        </w:rPr>
        <w:tab/>
        <w:t xml:space="preserve">Kovalkovas, </w:t>
      </w:r>
      <w:hyperlink r:id="rId24" w:history="1">
        <w:r>
          <w:rPr>
            <w:rStyle w:val="Hyperlink"/>
            <w:lang w:val="pt-PT"/>
          </w:rPr>
          <w:t>C-477/16</w:t>
        </w:r>
      </w:hyperlink>
      <w:r>
        <w:rPr>
          <w:rStyle w:val="Hyperlink"/>
          <w:lang w:val="pt-PT"/>
        </w:rPr>
        <w:t xml:space="preserve"> PPU</w:t>
      </w:r>
      <w:r>
        <w:rPr>
          <w:lang w:val="pt-PT"/>
        </w:rPr>
        <w:t>.</w:t>
      </w:r>
    </w:p>
  </w:footnote>
  <w:footnote w:id="17">
    <w:p>
      <w:pPr>
        <w:pStyle w:val="FootnoteText"/>
        <w:rPr>
          <w:lang w:val="pt-PT"/>
        </w:rPr>
      </w:pPr>
      <w:r>
        <w:rPr>
          <w:rStyle w:val="FootnoteReference"/>
        </w:rPr>
        <w:footnoteRef/>
      </w:r>
      <w:r>
        <w:rPr>
          <w:lang w:val="pt-PT"/>
        </w:rPr>
        <w:t xml:space="preserve"> </w:t>
      </w:r>
      <w:r>
        <w:rPr>
          <w:lang w:val="pt-PT"/>
        </w:rPr>
        <w:tab/>
        <w:t xml:space="preserve">Directive </w:t>
      </w:r>
      <w:hyperlink r:id="rId25" w:history="1">
        <w:r>
          <w:rPr>
            <w:rStyle w:val="Hyperlink"/>
            <w:lang w:val="pt-PT"/>
          </w:rPr>
          <w:t>2014/40/EU</w:t>
        </w:r>
      </w:hyperlink>
      <w:r>
        <w:rPr>
          <w:lang w:val="pt-PT"/>
        </w:rPr>
        <w:t xml:space="preserve">; </w:t>
      </w:r>
      <w:hyperlink r:id="rId26" w:history="1">
        <w:r>
          <w:rPr>
            <w:rStyle w:val="Hyperlink"/>
            <w:lang w:val="pt-PT"/>
          </w:rPr>
          <w:t>MEMO/16/4211</w:t>
        </w:r>
      </w:hyperlink>
      <w:r>
        <w:rPr>
          <w:lang w:val="pt-PT"/>
        </w:rPr>
        <w:t>.</w:t>
      </w:r>
    </w:p>
  </w:footnote>
  <w:footnote w:id="18">
    <w:p>
      <w:pPr>
        <w:pStyle w:val="FootnoteText"/>
        <w:rPr>
          <w:lang w:val="pt-PT"/>
        </w:rPr>
      </w:pPr>
      <w:r>
        <w:rPr>
          <w:rStyle w:val="FootnoteReference"/>
        </w:rPr>
        <w:footnoteRef/>
      </w:r>
      <w:r>
        <w:rPr>
          <w:lang w:val="pt-PT"/>
        </w:rPr>
        <w:t xml:space="preserve"> </w:t>
      </w:r>
      <w:r>
        <w:rPr>
          <w:lang w:val="pt-PT"/>
        </w:rPr>
        <w:tab/>
        <w:t xml:space="preserve">Directive </w:t>
      </w:r>
      <w:hyperlink r:id="rId27" w:history="1">
        <w:r>
          <w:rPr>
            <w:rStyle w:val="Hyperlink"/>
            <w:lang w:val="pt-PT"/>
          </w:rPr>
          <w:t>2014/17/EU</w:t>
        </w:r>
      </w:hyperlink>
      <w:r>
        <w:rPr>
          <w:lang w:val="pt-PT"/>
        </w:rPr>
        <w:t xml:space="preserve">; </w:t>
      </w:r>
      <w:hyperlink r:id="rId28" w:history="1">
        <w:r>
          <w:rPr>
            <w:rStyle w:val="Hyperlink"/>
            <w:lang w:val="pt-PT"/>
          </w:rPr>
          <w:t>MEMO/16/3644</w:t>
        </w:r>
      </w:hyperlink>
      <w:r>
        <w:rPr>
          <w:lang w:val="pt-PT"/>
        </w:rPr>
        <w:t>.</w:t>
      </w:r>
    </w:p>
  </w:footnote>
  <w:footnote w:id="19">
    <w:p>
      <w:pPr>
        <w:pStyle w:val="FootnoteText"/>
        <w:rPr>
          <w:lang w:val="pt-PT"/>
        </w:rPr>
      </w:pPr>
      <w:r>
        <w:rPr>
          <w:rStyle w:val="FootnoteReference"/>
        </w:rPr>
        <w:footnoteRef/>
      </w:r>
      <w:r>
        <w:rPr>
          <w:lang w:val="pt-PT"/>
        </w:rPr>
        <w:t xml:space="preserve"> </w:t>
      </w:r>
      <w:r>
        <w:rPr>
          <w:lang w:val="pt-PT"/>
        </w:rPr>
        <w:tab/>
        <w:t>Regulation (EU) No </w:t>
      </w:r>
      <w:hyperlink r:id="rId29" w:history="1">
        <w:r>
          <w:rPr>
            <w:rStyle w:val="Hyperlink"/>
            <w:lang w:val="pt-PT"/>
          </w:rPr>
          <w:t>98/2013</w:t>
        </w:r>
      </w:hyperlink>
      <w:r>
        <w:rPr>
          <w:lang w:val="pt-PT"/>
        </w:rPr>
        <w:t xml:space="preserve">; </w:t>
      </w:r>
      <w:hyperlink r:id="rId30" w:history="1">
        <w:r>
          <w:rPr>
            <w:rStyle w:val="Hyperlink"/>
            <w:lang w:val="pt-PT"/>
          </w:rPr>
          <w:t>MEMO/16/3125</w:t>
        </w:r>
      </w:hyperlink>
      <w:r>
        <w:rPr>
          <w:lang w:val="pt-PT"/>
        </w:rPr>
        <w:t>..</w:t>
      </w:r>
    </w:p>
  </w:footnote>
  <w:footnote w:id="20">
    <w:p>
      <w:pPr>
        <w:pStyle w:val="FootnoteText"/>
        <w:rPr>
          <w:lang w:val="pt-PT"/>
        </w:rPr>
      </w:pPr>
      <w:r>
        <w:rPr>
          <w:rStyle w:val="FootnoteReference"/>
        </w:rPr>
        <w:footnoteRef/>
      </w:r>
      <w:r>
        <w:rPr>
          <w:lang w:val="pt-PT"/>
        </w:rPr>
        <w:t xml:space="preserve"> </w:t>
      </w:r>
      <w:r>
        <w:rPr>
          <w:lang w:val="pt-PT"/>
        </w:rPr>
        <w:tab/>
        <w:t xml:space="preserve">Directive </w:t>
      </w:r>
      <w:hyperlink r:id="rId31" w:history="1">
        <w:r>
          <w:rPr>
            <w:rStyle w:val="Hyperlink"/>
            <w:lang w:val="pt-PT"/>
          </w:rPr>
          <w:t>2011/96/EU</w:t>
        </w:r>
      </w:hyperlink>
      <w:r>
        <w:rPr>
          <w:lang w:val="pt-PT"/>
        </w:rPr>
        <w:t>.</w:t>
      </w:r>
    </w:p>
  </w:footnote>
  <w:footnote w:id="21">
    <w:p>
      <w:pPr>
        <w:pStyle w:val="FootnoteText"/>
        <w:rPr>
          <w:lang w:val="pt-PT"/>
        </w:rPr>
      </w:pPr>
      <w:r>
        <w:rPr>
          <w:rStyle w:val="FootnoteReference"/>
        </w:rPr>
        <w:footnoteRef/>
      </w:r>
      <w:r>
        <w:rPr>
          <w:lang w:val="pt-PT"/>
        </w:rPr>
        <w:t xml:space="preserve"> </w:t>
      </w:r>
      <w:r>
        <w:rPr>
          <w:lang w:val="pt-PT"/>
        </w:rPr>
        <w:tab/>
        <w:t xml:space="preserve">Framework Decision </w:t>
      </w:r>
      <w:hyperlink r:id="rId32" w:history="1">
        <w:r>
          <w:rPr>
            <w:rStyle w:val="Hyperlink"/>
            <w:lang w:val="pt-PT"/>
          </w:rPr>
          <w:t>2006/960/JHA</w:t>
        </w:r>
      </w:hyperlink>
      <w:r>
        <w:rPr>
          <w:lang w:val="pt-PT"/>
        </w:rPr>
        <w:t>.</w:t>
      </w:r>
    </w:p>
  </w:footnote>
  <w:footnote w:id="22">
    <w:p>
      <w:pPr>
        <w:pStyle w:val="FootnoteText"/>
        <w:rPr>
          <w:rFonts w:cs="Arial"/>
          <w:lang w:val="pt-PT"/>
        </w:rPr>
      </w:pPr>
      <w:r>
        <w:rPr>
          <w:rStyle w:val="FootnoteReference"/>
        </w:rPr>
        <w:footnoteRef/>
      </w:r>
      <w:r>
        <w:rPr>
          <w:lang w:val="pt-PT"/>
        </w:rPr>
        <w:t xml:space="preserve"> </w:t>
      </w:r>
      <w:r>
        <w:rPr>
          <w:lang w:val="pt-PT"/>
        </w:rPr>
        <w:tab/>
        <w:t>Regulation (EU) No </w:t>
      </w:r>
      <w:hyperlink r:id="rId33" w:history="1">
        <w:r>
          <w:rPr>
            <w:rStyle w:val="Hyperlink"/>
            <w:lang w:val="pt-PT"/>
          </w:rPr>
          <w:t>1177/2010</w:t>
        </w:r>
      </w:hyperlink>
      <w:r>
        <w:rPr>
          <w:lang w:val="pt-PT"/>
        </w:rPr>
        <w:t xml:space="preserve">; </w:t>
      </w:r>
      <w:hyperlink r:id="rId34" w:history="1">
        <w:r>
          <w:rPr>
            <w:rStyle w:val="Hyperlink"/>
            <w:lang w:val="pt-PT"/>
          </w:rPr>
          <w:t>MEMO/16/3644</w:t>
        </w:r>
      </w:hyperlink>
      <w:r>
        <w:rPr>
          <w:lang w:val="pt-PT"/>
        </w:rPr>
        <w:t>..</w:t>
      </w:r>
    </w:p>
  </w:footnote>
  <w:footnote w:id="23">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35" w:history="1">
        <w:r>
          <w:rPr>
            <w:rStyle w:val="Hyperlink"/>
            <w:lang w:val="pt-PT"/>
          </w:rPr>
          <w:t>2014/23/EU</w:t>
        </w:r>
      </w:hyperlink>
      <w:r>
        <w:rPr>
          <w:lang w:val="pt-PT"/>
        </w:rPr>
        <w:t xml:space="preserve">, </w:t>
      </w:r>
      <w:hyperlink r:id="rId36" w:history="1">
        <w:r>
          <w:rPr>
            <w:rStyle w:val="Hyperlink"/>
            <w:lang w:val="pt-PT"/>
          </w:rPr>
          <w:t>2014/24/EU</w:t>
        </w:r>
      </w:hyperlink>
      <w:r>
        <w:rPr>
          <w:lang w:val="pt-PT"/>
        </w:rPr>
        <w:t xml:space="preserve"> and </w:t>
      </w:r>
      <w:hyperlink r:id="rId37" w:history="1">
        <w:r>
          <w:rPr>
            <w:rStyle w:val="Hyperlink"/>
            <w:lang w:val="pt-PT"/>
          </w:rPr>
          <w:t>2014/25/EU</w:t>
        </w:r>
      </w:hyperlink>
      <w:r>
        <w:rPr>
          <w:lang w:val="pt-PT"/>
        </w:rPr>
        <w:t xml:space="preserve">; </w:t>
      </w:r>
      <w:hyperlink r:id="rId38" w:history="1">
        <w:r>
          <w:rPr>
            <w:rStyle w:val="Hyperlink"/>
            <w:lang w:val="pt-PT"/>
          </w:rPr>
          <w:t>MEMO/16/1823</w:t>
        </w:r>
      </w:hyperlink>
      <w:r>
        <w:rPr>
          <w:lang w:val="pt-PT"/>
        </w:rPr>
        <w:t>.</w:t>
      </w:r>
    </w:p>
  </w:footnote>
  <w:footnote w:id="24">
    <w:p>
      <w:pPr>
        <w:pStyle w:val="FootnoteText"/>
        <w:rPr>
          <w:rFonts w:cs="Arial"/>
        </w:rPr>
      </w:pPr>
      <w:r>
        <w:rPr>
          <w:rStyle w:val="FootnoteReference"/>
        </w:rPr>
        <w:footnoteRef/>
      </w:r>
      <w:r>
        <w:t xml:space="preserve"> </w:t>
      </w:r>
      <w:r>
        <w:tab/>
        <w:t xml:space="preserve">Directive </w:t>
      </w:r>
      <w:hyperlink r:id="rId39" w:history="1">
        <w:r>
          <w:rPr>
            <w:rStyle w:val="Hyperlink"/>
          </w:rPr>
          <w:t>2007/46/EC</w:t>
        </w:r>
      </w:hyperlink>
      <w:r>
        <w:t xml:space="preserve"> and Regulation </w:t>
      </w:r>
      <w:hyperlink r:id="rId40" w:history="1">
        <w:r>
          <w:rPr>
            <w:rStyle w:val="Hyperlink"/>
          </w:rPr>
          <w:t>2007/715/EC</w:t>
        </w:r>
      </w:hyperlink>
      <w:r>
        <w:t xml:space="preserve">; </w:t>
      </w:r>
      <w:hyperlink r:id="rId41" w:history="1">
        <w:r>
          <w:rPr>
            <w:rStyle w:val="Hyperlink"/>
          </w:rPr>
          <w:t>IP/16/4214</w:t>
        </w:r>
      </w:hyperlink>
      <w:r>
        <w:t>.</w:t>
      </w:r>
    </w:p>
  </w:footnote>
  <w:footnote w:id="25">
    <w:p>
      <w:pPr>
        <w:pStyle w:val="FootnoteText"/>
        <w:rPr>
          <w:lang w:val="pt-PT"/>
        </w:rPr>
      </w:pPr>
      <w:r>
        <w:rPr>
          <w:rStyle w:val="FootnoteReference"/>
        </w:rPr>
        <w:footnoteRef/>
      </w:r>
      <w:r>
        <w:rPr>
          <w:lang w:val="pt-PT"/>
        </w:rPr>
        <w:t xml:space="preserve"> </w:t>
      </w:r>
      <w:r>
        <w:rPr>
          <w:lang w:val="pt-PT"/>
        </w:rPr>
        <w:tab/>
        <w:t xml:space="preserve">Directive </w:t>
      </w:r>
      <w:hyperlink r:id="rId42" w:history="1">
        <w:r>
          <w:rPr>
            <w:rStyle w:val="Hyperlink"/>
            <w:lang w:val="pt-PT"/>
          </w:rPr>
          <w:t>2013/55/EU</w:t>
        </w:r>
      </w:hyperlink>
      <w:r>
        <w:rPr>
          <w:lang w:val="pt-PT"/>
        </w:rPr>
        <w:t xml:space="preserve">; </w:t>
      </w:r>
      <w:hyperlink r:id="rId43" w:history="1">
        <w:r>
          <w:rPr>
            <w:rStyle w:val="Hyperlink"/>
            <w:lang w:val="pt-PT"/>
          </w:rPr>
          <w:t>MEMO/16/3125</w:t>
        </w:r>
      </w:hyperlink>
      <w:r>
        <w:rPr>
          <w:lang w:val="pt-PT"/>
        </w:rPr>
        <w:t>.</w:t>
      </w:r>
    </w:p>
  </w:footnote>
  <w:footnote w:id="26">
    <w:p>
      <w:pPr>
        <w:pStyle w:val="FootnoteText"/>
        <w:rPr>
          <w:lang w:val="pt-PT"/>
        </w:rPr>
      </w:pPr>
      <w:r>
        <w:rPr>
          <w:rStyle w:val="FootnoteReference"/>
        </w:rPr>
        <w:footnoteRef/>
      </w:r>
      <w:r>
        <w:rPr>
          <w:lang w:val="pt-PT"/>
        </w:rPr>
        <w:t xml:space="preserve"> </w:t>
      </w:r>
      <w:r>
        <w:rPr>
          <w:lang w:val="pt-PT"/>
        </w:rPr>
        <w:tab/>
        <w:t xml:space="preserve">Commission v Luxembourg, </w:t>
      </w:r>
      <w:hyperlink r:id="rId44" w:history="1">
        <w:r>
          <w:rPr>
            <w:rStyle w:val="Hyperlink"/>
            <w:lang w:val="pt-PT"/>
          </w:rPr>
          <w:t>C-152/16</w:t>
        </w:r>
      </w:hyperlink>
      <w:r>
        <w:rPr>
          <w:lang w:val="pt-PT"/>
        </w:rPr>
        <w:t xml:space="preserve">; </w:t>
      </w:r>
      <w:hyperlink r:id="rId45" w:history="1">
        <w:r>
          <w:rPr>
            <w:rStyle w:val="Hyperlink"/>
            <w:lang w:val="pt-PT"/>
          </w:rPr>
          <w:t>IP/15/5829</w:t>
        </w:r>
      </w:hyperlink>
      <w:r>
        <w:rPr>
          <w:rStyle w:val="Hyperlink"/>
          <w:color w:val="auto"/>
          <w:u w:val="none"/>
          <w:lang w:val="pt-PT"/>
        </w:rPr>
        <w:t xml:space="preserve"> and </w:t>
      </w:r>
      <w:hyperlink r:id="rId46" w:history="1">
        <w:r>
          <w:rPr>
            <w:rStyle w:val="Hyperlink"/>
            <w:lang w:val="pt-PT"/>
          </w:rPr>
          <w:t>MEMO/15/5826</w:t>
        </w:r>
      </w:hyperlink>
      <w:r>
        <w:rPr>
          <w:rStyle w:val="Hyperlink"/>
          <w:color w:val="auto"/>
          <w:u w:val="none"/>
          <w:lang w:val="pt-PT"/>
        </w:rPr>
        <w:t>.</w:t>
      </w:r>
    </w:p>
  </w:footnote>
  <w:footnote w:id="27">
    <w:p>
      <w:pPr>
        <w:pStyle w:val="FootnoteText"/>
        <w:rPr>
          <w:lang w:val="pt-PT"/>
        </w:rPr>
      </w:pPr>
      <w:r>
        <w:rPr>
          <w:rStyle w:val="FootnoteReference"/>
        </w:rPr>
        <w:footnoteRef/>
      </w:r>
      <w:r>
        <w:rPr>
          <w:lang w:val="pt-PT"/>
        </w:rPr>
        <w:t xml:space="preserve"> </w:t>
      </w:r>
      <w:r>
        <w:rPr>
          <w:lang w:val="pt-PT"/>
        </w:rPr>
        <w:tab/>
        <w:t xml:space="preserve">Directive </w:t>
      </w:r>
      <w:hyperlink r:id="rId47" w:history="1">
        <w:r>
          <w:rPr>
            <w:rStyle w:val="Hyperlink"/>
            <w:lang w:val="pt-PT"/>
          </w:rPr>
          <w:t>2014/27/EU</w:t>
        </w:r>
      </w:hyperlink>
      <w:r>
        <w:rPr>
          <w:lang w:val="pt-PT"/>
        </w:rPr>
        <w:t>.</w:t>
      </w:r>
    </w:p>
  </w:footnote>
  <w:footnote w:id="28">
    <w:p>
      <w:pPr>
        <w:pStyle w:val="FootnoteText"/>
      </w:pPr>
      <w:r>
        <w:rPr>
          <w:rStyle w:val="FootnoteReference"/>
        </w:rPr>
        <w:footnoteRef/>
      </w:r>
      <w:r>
        <w:t xml:space="preserve"> </w:t>
      </w:r>
      <w:r>
        <w:tab/>
        <w:t>Regulation (EC) No </w:t>
      </w:r>
      <w:hyperlink r:id="rId48" w:history="1">
        <w:r>
          <w:rPr>
            <w:rStyle w:val="Hyperlink"/>
          </w:rPr>
          <w:t>1272/2008</w:t>
        </w:r>
      </w:hyperlink>
      <w:r>
        <w:t>.</w:t>
      </w:r>
    </w:p>
  </w:footnote>
  <w:footnote w:id="29">
    <w:p>
      <w:pPr>
        <w:pStyle w:val="FootnoteText"/>
      </w:pPr>
      <w:r>
        <w:rPr>
          <w:rStyle w:val="FootnoteReference"/>
        </w:rPr>
        <w:footnoteRef/>
      </w:r>
      <w:r>
        <w:t xml:space="preserve"> </w:t>
      </w:r>
      <w:r>
        <w:tab/>
        <w:t xml:space="preserve">Commission v Luxembourg </w:t>
      </w:r>
      <w:hyperlink r:id="rId49" w:history="1">
        <w:r>
          <w:rPr>
            <w:rStyle w:val="Hyperlink"/>
          </w:rPr>
          <w:t>C-511/16</w:t>
        </w:r>
      </w:hyperlink>
      <w:r>
        <w:t xml:space="preserve">; </w:t>
      </w:r>
      <w:hyperlink r:id="rId50" w:history="1">
        <w:r>
          <w:rPr>
            <w:rStyle w:val="Hyperlink"/>
          </w:rPr>
          <w:t>IP/16/2599</w:t>
        </w:r>
      </w:hyperlink>
      <w:r>
        <w:rPr>
          <w:rStyle w:val="Hyperlink"/>
        </w:rPr>
        <w:t>.</w:t>
      </w:r>
    </w:p>
  </w:footnote>
  <w:footnote w:id="30">
    <w:p>
      <w:pPr>
        <w:pStyle w:val="FootnoteText"/>
      </w:pPr>
      <w:r>
        <w:rPr>
          <w:rStyle w:val="FootnoteReference"/>
        </w:rPr>
        <w:footnoteRef/>
      </w:r>
      <w:r>
        <w:t xml:space="preserve"> </w:t>
      </w:r>
      <w:r>
        <w:tab/>
        <w:t xml:space="preserve">Directive </w:t>
      </w:r>
      <w:hyperlink r:id="rId51" w:history="1">
        <w:r>
          <w:rPr>
            <w:rStyle w:val="Hyperlink"/>
          </w:rPr>
          <w:t>2014/27/EU</w:t>
        </w:r>
      </w:hyperlink>
      <w:r>
        <w:t xml:space="preserve">, Commission v Luxembourg </w:t>
      </w:r>
      <w:hyperlink r:id="rId52" w:history="1">
        <w:r>
          <w:rPr>
            <w:rStyle w:val="Hyperlink"/>
          </w:rPr>
          <w:t>C-511/16</w:t>
        </w:r>
      </w:hyperlink>
      <w:r>
        <w:t xml:space="preserve">; </w:t>
      </w:r>
      <w:hyperlink r:id="rId53" w:history="1">
        <w:r>
          <w:rPr>
            <w:rStyle w:val="Hyperlink"/>
          </w:rPr>
          <w:t>IP/16/2599</w:t>
        </w:r>
      </w:hyperlink>
      <w:r>
        <w:rPr>
          <w:rStyle w:val="Hyperlink"/>
        </w:rPr>
        <w:t>.</w:t>
      </w:r>
    </w:p>
  </w:footnote>
  <w:footnote w:id="31">
    <w:p>
      <w:pPr>
        <w:pStyle w:val="FootnoteText"/>
      </w:pPr>
      <w:r>
        <w:rPr>
          <w:rStyle w:val="FootnoteReference"/>
        </w:rPr>
        <w:footnoteRef/>
      </w:r>
      <w:r>
        <w:t xml:space="preserve">  </w:t>
      </w:r>
      <w:r>
        <w:tab/>
        <w:t xml:space="preserve">Directive </w:t>
      </w:r>
      <w:hyperlink r:id="rId54" w:history="1">
        <w:r>
          <w:rPr>
            <w:rStyle w:val="Hyperlink"/>
          </w:rPr>
          <w:t>2012/34/EU</w:t>
        </w:r>
      </w:hyperlink>
      <w:r>
        <w:t xml:space="preserve">, Commission v Luxembourg </w:t>
      </w:r>
      <w:hyperlink r:id="rId55" w:history="1">
        <w:r>
          <w:rPr>
            <w:rStyle w:val="Hyperlink"/>
          </w:rPr>
          <w:t>C-489/16</w:t>
        </w:r>
      </w:hyperlink>
      <w:r>
        <w:t xml:space="preserve">; </w:t>
      </w:r>
      <w:hyperlink r:id="rId56" w:history="1">
        <w:r>
          <w:rPr>
            <w:rStyle w:val="Hyperlink"/>
          </w:rPr>
          <w:t>IP/16/2494</w:t>
        </w:r>
      </w:hyperlink>
      <w:r>
        <w:rPr>
          <w:rStyle w:val="Hyperlink"/>
        </w:rPr>
        <w:t xml:space="preserve"> and MEMO/16/2490.</w:t>
      </w:r>
    </w:p>
  </w:footnote>
  <w:footnote w:id="32">
    <w:p>
      <w:pPr>
        <w:pStyle w:val="FootnoteText"/>
      </w:pPr>
      <w:r>
        <w:rPr>
          <w:rStyle w:val="FootnoteReference"/>
        </w:rPr>
        <w:footnoteRef/>
      </w:r>
      <w:r>
        <w:t xml:space="preserve"> </w:t>
      </w:r>
      <w:r>
        <w:tab/>
        <w:t xml:space="preserve">Directive </w:t>
      </w:r>
      <w:hyperlink r:id="rId57" w:history="1">
        <w:r>
          <w:rPr>
            <w:rStyle w:val="Hyperlink"/>
          </w:rPr>
          <w:t>2012/18/EU</w:t>
        </w:r>
      </w:hyperlink>
      <w:r>
        <w:t>.</w:t>
      </w:r>
    </w:p>
  </w:footnote>
  <w:footnote w:id="33">
    <w:p>
      <w:pPr>
        <w:pStyle w:val="FootnoteText"/>
      </w:pPr>
      <w:r>
        <w:rPr>
          <w:rStyle w:val="FootnoteReference"/>
        </w:rPr>
        <w:footnoteRef/>
      </w:r>
      <w:r>
        <w:t xml:space="preserve"> </w:t>
      </w:r>
      <w:r>
        <w:tab/>
        <w:t xml:space="preserve">Directive </w:t>
      </w:r>
      <w:hyperlink r:id="rId58" w:history="1">
        <w:r>
          <w:rPr>
            <w:rStyle w:val="Hyperlink"/>
          </w:rPr>
          <w:t>2013/36/EU</w:t>
        </w:r>
      </w:hyperlink>
      <w:r>
        <w:t>.</w:t>
      </w:r>
    </w:p>
  </w:footnote>
  <w:footnote w:id="34">
    <w:p>
      <w:pPr>
        <w:pStyle w:val="FootnoteText"/>
      </w:pPr>
      <w:r>
        <w:rPr>
          <w:rStyle w:val="FootnoteReference"/>
        </w:rPr>
        <w:footnoteRef/>
      </w:r>
      <w:r>
        <w:t xml:space="preserve"> </w:t>
      </w:r>
      <w:r>
        <w:tab/>
        <w:t xml:space="preserve">Directive </w:t>
      </w:r>
      <w:hyperlink r:id="rId59" w:history="1">
        <w:r>
          <w:rPr>
            <w:rStyle w:val="Hyperlink"/>
          </w:rPr>
          <w:t>2014</w:t>
        </w:r>
        <w:r>
          <w:rPr>
            <w:rStyle w:val="Hyperlink"/>
            <w:b/>
          </w:rPr>
          <w:t>/</w:t>
        </w:r>
        <w:r>
          <w:rPr>
            <w:rStyle w:val="Hyperlink"/>
          </w:rPr>
          <w:t>59/EU</w:t>
        </w:r>
      </w:hyperlink>
      <w:r>
        <w:t>.</w:t>
      </w:r>
    </w:p>
  </w:footnote>
  <w:footnote w:id="35">
    <w:p>
      <w:pPr>
        <w:pStyle w:val="FootnoteText"/>
        <w:rPr>
          <w:b/>
        </w:rPr>
      </w:pPr>
      <w:r>
        <w:rPr>
          <w:rStyle w:val="FootnoteReference"/>
        </w:rPr>
        <w:footnoteRef/>
      </w:r>
      <w:r>
        <w:t xml:space="preserve"> </w:t>
      </w:r>
      <w:r>
        <w:tab/>
        <w:t xml:space="preserve">Directive </w:t>
      </w:r>
      <w:hyperlink r:id="rId60" w:history="1">
        <w:r>
          <w:rPr>
            <w:rStyle w:val="Hyperlink"/>
          </w:rPr>
          <w:t>2014/49/EU</w:t>
        </w:r>
      </w:hyperlink>
      <w:r>
        <w:t>.</w:t>
      </w:r>
    </w:p>
  </w:footnote>
  <w:footnote w:id="36">
    <w:p>
      <w:pPr>
        <w:pStyle w:val="FootnoteText"/>
      </w:pPr>
      <w:r>
        <w:rPr>
          <w:rStyle w:val="FootnoteReference"/>
        </w:rPr>
        <w:footnoteRef/>
      </w:r>
      <w:r>
        <w:t xml:space="preserve"> </w:t>
      </w:r>
      <w:r>
        <w:tab/>
      </w:r>
      <w:r>
        <w:rPr>
          <w:rFonts w:eastAsiaTheme="minorHAnsi"/>
        </w:rPr>
        <w:t xml:space="preserve">Directive </w:t>
      </w:r>
      <w:hyperlink r:id="rId61" w:history="1">
        <w:r>
          <w:rPr>
            <w:rStyle w:val="Hyperlink"/>
            <w:rFonts w:eastAsiaTheme="minorHAnsi"/>
          </w:rPr>
          <w:t>2013/14/EU</w:t>
        </w:r>
      </w:hyperlink>
      <w:r>
        <w:rPr>
          <w:rFonts w:eastAsiaTheme="minorHAnsi"/>
        </w:rPr>
        <w:t>.</w:t>
      </w:r>
    </w:p>
  </w:footnote>
  <w:footnote w:id="37">
    <w:p>
      <w:pPr>
        <w:pStyle w:val="FootnoteText"/>
      </w:pPr>
      <w:r>
        <w:rPr>
          <w:rStyle w:val="FootnoteReference"/>
        </w:rPr>
        <w:footnoteRef/>
      </w:r>
      <w:r>
        <w:t xml:space="preserve"> </w:t>
      </w:r>
      <w:r>
        <w:tab/>
        <w:t xml:space="preserve">Directive </w:t>
      </w:r>
      <w:hyperlink r:id="rId62" w:history="1">
        <w:r>
          <w:rPr>
            <w:rStyle w:val="Hyperlink"/>
          </w:rPr>
          <w:t>2011/89/EU</w:t>
        </w:r>
      </w:hyperlink>
      <w:r>
        <w:t>.</w:t>
      </w:r>
    </w:p>
  </w:footnote>
  <w:footnote w:id="38">
    <w:p>
      <w:pPr>
        <w:pStyle w:val="FootnoteText"/>
      </w:pPr>
      <w:r>
        <w:rPr>
          <w:rStyle w:val="FootnoteReference"/>
        </w:rPr>
        <w:footnoteRef/>
      </w:r>
      <w:r>
        <w:rPr>
          <w:b/>
        </w:rPr>
        <w:t xml:space="preserve"> </w:t>
      </w:r>
      <w:r>
        <w:rPr>
          <w:b/>
        </w:rPr>
        <w:tab/>
      </w:r>
      <w:r>
        <w:rPr>
          <w:rStyle w:val="Strong"/>
          <w:b w:val="0"/>
        </w:rPr>
        <w:t xml:space="preserve">Directive </w:t>
      </w:r>
      <w:hyperlink r:id="rId63" w:history="1">
        <w:r>
          <w:rPr>
            <w:rStyle w:val="Hyperlink"/>
          </w:rPr>
          <w:t>2008/94/EC</w:t>
        </w:r>
      </w:hyperlink>
      <w:r>
        <w:rPr>
          <w:rStyle w:val="Strong"/>
          <w:b w:val="0"/>
        </w:rPr>
        <w:t>.</w:t>
      </w:r>
    </w:p>
  </w:footnote>
  <w:footnote w:id="39">
    <w:p>
      <w:pPr>
        <w:pStyle w:val="FootnoteText"/>
      </w:pPr>
      <w:r>
        <w:rPr>
          <w:rStyle w:val="FootnoteReference"/>
        </w:rPr>
        <w:footnoteRef/>
      </w:r>
      <w:r>
        <w:t xml:space="preserve"> </w:t>
      </w:r>
      <w:r>
        <w:tab/>
        <w:t xml:space="preserve">Directive </w:t>
      </w:r>
      <w:hyperlink r:id="rId64" w:history="1">
        <w:r>
          <w:rPr>
            <w:rStyle w:val="Hyperlink"/>
          </w:rPr>
          <w:t>2011/96/EU</w:t>
        </w:r>
      </w:hyperlink>
      <w:r>
        <w:t>.</w:t>
      </w:r>
    </w:p>
  </w:footnote>
  <w:footnote w:id="40">
    <w:p>
      <w:pPr>
        <w:pStyle w:val="FootnoteText"/>
      </w:pPr>
      <w:r>
        <w:rPr>
          <w:rStyle w:val="FootnoteReference"/>
        </w:rPr>
        <w:footnoteRef/>
      </w:r>
      <w:r>
        <w:t xml:space="preserve"> </w:t>
      </w:r>
      <w:r>
        <w:tab/>
      </w:r>
      <w:r>
        <w:rPr>
          <w:rFonts w:cs="Arial"/>
          <w:szCs w:val="18"/>
        </w:rPr>
        <w:t>These rulings are almost exclusively handed down on infringement procedures.</w:t>
      </w:r>
    </w:p>
  </w:footnote>
  <w:footnote w:id="41">
    <w:p>
      <w:pPr>
        <w:pStyle w:val="FootnoteText"/>
      </w:pPr>
      <w:r>
        <w:rPr>
          <w:rStyle w:val="FootnoteReference"/>
        </w:rPr>
        <w:footnoteRef/>
      </w:r>
      <w:r>
        <w:t xml:space="preserve"> </w:t>
      </w:r>
      <w:r>
        <w:tab/>
        <w:t>Regulation (EC) No </w:t>
      </w:r>
      <w:hyperlink r:id="rId65" w:history="1">
        <w:r>
          <w:rPr>
            <w:rStyle w:val="Hyperlink"/>
          </w:rPr>
          <w:t>1071/2009</w:t>
        </w:r>
      </w:hyperlink>
      <w:r>
        <w:t xml:space="preserve">; Commission v Luxembourg, </w:t>
      </w:r>
      <w:hyperlink r:id="rId66" w:history="1">
        <w:r>
          <w:rPr>
            <w:rStyle w:val="Hyperlink"/>
          </w:rPr>
          <w:t>C-152/16</w:t>
        </w:r>
      </w:hyperlink>
      <w:r>
        <w:rPr>
          <w:rStyle w:val="Hyperlink"/>
        </w:rPr>
        <w:t>.</w:t>
      </w:r>
    </w:p>
  </w:footnote>
  <w:footnote w:id="42">
    <w:p>
      <w:pPr>
        <w:pStyle w:val="FootnoteText"/>
      </w:pPr>
      <w:r>
        <w:rPr>
          <w:rStyle w:val="FootnoteReference"/>
        </w:rPr>
        <w:footnoteRef/>
      </w:r>
      <w:r>
        <w:t xml:space="preserve"> </w:t>
      </w:r>
      <w:r>
        <w:tab/>
        <w:t xml:space="preserve">Bragança Linares Verruga and Others, </w:t>
      </w:r>
      <w:hyperlink r:id="rId67" w:history="1">
        <w:r>
          <w:rPr>
            <w:rStyle w:val="Hyperlink"/>
          </w:rPr>
          <w:t>C-238/15</w:t>
        </w:r>
      </w:hyperlink>
      <w:r>
        <w:t>.</w:t>
      </w:r>
    </w:p>
  </w:footnote>
  <w:footnote w:id="43">
    <w:p>
      <w:pPr>
        <w:pStyle w:val="FootnoteText"/>
      </w:pPr>
      <w:r>
        <w:rPr>
          <w:rStyle w:val="FootnoteReference"/>
        </w:rPr>
        <w:footnoteRef/>
      </w:r>
      <w:r>
        <w:t xml:space="preserve"> </w:t>
      </w:r>
      <w:r>
        <w:tab/>
        <w:t xml:space="preserve">Kohll and Kohll-Schlesser, </w:t>
      </w:r>
      <w:hyperlink r:id="rId68" w:history="1">
        <w:r>
          <w:rPr>
            <w:rStyle w:val="Hyperlink"/>
          </w:rPr>
          <w:t>C-300/15</w:t>
        </w:r>
      </w:hyperlink>
      <w:r>
        <w:t>.</w:t>
      </w:r>
    </w:p>
  </w:footnote>
  <w:footnote w:id="44">
    <w:p>
      <w:pPr>
        <w:pStyle w:val="FootnoteText"/>
        <w:rPr>
          <w:lang w:val="pt-PT"/>
        </w:rPr>
      </w:pPr>
      <w:r>
        <w:rPr>
          <w:rStyle w:val="FootnoteReference"/>
        </w:rPr>
        <w:footnoteRef/>
      </w:r>
      <w:r>
        <w:rPr>
          <w:lang w:val="pt-PT"/>
        </w:rPr>
        <w:t xml:space="preserve"> </w:t>
      </w:r>
      <w:r>
        <w:rPr>
          <w:lang w:val="pt-PT"/>
        </w:rPr>
        <w:tab/>
      </w:r>
      <w:hyperlink r:id="rId69" w:history="1">
        <w:r>
          <w:rPr>
            <w:rStyle w:val="Hyperlink"/>
            <w:lang w:val="pt-PT"/>
          </w:rPr>
          <w:t>MEMO/16/1823</w:t>
        </w:r>
      </w:hyperlink>
      <w:r>
        <w:rPr>
          <w:lang w:val="pt-PT"/>
        </w:rPr>
        <w:t>.</w:t>
      </w:r>
    </w:p>
  </w:footnote>
  <w:footnote w:id="45">
    <w:p>
      <w:pPr>
        <w:pStyle w:val="FootnoteText"/>
        <w:rPr>
          <w:lang w:val="pt-PT"/>
        </w:rPr>
      </w:pPr>
      <w:r>
        <w:rPr>
          <w:rStyle w:val="FootnoteReference"/>
        </w:rPr>
        <w:footnoteRef/>
      </w:r>
      <w:r>
        <w:rPr>
          <w:lang w:val="pt-PT"/>
        </w:rPr>
        <w:t xml:space="preserve"> </w:t>
      </w:r>
      <w:r>
        <w:rPr>
          <w:lang w:val="pt-PT"/>
        </w:rPr>
        <w:tab/>
        <w:t xml:space="preserve">Directive </w:t>
      </w:r>
      <w:hyperlink r:id="rId70" w:history="1">
        <w:r>
          <w:rPr>
            <w:rStyle w:val="Hyperlink"/>
            <w:lang w:val="pt-PT"/>
          </w:rPr>
          <w:t>2008/50/EC</w:t>
        </w:r>
      </w:hyperlink>
      <w:r>
        <w:rPr>
          <w:lang w:val="pt-PT"/>
        </w:rPr>
        <w:t>.</w:t>
      </w:r>
    </w:p>
  </w:footnote>
  <w:footnote w:id="46">
    <w:p>
      <w:pPr>
        <w:pStyle w:val="FootnoteText"/>
        <w:rPr>
          <w:lang w:val="pt-PT"/>
        </w:rPr>
      </w:pPr>
      <w:r>
        <w:rPr>
          <w:rStyle w:val="FootnoteReference"/>
        </w:rPr>
        <w:footnoteRef/>
      </w:r>
      <w:r>
        <w:rPr>
          <w:lang w:val="pt-PT"/>
        </w:rPr>
        <w:t xml:space="preserve"> </w:t>
      </w:r>
      <w:r>
        <w:rPr>
          <w:lang w:val="pt-PT"/>
        </w:rPr>
        <w:tab/>
        <w:t xml:space="preserve">Directive </w:t>
      </w:r>
      <w:hyperlink r:id="rId71" w:history="1">
        <w:r>
          <w:rPr>
            <w:rStyle w:val="Hyperlink"/>
            <w:lang w:val="pt-PT"/>
          </w:rPr>
          <w:t>2002/49/EC</w:t>
        </w:r>
      </w:hyperlink>
      <w:r>
        <w:rPr>
          <w:lang w:val="pt-PT"/>
        </w:rPr>
        <w:t>.</w:t>
      </w:r>
    </w:p>
  </w:footnote>
  <w:footnote w:id="47">
    <w:p>
      <w:pPr>
        <w:pStyle w:val="FootnoteText"/>
      </w:pPr>
      <w:r>
        <w:rPr>
          <w:rStyle w:val="FootnoteReference"/>
        </w:rPr>
        <w:footnoteRef/>
      </w:r>
      <w:r>
        <w:t xml:space="preserve"> </w:t>
      </w:r>
      <w:r>
        <w:tab/>
        <w:t xml:space="preserve">Directive </w:t>
      </w:r>
      <w:hyperlink r:id="rId72" w:history="1">
        <w:r>
          <w:rPr>
            <w:rStyle w:val="Hyperlink"/>
            <w:rFonts w:cs="Arial"/>
          </w:rPr>
          <w:t>98/83/EC</w:t>
        </w:r>
      </w:hyperlink>
      <w:r>
        <w:rPr>
          <w:rFonts w:cs="Arial"/>
        </w:rPr>
        <w:t>.</w:t>
      </w:r>
    </w:p>
  </w:footnote>
  <w:footnote w:id="48">
    <w:p>
      <w:pPr>
        <w:pStyle w:val="FootnoteText"/>
      </w:pPr>
      <w:r>
        <w:rPr>
          <w:rStyle w:val="FootnoteReference"/>
        </w:rPr>
        <w:footnoteRef/>
      </w:r>
      <w:r>
        <w:t xml:space="preserve"> </w:t>
      </w:r>
      <w:r>
        <w:tab/>
        <w:t xml:space="preserve">Directives </w:t>
      </w:r>
      <w:hyperlink r:id="rId73" w:history="1">
        <w:r>
          <w:rPr>
            <w:rStyle w:val="Hyperlink"/>
          </w:rPr>
          <w:t>2009/72/EC</w:t>
        </w:r>
      </w:hyperlink>
      <w:r>
        <w:t xml:space="preserve"> and </w:t>
      </w:r>
      <w:hyperlink r:id="rId74" w:history="1">
        <w:r>
          <w:rPr>
            <w:rStyle w:val="Hyperlink"/>
          </w:rPr>
          <w:t>2009/73/EC</w:t>
        </w:r>
      </w:hyperlink>
      <w:r>
        <w:t xml:space="preserve">, </w:t>
      </w:r>
      <w:hyperlink r:id="rId75" w:history="1">
        <w:r>
          <w:rPr>
            <w:rStyle w:val="Hyperlink"/>
          </w:rPr>
          <w:t>MEMO/16/4211</w:t>
        </w:r>
      </w:hyperlink>
      <w:r>
        <w:t>.</w:t>
      </w:r>
    </w:p>
  </w:footnote>
  <w:footnote w:id="49">
    <w:p>
      <w:pPr>
        <w:pStyle w:val="FootnoteText"/>
      </w:pPr>
      <w:r>
        <w:rPr>
          <w:rStyle w:val="FootnoteReference"/>
        </w:rPr>
        <w:footnoteRef/>
      </w:r>
      <w:r>
        <w:t xml:space="preserve"> </w:t>
      </w:r>
      <w:r>
        <w:tab/>
        <w:t xml:space="preserve">Press releases </w:t>
      </w:r>
      <w:hyperlink r:id="rId76" w:history="1">
        <w:r>
          <w:rPr>
            <w:rStyle w:val="Hyperlink"/>
          </w:rPr>
          <w:t>IP/16/1827</w:t>
        </w:r>
      </w:hyperlink>
      <w:r>
        <w:t xml:space="preserve"> and </w:t>
      </w:r>
      <w:hyperlink r:id="rId77" w:history="1">
        <w:r>
          <w:rPr>
            <w:rStyle w:val="Hyperlink"/>
          </w:rPr>
          <w:t>MEMO/16/1823</w:t>
        </w:r>
      </w:hyperlink>
      <w:r>
        <w:t>.</w:t>
      </w:r>
    </w:p>
  </w:footnote>
  <w:footnote w:id="50">
    <w:p>
      <w:pPr>
        <w:pStyle w:val="FootnoteText"/>
        <w:rPr>
          <w:lang w:val="pt-PT"/>
        </w:rPr>
      </w:pPr>
      <w:r>
        <w:rPr>
          <w:rStyle w:val="FootnoteReference"/>
        </w:rPr>
        <w:footnoteRef/>
      </w:r>
      <w:r>
        <w:rPr>
          <w:lang w:val="pt-PT"/>
        </w:rPr>
        <w:t xml:space="preserve"> </w:t>
      </w:r>
      <w:r>
        <w:rPr>
          <w:lang w:val="pt-PT"/>
        </w:rPr>
        <w:tab/>
      </w:r>
      <w:hyperlink r:id="rId78" w:history="1">
        <w:r>
          <w:rPr>
            <w:rStyle w:val="Hyperlink"/>
            <w:lang w:val="pt-PT"/>
          </w:rPr>
          <w:t>Directive 2006/123/EC</w:t>
        </w:r>
      </w:hyperlink>
      <w:r>
        <w:rPr>
          <w:lang w:val="pt-PT"/>
        </w:rPr>
        <w:t xml:space="preserve">, </w:t>
      </w:r>
      <w:hyperlink r:id="rId79" w:history="1">
        <w:r>
          <w:rPr>
            <w:rStyle w:val="Hyperlink"/>
            <w:lang w:val="pt-PT"/>
          </w:rPr>
          <w:t>IP/16/3646</w:t>
        </w:r>
      </w:hyperlink>
      <w:r>
        <w:rPr>
          <w:lang w:val="pt-PT"/>
        </w:rPr>
        <w:t xml:space="preserve">, </w:t>
      </w:r>
      <w:hyperlink r:id="rId80" w:history="1">
        <w:r>
          <w:rPr>
            <w:rStyle w:val="Hyperlink"/>
            <w:lang w:val="pt-PT"/>
          </w:rPr>
          <w:t>MEMO/16/3644</w:t>
        </w:r>
      </w:hyperlink>
      <w:r>
        <w:rPr>
          <w:lang w:val="pt-PT"/>
        </w:rPr>
        <w:t>.</w:t>
      </w:r>
    </w:p>
  </w:footnote>
  <w:footnote w:id="51">
    <w:p>
      <w:pPr>
        <w:pStyle w:val="FootnoteText"/>
        <w:rPr>
          <w:lang w:val="pt-PT"/>
        </w:rPr>
      </w:pPr>
      <w:r>
        <w:rPr>
          <w:rStyle w:val="FootnoteReference"/>
        </w:rPr>
        <w:footnoteRef/>
      </w:r>
      <w:r>
        <w:rPr>
          <w:lang w:val="pt-PT"/>
        </w:rPr>
        <w:t xml:space="preserve"> </w:t>
      </w:r>
      <w:r>
        <w:rPr>
          <w:lang w:val="pt-PT"/>
        </w:rPr>
        <w:tab/>
        <w:t>Regulation (EU) No </w:t>
      </w:r>
      <w:hyperlink r:id="rId81" w:history="1">
        <w:r>
          <w:rPr>
            <w:rStyle w:val="Hyperlink"/>
            <w:lang w:val="pt-PT"/>
          </w:rPr>
          <w:t>995/2010</w:t>
        </w:r>
      </w:hyperlink>
      <w:r>
        <w:rPr>
          <w:lang w:val="pt-PT"/>
        </w:rPr>
        <w:t xml:space="preserve"> and Regulation (EC) No </w:t>
      </w:r>
      <w:hyperlink r:id="rId82" w:history="1">
        <w:r>
          <w:rPr>
            <w:rStyle w:val="Hyperlink"/>
            <w:lang w:val="pt-PT"/>
          </w:rPr>
          <w:t>2173/2005</w:t>
        </w:r>
      </w:hyperlink>
      <w:r>
        <w:rPr>
          <w:lang w:val="pt-PT"/>
        </w:rPr>
        <w:t>.</w:t>
      </w:r>
    </w:p>
  </w:footnote>
  <w:footnote w:id="52">
    <w:p>
      <w:pPr>
        <w:pStyle w:val="FootnoteText"/>
        <w:rPr>
          <w:lang w:val="pt-PT"/>
        </w:rPr>
      </w:pPr>
      <w:r>
        <w:rPr>
          <w:rStyle w:val="FootnoteReference"/>
        </w:rPr>
        <w:footnoteRef/>
      </w:r>
      <w:r>
        <w:rPr>
          <w:lang w:val="pt-PT"/>
        </w:rPr>
        <w:t xml:space="preserve"> </w:t>
      </w:r>
      <w:r>
        <w:rPr>
          <w:lang w:val="pt-PT"/>
        </w:rPr>
        <w:tab/>
        <w:t xml:space="preserve">Directive </w:t>
      </w:r>
      <w:hyperlink r:id="rId83" w:history="1">
        <w:r>
          <w:rPr>
            <w:rStyle w:val="Hyperlink"/>
            <w:lang w:val="pt-PT"/>
          </w:rPr>
          <w:t>2014/59/EU</w:t>
        </w:r>
      </w:hyperlink>
      <w:r>
        <w:rPr>
          <w:lang w:val="pt-PT"/>
        </w:rPr>
        <w:t>.</w:t>
      </w:r>
    </w:p>
  </w:footnote>
  <w:footnote w:id="53">
    <w:p>
      <w:pPr>
        <w:pStyle w:val="FootnoteText"/>
        <w:rPr>
          <w:lang w:val="pt-PT"/>
        </w:rPr>
      </w:pPr>
      <w:r>
        <w:rPr>
          <w:rStyle w:val="FootnoteReference"/>
        </w:rPr>
        <w:footnoteRef/>
      </w:r>
      <w:r>
        <w:rPr>
          <w:lang w:val="pt-PT"/>
        </w:rPr>
        <w:t xml:space="preserve"> </w:t>
      </w:r>
      <w:r>
        <w:rPr>
          <w:lang w:val="pt-PT"/>
        </w:rPr>
        <w:tab/>
        <w:t xml:space="preserve">Directive </w:t>
      </w:r>
      <w:hyperlink r:id="rId84" w:history="1">
        <w:r>
          <w:rPr>
            <w:rStyle w:val="Hyperlink"/>
            <w:rFonts w:cs="Arial"/>
            <w:szCs w:val="18"/>
            <w:lang w:val="pt-PT"/>
          </w:rPr>
          <w:t>2013/14/EU.</w:t>
        </w:r>
      </w:hyperlink>
    </w:p>
  </w:footnote>
  <w:footnote w:id="54">
    <w:p>
      <w:pPr>
        <w:pStyle w:val="FootnoteText"/>
      </w:pPr>
      <w:r>
        <w:rPr>
          <w:rStyle w:val="FootnoteReference"/>
        </w:rPr>
        <w:footnoteRef/>
      </w:r>
      <w:r>
        <w:t xml:space="preserve"> </w:t>
      </w:r>
      <w:r>
        <w:tab/>
        <w:t xml:space="preserve">Directive </w:t>
      </w:r>
      <w:hyperlink r:id="rId85" w:history="1">
        <w:r>
          <w:rPr>
            <w:rStyle w:val="Hyperlink"/>
          </w:rPr>
          <w:t>2011/89/EU</w:t>
        </w:r>
      </w:hyperlink>
      <w:r>
        <w:t>.</w:t>
      </w:r>
    </w:p>
  </w:footnote>
  <w:footnote w:id="55">
    <w:p>
      <w:pPr>
        <w:pStyle w:val="FootnoteText"/>
      </w:pPr>
      <w:r>
        <w:rPr>
          <w:rStyle w:val="FootnoteReference"/>
        </w:rPr>
        <w:footnoteRef/>
      </w:r>
      <w:r>
        <w:t xml:space="preserve"> </w:t>
      </w:r>
      <w:r>
        <w:tab/>
        <w:t>Regulation (EC) No </w:t>
      </w:r>
      <w:hyperlink r:id="rId86" w:history="1">
        <w:r>
          <w:rPr>
            <w:rStyle w:val="Hyperlink"/>
          </w:rPr>
          <w:t>1071/2009</w:t>
        </w:r>
      </w:hyperlink>
      <w:r>
        <w:t>.</w:t>
      </w:r>
    </w:p>
  </w:footnote>
  <w:footnote w:id="56">
    <w:p>
      <w:pPr>
        <w:pStyle w:val="FootnoteText"/>
      </w:pPr>
      <w:r>
        <w:rPr>
          <w:rStyle w:val="FootnoteReference"/>
        </w:rPr>
        <w:footnoteRef/>
      </w:r>
      <w:r>
        <w:t xml:space="preserve"> </w:t>
      </w:r>
      <w:r>
        <w:tab/>
        <w:t xml:space="preserve">Directive </w:t>
      </w:r>
      <w:hyperlink r:id="rId87" w:history="1">
        <w:r>
          <w:rPr>
            <w:rStyle w:val="Hyperlink"/>
          </w:rPr>
          <w:t>2004/52/EC</w:t>
        </w:r>
      </w:hyperlink>
      <w:r>
        <w:t>.</w:t>
      </w:r>
    </w:p>
  </w:footnote>
  <w:footnote w:id="57">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58">
    <w:p>
      <w:pPr>
        <w:pStyle w:val="FootnoteText"/>
        <w:rPr>
          <w:rFonts w:cs="Arial"/>
        </w:rPr>
      </w:pPr>
      <w:r>
        <w:rPr>
          <w:rStyle w:val="FootnoteReference"/>
          <w:rFonts w:eastAsia="MS Gothic"/>
        </w:rPr>
        <w:footnoteRef/>
      </w:r>
      <w:r>
        <w:t xml:space="preserve"> </w:t>
      </w:r>
      <w:r>
        <w:tab/>
        <w:t xml:space="preserve">Directive </w:t>
      </w:r>
      <w:hyperlink r:id="rId88" w:history="1">
        <w:r>
          <w:rPr>
            <w:rStyle w:val="Hyperlink"/>
          </w:rPr>
          <w:t>2006/123/EC</w:t>
        </w:r>
      </w:hyperlink>
      <w:r>
        <w:rPr>
          <w:rStyle w:val="Hyperlink"/>
        </w:rPr>
        <w:t>.</w:t>
      </w:r>
    </w:p>
  </w:footnote>
  <w:footnote w:id="59">
    <w:p>
      <w:pPr>
        <w:pStyle w:val="FootnoteText"/>
      </w:pPr>
      <w:r>
        <w:rPr>
          <w:rStyle w:val="FootnoteReference"/>
          <w:rFonts w:eastAsia="MS Gothic"/>
        </w:rPr>
        <w:footnoteRef/>
      </w:r>
      <w:r>
        <w:t xml:space="preserve"> </w:t>
      </w:r>
      <w:r>
        <w:tab/>
        <w:t xml:space="preserve">Commission v Hungary, </w:t>
      </w:r>
      <w:hyperlink r:id="rId89" w:history="1">
        <w:r>
          <w:rPr>
            <w:rStyle w:val="Hyperlink"/>
          </w:rPr>
          <w:t>C-179/14</w:t>
        </w:r>
      </w:hyperlink>
      <w:r>
        <w:rPr>
          <w:rStyle w:val="Hyperlink"/>
        </w:rPr>
        <w:t>.</w:t>
      </w:r>
    </w:p>
  </w:footnote>
  <w:footnote w:id="60">
    <w:p>
      <w:pPr>
        <w:pStyle w:val="FootnoteText"/>
      </w:pPr>
      <w:r>
        <w:rPr>
          <w:rStyle w:val="FootnoteReference"/>
        </w:rPr>
        <w:footnoteRef/>
      </w:r>
      <w:r>
        <w:t xml:space="preserve"> </w:t>
      </w:r>
      <w:r>
        <w:tab/>
      </w:r>
      <w:r>
        <w:rPr>
          <w:rStyle w:val="affairetitle"/>
        </w:rPr>
        <w:t>PPU - Mirza</w:t>
      </w:r>
      <w:r>
        <w:t xml:space="preserve">, </w:t>
      </w:r>
      <w:hyperlink r:id="rId90" w:history="1">
        <w:r>
          <w:rPr>
            <w:rStyle w:val="Hyperlink"/>
          </w:rPr>
          <w:t>C-695/15</w:t>
        </w:r>
      </w:hyperlink>
      <w:r>
        <w:t>.</w:t>
      </w:r>
    </w:p>
  </w:footnote>
  <w:footnote w:id="61">
    <w:p>
      <w:pPr>
        <w:pStyle w:val="FootnoteText"/>
        <w:rPr>
          <w:rFonts w:cs="Arial"/>
        </w:rPr>
      </w:pPr>
      <w:r>
        <w:rPr>
          <w:rStyle w:val="FootnoteReference"/>
        </w:rPr>
        <w:footnoteRef/>
      </w:r>
      <w:r>
        <w:t xml:space="preserve"> </w:t>
      </w:r>
      <w:r>
        <w:tab/>
        <w:t>Regulation (EC) No </w:t>
      </w:r>
      <w:hyperlink r:id="rId91" w:history="1">
        <w:r>
          <w:rPr>
            <w:rStyle w:val="Hyperlink"/>
          </w:rPr>
          <w:t>561/2006</w:t>
        </w:r>
      </w:hyperlink>
      <w:r>
        <w:t xml:space="preserve">, Eurospeed Ltd v Szegedi Törvényszék, </w:t>
      </w:r>
      <w:hyperlink r:id="rId92" w:history="1">
        <w:r>
          <w:rPr>
            <w:rStyle w:val="Hyperlink"/>
          </w:rPr>
          <w:t>C-287/14</w:t>
        </w:r>
      </w:hyperlink>
      <w:r>
        <w:t>.</w:t>
      </w:r>
    </w:p>
  </w:footnote>
  <w:footnote w:id="62">
    <w:p>
      <w:pPr>
        <w:pStyle w:val="FootnoteText"/>
        <w:rPr>
          <w:lang w:val="es-ES"/>
        </w:rPr>
      </w:pPr>
      <w:r>
        <w:rPr>
          <w:rStyle w:val="FootnoteReference"/>
        </w:rPr>
        <w:footnoteRef/>
      </w:r>
      <w:r>
        <w:rPr>
          <w:lang w:val="es-ES"/>
        </w:rPr>
        <w:t xml:space="preserve"> </w:t>
      </w:r>
      <w:r>
        <w:rPr>
          <w:lang w:val="es-ES"/>
        </w:rPr>
        <w:tab/>
        <w:t>Regulation (EEC) No </w:t>
      </w:r>
      <w:hyperlink r:id="rId93" w:history="1">
        <w:r>
          <w:rPr>
            <w:rStyle w:val="Hyperlink"/>
            <w:lang w:val="es-ES"/>
          </w:rPr>
          <w:t>2913/92</w:t>
        </w:r>
      </w:hyperlink>
      <w:r>
        <w:rPr>
          <w:lang w:val="es-ES"/>
        </w:rPr>
        <w:t>.</w:t>
      </w:r>
    </w:p>
  </w:footnote>
  <w:footnote w:id="63">
    <w:p>
      <w:pPr>
        <w:pStyle w:val="FootnoteText"/>
        <w:rPr>
          <w:lang w:val="es-ES"/>
        </w:rPr>
      </w:pPr>
      <w:r>
        <w:rPr>
          <w:rStyle w:val="FootnoteReference"/>
        </w:rPr>
        <w:footnoteRef/>
      </w:r>
      <w:r>
        <w:rPr>
          <w:lang w:val="es-ES"/>
        </w:rPr>
        <w:t xml:space="preserve"> </w:t>
      </w:r>
      <w:r>
        <w:rPr>
          <w:lang w:val="es-ES"/>
        </w:rPr>
        <w:tab/>
        <w:t xml:space="preserve">EURO 2004, Case </w:t>
      </w:r>
      <w:hyperlink r:id="rId94" w:history="1">
        <w:r>
          <w:rPr>
            <w:rStyle w:val="Hyperlink"/>
            <w:lang w:val="es-ES"/>
          </w:rPr>
          <w:t>C-291/15</w:t>
        </w:r>
      </w:hyperlink>
      <w:r>
        <w:rPr>
          <w:lang w:val="es-ES"/>
        </w:rPr>
        <w:t>.</w:t>
      </w:r>
    </w:p>
  </w:footnote>
  <w:footnote w:id="64">
    <w:p>
      <w:pPr>
        <w:pStyle w:val="FootnoteText"/>
      </w:pPr>
      <w:r>
        <w:rPr>
          <w:rStyle w:val="FootnoteReference"/>
        </w:rPr>
        <w:footnoteRef/>
      </w:r>
      <w:r>
        <w:t xml:space="preserve"> </w:t>
      </w:r>
      <w:r>
        <w:tab/>
        <w:t xml:space="preserve">Regulation </w:t>
      </w:r>
      <w:hyperlink r:id="rId95" w:history="1">
        <w:r>
          <w:rPr>
            <w:rStyle w:val="Hyperlink"/>
          </w:rPr>
          <w:t>No 3821/85</w:t>
        </w:r>
      </w:hyperlink>
      <w:r>
        <w:t>.</w:t>
      </w:r>
    </w:p>
  </w:footnote>
  <w:footnote w:id="65">
    <w:p>
      <w:pPr>
        <w:pStyle w:val="FootnoteText"/>
      </w:pPr>
      <w:r>
        <w:rPr>
          <w:rStyle w:val="FootnoteReference"/>
        </w:rPr>
        <w:footnoteRef/>
      </w:r>
      <w:r>
        <w:t xml:space="preserve"> </w:t>
      </w:r>
      <w:r>
        <w:tab/>
        <w:t xml:space="preserve">EL-EM-2001, </w:t>
      </w:r>
      <w:hyperlink r:id="rId96" w:history="1">
        <w:r>
          <w:rPr>
            <w:rStyle w:val="Hyperlink"/>
          </w:rPr>
          <w:t>C-501/14</w:t>
        </w:r>
      </w:hyperlink>
      <w:r>
        <w:t>.</w:t>
      </w:r>
    </w:p>
  </w:footnote>
  <w:footnote w:id="66">
    <w:p>
      <w:pPr>
        <w:pStyle w:val="FootnoteText"/>
        <w:rPr>
          <w:rFonts w:cs="Arial"/>
        </w:rPr>
      </w:pPr>
      <w:r>
        <w:rPr>
          <w:rStyle w:val="FootnoteReference"/>
        </w:rPr>
        <w:footnoteRef/>
      </w:r>
      <w:r>
        <w:t xml:space="preserve"> </w:t>
      </w:r>
      <w:r>
        <w:tab/>
        <w:t>Regulation (EC) No </w:t>
      </w:r>
      <w:hyperlink r:id="rId97" w:history="1">
        <w:r>
          <w:rPr>
            <w:rStyle w:val="Hyperlink"/>
          </w:rPr>
          <w:t>1013/2006</w:t>
        </w:r>
      </w:hyperlink>
      <w:r>
        <w:t xml:space="preserve">, Nutrivet, </w:t>
      </w:r>
      <w:hyperlink r:id="rId98" w:history="1">
        <w:r>
          <w:rPr>
            <w:rStyle w:val="Hyperlink"/>
          </w:rPr>
          <w:t>C-69/15</w:t>
        </w:r>
      </w:hyperlink>
      <w:r>
        <w:t>.</w:t>
      </w:r>
    </w:p>
  </w:footnote>
  <w:footnote w:id="67">
    <w:p>
      <w:pPr>
        <w:pStyle w:val="FootnoteText"/>
      </w:pPr>
      <w:r>
        <w:rPr>
          <w:rStyle w:val="FootnoteReference"/>
        </w:rPr>
        <w:footnoteRef/>
      </w:r>
      <w:r>
        <w:t xml:space="preserve"> </w:t>
      </w:r>
      <w:r>
        <w:rPr>
          <w:rFonts w:cs="Arial"/>
          <w:szCs w:val="18"/>
        </w:rPr>
        <w:t>Malta joined the EU Pilot system only in June 2012.</w:t>
      </w:r>
    </w:p>
  </w:footnote>
  <w:footnote w:id="68">
    <w:p>
      <w:pPr>
        <w:pStyle w:val="FootnoteText"/>
        <w:rPr>
          <w:lang w:val="pt-PT"/>
        </w:rPr>
      </w:pPr>
      <w:r>
        <w:rPr>
          <w:rStyle w:val="FootnoteReference"/>
        </w:rPr>
        <w:footnoteRef/>
      </w:r>
      <w:r>
        <w:rPr>
          <w:lang w:val="pt-PT"/>
        </w:rPr>
        <w:t xml:space="preserve"> See footnote 1.</w:t>
      </w:r>
    </w:p>
  </w:footnote>
  <w:footnote w:id="69">
    <w:p>
      <w:pPr>
        <w:pStyle w:val="FootnoteText"/>
        <w:rPr>
          <w:lang w:val="pt-PT"/>
        </w:rPr>
      </w:pPr>
      <w:r>
        <w:rPr>
          <w:rStyle w:val="FootnoteReference"/>
        </w:rPr>
        <w:footnoteRef/>
      </w:r>
      <w:r>
        <w:rPr>
          <w:lang w:val="pt-PT"/>
        </w:rPr>
        <w:t xml:space="preserve"> See footnote 1.</w:t>
      </w:r>
    </w:p>
  </w:footnote>
  <w:footnote w:id="70">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99" w:history="1">
        <w:r>
          <w:rPr>
            <w:rStyle w:val="Hyperlink"/>
            <w:lang w:val="pt-PT"/>
          </w:rPr>
          <w:t>2014/23/EU</w:t>
        </w:r>
      </w:hyperlink>
      <w:r>
        <w:rPr>
          <w:lang w:val="pt-PT"/>
        </w:rPr>
        <w:t xml:space="preserve">, </w:t>
      </w:r>
      <w:hyperlink r:id="rId100" w:history="1">
        <w:r>
          <w:rPr>
            <w:rStyle w:val="Hyperlink"/>
            <w:lang w:val="pt-PT"/>
          </w:rPr>
          <w:t>2014/24/EU</w:t>
        </w:r>
      </w:hyperlink>
      <w:r>
        <w:rPr>
          <w:lang w:val="pt-PT"/>
        </w:rPr>
        <w:t xml:space="preserve"> and </w:t>
      </w:r>
      <w:hyperlink r:id="rId101" w:history="1">
        <w:r>
          <w:rPr>
            <w:rStyle w:val="Hyperlink"/>
            <w:lang w:val="pt-PT"/>
          </w:rPr>
          <w:t>2014/25/EU</w:t>
        </w:r>
      </w:hyperlink>
      <w:r>
        <w:rPr>
          <w:lang w:val="pt-PT"/>
        </w:rPr>
        <w:t xml:space="preserve">; </w:t>
      </w:r>
      <w:hyperlink r:id="rId102" w:history="1">
        <w:r>
          <w:rPr>
            <w:rStyle w:val="Hyperlink"/>
            <w:lang w:val="pt-PT"/>
          </w:rPr>
          <w:t>MEMO/16/1823</w:t>
        </w:r>
      </w:hyperlink>
      <w:r>
        <w:rPr>
          <w:lang w:val="pt-PT"/>
        </w:rPr>
        <w:t>.</w:t>
      </w:r>
    </w:p>
  </w:footnote>
  <w:footnote w:id="71">
    <w:p>
      <w:pPr>
        <w:pStyle w:val="FootnoteText"/>
        <w:rPr>
          <w:lang w:val="pt-PT"/>
        </w:rPr>
      </w:pPr>
      <w:r>
        <w:rPr>
          <w:rStyle w:val="FootnoteReference"/>
        </w:rPr>
        <w:footnoteRef/>
      </w:r>
      <w:r>
        <w:rPr>
          <w:lang w:val="pt-PT"/>
        </w:rPr>
        <w:t xml:space="preserve"> </w:t>
      </w:r>
      <w:r>
        <w:rPr>
          <w:lang w:val="pt-PT"/>
        </w:rPr>
        <w:tab/>
        <w:t xml:space="preserve">Directive </w:t>
      </w:r>
      <w:hyperlink r:id="rId103" w:history="1">
        <w:r>
          <w:rPr>
            <w:rStyle w:val="Hyperlink"/>
            <w:lang w:val="pt-PT"/>
          </w:rPr>
          <w:t>2013/55/EU</w:t>
        </w:r>
      </w:hyperlink>
      <w:r>
        <w:rPr>
          <w:lang w:val="pt-PT"/>
        </w:rPr>
        <w:t xml:space="preserve">; </w:t>
      </w:r>
      <w:hyperlink r:id="rId104" w:history="1">
        <w:r>
          <w:rPr>
            <w:rStyle w:val="Hyperlink"/>
            <w:lang w:val="pt-PT"/>
          </w:rPr>
          <w:t>MEMO/16/3125</w:t>
        </w:r>
      </w:hyperlink>
      <w:r>
        <w:rPr>
          <w:lang w:val="pt-PT"/>
        </w:rPr>
        <w:t>.</w:t>
      </w:r>
    </w:p>
  </w:footnote>
  <w:footnote w:id="72">
    <w:p>
      <w:pPr>
        <w:pStyle w:val="FootnoteText"/>
      </w:pPr>
      <w:r>
        <w:rPr>
          <w:rStyle w:val="FootnoteReference"/>
        </w:rPr>
        <w:footnoteRef/>
      </w:r>
      <w:r>
        <w:t xml:space="preserve"> </w:t>
      </w:r>
      <w:r>
        <w:tab/>
        <w:t xml:space="preserve">Directive </w:t>
      </w:r>
      <w:hyperlink r:id="rId105" w:history="1">
        <w:r>
          <w:rPr>
            <w:rStyle w:val="Hyperlink"/>
          </w:rPr>
          <w:t>2013/36/EU</w:t>
        </w:r>
      </w:hyperlink>
      <w:r>
        <w:t>.</w:t>
      </w:r>
    </w:p>
  </w:footnote>
  <w:footnote w:id="73">
    <w:p>
      <w:pPr>
        <w:pStyle w:val="FootnoteText"/>
      </w:pPr>
      <w:r>
        <w:rPr>
          <w:rStyle w:val="FootnoteReference"/>
        </w:rPr>
        <w:footnoteRef/>
      </w:r>
      <w:r>
        <w:t xml:space="preserve"> </w:t>
      </w:r>
      <w:r>
        <w:tab/>
        <w:t xml:space="preserve">Directive </w:t>
      </w:r>
      <w:hyperlink r:id="rId106" w:history="1">
        <w:r>
          <w:rPr>
            <w:rStyle w:val="Hyperlink"/>
          </w:rPr>
          <w:t>2014/59/EU</w:t>
        </w:r>
      </w:hyperlink>
      <w:r>
        <w:t>.</w:t>
      </w:r>
    </w:p>
  </w:footnote>
  <w:footnote w:id="74">
    <w:p>
      <w:pPr>
        <w:pStyle w:val="FootnoteText"/>
      </w:pPr>
      <w:r>
        <w:rPr>
          <w:rStyle w:val="FootnoteReference"/>
        </w:rPr>
        <w:footnoteRef/>
      </w:r>
      <w:r>
        <w:t xml:space="preserve"> </w:t>
      </w:r>
      <w:r>
        <w:tab/>
        <w:t xml:space="preserve">Directive </w:t>
      </w:r>
      <w:hyperlink r:id="rId107" w:history="1">
        <w:r>
          <w:rPr>
            <w:rStyle w:val="Hyperlink"/>
          </w:rPr>
          <w:t>2006/126/EC</w:t>
        </w:r>
      </w:hyperlink>
      <w:r>
        <w:t>.</w:t>
      </w:r>
    </w:p>
  </w:footnote>
  <w:footnote w:id="75">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76">
    <w:p>
      <w:pPr>
        <w:pStyle w:val="FootnoteText"/>
        <w:rPr>
          <w:lang w:val="pt-PT"/>
        </w:rPr>
      </w:pPr>
      <w:r>
        <w:rPr>
          <w:rStyle w:val="FootnoteReference"/>
        </w:rPr>
        <w:footnoteRef/>
      </w:r>
      <w:r>
        <w:rPr>
          <w:lang w:val="pt-PT"/>
        </w:rPr>
        <w:t xml:space="preserve"> </w:t>
      </w:r>
      <w:r>
        <w:rPr>
          <w:lang w:val="pt-PT"/>
        </w:rPr>
        <w:tab/>
        <w:t xml:space="preserve">Commission v Malta, </w:t>
      </w:r>
      <w:hyperlink r:id="rId108" w:history="1">
        <w:r>
          <w:rPr>
            <w:rStyle w:val="Hyperlink"/>
            <w:lang w:val="pt-PT"/>
          </w:rPr>
          <w:t>C-12/14</w:t>
        </w:r>
      </w:hyperlink>
      <w:r>
        <w:rPr>
          <w:rStyle w:val="Hyperlink"/>
          <w:color w:val="auto"/>
          <w:u w:val="none"/>
          <w:lang w:val="pt-PT"/>
        </w:rPr>
        <w:t>.</w:t>
      </w:r>
    </w:p>
  </w:footnote>
  <w:footnote w:id="77">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09" w:history="1">
        <w:r>
          <w:rPr>
            <w:rStyle w:val="Hyperlink"/>
            <w:lang w:val="pt-PT"/>
          </w:rPr>
          <w:t>2013/30/EU</w:t>
        </w:r>
      </w:hyperlink>
      <w:r>
        <w:rPr>
          <w:szCs w:val="18"/>
          <w:lang w:val="pt-PT"/>
        </w:rPr>
        <w:t xml:space="preserve">; </w:t>
      </w:r>
      <w:hyperlink r:id="rId110" w:history="1">
        <w:r>
          <w:rPr>
            <w:rStyle w:val="Hyperlink"/>
            <w:lang w:val="pt-PT"/>
          </w:rPr>
          <w:t>MEMO/16/319</w:t>
        </w:r>
      </w:hyperlink>
      <w:r>
        <w:rPr>
          <w:szCs w:val="18"/>
          <w:lang w:val="pt-PT"/>
        </w:rPr>
        <w:t>.</w:t>
      </w:r>
    </w:p>
  </w:footnote>
  <w:footnote w:id="78">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11" w:history="1">
        <w:r>
          <w:rPr>
            <w:rStyle w:val="Hyperlink"/>
            <w:lang w:val="pt-PT"/>
          </w:rPr>
          <w:t>2013/36/EU</w:t>
        </w:r>
      </w:hyperlink>
      <w:r>
        <w:rPr>
          <w:szCs w:val="18"/>
          <w:lang w:val="pt-PT"/>
        </w:rPr>
        <w:t xml:space="preserve">; </w:t>
      </w:r>
      <w:hyperlink r:id="rId112" w:history="1">
        <w:r>
          <w:rPr>
            <w:rStyle w:val="Hyperlink"/>
            <w:lang w:val="pt-PT"/>
          </w:rPr>
          <w:t>MEMO/16/1452</w:t>
        </w:r>
      </w:hyperlink>
      <w:r>
        <w:rPr>
          <w:szCs w:val="18"/>
          <w:lang w:val="pt-PT"/>
        </w:rPr>
        <w:t>.</w:t>
      </w:r>
    </w:p>
  </w:footnote>
  <w:footnote w:id="79">
    <w:p>
      <w:pPr>
        <w:pStyle w:val="FootnoteText"/>
        <w:rPr>
          <w:szCs w:val="18"/>
          <w:lang w:val="pt-PT"/>
        </w:rPr>
      </w:pPr>
      <w:r>
        <w:rPr>
          <w:rStyle w:val="FootnoteReference"/>
          <w:szCs w:val="18"/>
        </w:rPr>
        <w:footnoteRef/>
      </w:r>
      <w:r>
        <w:rPr>
          <w:szCs w:val="18"/>
          <w:lang w:val="pt-PT"/>
        </w:rPr>
        <w:t xml:space="preserve"> </w:t>
      </w:r>
      <w:r>
        <w:rPr>
          <w:szCs w:val="18"/>
          <w:lang w:val="pt-PT"/>
        </w:rPr>
        <w:tab/>
      </w:r>
      <w:hyperlink r:id="rId113" w:history="1">
        <w:r>
          <w:rPr>
            <w:rStyle w:val="Hyperlink"/>
            <w:lang w:val="pt-PT"/>
          </w:rPr>
          <w:t>MEMO/16/3125</w:t>
        </w:r>
      </w:hyperlink>
      <w:r>
        <w:rPr>
          <w:szCs w:val="18"/>
          <w:lang w:val="pt-PT"/>
        </w:rPr>
        <w:t>.</w:t>
      </w:r>
    </w:p>
  </w:footnote>
  <w:footnote w:id="80">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14" w:history="1">
        <w:r>
          <w:rPr>
            <w:rStyle w:val="Hyperlink"/>
            <w:lang w:val="pt-PT"/>
          </w:rPr>
          <w:t>2003/59/EC</w:t>
        </w:r>
      </w:hyperlink>
      <w:r>
        <w:rPr>
          <w:szCs w:val="18"/>
          <w:lang w:val="pt-PT"/>
        </w:rPr>
        <w:t>.</w:t>
      </w:r>
    </w:p>
  </w:footnote>
  <w:footnote w:id="81">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15" w:history="1">
        <w:r>
          <w:rPr>
            <w:rStyle w:val="Hyperlink"/>
            <w:lang w:val="pt-PT"/>
          </w:rPr>
          <w:t>92/43/EEC</w:t>
        </w:r>
      </w:hyperlink>
      <w:r>
        <w:rPr>
          <w:szCs w:val="18"/>
          <w:lang w:val="pt-PT"/>
        </w:rPr>
        <w:t>.</w:t>
      </w:r>
    </w:p>
  </w:footnote>
  <w:footnote w:id="82">
    <w:p>
      <w:pPr>
        <w:pStyle w:val="FootnoteText"/>
        <w:rPr>
          <w:szCs w:val="18"/>
          <w:lang w:val="pt-PT"/>
        </w:rPr>
      </w:pPr>
      <w:r>
        <w:rPr>
          <w:rStyle w:val="FootnoteReference"/>
          <w:szCs w:val="18"/>
        </w:rPr>
        <w:footnoteRef/>
      </w:r>
      <w:r>
        <w:rPr>
          <w:szCs w:val="18"/>
          <w:lang w:val="pt-PT"/>
        </w:rPr>
        <w:t xml:space="preserve"> </w:t>
      </w:r>
      <w:r>
        <w:rPr>
          <w:szCs w:val="18"/>
          <w:lang w:val="pt-PT"/>
        </w:rPr>
        <w:tab/>
        <w:t xml:space="preserve">Directive </w:t>
      </w:r>
      <w:hyperlink r:id="rId116" w:history="1">
        <w:r>
          <w:rPr>
            <w:rStyle w:val="Hyperlink"/>
            <w:lang w:val="pt-PT"/>
          </w:rPr>
          <w:t>2006/126/EC</w:t>
        </w:r>
      </w:hyperlink>
      <w:r>
        <w:rPr>
          <w:szCs w:val="18"/>
          <w:lang w:val="pt-PT"/>
        </w:rPr>
        <w:t xml:space="preserve">; </w:t>
      </w:r>
      <w:hyperlink r:id="rId117" w:history="1">
        <w:r>
          <w:rPr>
            <w:rStyle w:val="Hyperlink"/>
            <w:lang w:val="pt-PT"/>
          </w:rPr>
          <w:t>MEMO/16/2097</w:t>
        </w:r>
      </w:hyperlink>
      <w:r>
        <w:rPr>
          <w:szCs w:val="18"/>
          <w:lang w:val="pt-PT"/>
        </w:rPr>
        <w:t>.</w:t>
      </w:r>
    </w:p>
  </w:footnote>
  <w:footnote w:id="83">
    <w:p>
      <w:pPr>
        <w:pStyle w:val="FootnoteText"/>
        <w:rPr>
          <w:rFonts w:cs="Arial"/>
          <w:szCs w:val="18"/>
          <w:lang w:val="pt-PT"/>
        </w:rPr>
      </w:pPr>
      <w:r>
        <w:rPr>
          <w:rStyle w:val="FootnoteReference"/>
          <w:rFonts w:eastAsia="MS Gothic"/>
          <w:szCs w:val="18"/>
        </w:rPr>
        <w:footnoteRef/>
      </w:r>
      <w:r>
        <w:rPr>
          <w:szCs w:val="18"/>
          <w:lang w:val="pt-PT"/>
        </w:rPr>
        <w:t xml:space="preserve"> </w:t>
      </w:r>
      <w:r>
        <w:rPr>
          <w:szCs w:val="18"/>
          <w:lang w:val="pt-PT"/>
        </w:rPr>
        <w:tab/>
        <w:t xml:space="preserve">Directives </w:t>
      </w:r>
      <w:hyperlink r:id="rId118" w:history="1">
        <w:r>
          <w:rPr>
            <w:rStyle w:val="Hyperlink"/>
            <w:szCs w:val="18"/>
            <w:lang w:val="pt-PT"/>
          </w:rPr>
          <w:t>2014/23/EU</w:t>
        </w:r>
      </w:hyperlink>
      <w:r>
        <w:rPr>
          <w:szCs w:val="18"/>
          <w:lang w:val="pt-PT"/>
        </w:rPr>
        <w:t xml:space="preserve">, </w:t>
      </w:r>
      <w:hyperlink r:id="rId119" w:history="1">
        <w:r>
          <w:rPr>
            <w:rStyle w:val="Hyperlink"/>
            <w:lang w:val="pt-PT"/>
          </w:rPr>
          <w:t>2014/24/EU</w:t>
        </w:r>
      </w:hyperlink>
      <w:r>
        <w:rPr>
          <w:szCs w:val="18"/>
          <w:lang w:val="pt-PT"/>
        </w:rPr>
        <w:t xml:space="preserve"> and </w:t>
      </w:r>
      <w:hyperlink r:id="rId120" w:history="1">
        <w:r>
          <w:rPr>
            <w:rStyle w:val="Hyperlink"/>
            <w:lang w:val="pt-PT"/>
          </w:rPr>
          <w:t>2014/25/EU</w:t>
        </w:r>
      </w:hyperlink>
      <w:r>
        <w:rPr>
          <w:szCs w:val="18"/>
          <w:lang w:val="pt-PT"/>
        </w:rPr>
        <w:t xml:space="preserve">; </w:t>
      </w:r>
      <w:hyperlink r:id="rId121" w:history="1">
        <w:r>
          <w:rPr>
            <w:rStyle w:val="Hyperlink"/>
            <w:szCs w:val="18"/>
            <w:lang w:val="pt-PT"/>
          </w:rPr>
          <w:t>MEMO/16/1823</w:t>
        </w:r>
      </w:hyperlink>
      <w:r>
        <w:rPr>
          <w:szCs w:val="18"/>
          <w:lang w:val="pt-PT"/>
        </w:rPr>
        <w:t>.</w:t>
      </w:r>
    </w:p>
  </w:footnote>
  <w:footnote w:id="84">
    <w:p>
      <w:pPr>
        <w:pStyle w:val="FootnoteText"/>
        <w:rPr>
          <w:lang w:val="pt-PT"/>
        </w:rPr>
      </w:pPr>
      <w:r>
        <w:rPr>
          <w:rStyle w:val="FootnoteReference"/>
          <w:szCs w:val="18"/>
        </w:rPr>
        <w:footnoteRef/>
      </w:r>
      <w:r>
        <w:rPr>
          <w:szCs w:val="18"/>
          <w:lang w:val="pt-PT"/>
        </w:rPr>
        <w:t xml:space="preserve"> </w:t>
      </w:r>
      <w:r>
        <w:rPr>
          <w:szCs w:val="18"/>
          <w:lang w:val="pt-PT"/>
        </w:rPr>
        <w:tab/>
        <w:t xml:space="preserve">Directive </w:t>
      </w:r>
      <w:hyperlink r:id="rId122" w:history="1">
        <w:r>
          <w:rPr>
            <w:rStyle w:val="Hyperlink"/>
            <w:lang w:val="pt-PT"/>
          </w:rPr>
          <w:t>2013/55/EU</w:t>
        </w:r>
      </w:hyperlink>
      <w:r>
        <w:rPr>
          <w:szCs w:val="18"/>
          <w:lang w:val="pt-PT"/>
        </w:rPr>
        <w:t xml:space="preserve">; </w:t>
      </w:r>
      <w:hyperlink r:id="rId123" w:history="1">
        <w:r>
          <w:rPr>
            <w:rStyle w:val="Hyperlink"/>
            <w:lang w:val="pt-PT"/>
          </w:rPr>
          <w:t>MEMO/16/3125</w:t>
        </w:r>
      </w:hyperlink>
      <w:r>
        <w:rPr>
          <w:szCs w:val="18"/>
          <w:lang w:val="pt-PT"/>
        </w:rPr>
        <w:t>.</w:t>
      </w:r>
    </w:p>
  </w:footnote>
  <w:footnote w:id="85">
    <w:p>
      <w:pPr>
        <w:pStyle w:val="FootnoteText"/>
      </w:pPr>
      <w:r>
        <w:rPr>
          <w:rStyle w:val="FootnoteReference"/>
        </w:rPr>
        <w:footnoteRef/>
      </w:r>
      <w:r>
        <w:t xml:space="preserve"> </w:t>
      </w:r>
      <w:r>
        <w:tab/>
        <w:t xml:space="preserve">Directive </w:t>
      </w:r>
      <w:hyperlink r:id="rId124" w:history="1">
        <w:r>
          <w:rPr>
            <w:rStyle w:val="Hyperlink"/>
          </w:rPr>
          <w:t>2014/49/EU</w:t>
        </w:r>
      </w:hyperlink>
      <w:r>
        <w:t>.</w:t>
      </w:r>
    </w:p>
  </w:footnote>
  <w:footnote w:id="86">
    <w:p>
      <w:pPr>
        <w:pStyle w:val="FootnoteText"/>
      </w:pPr>
      <w:r>
        <w:rPr>
          <w:rStyle w:val="FootnoteReference"/>
        </w:rPr>
        <w:footnoteRef/>
      </w:r>
      <w:r>
        <w:t xml:space="preserve"> </w:t>
      </w:r>
      <w:r>
        <w:tab/>
        <w:t xml:space="preserve">Directive </w:t>
      </w:r>
      <w:hyperlink r:id="rId125" w:history="1">
        <w:r>
          <w:rPr>
            <w:rStyle w:val="Hyperlink"/>
          </w:rPr>
          <w:t>2006/112/EC</w:t>
        </w:r>
      </w:hyperlink>
      <w:r>
        <w:t>.</w:t>
      </w:r>
    </w:p>
  </w:footnote>
  <w:footnote w:id="87">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88">
    <w:p>
      <w:pPr>
        <w:pStyle w:val="FootnoteText"/>
      </w:pPr>
      <w:r>
        <w:rPr>
          <w:rStyle w:val="FootnoteReference"/>
        </w:rPr>
        <w:footnoteRef/>
      </w:r>
      <w:r>
        <w:t xml:space="preserve"> </w:t>
      </w:r>
      <w:r>
        <w:tab/>
        <w:t xml:space="preserve">Directive </w:t>
      </w:r>
      <w:hyperlink r:id="rId126" w:history="1">
        <w:r>
          <w:rPr>
            <w:rStyle w:val="Hyperlink"/>
          </w:rPr>
          <w:t>2004/38/EC</w:t>
        </w:r>
      </w:hyperlink>
      <w:r>
        <w:t xml:space="preserve"> and Commission v the Netherlands, </w:t>
      </w:r>
      <w:hyperlink r:id="rId127" w:history="1">
        <w:r>
          <w:rPr>
            <w:rStyle w:val="Hyperlink"/>
          </w:rPr>
          <w:t>C-233/14</w:t>
        </w:r>
      </w:hyperlink>
      <w:r>
        <w:t>.</w:t>
      </w:r>
    </w:p>
  </w:footnote>
  <w:footnote w:id="89">
    <w:p>
      <w:pPr>
        <w:pStyle w:val="FootnoteText"/>
      </w:pPr>
      <w:r>
        <w:rPr>
          <w:rStyle w:val="FootnoteReference"/>
          <w:rFonts w:eastAsia="MS Gothic"/>
        </w:rPr>
        <w:footnoteRef/>
      </w:r>
      <w:r>
        <w:t>.</w:t>
      </w:r>
      <w:r>
        <w:tab/>
        <w:t xml:space="preserve">Commission v Netherlands, </w:t>
      </w:r>
      <w:hyperlink r:id="rId128" w:history="1">
        <w:r>
          <w:rPr>
            <w:rStyle w:val="Hyperlink"/>
            <w:szCs w:val="18"/>
          </w:rPr>
          <w:t>C-22/15</w:t>
        </w:r>
      </w:hyperlink>
      <w:r>
        <w:rPr>
          <w:rStyle w:val="Hyperlink"/>
          <w:szCs w:val="18"/>
        </w:rPr>
        <w:t xml:space="preserve">; </w:t>
      </w:r>
      <w:hyperlink r:id="rId129" w:tgtFrame="_blank" w:history="1">
        <w:r>
          <w:rPr>
            <w:rStyle w:val="Hyperlink"/>
            <w:rFonts w:eastAsia="MS Gothic"/>
            <w:szCs w:val="18"/>
          </w:rPr>
          <w:t>IP/14/1040</w:t>
        </w:r>
      </w:hyperlink>
      <w:r>
        <w:rPr>
          <w:color w:val="000000"/>
          <w:szCs w:val="18"/>
        </w:rPr>
        <w:t>.</w:t>
      </w:r>
    </w:p>
  </w:footnote>
  <w:footnote w:id="90">
    <w:p>
      <w:pPr>
        <w:pStyle w:val="FootnoteText"/>
      </w:pPr>
      <w:r>
        <w:rPr>
          <w:rStyle w:val="FootnoteReference"/>
        </w:rPr>
        <w:footnoteRef/>
      </w:r>
      <w:r>
        <w:t xml:space="preserve"> </w:t>
      </w:r>
      <w:r>
        <w:tab/>
        <w:t xml:space="preserve">Directive </w:t>
      </w:r>
      <w:hyperlink r:id="rId130" w:history="1">
        <w:r>
          <w:rPr>
            <w:rStyle w:val="Hyperlink"/>
          </w:rPr>
          <w:t>2013/33/EU</w:t>
        </w:r>
      </w:hyperlink>
      <w:r>
        <w:t>.</w:t>
      </w:r>
    </w:p>
  </w:footnote>
  <w:footnote w:id="91">
    <w:p>
      <w:pPr>
        <w:pStyle w:val="FootnoteText"/>
      </w:pPr>
      <w:r>
        <w:rPr>
          <w:rStyle w:val="FootnoteReference"/>
        </w:rPr>
        <w:footnoteRef/>
      </w:r>
      <w:r>
        <w:t xml:space="preserve"> </w:t>
      </w:r>
      <w:r>
        <w:tab/>
        <w:t xml:space="preserve">Directive </w:t>
      </w:r>
      <w:hyperlink r:id="rId131" w:history="1">
        <w:r>
          <w:rPr>
            <w:rStyle w:val="Hyperlink"/>
          </w:rPr>
          <w:t>2008/115/EC</w:t>
        </w:r>
      </w:hyperlink>
      <w:r>
        <w:t xml:space="preserve">; J.N., </w:t>
      </w:r>
      <w:hyperlink r:id="rId132" w:history="1">
        <w:r>
          <w:rPr>
            <w:rStyle w:val="Hyperlink"/>
          </w:rPr>
          <w:t>C-601/15</w:t>
        </w:r>
      </w:hyperlink>
      <w:r>
        <w:t>.</w:t>
      </w:r>
    </w:p>
  </w:footnote>
  <w:footnote w:id="92">
    <w:p>
      <w:pPr>
        <w:pStyle w:val="FootnoteText"/>
      </w:pPr>
      <w:r>
        <w:rPr>
          <w:rStyle w:val="FootnoteReference"/>
        </w:rPr>
        <w:footnoteRef/>
      </w:r>
      <w:r>
        <w:t xml:space="preserve"> </w:t>
      </w:r>
      <w:r>
        <w:tab/>
        <w:t xml:space="preserve">GS Media BV v Sanoma Media Netherlands BV and Others, </w:t>
      </w:r>
      <w:hyperlink r:id="rId133" w:history="1">
        <w:r>
          <w:rPr>
            <w:rStyle w:val="Hyperlink"/>
          </w:rPr>
          <w:t>C-160/15</w:t>
        </w:r>
      </w:hyperlink>
      <w:r>
        <w:t>.</w:t>
      </w:r>
    </w:p>
  </w:footnote>
  <w:footnote w:id="93">
    <w:p>
      <w:pPr>
        <w:pStyle w:val="FootnoteText"/>
        <w:rPr>
          <w:lang w:val="nl-NL"/>
        </w:rPr>
      </w:pPr>
      <w:r>
        <w:rPr>
          <w:rStyle w:val="FootnoteReference"/>
        </w:rPr>
        <w:footnoteRef/>
      </w:r>
      <w:r>
        <w:rPr>
          <w:lang w:val="nl-NL"/>
        </w:rPr>
        <w:t xml:space="preserve"> </w:t>
      </w:r>
      <w:r>
        <w:rPr>
          <w:lang w:val="nl-NL"/>
        </w:rPr>
        <w:tab/>
        <w:t xml:space="preserve">Directive </w:t>
      </w:r>
      <w:hyperlink r:id="rId134" w:history="1">
        <w:r>
          <w:rPr>
            <w:rStyle w:val="Hyperlink"/>
            <w:lang w:val="nl-NL"/>
          </w:rPr>
          <w:t>2006/115/EC</w:t>
        </w:r>
      </w:hyperlink>
      <w:r>
        <w:rPr>
          <w:lang w:val="nl-NL"/>
        </w:rPr>
        <w:t>.</w:t>
      </w:r>
    </w:p>
  </w:footnote>
  <w:footnote w:id="94">
    <w:p>
      <w:pPr>
        <w:pStyle w:val="FootnoteText"/>
        <w:rPr>
          <w:lang w:val="nl-NL"/>
        </w:rPr>
      </w:pPr>
      <w:r>
        <w:rPr>
          <w:rStyle w:val="FootnoteReference"/>
        </w:rPr>
        <w:footnoteRef/>
      </w:r>
      <w:r>
        <w:rPr>
          <w:lang w:val="nl-NL"/>
        </w:rPr>
        <w:t xml:space="preserve"> </w:t>
      </w:r>
      <w:r>
        <w:rPr>
          <w:lang w:val="nl-NL"/>
        </w:rPr>
        <w:tab/>
        <w:t xml:space="preserve">Vereniging Openbare Bibliotheken v Stichting Leenrecht, </w:t>
      </w:r>
      <w:hyperlink r:id="rId135" w:history="1">
        <w:r>
          <w:rPr>
            <w:rStyle w:val="Hyperlink"/>
            <w:lang w:val="nl-NL"/>
          </w:rPr>
          <w:t>C-174/15</w:t>
        </w:r>
      </w:hyperlink>
      <w:r>
        <w:rPr>
          <w:lang w:val="nl-NL"/>
        </w:rPr>
        <w:t xml:space="preserve">, Court press release </w:t>
      </w:r>
      <w:hyperlink r:id="rId136" w:history="1">
        <w:r>
          <w:rPr>
            <w:rStyle w:val="Hyperlink"/>
            <w:lang w:val="nl-NL"/>
          </w:rPr>
          <w:t>No 123/16</w:t>
        </w:r>
      </w:hyperlink>
      <w:r>
        <w:rPr>
          <w:lang w:val="nl-NL"/>
        </w:rPr>
        <w:t>.</w:t>
      </w:r>
    </w:p>
  </w:footnote>
  <w:footnote w:id="95">
    <w:p>
      <w:pPr>
        <w:pStyle w:val="FootnoteText"/>
        <w:rPr>
          <w:lang w:val="nl-NL"/>
        </w:rPr>
      </w:pPr>
      <w:r>
        <w:rPr>
          <w:rStyle w:val="FootnoteReference"/>
        </w:rPr>
        <w:footnoteRef/>
      </w:r>
      <w:r>
        <w:rPr>
          <w:lang w:val="nl-NL"/>
        </w:rPr>
        <w:t xml:space="preserve"> </w:t>
      </w:r>
      <w:r>
        <w:rPr>
          <w:lang w:val="nl-NL"/>
        </w:rPr>
        <w:tab/>
        <w:t xml:space="preserve">Regulation </w:t>
      </w:r>
      <w:hyperlink r:id="rId137" w:history="1">
        <w:r>
          <w:rPr>
            <w:rStyle w:val="Hyperlink"/>
            <w:lang w:val="nl-NL"/>
          </w:rPr>
          <w:t>No 604/2013</w:t>
        </w:r>
      </w:hyperlink>
      <w:r>
        <w:rPr>
          <w:lang w:val="nl-NL"/>
        </w:rPr>
        <w:t>.</w:t>
      </w:r>
    </w:p>
  </w:footnote>
  <w:footnote w:id="96">
    <w:p>
      <w:pPr>
        <w:pStyle w:val="FootnoteText"/>
        <w:rPr>
          <w:lang w:val="nl-NL"/>
        </w:rPr>
      </w:pPr>
      <w:r>
        <w:rPr>
          <w:rStyle w:val="FootnoteReference"/>
        </w:rPr>
        <w:footnoteRef/>
      </w:r>
      <w:r>
        <w:rPr>
          <w:lang w:val="nl-NL"/>
        </w:rPr>
        <w:t xml:space="preserve"> </w:t>
      </w:r>
      <w:r>
        <w:rPr>
          <w:lang w:val="nl-NL"/>
        </w:rPr>
        <w:tab/>
        <w:t xml:space="preserve">Mehrdad Ghezelbash v Staatssecretaris van Veiligheid en Justitie, </w:t>
      </w:r>
      <w:hyperlink r:id="rId138" w:history="1">
        <w:r>
          <w:rPr>
            <w:rStyle w:val="Hyperlink"/>
            <w:lang w:val="nl-NL"/>
          </w:rPr>
          <w:t>C-63/15</w:t>
        </w:r>
      </w:hyperlink>
      <w:r>
        <w:rPr>
          <w:lang w:val="nl-NL"/>
        </w:rPr>
        <w:t>.</w:t>
      </w:r>
    </w:p>
  </w:footnote>
  <w:footnote w:id="97">
    <w:p>
      <w:pPr>
        <w:pStyle w:val="FootnoteText"/>
        <w:rPr>
          <w:lang w:val="de-DE"/>
        </w:rPr>
      </w:pPr>
      <w:r>
        <w:rPr>
          <w:rStyle w:val="FootnoteReference"/>
        </w:rPr>
        <w:footnoteRef/>
      </w:r>
      <w:r>
        <w:rPr>
          <w:lang w:val="de-DE"/>
        </w:rPr>
        <w:t xml:space="preserve"> </w:t>
      </w:r>
      <w:r>
        <w:rPr>
          <w:lang w:val="de-DE"/>
        </w:rPr>
        <w:tab/>
        <w:t xml:space="preserve">Poltorak, </w:t>
      </w:r>
      <w:hyperlink r:id="rId139" w:history="1">
        <w:r>
          <w:rPr>
            <w:rStyle w:val="Hyperlink"/>
            <w:lang w:val="de-DE"/>
          </w:rPr>
          <w:t>C-452/16</w:t>
        </w:r>
      </w:hyperlink>
      <w:r>
        <w:rPr>
          <w:rStyle w:val="Hyperlink"/>
          <w:lang w:val="de-DE"/>
        </w:rPr>
        <w:t xml:space="preserve"> PPU</w:t>
      </w:r>
      <w:r>
        <w:rPr>
          <w:lang w:val="de-DE"/>
        </w:rPr>
        <w:t>.</w:t>
      </w:r>
    </w:p>
  </w:footnote>
  <w:footnote w:id="98">
    <w:p>
      <w:pPr>
        <w:pStyle w:val="FootnoteText"/>
        <w:rPr>
          <w:lang w:val="de-DE"/>
        </w:rPr>
      </w:pPr>
      <w:r>
        <w:rPr>
          <w:rStyle w:val="FootnoteReference"/>
        </w:rPr>
        <w:footnoteRef/>
      </w:r>
      <w:r>
        <w:rPr>
          <w:lang w:val="de-DE"/>
        </w:rPr>
        <w:t xml:space="preserve"> </w:t>
      </w:r>
      <w:r>
        <w:rPr>
          <w:lang w:val="de-DE"/>
        </w:rPr>
        <w:tab/>
        <w:t xml:space="preserve">Steef Mennens v Emirates Direktion für Deutschland, </w:t>
      </w:r>
      <w:hyperlink r:id="rId140" w:history="1">
        <w:r>
          <w:rPr>
            <w:rStyle w:val="Hyperlink"/>
            <w:lang w:val="de-DE"/>
          </w:rPr>
          <w:t>C-255/15</w:t>
        </w:r>
      </w:hyperlink>
      <w:r>
        <w:rPr>
          <w:lang w:val="de-DE"/>
        </w:rPr>
        <w:t>.</w:t>
      </w:r>
    </w:p>
  </w:footnote>
  <w:footnote w:id="99">
    <w:p>
      <w:pPr>
        <w:pStyle w:val="FootnoteText"/>
        <w:rPr>
          <w:rFonts w:cs="Arial"/>
        </w:rPr>
      </w:pPr>
      <w:r>
        <w:rPr>
          <w:rStyle w:val="FootnoteReference"/>
        </w:rPr>
        <w:footnoteRef/>
      </w:r>
      <w:r>
        <w:t xml:space="preserve"> </w:t>
      </w:r>
      <w:r>
        <w:tab/>
        <w:t xml:space="preserve">K. Ruijssenaars and Others v Staatssecretaris van Infrastructuur en Milieu, Joined Cases </w:t>
      </w:r>
      <w:hyperlink r:id="rId141" w:history="1">
        <w:r>
          <w:rPr>
            <w:rStyle w:val="Hyperlink"/>
          </w:rPr>
          <w:t>C-145/15</w:t>
        </w:r>
      </w:hyperlink>
      <w:r>
        <w:t xml:space="preserve"> and </w:t>
      </w:r>
      <w:hyperlink r:id="rId142" w:history="1">
        <w:r>
          <w:rPr>
            <w:rStyle w:val="Hyperlink"/>
          </w:rPr>
          <w:t>C-146/15</w:t>
        </w:r>
      </w:hyperlink>
      <w:r>
        <w:t xml:space="preserve">, Court press release </w:t>
      </w:r>
      <w:hyperlink r:id="rId143" w:history="1">
        <w:r>
          <w:rPr>
            <w:rStyle w:val="Hyperlink"/>
          </w:rPr>
          <w:t>No 31/2016</w:t>
        </w:r>
      </w:hyperlink>
      <w:r>
        <w:t>.</w:t>
      </w:r>
    </w:p>
  </w:footnote>
  <w:footnote w:id="100">
    <w:p>
      <w:pPr>
        <w:pStyle w:val="FootnoteText"/>
        <w:rPr>
          <w:rFonts w:cs="Arial"/>
        </w:rPr>
      </w:pPr>
      <w:r>
        <w:rPr>
          <w:rStyle w:val="FootnoteReference"/>
        </w:rPr>
        <w:footnoteRef/>
      </w:r>
      <w:r>
        <w:t xml:space="preserve"> </w:t>
      </w:r>
      <w:r>
        <w:tab/>
        <w:t xml:space="preserve">Bayer CropScience and Stichting De Bijenstichting, </w:t>
      </w:r>
      <w:hyperlink r:id="rId144" w:history="1">
        <w:r>
          <w:rPr>
            <w:rStyle w:val="Hyperlink"/>
          </w:rPr>
          <w:t>C-442/14</w:t>
        </w:r>
      </w:hyperlink>
      <w:r>
        <w:t xml:space="preserve"> and Court press release </w:t>
      </w:r>
      <w:hyperlink r:id="rId145" w:history="1">
        <w:r>
          <w:rPr>
            <w:rStyle w:val="Hyperlink"/>
          </w:rPr>
          <w:t>No 128/16</w:t>
        </w:r>
      </w:hyperlink>
      <w:r>
        <w:t>.</w:t>
      </w:r>
    </w:p>
  </w:footnote>
  <w:footnote w:id="101">
    <w:p>
      <w:pPr>
        <w:pStyle w:val="FootnoteText"/>
        <w:rPr>
          <w:lang w:val="pt-PT"/>
        </w:rPr>
      </w:pPr>
      <w:r>
        <w:rPr>
          <w:rStyle w:val="FootnoteReference"/>
        </w:rPr>
        <w:footnoteRef/>
      </w:r>
      <w:r>
        <w:rPr>
          <w:lang w:val="pt-PT"/>
        </w:rPr>
        <w:t xml:space="preserve"> </w:t>
      </w:r>
      <w:r>
        <w:rPr>
          <w:lang w:val="pt-PT"/>
        </w:rPr>
        <w:tab/>
        <w:t xml:space="preserve">Directive </w:t>
      </w:r>
      <w:hyperlink r:id="rId146" w:history="1">
        <w:r>
          <w:rPr>
            <w:rStyle w:val="Hyperlink"/>
            <w:lang w:val="pt-PT"/>
          </w:rPr>
          <w:t>2008/50/EC</w:t>
        </w:r>
      </w:hyperlink>
      <w:r>
        <w:rPr>
          <w:lang w:val="pt-PT"/>
        </w:rPr>
        <w:t>.</w:t>
      </w:r>
    </w:p>
  </w:footnote>
  <w:footnote w:id="102">
    <w:p>
      <w:pPr>
        <w:pStyle w:val="FootnoteText"/>
        <w:rPr>
          <w:lang w:val="pt-PT"/>
        </w:rPr>
      </w:pPr>
      <w:r>
        <w:rPr>
          <w:rStyle w:val="FootnoteReference"/>
        </w:rPr>
        <w:footnoteRef/>
      </w:r>
      <w:r>
        <w:rPr>
          <w:lang w:val="pt-PT"/>
        </w:rPr>
        <w:t xml:space="preserve"> </w:t>
      </w:r>
      <w:r>
        <w:rPr>
          <w:lang w:val="pt-PT"/>
        </w:rPr>
        <w:tab/>
        <w:t xml:space="preserve">Directive </w:t>
      </w:r>
      <w:hyperlink r:id="rId147" w:history="1">
        <w:r>
          <w:rPr>
            <w:rStyle w:val="Hyperlink"/>
            <w:lang w:val="pt-PT"/>
          </w:rPr>
          <w:t>2013/39/EU</w:t>
        </w:r>
      </w:hyperlink>
      <w:r>
        <w:rPr>
          <w:lang w:val="pt-PT"/>
        </w:rPr>
        <w:t xml:space="preserve">; </w:t>
      </w:r>
      <w:hyperlink r:id="rId148" w:history="1">
        <w:r>
          <w:rPr>
            <w:rStyle w:val="Hyperlink"/>
            <w:lang w:val="pt-PT"/>
          </w:rPr>
          <w:t>MEMO/16/2097</w:t>
        </w:r>
      </w:hyperlink>
      <w:r>
        <w:rPr>
          <w:lang w:val="pt-PT"/>
        </w:rPr>
        <w:t>.</w:t>
      </w:r>
    </w:p>
  </w:footnote>
  <w:footnote w:id="103">
    <w:p>
      <w:pPr>
        <w:pStyle w:val="FootnoteText"/>
        <w:rPr>
          <w:lang w:val="pt-PT"/>
        </w:rPr>
      </w:pPr>
      <w:r>
        <w:rPr>
          <w:rStyle w:val="FootnoteReference"/>
        </w:rPr>
        <w:footnoteRef/>
      </w:r>
      <w:r>
        <w:rPr>
          <w:lang w:val="pt-PT"/>
        </w:rPr>
        <w:t xml:space="preserve"> </w:t>
      </w:r>
      <w:r>
        <w:rPr>
          <w:lang w:val="pt-PT"/>
        </w:rPr>
        <w:tab/>
        <w:t xml:space="preserve">Directives </w:t>
      </w:r>
      <w:hyperlink r:id="rId149" w:history="1">
        <w:r>
          <w:rPr>
            <w:rStyle w:val="Hyperlink"/>
            <w:lang w:val="pt-PT"/>
          </w:rPr>
          <w:t>2009/72/EC</w:t>
        </w:r>
      </w:hyperlink>
      <w:r>
        <w:rPr>
          <w:lang w:val="pt-PT"/>
        </w:rPr>
        <w:t xml:space="preserve"> and </w:t>
      </w:r>
      <w:hyperlink r:id="rId150" w:history="1">
        <w:r>
          <w:rPr>
            <w:rStyle w:val="Hyperlink"/>
            <w:lang w:val="pt-PT"/>
          </w:rPr>
          <w:t>2009/73/EC</w:t>
        </w:r>
      </w:hyperlink>
      <w:r>
        <w:rPr>
          <w:lang w:val="pt-PT"/>
        </w:rPr>
        <w:t xml:space="preserve">; </w:t>
      </w:r>
      <w:hyperlink r:id="rId151" w:history="1">
        <w:r>
          <w:rPr>
            <w:rStyle w:val="Hyperlink"/>
            <w:lang w:val="pt-PT"/>
          </w:rPr>
          <w:t>MEMO/16/319</w:t>
        </w:r>
      </w:hyperlink>
      <w:r>
        <w:rPr>
          <w:lang w:val="pt-PT"/>
        </w:rPr>
        <w:t>.</w:t>
      </w:r>
    </w:p>
  </w:footnote>
  <w:footnote w:id="104">
    <w:p>
      <w:pPr>
        <w:pStyle w:val="FootnoteText"/>
        <w:rPr>
          <w:lang w:val="pt-PT"/>
        </w:rPr>
      </w:pPr>
      <w:r>
        <w:rPr>
          <w:rStyle w:val="FootnoteReference"/>
        </w:rPr>
        <w:footnoteRef/>
      </w:r>
      <w:r>
        <w:rPr>
          <w:lang w:val="pt-PT"/>
        </w:rPr>
        <w:t xml:space="preserve"> </w:t>
      </w:r>
      <w:r>
        <w:rPr>
          <w:lang w:val="pt-PT"/>
        </w:rPr>
        <w:tab/>
      </w:r>
      <w:hyperlink r:id="rId152" w:history="1">
        <w:r>
          <w:rPr>
            <w:rStyle w:val="Hyperlink"/>
            <w:lang w:val="pt-PT"/>
          </w:rPr>
          <w:t>MEMO/16/3125</w:t>
        </w:r>
      </w:hyperlink>
      <w:r>
        <w:rPr>
          <w:lang w:val="pt-PT"/>
        </w:rPr>
        <w:t>.</w:t>
      </w:r>
    </w:p>
  </w:footnote>
  <w:footnote w:id="105">
    <w:p>
      <w:pPr>
        <w:pStyle w:val="FootnoteText"/>
        <w:rPr>
          <w:lang w:val="pt-PT"/>
        </w:rPr>
      </w:pPr>
      <w:r>
        <w:rPr>
          <w:rStyle w:val="FootnoteReference"/>
        </w:rPr>
        <w:footnoteRef/>
      </w:r>
      <w:r>
        <w:rPr>
          <w:lang w:val="pt-PT"/>
        </w:rPr>
        <w:t xml:space="preserve"> </w:t>
      </w:r>
      <w:r>
        <w:rPr>
          <w:lang w:val="pt-PT"/>
        </w:rPr>
        <w:tab/>
        <w:t xml:space="preserve">Directive </w:t>
      </w:r>
      <w:hyperlink r:id="rId153" w:history="1">
        <w:r>
          <w:rPr>
            <w:rStyle w:val="Hyperlink"/>
            <w:lang w:val="pt-PT"/>
          </w:rPr>
          <w:t>92/83/EC</w:t>
        </w:r>
      </w:hyperlink>
      <w:r>
        <w:rPr>
          <w:lang w:val="pt-PT"/>
        </w:rPr>
        <w:t>.</w:t>
      </w:r>
    </w:p>
  </w:footnote>
  <w:footnote w:id="106">
    <w:p>
      <w:pPr>
        <w:pStyle w:val="FootnoteText"/>
        <w:rPr>
          <w:lang w:val="pt-PT"/>
        </w:rPr>
      </w:pPr>
      <w:r>
        <w:rPr>
          <w:rStyle w:val="FootnoteReference"/>
        </w:rPr>
        <w:footnoteRef/>
      </w:r>
      <w:r>
        <w:rPr>
          <w:lang w:val="pt-PT"/>
        </w:rPr>
        <w:t xml:space="preserve"> </w:t>
      </w:r>
      <w:r>
        <w:rPr>
          <w:lang w:val="pt-PT"/>
        </w:rPr>
        <w:tab/>
        <w:t xml:space="preserve">Directive </w:t>
      </w:r>
      <w:hyperlink r:id="rId154" w:history="1">
        <w:r>
          <w:rPr>
            <w:rStyle w:val="Hyperlink"/>
            <w:lang w:val="pt-PT"/>
          </w:rPr>
          <w:t>2006/112/EC</w:t>
        </w:r>
      </w:hyperlink>
      <w:r>
        <w:rPr>
          <w:rStyle w:val="Hyperlink"/>
          <w:lang w:val="pt-PT"/>
        </w:rPr>
        <w:t>;</w:t>
      </w:r>
      <w:r>
        <w:rPr>
          <w:lang w:val="pt-PT"/>
        </w:rPr>
        <w:t xml:space="preserve"> </w:t>
      </w:r>
      <w:hyperlink r:id="rId155" w:history="1">
        <w:r>
          <w:rPr>
            <w:rStyle w:val="Hyperlink"/>
            <w:lang w:val="pt-PT"/>
          </w:rPr>
          <w:t>MEMO/16/2490</w:t>
        </w:r>
      </w:hyperlink>
      <w:r>
        <w:rPr>
          <w:lang w:val="pt-PT"/>
        </w:rPr>
        <w:t>.</w:t>
      </w:r>
    </w:p>
  </w:footnote>
  <w:footnote w:id="107">
    <w:p>
      <w:pPr>
        <w:pStyle w:val="FootnoteText"/>
        <w:rPr>
          <w:lang w:val="pt-PT"/>
        </w:rPr>
      </w:pPr>
      <w:r>
        <w:rPr>
          <w:rStyle w:val="FootnoteReference"/>
        </w:rPr>
        <w:footnoteRef/>
      </w:r>
      <w:r>
        <w:rPr>
          <w:lang w:val="pt-PT"/>
        </w:rPr>
        <w:t xml:space="preserve"> </w:t>
      </w:r>
      <w:r>
        <w:rPr>
          <w:lang w:val="pt-PT"/>
        </w:rPr>
        <w:tab/>
        <w:t xml:space="preserve">Directive </w:t>
      </w:r>
      <w:hyperlink r:id="rId156" w:history="1">
        <w:r>
          <w:rPr>
            <w:rStyle w:val="Hyperlink"/>
            <w:lang w:val="pt-PT"/>
          </w:rPr>
          <w:t>2006/123/EC</w:t>
        </w:r>
      </w:hyperlink>
      <w:r>
        <w:rPr>
          <w:lang w:val="pt-PT"/>
        </w:rPr>
        <w:t xml:space="preserve">; </w:t>
      </w:r>
      <w:hyperlink r:id="rId157" w:history="1">
        <w:r>
          <w:rPr>
            <w:rStyle w:val="Hyperlink"/>
            <w:lang w:val="pt-PT"/>
          </w:rPr>
          <w:t>IP/16/323</w:t>
        </w:r>
      </w:hyperlink>
      <w:r>
        <w:rPr>
          <w:rStyle w:val="Hyperlink"/>
          <w:lang w:val="pt-PT"/>
        </w:rPr>
        <w:t>;</w:t>
      </w:r>
      <w:r>
        <w:rPr>
          <w:lang w:val="pt-PT"/>
        </w:rPr>
        <w:t xml:space="preserve"> </w:t>
      </w:r>
      <w:hyperlink r:id="rId158" w:history="1">
        <w:r>
          <w:rPr>
            <w:rStyle w:val="Hyperlink"/>
            <w:lang w:val="pt-PT"/>
          </w:rPr>
          <w:t>MEMO/16/319</w:t>
        </w:r>
      </w:hyperlink>
      <w:r>
        <w:rPr>
          <w:lang w:val="pt-PT"/>
        </w:rPr>
        <w:t xml:space="preserve">, </w:t>
      </w:r>
      <w:hyperlink r:id="rId159" w:history="1">
        <w:r>
          <w:rPr>
            <w:rStyle w:val="Hyperlink"/>
            <w:lang w:val="pt-PT"/>
          </w:rPr>
          <w:t>IP/16/3646</w:t>
        </w:r>
      </w:hyperlink>
      <w:r>
        <w:rPr>
          <w:rStyle w:val="Hyperlink"/>
          <w:lang w:val="pt-PT"/>
        </w:rPr>
        <w:t xml:space="preserve"> </w:t>
      </w:r>
      <w:r>
        <w:rPr>
          <w:lang w:val="pt-PT"/>
        </w:rPr>
        <w:t xml:space="preserve">and </w:t>
      </w:r>
      <w:hyperlink r:id="rId160" w:history="1">
        <w:r>
          <w:rPr>
            <w:rStyle w:val="Hyperlink"/>
            <w:lang w:val="pt-PT"/>
          </w:rPr>
          <w:t>MEMO/16/3644</w:t>
        </w:r>
      </w:hyperlink>
      <w:r>
        <w:rPr>
          <w:lang w:val="pt-PT"/>
        </w:rPr>
        <w:t>.</w:t>
      </w:r>
    </w:p>
  </w:footnote>
  <w:footnote w:id="108">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161" w:history="1">
        <w:r>
          <w:rPr>
            <w:rStyle w:val="Hyperlink"/>
            <w:lang w:val="pt-PT"/>
          </w:rPr>
          <w:t>2014/23/E</w:t>
        </w:r>
      </w:hyperlink>
      <w:r>
        <w:rPr>
          <w:rStyle w:val="Hyperlink"/>
          <w:lang w:val="pt-PT"/>
        </w:rPr>
        <w:t>U</w:t>
      </w:r>
      <w:r>
        <w:rPr>
          <w:lang w:val="pt-PT"/>
        </w:rPr>
        <w:t xml:space="preserve">, </w:t>
      </w:r>
      <w:hyperlink r:id="rId162" w:history="1">
        <w:r>
          <w:rPr>
            <w:rStyle w:val="Hyperlink"/>
            <w:lang w:val="pt-PT"/>
          </w:rPr>
          <w:t>2014/24/EU</w:t>
        </w:r>
      </w:hyperlink>
      <w:r>
        <w:rPr>
          <w:lang w:val="pt-PT"/>
        </w:rPr>
        <w:t xml:space="preserve"> and </w:t>
      </w:r>
      <w:hyperlink r:id="rId163" w:history="1">
        <w:r>
          <w:rPr>
            <w:rStyle w:val="Hyperlink"/>
            <w:lang w:val="pt-PT"/>
          </w:rPr>
          <w:t>2014/25/E</w:t>
        </w:r>
      </w:hyperlink>
      <w:r>
        <w:rPr>
          <w:rStyle w:val="Hyperlink"/>
          <w:lang w:val="pt-PT"/>
        </w:rPr>
        <w:t>U</w:t>
      </w:r>
      <w:r>
        <w:rPr>
          <w:lang w:val="pt-PT"/>
        </w:rPr>
        <w:t xml:space="preserve">; </w:t>
      </w:r>
      <w:hyperlink r:id="rId164" w:history="1">
        <w:r>
          <w:rPr>
            <w:rStyle w:val="Hyperlink"/>
            <w:lang w:val="pt-PT"/>
          </w:rPr>
          <w:t>MEMO/16/1823</w:t>
        </w:r>
      </w:hyperlink>
      <w:r>
        <w:rPr>
          <w:lang w:val="pt-PT"/>
        </w:rPr>
        <w:t>.</w:t>
      </w:r>
    </w:p>
  </w:footnote>
  <w:footnote w:id="109">
    <w:p>
      <w:pPr>
        <w:pStyle w:val="FootnoteText"/>
        <w:rPr>
          <w:lang w:val="pt-PT"/>
        </w:rPr>
      </w:pPr>
      <w:r>
        <w:rPr>
          <w:rStyle w:val="FootnoteReference"/>
        </w:rPr>
        <w:footnoteRef/>
      </w:r>
      <w:r>
        <w:rPr>
          <w:lang w:val="pt-PT"/>
        </w:rPr>
        <w:t xml:space="preserve"> </w:t>
      </w:r>
      <w:r>
        <w:rPr>
          <w:lang w:val="pt-PT"/>
        </w:rPr>
        <w:tab/>
        <w:t xml:space="preserve">Directive </w:t>
      </w:r>
      <w:hyperlink r:id="rId165" w:history="1">
        <w:r>
          <w:rPr>
            <w:rStyle w:val="Hyperlink"/>
            <w:lang w:val="pt-PT"/>
          </w:rPr>
          <w:t>2013/55/EU</w:t>
        </w:r>
      </w:hyperlink>
      <w:r>
        <w:rPr>
          <w:lang w:val="pt-PT"/>
        </w:rPr>
        <w:t xml:space="preserve">, </w:t>
      </w:r>
      <w:hyperlink r:id="rId166" w:history="1">
        <w:r>
          <w:rPr>
            <w:rStyle w:val="Hyperlink"/>
            <w:lang w:val="pt-PT"/>
          </w:rPr>
          <w:t>MEMO/16/3125</w:t>
        </w:r>
      </w:hyperlink>
      <w:r>
        <w:rPr>
          <w:lang w:val="pt-PT"/>
        </w:rPr>
        <w:t>.</w:t>
      </w:r>
    </w:p>
  </w:footnote>
  <w:footnote w:id="110">
    <w:p>
      <w:pPr>
        <w:pStyle w:val="FootnoteText"/>
        <w:rPr>
          <w:lang w:val="pt-PT"/>
        </w:rPr>
      </w:pPr>
      <w:r>
        <w:rPr>
          <w:rStyle w:val="FootnoteReference"/>
        </w:rPr>
        <w:footnoteRef/>
      </w:r>
      <w:r>
        <w:rPr>
          <w:lang w:val="pt-PT"/>
        </w:rPr>
        <w:t xml:space="preserve"> </w:t>
      </w:r>
      <w:r>
        <w:rPr>
          <w:lang w:val="pt-PT"/>
        </w:rPr>
        <w:tab/>
        <w:t xml:space="preserve">Directive </w:t>
      </w:r>
      <w:hyperlink r:id="rId167" w:history="1">
        <w:r>
          <w:rPr>
            <w:rStyle w:val="Hyperlink"/>
            <w:lang w:val="pt-PT"/>
          </w:rPr>
          <w:t>2013/36/EU</w:t>
        </w:r>
      </w:hyperlink>
      <w:r>
        <w:rPr>
          <w:lang w:val="pt-PT"/>
        </w:rPr>
        <w:t>.</w:t>
      </w:r>
    </w:p>
  </w:footnote>
  <w:footnote w:id="111">
    <w:p>
      <w:pPr>
        <w:pStyle w:val="FootnoteText"/>
        <w:rPr>
          <w:lang w:val="pt-PT"/>
        </w:rPr>
      </w:pPr>
      <w:r>
        <w:rPr>
          <w:rStyle w:val="FootnoteReference"/>
        </w:rPr>
        <w:footnoteRef/>
      </w:r>
      <w:r>
        <w:rPr>
          <w:lang w:val="pt-PT"/>
        </w:rPr>
        <w:t xml:space="preserve"> </w:t>
      </w:r>
      <w:r>
        <w:rPr>
          <w:lang w:val="pt-PT"/>
        </w:rPr>
        <w:tab/>
        <w:t xml:space="preserve">Directive </w:t>
      </w:r>
      <w:hyperlink r:id="rId168" w:history="1">
        <w:r>
          <w:rPr>
            <w:rStyle w:val="Hyperlink"/>
            <w:lang w:val="pt-PT"/>
          </w:rPr>
          <w:t>2014/59/EU</w:t>
        </w:r>
      </w:hyperlink>
      <w:r>
        <w:rPr>
          <w:lang w:val="pt-PT"/>
        </w:rPr>
        <w:t>.</w:t>
      </w:r>
    </w:p>
  </w:footnote>
  <w:footnote w:id="112">
    <w:p>
      <w:pPr>
        <w:pStyle w:val="FootnoteText"/>
        <w:rPr>
          <w:lang w:val="pt-PT"/>
        </w:rPr>
      </w:pPr>
      <w:r>
        <w:rPr>
          <w:rStyle w:val="FootnoteReference"/>
        </w:rPr>
        <w:footnoteRef/>
      </w:r>
      <w:r>
        <w:rPr>
          <w:lang w:val="pt-PT"/>
        </w:rPr>
        <w:t xml:space="preserve"> </w:t>
      </w:r>
      <w:r>
        <w:rPr>
          <w:lang w:val="pt-PT"/>
        </w:rPr>
        <w:tab/>
        <w:t xml:space="preserve">Directive </w:t>
      </w:r>
      <w:hyperlink r:id="rId169" w:history="1">
        <w:r>
          <w:rPr>
            <w:rStyle w:val="Hyperlink"/>
            <w:lang w:val="pt-PT"/>
          </w:rPr>
          <w:t>2006/112/EC</w:t>
        </w:r>
      </w:hyperlink>
      <w:r>
        <w:rPr>
          <w:lang w:val="pt-PT"/>
        </w:rPr>
        <w:t>.</w:t>
      </w:r>
    </w:p>
  </w:footnote>
  <w:footnote w:id="113">
    <w:p>
      <w:pPr>
        <w:pStyle w:val="FootnoteText"/>
        <w:rPr>
          <w:lang w:val="pt-PT"/>
        </w:rPr>
      </w:pPr>
      <w:r>
        <w:rPr>
          <w:rStyle w:val="FootnoteReference"/>
        </w:rPr>
        <w:footnoteRef/>
      </w:r>
      <w:r>
        <w:rPr>
          <w:lang w:val="pt-PT"/>
        </w:rPr>
        <w:t xml:space="preserve"> </w:t>
      </w:r>
      <w:r>
        <w:rPr>
          <w:lang w:val="pt-PT"/>
        </w:rPr>
        <w:tab/>
      </w:r>
      <w:hyperlink r:id="rId170" w:history="1">
        <w:r>
          <w:rPr>
            <w:rStyle w:val="Hyperlink"/>
            <w:lang w:val="pt-PT"/>
          </w:rPr>
          <w:t>MEMO/16/2490</w:t>
        </w:r>
      </w:hyperlink>
      <w:r>
        <w:rPr>
          <w:lang w:val="pt-PT"/>
        </w:rPr>
        <w:t>.</w:t>
      </w:r>
    </w:p>
  </w:footnote>
  <w:footnote w:id="114">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171" w:history="1">
        <w:r>
          <w:rPr>
            <w:rStyle w:val="Hyperlink"/>
            <w:lang w:val="pt-PT"/>
          </w:rPr>
          <w:t>92/50/EC</w:t>
        </w:r>
      </w:hyperlink>
      <w:r>
        <w:rPr>
          <w:lang w:val="pt-PT"/>
        </w:rPr>
        <w:t xml:space="preserve"> and </w:t>
      </w:r>
      <w:hyperlink r:id="rId172" w:history="1">
        <w:r>
          <w:rPr>
            <w:rStyle w:val="Hyperlink"/>
            <w:lang w:val="pt-PT"/>
          </w:rPr>
          <w:t>2004/18/EC</w:t>
        </w:r>
      </w:hyperlink>
      <w:r>
        <w:rPr>
          <w:lang w:val="pt-PT"/>
        </w:rPr>
        <w:t xml:space="preserve">, Commission v Austria </w:t>
      </w:r>
      <w:hyperlink r:id="rId173" w:history="1">
        <w:r>
          <w:rPr>
            <w:rStyle w:val="Hyperlink"/>
            <w:lang w:val="pt-PT"/>
          </w:rPr>
          <w:t>C-187/16</w:t>
        </w:r>
      </w:hyperlink>
      <w:r>
        <w:rPr>
          <w:lang w:val="pt-PT"/>
        </w:rPr>
        <w:t xml:space="preserve"> </w:t>
      </w:r>
      <w:hyperlink r:id="rId174" w:history="1">
        <w:r>
          <w:rPr>
            <w:rStyle w:val="Hyperlink"/>
            <w:lang w:val="pt-PT"/>
          </w:rPr>
          <w:t>IP/15/6226</w:t>
        </w:r>
      </w:hyperlink>
      <w:r>
        <w:rPr>
          <w:rStyle w:val="Hyperlink"/>
          <w:lang w:val="pt-PT"/>
        </w:rPr>
        <w:t>.</w:t>
      </w:r>
    </w:p>
  </w:footnote>
  <w:footnote w:id="115">
    <w:p>
      <w:pPr>
        <w:pStyle w:val="FootnoteText"/>
        <w:rPr>
          <w:lang w:val="pt-PT"/>
        </w:rPr>
      </w:pPr>
      <w:r>
        <w:rPr>
          <w:rStyle w:val="FootnoteReference"/>
        </w:rPr>
        <w:footnoteRef/>
      </w:r>
      <w:r>
        <w:rPr>
          <w:lang w:val="pt-PT"/>
        </w:rPr>
        <w:t xml:space="preserve"> </w:t>
      </w:r>
      <w:r>
        <w:rPr>
          <w:lang w:val="pt-PT"/>
        </w:rPr>
        <w:tab/>
        <w:t xml:space="preserve">Directive </w:t>
      </w:r>
      <w:hyperlink r:id="rId175" w:history="1">
        <w:r>
          <w:rPr>
            <w:rStyle w:val="Hyperlink"/>
            <w:lang w:val="pt-PT"/>
          </w:rPr>
          <w:t>2010/75/EU</w:t>
        </w:r>
      </w:hyperlink>
      <w:r>
        <w:rPr>
          <w:lang w:val="pt-PT"/>
        </w:rPr>
        <w:t>.</w:t>
      </w:r>
    </w:p>
  </w:footnote>
  <w:footnote w:id="116">
    <w:p>
      <w:pPr>
        <w:pStyle w:val="FootnoteText"/>
        <w:rPr>
          <w:lang w:val="pt-PT"/>
        </w:rPr>
      </w:pPr>
      <w:r>
        <w:rPr>
          <w:rStyle w:val="FootnoteReference"/>
        </w:rPr>
        <w:footnoteRef/>
      </w:r>
      <w:r>
        <w:rPr>
          <w:lang w:val="pt-PT"/>
        </w:rPr>
        <w:t xml:space="preserve"> </w:t>
      </w:r>
      <w:r>
        <w:rPr>
          <w:lang w:val="pt-PT"/>
        </w:rPr>
        <w:tab/>
        <w:t xml:space="preserve">Directive </w:t>
      </w:r>
      <w:hyperlink r:id="rId176" w:history="1">
        <w:r>
          <w:rPr>
            <w:rStyle w:val="Hyperlink"/>
            <w:lang w:val="pt-PT"/>
          </w:rPr>
          <w:t>2006/126/EC</w:t>
        </w:r>
      </w:hyperlink>
      <w:r>
        <w:rPr>
          <w:lang w:val="pt-PT"/>
        </w:rPr>
        <w:t xml:space="preserve">; </w:t>
      </w:r>
      <w:hyperlink r:id="rId177" w:history="1">
        <w:r>
          <w:rPr>
            <w:rStyle w:val="Hyperlink"/>
            <w:lang w:val="pt-PT"/>
          </w:rPr>
          <w:t>IP/15/6229</w:t>
        </w:r>
      </w:hyperlink>
      <w:r>
        <w:rPr>
          <w:lang w:val="pt-PT"/>
        </w:rPr>
        <w:t xml:space="preserve"> and </w:t>
      </w:r>
      <w:hyperlink r:id="rId178" w:history="1">
        <w:r>
          <w:rPr>
            <w:rStyle w:val="Hyperlink"/>
            <w:lang w:val="pt-PT"/>
          </w:rPr>
          <w:t>MEMO/15/6223</w:t>
        </w:r>
      </w:hyperlink>
      <w:r>
        <w:rPr>
          <w:lang w:val="pt-PT"/>
        </w:rPr>
        <w:t>.</w:t>
      </w:r>
    </w:p>
  </w:footnote>
  <w:footnote w:id="117">
    <w:p>
      <w:pPr>
        <w:pStyle w:val="FootnoteText"/>
      </w:pPr>
      <w:r>
        <w:rPr>
          <w:rStyle w:val="FootnoteReference"/>
        </w:rPr>
        <w:footnoteRef/>
      </w:r>
      <w:r>
        <w:t xml:space="preserve"> </w:t>
      </w:r>
      <w:r>
        <w:tab/>
        <w:t>Regulation (EC) No </w:t>
      </w:r>
      <w:hyperlink r:id="rId179" w:history="1">
        <w:r>
          <w:rPr>
            <w:rStyle w:val="Hyperlink"/>
          </w:rPr>
          <w:t>1071/2009</w:t>
        </w:r>
      </w:hyperlink>
      <w:r>
        <w:t>.</w:t>
      </w:r>
    </w:p>
  </w:footnote>
  <w:footnote w:id="118">
    <w:p>
      <w:pPr>
        <w:pStyle w:val="FootnoteText"/>
      </w:pPr>
      <w:r>
        <w:rPr>
          <w:rStyle w:val="FootnoteReference"/>
        </w:rPr>
        <w:footnoteRef/>
      </w:r>
      <w:r>
        <w:t xml:space="preserve"> </w:t>
      </w:r>
      <w:r>
        <w:tab/>
        <w:t xml:space="preserve">Commission v Austria, </w:t>
      </w:r>
      <w:hyperlink r:id="rId180" w:history="1">
        <w:r>
          <w:rPr>
            <w:rStyle w:val="Hyperlink"/>
          </w:rPr>
          <w:t>C-1/15</w:t>
        </w:r>
      </w:hyperlink>
      <w:r>
        <w:t>.</w:t>
      </w:r>
    </w:p>
  </w:footnote>
  <w:footnote w:id="119">
    <w:p>
      <w:pPr>
        <w:pStyle w:val="FootnoteText"/>
      </w:pPr>
      <w:r>
        <w:rPr>
          <w:rStyle w:val="FootnoteReference"/>
        </w:rPr>
        <w:footnoteRef/>
      </w:r>
      <w:r>
        <w:t xml:space="preserve"> </w:t>
      </w:r>
      <w:r>
        <w:tab/>
      </w:r>
      <w:r>
        <w:rPr>
          <w:rFonts w:cs="Arial"/>
          <w:szCs w:val="18"/>
        </w:rPr>
        <w:t>These rulings are almost exclusively handed down on infringement procedures.</w:t>
      </w:r>
    </w:p>
  </w:footnote>
  <w:footnote w:id="120">
    <w:p>
      <w:pPr>
        <w:pStyle w:val="FootnoteText"/>
      </w:pPr>
      <w:r>
        <w:rPr>
          <w:rStyle w:val="FootnoteReference"/>
        </w:rPr>
        <w:footnoteRef/>
      </w:r>
      <w:r>
        <w:t xml:space="preserve"> </w:t>
      </w:r>
      <w:r>
        <w:tab/>
        <w:t xml:space="preserve">Directive </w:t>
      </w:r>
      <w:hyperlink r:id="rId181" w:history="1">
        <w:r>
          <w:rPr>
            <w:rStyle w:val="Hyperlink"/>
          </w:rPr>
          <w:t>2000/60/EC</w:t>
        </w:r>
      </w:hyperlink>
      <w:r>
        <w:t xml:space="preserve">; Commission v Austria, </w:t>
      </w:r>
      <w:hyperlink r:id="rId182" w:history="1">
        <w:r>
          <w:rPr>
            <w:rStyle w:val="Hyperlink"/>
          </w:rPr>
          <w:t>C-346/14</w:t>
        </w:r>
      </w:hyperlink>
      <w:r>
        <w:rPr>
          <w:rStyle w:val="Hyperlink"/>
        </w:rPr>
        <w:t>.</w:t>
      </w:r>
    </w:p>
  </w:footnote>
  <w:footnote w:id="121">
    <w:p>
      <w:pPr>
        <w:pStyle w:val="FootnoteText"/>
      </w:pPr>
      <w:r>
        <w:rPr>
          <w:rStyle w:val="FootnoteReference"/>
        </w:rPr>
        <w:footnoteRef/>
      </w:r>
      <w:r>
        <w:t xml:space="preserve"> </w:t>
      </w:r>
      <w:r>
        <w:tab/>
        <w:t xml:space="preserve">Verein für Konsumenteninformation v Amazon EU Sàrl, </w:t>
      </w:r>
      <w:hyperlink r:id="rId183" w:history="1">
        <w:r>
          <w:rPr>
            <w:rStyle w:val="Hyperlink"/>
          </w:rPr>
          <w:t>C-191/15</w:t>
        </w:r>
      </w:hyperlink>
      <w:r>
        <w:t>.</w:t>
      </w:r>
    </w:p>
  </w:footnote>
  <w:footnote w:id="122">
    <w:p>
      <w:pPr>
        <w:pStyle w:val="FootnoteText"/>
      </w:pPr>
      <w:r>
        <w:rPr>
          <w:rStyle w:val="FootnoteReference"/>
        </w:rPr>
        <w:footnoteRef/>
      </w:r>
      <w:r>
        <w:t xml:space="preserve"> </w:t>
      </w:r>
      <w:r>
        <w:tab/>
        <w:t xml:space="preserve">Knauer, </w:t>
      </w:r>
      <w:hyperlink r:id="rId184" w:history="1">
        <w:r>
          <w:rPr>
            <w:rStyle w:val="Hyperlink"/>
          </w:rPr>
          <w:t>C-453/14</w:t>
        </w:r>
      </w:hyperlink>
      <w:r>
        <w:t>.</w:t>
      </w:r>
    </w:p>
  </w:footnote>
  <w:footnote w:id="123">
    <w:p>
      <w:pPr>
        <w:pStyle w:val="FootnoteText"/>
        <w:rPr>
          <w:szCs w:val="18"/>
        </w:rPr>
      </w:pPr>
      <w:r>
        <w:rPr>
          <w:rStyle w:val="FootnoteReference"/>
        </w:rPr>
        <w:footnoteRef/>
      </w:r>
      <w:r>
        <w:t xml:space="preserve"> </w:t>
      </w:r>
      <w:r>
        <w:tab/>
      </w:r>
      <w:r>
        <w:rPr>
          <w:bCs/>
        </w:rPr>
        <w:t xml:space="preserve">Directive </w:t>
      </w:r>
      <w:hyperlink r:id="rId185" w:history="1">
        <w:r>
          <w:rPr>
            <w:rStyle w:val="Hyperlink"/>
            <w:bCs/>
          </w:rPr>
          <w:t>85/337/EEC</w:t>
        </w:r>
      </w:hyperlink>
      <w:r>
        <w:t xml:space="preserve"> amended by </w:t>
      </w:r>
      <w:r>
        <w:rPr>
          <w:bCs/>
        </w:rPr>
        <w:t xml:space="preserve">Directive </w:t>
      </w:r>
      <w:hyperlink r:id="rId186" w:history="1">
        <w:r>
          <w:rPr>
            <w:rStyle w:val="Hyperlink"/>
            <w:bCs/>
          </w:rPr>
          <w:t>97/11/EC</w:t>
        </w:r>
      </w:hyperlink>
      <w:r>
        <w:rPr>
          <w:bCs/>
        </w:rPr>
        <w:t>,</w:t>
      </w:r>
      <w:r>
        <w:t xml:space="preserve"> Stadt Wiener Neustadt, </w:t>
      </w:r>
      <w:hyperlink r:id="rId187" w:history="1">
        <w:r>
          <w:rPr>
            <w:rStyle w:val="Hyperlink"/>
          </w:rPr>
          <w:t>C-348/15</w:t>
        </w:r>
      </w:hyperlink>
      <w:r>
        <w:t>.</w:t>
      </w:r>
    </w:p>
  </w:footnote>
  <w:footnote w:id="124">
    <w:p>
      <w:pPr>
        <w:pStyle w:val="FootnoteText"/>
        <w:rPr>
          <w:szCs w:val="18"/>
        </w:rPr>
      </w:pPr>
      <w:r>
        <w:rPr>
          <w:rStyle w:val="FootnoteReference"/>
        </w:rPr>
        <w:footnoteRef/>
      </w:r>
      <w:r>
        <w:t xml:space="preserve"> </w:t>
      </w:r>
      <w:r>
        <w:tab/>
        <w:t xml:space="preserve">Directive </w:t>
      </w:r>
      <w:hyperlink r:id="rId188" w:history="1">
        <w:r>
          <w:rPr>
            <w:rStyle w:val="Hyperlink"/>
          </w:rPr>
          <w:t>97/67/EC</w:t>
        </w:r>
      </w:hyperlink>
      <w:r>
        <w:t xml:space="preserve">; case </w:t>
      </w:r>
      <w:hyperlink r:id="rId189" w:history="1">
        <w:r>
          <w:rPr>
            <w:rStyle w:val="Hyperlink"/>
          </w:rPr>
          <w:t>C-2/15</w:t>
        </w:r>
      </w:hyperlink>
      <w:r>
        <w:t>, DHL Express Austria v. PCK.</w:t>
      </w:r>
    </w:p>
  </w:footnote>
  <w:footnote w:id="125">
    <w:p>
      <w:pPr>
        <w:pStyle w:val="FootnoteText"/>
      </w:pPr>
      <w:r>
        <w:rPr>
          <w:rStyle w:val="FootnoteReference"/>
        </w:rPr>
        <w:footnoteRef/>
      </w:r>
      <w:r>
        <w:t xml:space="preserve"> </w:t>
      </w:r>
      <w:r>
        <w:tab/>
        <w:t xml:space="preserve">Directives </w:t>
      </w:r>
      <w:hyperlink r:id="rId190" w:history="1">
        <w:r>
          <w:rPr>
            <w:rStyle w:val="Hyperlink"/>
          </w:rPr>
          <w:t>2002/20/EC</w:t>
        </w:r>
      </w:hyperlink>
      <w:r>
        <w:t xml:space="preserve">, </w:t>
      </w:r>
      <w:hyperlink r:id="rId191" w:history="1">
        <w:r>
          <w:rPr>
            <w:rStyle w:val="Hyperlink"/>
          </w:rPr>
          <w:t>2002/21/EC</w:t>
        </w:r>
      </w:hyperlink>
      <w:r>
        <w:t xml:space="preserve"> and </w:t>
      </w:r>
      <w:hyperlink r:id="rId192" w:history="1">
        <w:r>
          <w:rPr>
            <w:rStyle w:val="Hyperlink"/>
          </w:rPr>
          <w:t>2002/77/EC</w:t>
        </w:r>
      </w:hyperlink>
      <w:r>
        <w:t>.</w:t>
      </w:r>
    </w:p>
  </w:footnote>
  <w:footnote w:id="126">
    <w:p>
      <w:pPr>
        <w:pStyle w:val="FootnoteText"/>
        <w:rPr>
          <w:lang w:val="pt-PT"/>
        </w:rPr>
      </w:pPr>
      <w:r>
        <w:rPr>
          <w:rStyle w:val="FootnoteReference"/>
        </w:rPr>
        <w:footnoteRef/>
      </w:r>
      <w:r>
        <w:rPr>
          <w:lang w:val="pt-PT"/>
        </w:rPr>
        <w:t xml:space="preserve"> </w:t>
      </w:r>
      <w:r>
        <w:rPr>
          <w:lang w:val="pt-PT"/>
        </w:rPr>
        <w:tab/>
        <w:t xml:space="preserve">Directive </w:t>
      </w:r>
      <w:hyperlink r:id="rId193" w:history="1">
        <w:r>
          <w:rPr>
            <w:rStyle w:val="Hyperlink"/>
            <w:lang w:val="pt-PT"/>
          </w:rPr>
          <w:t>2008/50/EC</w:t>
        </w:r>
      </w:hyperlink>
      <w:r>
        <w:rPr>
          <w:lang w:val="pt-PT"/>
        </w:rPr>
        <w:t>.</w:t>
      </w:r>
    </w:p>
  </w:footnote>
  <w:footnote w:id="127">
    <w:p>
      <w:pPr>
        <w:pStyle w:val="FootnoteText"/>
        <w:rPr>
          <w:lang w:val="pt-PT"/>
        </w:rPr>
      </w:pPr>
      <w:r>
        <w:rPr>
          <w:rStyle w:val="FootnoteReference"/>
        </w:rPr>
        <w:footnoteRef/>
      </w:r>
      <w:r>
        <w:rPr>
          <w:lang w:val="pt-PT"/>
        </w:rPr>
        <w:t xml:space="preserve"> </w:t>
      </w:r>
      <w:r>
        <w:rPr>
          <w:lang w:val="pt-PT"/>
        </w:rPr>
        <w:tab/>
        <w:t xml:space="preserve">Directive </w:t>
      </w:r>
      <w:hyperlink r:id="rId194" w:history="1">
        <w:r>
          <w:rPr>
            <w:rStyle w:val="Hyperlink"/>
            <w:lang w:val="pt-PT"/>
          </w:rPr>
          <w:t>2012/18/EU</w:t>
        </w:r>
      </w:hyperlink>
      <w:r>
        <w:rPr>
          <w:lang w:val="pt-PT"/>
        </w:rPr>
        <w:t xml:space="preserve"> and </w:t>
      </w:r>
      <w:hyperlink r:id="rId195" w:history="1">
        <w:r>
          <w:rPr>
            <w:rStyle w:val="Hyperlink"/>
            <w:lang w:val="pt-PT"/>
          </w:rPr>
          <w:t>MEMO/16/1452</w:t>
        </w:r>
      </w:hyperlink>
      <w:r>
        <w:rPr>
          <w:lang w:val="pt-PT"/>
        </w:rPr>
        <w:t>.</w:t>
      </w:r>
    </w:p>
  </w:footnote>
  <w:footnote w:id="128">
    <w:p>
      <w:pPr>
        <w:pStyle w:val="FootnoteText"/>
        <w:rPr>
          <w:lang w:val="pt-PT"/>
        </w:rPr>
      </w:pPr>
      <w:r>
        <w:rPr>
          <w:rStyle w:val="FootnoteReference"/>
        </w:rPr>
        <w:footnoteRef/>
      </w:r>
      <w:r>
        <w:rPr>
          <w:lang w:val="pt-PT"/>
        </w:rPr>
        <w:t xml:space="preserve"> </w:t>
      </w:r>
      <w:r>
        <w:rPr>
          <w:lang w:val="pt-PT"/>
        </w:rPr>
        <w:tab/>
        <w:t xml:space="preserve">Directives </w:t>
      </w:r>
      <w:hyperlink r:id="rId196" w:history="1">
        <w:r>
          <w:rPr>
            <w:rStyle w:val="Hyperlink"/>
            <w:lang w:val="pt-PT"/>
          </w:rPr>
          <w:t>2012/27/EU</w:t>
        </w:r>
      </w:hyperlink>
      <w:r>
        <w:rPr>
          <w:lang w:val="pt-PT"/>
        </w:rPr>
        <w:t xml:space="preserve"> and </w:t>
      </w:r>
      <w:hyperlink r:id="rId197" w:history="1">
        <w:r>
          <w:rPr>
            <w:rStyle w:val="Hyperlink"/>
            <w:lang w:val="pt-PT"/>
          </w:rPr>
          <w:t>2013/30/EU</w:t>
        </w:r>
      </w:hyperlink>
      <w:r>
        <w:rPr>
          <w:lang w:val="pt-PT"/>
        </w:rPr>
        <w:t xml:space="preserve">, </w:t>
      </w:r>
      <w:hyperlink r:id="rId198" w:history="1">
        <w:r>
          <w:rPr>
            <w:rStyle w:val="Hyperlink"/>
            <w:lang w:val="pt-PT"/>
          </w:rPr>
          <w:t>MEMO/16/3125</w:t>
        </w:r>
      </w:hyperlink>
      <w:r>
        <w:rPr>
          <w:lang w:val="pt-PT"/>
        </w:rPr>
        <w:t xml:space="preserve"> and </w:t>
      </w:r>
      <w:hyperlink r:id="rId199" w:history="1">
        <w:r>
          <w:rPr>
            <w:rStyle w:val="Hyperlink"/>
            <w:lang w:val="pt-PT"/>
          </w:rPr>
          <w:t>MEMO/16/3644</w:t>
        </w:r>
      </w:hyperlink>
      <w:r>
        <w:rPr>
          <w:lang w:val="pt-PT"/>
        </w:rPr>
        <w:t>.</w:t>
      </w:r>
    </w:p>
  </w:footnote>
  <w:footnote w:id="129">
    <w:p>
      <w:pPr>
        <w:pStyle w:val="FootnoteText"/>
      </w:pPr>
      <w:r>
        <w:rPr>
          <w:rStyle w:val="FootnoteReference"/>
        </w:rPr>
        <w:footnoteRef/>
      </w:r>
      <w:r>
        <w:t xml:space="preserve"> </w:t>
      </w:r>
      <w:r>
        <w:tab/>
        <w:t xml:space="preserve">Directive </w:t>
      </w:r>
      <w:hyperlink r:id="rId200" w:history="1">
        <w:r>
          <w:rPr>
            <w:rStyle w:val="Hyperlink"/>
          </w:rPr>
          <w:t>2009/28/EC</w:t>
        </w:r>
      </w:hyperlink>
      <w:r>
        <w:t xml:space="preserve">, </w:t>
      </w:r>
      <w:hyperlink r:id="rId201" w:history="1">
        <w:r>
          <w:rPr>
            <w:rStyle w:val="Hyperlink"/>
          </w:rPr>
          <w:t>MEMO/16/1823</w:t>
        </w:r>
      </w:hyperlink>
      <w:r>
        <w:t xml:space="preserve"> and </w:t>
      </w:r>
      <w:hyperlink r:id="rId202" w:history="1">
        <w:r>
          <w:rPr>
            <w:rStyle w:val="Hyperlink"/>
          </w:rPr>
          <w:t>MEMO/16/1452</w:t>
        </w:r>
      </w:hyperlink>
      <w:r>
        <w:t>.</w:t>
      </w:r>
    </w:p>
  </w:footnote>
  <w:footnote w:id="130">
    <w:p>
      <w:pPr>
        <w:pStyle w:val="FootnoteText"/>
      </w:pPr>
      <w:r>
        <w:rPr>
          <w:rStyle w:val="FootnoteReference"/>
        </w:rPr>
        <w:footnoteRef/>
      </w:r>
      <w:r>
        <w:t xml:space="preserve"> </w:t>
      </w:r>
      <w:r>
        <w:tab/>
        <w:t xml:space="preserve">Directive </w:t>
      </w:r>
      <w:hyperlink r:id="rId203" w:history="1">
        <w:r>
          <w:rPr>
            <w:rStyle w:val="Hyperlink"/>
          </w:rPr>
          <w:t>2014/17/EU</w:t>
        </w:r>
      </w:hyperlink>
      <w:r>
        <w:t xml:space="preserve">, and press releases </w:t>
      </w:r>
      <w:hyperlink r:id="rId204" w:history="1">
        <w:r>
          <w:rPr>
            <w:rStyle w:val="Hyperlink"/>
          </w:rPr>
          <w:t>MEMO/16/3644</w:t>
        </w:r>
      </w:hyperlink>
      <w:r>
        <w:t xml:space="preserve"> and </w:t>
      </w:r>
      <w:hyperlink r:id="rId205" w:history="1">
        <w:r>
          <w:rPr>
            <w:rStyle w:val="Hyperlink"/>
          </w:rPr>
          <w:t>MEMO/16/4211</w:t>
        </w:r>
      </w:hyperlink>
      <w:r>
        <w:t>.</w:t>
      </w:r>
    </w:p>
  </w:footnote>
  <w:footnote w:id="131">
    <w:p>
      <w:pPr>
        <w:pStyle w:val="FootnoteText"/>
      </w:pPr>
      <w:r>
        <w:rPr>
          <w:rStyle w:val="FootnoteReference"/>
        </w:rPr>
        <w:footnoteRef/>
      </w:r>
      <w:r>
        <w:t xml:space="preserve"> </w:t>
      </w:r>
      <w:r>
        <w:tab/>
        <w:t xml:space="preserve">Directive </w:t>
      </w:r>
      <w:hyperlink r:id="rId206" w:history="1">
        <w:r>
          <w:rPr>
            <w:rStyle w:val="Hyperlink"/>
          </w:rPr>
          <w:t>2009/12/EC</w:t>
        </w:r>
      </w:hyperlink>
      <w:r>
        <w:t xml:space="preserve">, </w:t>
      </w:r>
      <w:hyperlink r:id="rId207" w:history="1">
        <w:r>
          <w:rPr>
            <w:rStyle w:val="Hyperlink"/>
          </w:rPr>
          <w:t>MEMO/16/319</w:t>
        </w:r>
      </w:hyperlink>
      <w:r>
        <w:t>.</w:t>
      </w:r>
    </w:p>
  </w:footnote>
  <w:footnote w:id="132">
    <w:p>
      <w:pPr>
        <w:pStyle w:val="FootnoteText"/>
        <w:rPr>
          <w:szCs w:val="18"/>
        </w:rPr>
      </w:pPr>
      <w:r>
        <w:rPr>
          <w:rStyle w:val="FootnoteReference"/>
        </w:rPr>
        <w:footnoteRef/>
      </w:r>
      <w:r>
        <w:t xml:space="preserve"> </w:t>
      </w:r>
      <w:r>
        <w:tab/>
        <w:t xml:space="preserve">Directive </w:t>
      </w:r>
      <w:hyperlink r:id="rId208" w:history="1">
        <w:r>
          <w:rPr>
            <w:rStyle w:val="Hyperlink"/>
          </w:rPr>
          <w:t>2006/123/EC</w:t>
        </w:r>
      </w:hyperlink>
      <w:r>
        <w:t xml:space="preserve">, </w:t>
      </w:r>
      <w:hyperlink r:id="rId209" w:history="1">
        <w:r>
          <w:rPr>
            <w:rStyle w:val="Hyperlink"/>
          </w:rPr>
          <w:t>IP/16/323</w:t>
        </w:r>
      </w:hyperlink>
      <w:r>
        <w:t xml:space="preserve"> and </w:t>
      </w:r>
      <w:hyperlink r:id="rId210" w:history="1">
        <w:r>
          <w:rPr>
            <w:rStyle w:val="Hyperlink"/>
          </w:rPr>
          <w:t>MEMO/16/319</w:t>
        </w:r>
      </w:hyperlink>
      <w:r>
        <w:t>.</w:t>
      </w:r>
    </w:p>
  </w:footnote>
  <w:footnote w:id="133">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211" w:history="1">
        <w:r>
          <w:rPr>
            <w:rStyle w:val="Hyperlink"/>
            <w:lang w:val="pt-PT"/>
          </w:rPr>
          <w:t>2014/23/EU</w:t>
        </w:r>
      </w:hyperlink>
      <w:r>
        <w:rPr>
          <w:lang w:val="pt-PT"/>
        </w:rPr>
        <w:t xml:space="preserve">, </w:t>
      </w:r>
      <w:hyperlink r:id="rId212" w:history="1">
        <w:r>
          <w:rPr>
            <w:rStyle w:val="Hyperlink"/>
            <w:lang w:val="pt-PT"/>
          </w:rPr>
          <w:t>2014/24/EU</w:t>
        </w:r>
      </w:hyperlink>
      <w:r>
        <w:rPr>
          <w:lang w:val="pt-PT"/>
        </w:rPr>
        <w:t xml:space="preserve">, </w:t>
      </w:r>
      <w:hyperlink r:id="rId213" w:history="1">
        <w:r>
          <w:rPr>
            <w:rStyle w:val="Hyperlink"/>
            <w:lang w:val="pt-PT"/>
          </w:rPr>
          <w:t>2014/25/EU</w:t>
        </w:r>
      </w:hyperlink>
      <w:r>
        <w:rPr>
          <w:lang w:val="pt-PT"/>
        </w:rPr>
        <w:t xml:space="preserve">, </w:t>
      </w:r>
      <w:hyperlink r:id="rId214" w:history="1">
        <w:r>
          <w:rPr>
            <w:rStyle w:val="Hyperlink"/>
            <w:lang w:val="pt-PT"/>
          </w:rPr>
          <w:t>MEMO/16/1823</w:t>
        </w:r>
      </w:hyperlink>
      <w:r>
        <w:rPr>
          <w:lang w:val="pt-PT"/>
        </w:rPr>
        <w:t>.</w:t>
      </w:r>
    </w:p>
  </w:footnote>
  <w:footnote w:id="134">
    <w:p>
      <w:pPr>
        <w:pStyle w:val="FootnoteText"/>
        <w:rPr>
          <w:lang w:val="it-IT"/>
        </w:rPr>
      </w:pPr>
      <w:r>
        <w:rPr>
          <w:rStyle w:val="FootnoteReference"/>
        </w:rPr>
        <w:footnoteRef/>
      </w:r>
      <w:r>
        <w:rPr>
          <w:lang w:val="it-IT"/>
        </w:rPr>
        <w:t xml:space="preserve"> </w:t>
      </w:r>
      <w:r>
        <w:rPr>
          <w:lang w:val="it-IT"/>
        </w:rPr>
        <w:tab/>
        <w:t xml:space="preserve">Directive </w:t>
      </w:r>
      <w:hyperlink r:id="rId215" w:history="1">
        <w:r>
          <w:rPr>
            <w:rStyle w:val="Hyperlink"/>
            <w:lang w:val="it-IT"/>
          </w:rPr>
          <w:t>2008/50/EC</w:t>
        </w:r>
      </w:hyperlink>
      <w:r>
        <w:rPr>
          <w:lang w:val="it-IT"/>
        </w:rPr>
        <w:t xml:space="preserve">, Commission v Poland, </w:t>
      </w:r>
      <w:hyperlink r:id="rId216" w:history="1">
        <w:r>
          <w:rPr>
            <w:rStyle w:val="Hyperlink"/>
            <w:lang w:val="it-IT"/>
          </w:rPr>
          <w:t>C-336/16</w:t>
        </w:r>
      </w:hyperlink>
      <w:r>
        <w:rPr>
          <w:lang w:val="it-IT"/>
        </w:rPr>
        <w:t xml:space="preserve">; </w:t>
      </w:r>
      <w:hyperlink r:id="rId217" w:history="1">
        <w:r>
          <w:rPr>
            <w:rStyle w:val="Hyperlink"/>
            <w:lang w:val="it-IT"/>
          </w:rPr>
          <w:t>IP/15/6225</w:t>
        </w:r>
      </w:hyperlink>
      <w:r>
        <w:rPr>
          <w:lang w:val="it-IT"/>
        </w:rPr>
        <w:t>.</w:t>
      </w:r>
    </w:p>
  </w:footnote>
  <w:footnote w:id="135">
    <w:p>
      <w:pPr>
        <w:pStyle w:val="FootnoteText"/>
        <w:rPr>
          <w:lang w:val="it-IT"/>
        </w:rPr>
      </w:pPr>
      <w:r>
        <w:rPr>
          <w:rStyle w:val="FootnoteReference"/>
        </w:rPr>
        <w:footnoteRef/>
      </w:r>
      <w:r>
        <w:rPr>
          <w:lang w:val="it-IT"/>
        </w:rPr>
        <w:t xml:space="preserve"> </w:t>
      </w:r>
      <w:r>
        <w:rPr>
          <w:lang w:val="it-IT"/>
        </w:rPr>
        <w:tab/>
        <w:t xml:space="preserve">Commission v Poland, </w:t>
      </w:r>
      <w:hyperlink r:id="rId218" w:history="1">
        <w:r>
          <w:rPr>
            <w:rStyle w:val="Hyperlink"/>
            <w:lang w:val="it-IT"/>
          </w:rPr>
          <w:t>C-526/16</w:t>
        </w:r>
      </w:hyperlink>
      <w:r>
        <w:rPr>
          <w:lang w:val="it-IT"/>
        </w:rPr>
        <w:t xml:space="preserve">; </w:t>
      </w:r>
      <w:hyperlink r:id="rId219" w:history="1">
        <w:r>
          <w:rPr>
            <w:rStyle w:val="Hyperlink"/>
            <w:lang w:val="it-IT"/>
          </w:rPr>
          <w:t>IP/16/1454</w:t>
        </w:r>
      </w:hyperlink>
      <w:r>
        <w:rPr>
          <w:lang w:val="it-IT"/>
        </w:rPr>
        <w:t>.</w:t>
      </w:r>
    </w:p>
  </w:footnote>
  <w:footnote w:id="136">
    <w:p>
      <w:pPr>
        <w:pStyle w:val="FootnoteText"/>
        <w:rPr>
          <w:lang w:val="it-IT"/>
        </w:rPr>
      </w:pPr>
      <w:r>
        <w:rPr>
          <w:rStyle w:val="FootnoteReference"/>
        </w:rPr>
        <w:footnoteRef/>
      </w:r>
      <w:r>
        <w:rPr>
          <w:lang w:val="it-IT"/>
        </w:rPr>
        <w:t xml:space="preserve"> </w:t>
      </w:r>
      <w:r>
        <w:rPr>
          <w:lang w:val="it-IT"/>
        </w:rPr>
        <w:tab/>
        <w:t xml:space="preserve">Commission v Poland, </w:t>
      </w:r>
      <w:hyperlink r:id="rId220" w:history="1">
        <w:r>
          <w:rPr>
            <w:rStyle w:val="Hyperlink"/>
            <w:lang w:val="it-IT"/>
          </w:rPr>
          <w:t>C-23/16</w:t>
        </w:r>
      </w:hyperlink>
      <w:r>
        <w:rPr>
          <w:lang w:val="it-IT"/>
        </w:rPr>
        <w:t xml:space="preserve">, </w:t>
      </w:r>
      <w:hyperlink r:id="rId221" w:history="1">
        <w:r>
          <w:rPr>
            <w:rStyle w:val="Hyperlink"/>
            <w:lang w:val="it-IT"/>
          </w:rPr>
          <w:t>IP/15/6012</w:t>
        </w:r>
      </w:hyperlink>
      <w:r>
        <w:rPr>
          <w:rStyle w:val="Hyperlink"/>
          <w:lang w:val="it-IT"/>
        </w:rPr>
        <w:t>, MEMO/15/6006.</w:t>
      </w:r>
    </w:p>
  </w:footnote>
  <w:footnote w:id="137">
    <w:p>
      <w:pPr>
        <w:pStyle w:val="FootnoteText"/>
        <w:rPr>
          <w:lang w:val="it-IT"/>
        </w:rPr>
      </w:pPr>
      <w:r>
        <w:rPr>
          <w:rStyle w:val="FootnoteReference"/>
        </w:rPr>
        <w:footnoteRef/>
      </w:r>
      <w:r>
        <w:rPr>
          <w:lang w:val="it-IT"/>
        </w:rPr>
        <w:t xml:space="preserve"> </w:t>
      </w:r>
      <w:r>
        <w:rPr>
          <w:lang w:val="it-IT"/>
        </w:rPr>
        <w:tab/>
        <w:t xml:space="preserve">Commission v Poland, </w:t>
      </w:r>
      <w:hyperlink r:id="rId222" w:history="1">
        <w:r>
          <w:rPr>
            <w:rStyle w:val="Hyperlink"/>
            <w:lang w:val="it-IT"/>
          </w:rPr>
          <w:t>C-530/16</w:t>
        </w:r>
      </w:hyperlink>
      <w:r>
        <w:rPr>
          <w:lang w:val="it-IT"/>
        </w:rPr>
        <w:t xml:space="preserve">, </w:t>
      </w:r>
      <w:hyperlink r:id="rId223" w:history="1">
        <w:r>
          <w:rPr>
            <w:rStyle w:val="Hyperlink"/>
            <w:lang w:val="it-IT"/>
          </w:rPr>
          <w:t>IP/16/324</w:t>
        </w:r>
      </w:hyperlink>
      <w:r>
        <w:rPr>
          <w:lang w:val="it-IT"/>
        </w:rPr>
        <w:t xml:space="preserve">, </w:t>
      </w:r>
      <w:hyperlink r:id="rId224" w:history="1">
        <w:r>
          <w:rPr>
            <w:rStyle w:val="Hyperlink"/>
            <w:lang w:val="it-IT"/>
          </w:rPr>
          <w:t>MEMO/16/319</w:t>
        </w:r>
      </w:hyperlink>
      <w:r>
        <w:rPr>
          <w:rStyle w:val="Hyperlink"/>
          <w:lang w:val="it-IT"/>
        </w:rPr>
        <w:t>.</w:t>
      </w:r>
    </w:p>
  </w:footnote>
  <w:footnote w:id="138">
    <w:p>
      <w:pPr>
        <w:pStyle w:val="FootnoteText"/>
        <w:rPr>
          <w:lang w:val="it-IT"/>
        </w:rPr>
      </w:pPr>
      <w:r>
        <w:rPr>
          <w:rStyle w:val="FootnoteReference"/>
        </w:rPr>
        <w:footnoteRef/>
      </w:r>
      <w:r>
        <w:rPr>
          <w:lang w:val="it-IT"/>
        </w:rPr>
        <w:t xml:space="preserve"> </w:t>
      </w:r>
      <w:r>
        <w:rPr>
          <w:lang w:val="it-IT"/>
        </w:rPr>
        <w:tab/>
        <w:t xml:space="preserve">Directive </w:t>
      </w:r>
      <w:hyperlink r:id="rId225" w:history="1">
        <w:r>
          <w:rPr>
            <w:rStyle w:val="Hyperlink"/>
            <w:lang w:val="it-IT"/>
          </w:rPr>
          <w:t>2002/98/EC</w:t>
        </w:r>
      </w:hyperlink>
      <w:r>
        <w:rPr>
          <w:lang w:val="it-IT"/>
        </w:rPr>
        <w:t>.</w:t>
      </w:r>
    </w:p>
  </w:footnote>
  <w:footnote w:id="139">
    <w:p>
      <w:pPr>
        <w:pStyle w:val="FootnoteText"/>
        <w:rPr>
          <w:lang w:val="it-IT"/>
        </w:rPr>
      </w:pPr>
      <w:r>
        <w:rPr>
          <w:rStyle w:val="FootnoteReference"/>
        </w:rPr>
        <w:footnoteRef/>
      </w:r>
      <w:r>
        <w:rPr>
          <w:lang w:val="it-IT"/>
        </w:rPr>
        <w:t xml:space="preserve"> </w:t>
      </w:r>
      <w:r>
        <w:rPr>
          <w:lang w:val="it-IT"/>
        </w:rPr>
        <w:tab/>
        <w:t xml:space="preserve">Directives </w:t>
      </w:r>
      <w:hyperlink r:id="rId226" w:history="1">
        <w:r>
          <w:rPr>
            <w:rStyle w:val="Hyperlink"/>
            <w:lang w:val="it-IT"/>
          </w:rPr>
          <w:t>2011/92/EU</w:t>
        </w:r>
      </w:hyperlink>
      <w:r>
        <w:rPr>
          <w:lang w:val="it-IT"/>
        </w:rPr>
        <w:t xml:space="preserve"> and </w:t>
      </w:r>
      <w:hyperlink r:id="rId227" w:history="1">
        <w:r>
          <w:rPr>
            <w:rStyle w:val="Hyperlink"/>
            <w:lang w:val="it-IT"/>
          </w:rPr>
          <w:t>92/43/EEC</w:t>
        </w:r>
      </w:hyperlink>
      <w:r>
        <w:rPr>
          <w:lang w:val="it-IT"/>
        </w:rPr>
        <w:t>.</w:t>
      </w:r>
    </w:p>
  </w:footnote>
  <w:footnote w:id="140">
    <w:p>
      <w:pPr>
        <w:pStyle w:val="FootnoteText"/>
        <w:rPr>
          <w:lang w:val="it-IT"/>
        </w:rPr>
      </w:pPr>
      <w:r>
        <w:rPr>
          <w:rStyle w:val="FootnoteReference"/>
        </w:rPr>
        <w:footnoteRef/>
      </w:r>
      <w:r>
        <w:rPr>
          <w:lang w:val="it-IT"/>
        </w:rPr>
        <w:t xml:space="preserve"> </w:t>
      </w:r>
      <w:r>
        <w:rPr>
          <w:lang w:val="it-IT"/>
        </w:rPr>
        <w:tab/>
        <w:t xml:space="preserve">Directive </w:t>
      </w:r>
      <w:hyperlink r:id="rId228" w:history="1">
        <w:r>
          <w:rPr>
            <w:rStyle w:val="Hyperlink"/>
            <w:lang w:val="it-IT"/>
          </w:rPr>
          <w:t>2012/19/EU</w:t>
        </w:r>
      </w:hyperlink>
      <w:r>
        <w:rPr>
          <w:lang w:val="it-IT"/>
        </w:rPr>
        <w:t>.</w:t>
      </w:r>
    </w:p>
  </w:footnote>
  <w:footnote w:id="141">
    <w:p>
      <w:pPr>
        <w:pStyle w:val="FootnoteText"/>
        <w:rPr>
          <w:lang w:val="it-IT"/>
        </w:rPr>
      </w:pPr>
      <w:r>
        <w:rPr>
          <w:rStyle w:val="FootnoteReference"/>
        </w:rPr>
        <w:footnoteRef/>
      </w:r>
      <w:r>
        <w:rPr>
          <w:lang w:val="it-IT"/>
        </w:rPr>
        <w:t xml:space="preserve"> </w:t>
      </w:r>
      <w:r>
        <w:rPr>
          <w:lang w:val="it-IT"/>
        </w:rPr>
        <w:tab/>
        <w:t xml:space="preserve">Directive </w:t>
      </w:r>
      <w:hyperlink r:id="rId229" w:history="1">
        <w:r>
          <w:rPr>
            <w:rStyle w:val="Hyperlink"/>
            <w:lang w:val="it-IT"/>
          </w:rPr>
          <w:t>2006/126/EC</w:t>
        </w:r>
      </w:hyperlink>
      <w:r>
        <w:rPr>
          <w:lang w:val="it-IT"/>
        </w:rPr>
        <w:t xml:space="preserve">, IP/15/6229, </w:t>
      </w:r>
      <w:hyperlink r:id="rId230" w:history="1">
        <w:r>
          <w:rPr>
            <w:rStyle w:val="Hyperlink"/>
            <w:lang w:val="it-IT"/>
          </w:rPr>
          <w:t>MEMO/15/6223</w:t>
        </w:r>
      </w:hyperlink>
      <w:r>
        <w:rPr>
          <w:lang w:val="it-IT"/>
        </w:rPr>
        <w:t>.</w:t>
      </w:r>
    </w:p>
  </w:footnote>
  <w:footnote w:id="142">
    <w:p>
      <w:pPr>
        <w:pStyle w:val="FootnoteText"/>
        <w:rPr>
          <w:lang w:val="it-IT"/>
        </w:rPr>
      </w:pPr>
      <w:r>
        <w:rPr>
          <w:rStyle w:val="FootnoteReference"/>
        </w:rPr>
        <w:footnoteRef/>
      </w:r>
      <w:r>
        <w:rPr>
          <w:lang w:val="it-IT"/>
        </w:rPr>
        <w:t xml:space="preserve"> </w:t>
      </w:r>
      <w:r>
        <w:rPr>
          <w:lang w:val="it-IT"/>
        </w:rPr>
        <w:tab/>
        <w:t xml:space="preserve">Directive </w:t>
      </w:r>
      <w:hyperlink r:id="rId231" w:history="1">
        <w:r>
          <w:rPr>
            <w:rStyle w:val="Hyperlink"/>
            <w:lang w:val="it-IT"/>
          </w:rPr>
          <w:t>2004/52/EC</w:t>
        </w:r>
      </w:hyperlink>
      <w:r>
        <w:rPr>
          <w:lang w:val="it-IT"/>
        </w:rPr>
        <w:t>.</w:t>
      </w:r>
    </w:p>
  </w:footnote>
  <w:footnote w:id="143">
    <w:p>
      <w:pPr>
        <w:pStyle w:val="FootnoteText"/>
        <w:rPr>
          <w:lang w:val="it-IT"/>
        </w:rPr>
      </w:pPr>
      <w:r>
        <w:rPr>
          <w:rStyle w:val="FootnoteReference"/>
        </w:rPr>
        <w:footnoteRef/>
      </w:r>
      <w:r>
        <w:rPr>
          <w:lang w:val="it-IT"/>
        </w:rPr>
        <w:t xml:space="preserve"> </w:t>
      </w:r>
      <w:r>
        <w:rPr>
          <w:lang w:val="it-IT"/>
        </w:rPr>
        <w:tab/>
        <w:t xml:space="preserve">Directive </w:t>
      </w:r>
      <w:hyperlink r:id="rId232" w:history="1">
        <w:r>
          <w:rPr>
            <w:rStyle w:val="Hyperlink"/>
            <w:lang w:val="it-IT"/>
          </w:rPr>
          <w:t>2012/34/EU</w:t>
        </w:r>
      </w:hyperlink>
      <w:r>
        <w:rPr>
          <w:lang w:val="it-IT"/>
        </w:rPr>
        <w:t>.</w:t>
      </w:r>
    </w:p>
  </w:footnote>
  <w:footnote w:id="144">
    <w:p>
      <w:pPr>
        <w:pStyle w:val="FootnoteText"/>
        <w:rPr>
          <w:lang w:val="it-IT"/>
        </w:rPr>
      </w:pPr>
      <w:r>
        <w:rPr>
          <w:rStyle w:val="FootnoteReference"/>
        </w:rPr>
        <w:footnoteRef/>
      </w:r>
      <w:r>
        <w:rPr>
          <w:lang w:val="it-IT"/>
        </w:rPr>
        <w:t xml:space="preserve"> </w:t>
      </w:r>
      <w:r>
        <w:rPr>
          <w:lang w:val="it-IT"/>
        </w:rPr>
        <w:tab/>
        <w:t xml:space="preserve">Directive </w:t>
      </w:r>
      <w:hyperlink r:id="rId233" w:history="1">
        <w:r>
          <w:rPr>
            <w:rStyle w:val="Hyperlink"/>
            <w:lang w:val="it-IT"/>
          </w:rPr>
          <w:t>2013/14/EU</w:t>
        </w:r>
      </w:hyperlink>
      <w:r>
        <w:rPr>
          <w:lang w:val="it-IT"/>
        </w:rPr>
        <w:t>.</w:t>
      </w:r>
    </w:p>
  </w:footnote>
  <w:footnote w:id="145">
    <w:p>
      <w:pPr>
        <w:pStyle w:val="FootnoteText"/>
        <w:rPr>
          <w:lang w:val="it-IT"/>
        </w:rPr>
      </w:pPr>
      <w:r>
        <w:rPr>
          <w:rStyle w:val="FootnoteReference"/>
        </w:rPr>
        <w:footnoteRef/>
      </w:r>
      <w:r>
        <w:rPr>
          <w:lang w:val="it-IT"/>
        </w:rPr>
        <w:t xml:space="preserve"> </w:t>
      </w:r>
      <w:r>
        <w:rPr>
          <w:lang w:val="it-IT"/>
        </w:rPr>
        <w:tab/>
        <w:t xml:space="preserve">Directive </w:t>
      </w:r>
      <w:hyperlink r:id="rId234" w:history="1">
        <w:r>
          <w:rPr>
            <w:rStyle w:val="Hyperlink"/>
            <w:lang w:val="it-IT"/>
          </w:rPr>
          <w:t>2011/89/EU</w:t>
        </w:r>
      </w:hyperlink>
      <w:r>
        <w:rPr>
          <w:lang w:val="it-IT"/>
        </w:rPr>
        <w:t>.</w:t>
      </w:r>
    </w:p>
  </w:footnote>
  <w:footnote w:id="146">
    <w:p>
      <w:pPr>
        <w:pStyle w:val="FootnoteText"/>
      </w:pPr>
      <w:r>
        <w:rPr>
          <w:rStyle w:val="FootnoteReference"/>
        </w:rPr>
        <w:footnoteRef/>
      </w:r>
      <w:r>
        <w:t xml:space="preserve"> </w:t>
      </w:r>
      <w:r>
        <w:tab/>
        <w:t xml:space="preserve">Directive </w:t>
      </w:r>
      <w:hyperlink r:id="rId235" w:history="1">
        <w:r>
          <w:rPr>
            <w:rStyle w:val="Hyperlink"/>
          </w:rPr>
          <w:t>2005/14/EC</w:t>
        </w:r>
      </w:hyperlink>
      <w:r>
        <w:t>.</w:t>
      </w:r>
    </w:p>
  </w:footnote>
  <w:footnote w:id="147">
    <w:p>
      <w:pPr>
        <w:pStyle w:val="FootnoteText"/>
      </w:pPr>
      <w:r>
        <w:rPr>
          <w:rStyle w:val="FootnoteReference"/>
        </w:rPr>
        <w:footnoteRef/>
      </w:r>
      <w:r>
        <w:t xml:space="preserve"> </w:t>
      </w:r>
      <w:r>
        <w:tab/>
        <w:t>These rulings are almost exclusively handed down in infringement procedures.</w:t>
      </w:r>
    </w:p>
  </w:footnote>
  <w:footnote w:id="148">
    <w:p>
      <w:pPr>
        <w:pStyle w:val="FootnoteText"/>
      </w:pPr>
      <w:r>
        <w:rPr>
          <w:rStyle w:val="FootnoteReference"/>
        </w:rPr>
        <w:footnoteRef/>
      </w:r>
      <w:r>
        <w:t xml:space="preserve"> </w:t>
      </w:r>
      <w:r>
        <w:tab/>
        <w:t xml:space="preserve">Directive </w:t>
      </w:r>
      <w:hyperlink r:id="rId236" w:history="1">
        <w:r>
          <w:rPr>
            <w:rStyle w:val="Hyperlink"/>
            <w:bCs/>
          </w:rPr>
          <w:t>2000/60/EC</w:t>
        </w:r>
      </w:hyperlink>
      <w:r>
        <w:rPr>
          <w:bCs/>
        </w:rPr>
        <w:t xml:space="preserve">, </w:t>
      </w:r>
      <w:r>
        <w:t xml:space="preserve">Commission v Poland, </w:t>
      </w:r>
      <w:hyperlink r:id="rId237" w:history="1">
        <w:r>
          <w:rPr>
            <w:rStyle w:val="Hyperlink"/>
          </w:rPr>
          <w:t>C</w:t>
        </w:r>
        <w:r>
          <w:rPr>
            <w:rStyle w:val="Hyperlink"/>
          </w:rPr>
          <w:noBreakHyphen/>
          <w:t>648/13</w:t>
        </w:r>
      </w:hyperlink>
      <w:r>
        <w:t>.</w:t>
      </w:r>
    </w:p>
  </w:footnote>
  <w:footnote w:id="149">
    <w:p>
      <w:pPr>
        <w:pStyle w:val="FootnoteText"/>
        <w:rPr>
          <w:rFonts w:cs="Arial"/>
        </w:rPr>
      </w:pPr>
      <w:r>
        <w:rPr>
          <w:rStyle w:val="FootnoteReference"/>
        </w:rPr>
        <w:footnoteRef/>
      </w:r>
      <w:r>
        <w:t xml:space="preserve"> </w:t>
      </w:r>
      <w:r>
        <w:tab/>
        <w:t xml:space="preserve">Regulation (EC) </w:t>
      </w:r>
      <w:hyperlink r:id="rId238" w:history="1">
        <w:r>
          <w:rPr>
            <w:rStyle w:val="Hyperlink"/>
          </w:rPr>
          <w:t>No 1071/2009</w:t>
        </w:r>
      </w:hyperlink>
      <w:r>
        <w:t xml:space="preserve">, Commission v Poland, </w:t>
      </w:r>
      <w:hyperlink r:id="rId239" w:history="1">
        <w:r>
          <w:rPr>
            <w:rStyle w:val="Hyperlink"/>
          </w:rPr>
          <w:t>C-23/16</w:t>
        </w:r>
      </w:hyperlink>
      <w:r>
        <w:t>.</w:t>
      </w:r>
    </w:p>
  </w:footnote>
  <w:footnote w:id="150">
    <w:p>
      <w:pPr>
        <w:pStyle w:val="FootnoteText"/>
        <w:rPr>
          <w:lang w:val="pl-PL"/>
        </w:rPr>
      </w:pPr>
      <w:r>
        <w:rPr>
          <w:rStyle w:val="FootnoteReference"/>
        </w:rPr>
        <w:footnoteRef/>
      </w:r>
      <w:r>
        <w:rPr>
          <w:lang w:val="pl-PL"/>
        </w:rPr>
        <w:t xml:space="preserve"> </w:t>
      </w:r>
      <w:r>
        <w:rPr>
          <w:lang w:val="pl-PL"/>
        </w:rPr>
        <w:tab/>
        <w:t xml:space="preserve">Biuro podróży ‘Partner’, </w:t>
      </w:r>
      <w:hyperlink r:id="rId240" w:history="1">
        <w:r>
          <w:rPr>
            <w:rStyle w:val="Hyperlink"/>
            <w:lang w:val="pl-PL"/>
          </w:rPr>
          <w:t>C-119/15</w:t>
        </w:r>
      </w:hyperlink>
      <w:r>
        <w:rPr>
          <w:lang w:val="pl-PL"/>
        </w:rPr>
        <w:t>.</w:t>
      </w:r>
    </w:p>
  </w:footnote>
  <w:footnote w:id="151">
    <w:p>
      <w:pPr>
        <w:pStyle w:val="FootnoteText"/>
        <w:rPr>
          <w:lang w:val="pl-PL"/>
        </w:rPr>
      </w:pPr>
      <w:r>
        <w:rPr>
          <w:rStyle w:val="FootnoteReference"/>
        </w:rPr>
        <w:footnoteRef/>
      </w:r>
      <w:r>
        <w:rPr>
          <w:lang w:val="pl-PL"/>
        </w:rPr>
        <w:t xml:space="preserve"> </w:t>
      </w:r>
      <w:r>
        <w:rPr>
          <w:lang w:val="pl-PL"/>
        </w:rPr>
        <w:tab/>
      </w:r>
      <w:r>
        <w:rPr>
          <w:rStyle w:val="st"/>
          <w:lang w:val="pl-PL"/>
        </w:rPr>
        <w:t xml:space="preserve">Directive </w:t>
      </w:r>
      <w:hyperlink r:id="rId241" w:history="1">
        <w:r>
          <w:rPr>
            <w:rStyle w:val="Hyperlink"/>
            <w:lang w:val="pl-PL"/>
          </w:rPr>
          <w:t>2002/22/EC</w:t>
        </w:r>
      </w:hyperlink>
      <w:r>
        <w:rPr>
          <w:rStyle w:val="st"/>
          <w:lang w:val="pl-PL"/>
        </w:rPr>
        <w:t>.</w:t>
      </w:r>
    </w:p>
  </w:footnote>
  <w:footnote w:id="152">
    <w:p>
      <w:pPr>
        <w:pStyle w:val="FootnoteText"/>
        <w:rPr>
          <w:lang w:val="pl-PL"/>
        </w:rPr>
      </w:pPr>
      <w:r>
        <w:rPr>
          <w:rStyle w:val="FootnoteReference"/>
        </w:rPr>
        <w:footnoteRef/>
      </w:r>
      <w:r>
        <w:rPr>
          <w:lang w:val="pl-PL"/>
        </w:rPr>
        <w:t xml:space="preserve"> </w:t>
      </w:r>
      <w:r>
        <w:rPr>
          <w:lang w:val="pl-PL"/>
        </w:rPr>
        <w:tab/>
        <w:t xml:space="preserve">Polkomtel, </w:t>
      </w:r>
      <w:hyperlink r:id="rId242" w:history="1">
        <w:r>
          <w:rPr>
            <w:rStyle w:val="Hyperlink"/>
            <w:lang w:val="pl-PL"/>
          </w:rPr>
          <w:t>C-397/14</w:t>
        </w:r>
      </w:hyperlink>
      <w:r>
        <w:rPr>
          <w:lang w:val="pl-PL"/>
        </w:rPr>
        <w:t>.</w:t>
      </w:r>
    </w:p>
  </w:footnote>
  <w:footnote w:id="153">
    <w:p>
      <w:pPr>
        <w:pStyle w:val="FootnoteText"/>
        <w:rPr>
          <w:lang w:val="pl-PL"/>
        </w:rPr>
      </w:pPr>
      <w:r>
        <w:rPr>
          <w:rStyle w:val="FootnoteReference"/>
        </w:rPr>
        <w:footnoteRef/>
      </w:r>
      <w:r>
        <w:rPr>
          <w:lang w:val="pl-PL"/>
        </w:rPr>
        <w:t xml:space="preserve"> </w:t>
      </w:r>
      <w:r>
        <w:rPr>
          <w:lang w:val="pl-PL"/>
        </w:rPr>
        <w:tab/>
        <w:t xml:space="preserve">Directive </w:t>
      </w:r>
      <w:hyperlink r:id="rId243" w:history="1">
        <w:r>
          <w:rPr>
            <w:rStyle w:val="Hyperlink"/>
            <w:lang w:val="pl-PL"/>
          </w:rPr>
          <w:t>2002/21/EC</w:t>
        </w:r>
      </w:hyperlink>
      <w:r>
        <w:rPr>
          <w:lang w:val="pl-PL"/>
        </w:rPr>
        <w:t>.</w:t>
      </w:r>
    </w:p>
  </w:footnote>
  <w:footnote w:id="154">
    <w:p>
      <w:pPr>
        <w:pStyle w:val="FootnoteText"/>
        <w:rPr>
          <w:lang w:val="pl-PL"/>
        </w:rPr>
      </w:pPr>
      <w:r>
        <w:rPr>
          <w:rStyle w:val="FootnoteReference"/>
        </w:rPr>
        <w:footnoteRef/>
      </w:r>
      <w:r>
        <w:rPr>
          <w:lang w:val="pl-PL"/>
        </w:rPr>
        <w:t xml:space="preserve"> </w:t>
      </w:r>
      <w:r>
        <w:rPr>
          <w:lang w:val="pl-PL"/>
        </w:rPr>
        <w:tab/>
        <w:t xml:space="preserve">Prezes Urzędu Komunikacji Elektronicznej and Petrotel, </w:t>
      </w:r>
      <w:hyperlink r:id="rId244" w:history="1">
        <w:r>
          <w:rPr>
            <w:rStyle w:val="Hyperlink"/>
            <w:lang w:val="pl-PL"/>
          </w:rPr>
          <w:t>C-231/15</w:t>
        </w:r>
      </w:hyperlink>
      <w:r>
        <w:rPr>
          <w:lang w:val="pl-PL"/>
        </w:rPr>
        <w:t>.</w:t>
      </w:r>
    </w:p>
  </w:footnote>
  <w:footnote w:id="155">
    <w:p>
      <w:pPr>
        <w:pStyle w:val="FootnoteText"/>
        <w:rPr>
          <w:rFonts w:cs="Arial"/>
        </w:rPr>
      </w:pPr>
      <w:r>
        <w:rPr>
          <w:rStyle w:val="FootnoteReference"/>
        </w:rPr>
        <w:footnoteRef/>
      </w:r>
      <w:r>
        <w:rPr>
          <w:lang w:val="pt-PT"/>
        </w:rPr>
        <w:t xml:space="preserve"> </w:t>
      </w:r>
      <w:r>
        <w:rPr>
          <w:lang w:val="pt-PT"/>
        </w:rPr>
        <w:tab/>
        <w:t xml:space="preserve">Directive </w:t>
      </w:r>
      <w:hyperlink r:id="rId245" w:history="1">
        <w:r>
          <w:rPr>
            <w:rStyle w:val="Hyperlink"/>
            <w:lang w:val="pt-PT"/>
          </w:rPr>
          <w:t>2015/1535/EU</w:t>
        </w:r>
      </w:hyperlink>
      <w:r>
        <w:rPr>
          <w:lang w:val="pt-PT"/>
        </w:rPr>
        <w:t xml:space="preserve">, </w:t>
      </w:r>
      <w:r>
        <w:rPr>
          <w:rStyle w:val="affairetitle"/>
          <w:lang w:val="pt-PT"/>
        </w:rPr>
        <w:t xml:space="preserve">M. and S. </w:t>
      </w:r>
      <w:hyperlink r:id="rId246" w:history="1">
        <w:r>
          <w:rPr>
            <w:rStyle w:val="Hyperlink"/>
          </w:rPr>
          <w:t>C-303/15</w:t>
        </w:r>
      </w:hyperlink>
      <w:r>
        <w:t>.</w:t>
      </w:r>
    </w:p>
  </w:footnote>
  <w:footnote w:id="156">
    <w:p>
      <w:pPr>
        <w:pStyle w:val="FootnoteText"/>
      </w:pPr>
      <w:r>
        <w:rPr>
          <w:rStyle w:val="FootnoteReference"/>
        </w:rPr>
        <w:footnoteRef/>
      </w:r>
      <w:r>
        <w:t xml:space="preserve"> </w:t>
      </w:r>
      <w:r>
        <w:tab/>
        <w:t xml:space="preserve">Council Decisions </w:t>
      </w:r>
      <w:hyperlink r:id="rId247" w:history="1">
        <w:r>
          <w:rPr>
            <w:rStyle w:val="Hyperlink"/>
          </w:rPr>
          <w:t>2008/615/JHA</w:t>
        </w:r>
      </w:hyperlink>
      <w:r>
        <w:t xml:space="preserve"> and </w:t>
      </w:r>
      <w:hyperlink r:id="rId248" w:history="1">
        <w:r>
          <w:rPr>
            <w:rStyle w:val="Hyperlink"/>
          </w:rPr>
          <w:t>2008/616/JHA</w:t>
        </w:r>
      </w:hyperlink>
      <w:r>
        <w:t xml:space="preserve">; </w:t>
      </w:r>
      <w:hyperlink r:id="rId249" w:history="1">
        <w:r>
          <w:rPr>
            <w:rStyle w:val="Hyperlink"/>
          </w:rPr>
          <w:t>MEMO/16/3125</w:t>
        </w:r>
      </w:hyperlink>
      <w:r>
        <w:t>.</w:t>
      </w:r>
    </w:p>
  </w:footnote>
  <w:footnote w:id="157">
    <w:p>
      <w:pPr>
        <w:pStyle w:val="FootnoteText"/>
        <w:rPr>
          <w:rFonts w:cs="Arial"/>
          <w:szCs w:val="18"/>
          <w:lang w:val="pt-PT"/>
        </w:rPr>
      </w:pPr>
      <w:r>
        <w:rPr>
          <w:rStyle w:val="FootnoteReference"/>
        </w:rPr>
        <w:footnoteRef/>
      </w:r>
      <w:r>
        <w:rPr>
          <w:lang w:val="pt-PT"/>
        </w:rPr>
        <w:t xml:space="preserve"> </w:t>
      </w:r>
      <w:r>
        <w:rPr>
          <w:lang w:val="pt-PT"/>
        </w:rPr>
        <w:tab/>
        <w:t xml:space="preserve">Directive </w:t>
      </w:r>
      <w:hyperlink r:id="rId250" w:history="1">
        <w:r>
          <w:rPr>
            <w:rStyle w:val="Hyperlink"/>
            <w:lang w:val="pt-PT"/>
          </w:rPr>
          <w:t>92/43/EEC</w:t>
        </w:r>
      </w:hyperlink>
      <w:r>
        <w:rPr>
          <w:lang w:val="pt-PT"/>
        </w:rPr>
        <w:t>;</w:t>
      </w:r>
      <w:r>
        <w:rPr>
          <w:rFonts w:cs="Arial"/>
          <w:szCs w:val="18"/>
          <w:lang w:val="pt-PT"/>
        </w:rPr>
        <w:t xml:space="preserve"> </w:t>
      </w:r>
      <w:hyperlink r:id="rId251" w:history="1">
        <w:r>
          <w:rPr>
            <w:rStyle w:val="Hyperlink"/>
            <w:lang w:val="pt-PT"/>
          </w:rPr>
          <w:t>MEMO/16/1823</w:t>
        </w:r>
      </w:hyperlink>
      <w:r>
        <w:rPr>
          <w:rFonts w:cs="Arial"/>
          <w:szCs w:val="18"/>
          <w:lang w:val="pt-PT"/>
        </w:rPr>
        <w:t>.</w:t>
      </w:r>
    </w:p>
  </w:footnote>
  <w:footnote w:id="158">
    <w:p>
      <w:pPr>
        <w:pStyle w:val="FootnoteText"/>
        <w:rPr>
          <w:lang w:val="pt-PT"/>
        </w:rPr>
      </w:pPr>
      <w:r>
        <w:rPr>
          <w:rStyle w:val="FootnoteReference"/>
        </w:rPr>
        <w:footnoteRef/>
      </w:r>
      <w:r>
        <w:rPr>
          <w:lang w:val="pt-PT"/>
        </w:rPr>
        <w:t xml:space="preserve"> </w:t>
      </w:r>
      <w:r>
        <w:rPr>
          <w:lang w:val="pt-PT"/>
        </w:rPr>
        <w:tab/>
        <w:t xml:space="preserve">Directive </w:t>
      </w:r>
      <w:hyperlink r:id="rId252" w:history="1">
        <w:r>
          <w:rPr>
            <w:rStyle w:val="Hyperlink"/>
            <w:lang w:val="pt-PT"/>
          </w:rPr>
          <w:t>2013/30/EU</w:t>
        </w:r>
      </w:hyperlink>
      <w:r>
        <w:rPr>
          <w:lang w:val="pt-PT"/>
        </w:rPr>
        <w:t xml:space="preserve">; </w:t>
      </w:r>
      <w:hyperlink r:id="rId253" w:history="1">
        <w:r>
          <w:rPr>
            <w:rStyle w:val="Hyperlink"/>
            <w:lang w:val="pt-PT"/>
          </w:rPr>
          <w:t>MEMO/16/319</w:t>
        </w:r>
      </w:hyperlink>
    </w:p>
  </w:footnote>
  <w:footnote w:id="159">
    <w:p>
      <w:pPr>
        <w:pStyle w:val="FootnoteText"/>
        <w:rPr>
          <w:lang w:val="pt-PT"/>
        </w:rPr>
      </w:pPr>
      <w:r>
        <w:rPr>
          <w:rStyle w:val="FootnoteReference"/>
        </w:rPr>
        <w:footnoteRef/>
      </w:r>
      <w:r>
        <w:rPr>
          <w:lang w:val="pt-PT"/>
        </w:rPr>
        <w:t xml:space="preserve"> </w:t>
      </w:r>
      <w:r>
        <w:rPr>
          <w:lang w:val="pt-PT"/>
        </w:rPr>
        <w:tab/>
        <w:t xml:space="preserve">Directive </w:t>
      </w:r>
      <w:hyperlink r:id="rId254" w:history="1">
        <w:r>
          <w:rPr>
            <w:rStyle w:val="Hyperlink"/>
            <w:lang w:val="pt-PT"/>
          </w:rPr>
          <w:t>2009/28/EC</w:t>
        </w:r>
      </w:hyperlink>
      <w:r>
        <w:rPr>
          <w:lang w:val="pt-PT"/>
        </w:rPr>
        <w:t xml:space="preserve">; </w:t>
      </w:r>
      <w:hyperlink r:id="rId255" w:history="1">
        <w:r>
          <w:rPr>
            <w:rStyle w:val="Hyperlink"/>
            <w:lang w:val="pt-PT"/>
          </w:rPr>
          <w:t>MEMO/16/1452</w:t>
        </w:r>
      </w:hyperlink>
      <w:r>
        <w:rPr>
          <w:lang w:val="pt-PT"/>
        </w:rPr>
        <w:t>.</w:t>
      </w:r>
    </w:p>
  </w:footnote>
  <w:footnote w:id="160">
    <w:p>
      <w:pPr>
        <w:pStyle w:val="FootnoteText"/>
        <w:rPr>
          <w:lang w:val="pt-PT"/>
        </w:rPr>
      </w:pPr>
      <w:r>
        <w:rPr>
          <w:rStyle w:val="FootnoteReference"/>
        </w:rPr>
        <w:footnoteRef/>
      </w:r>
      <w:r>
        <w:rPr>
          <w:lang w:val="pt-PT"/>
        </w:rPr>
        <w:t xml:space="preserve"> </w:t>
      </w:r>
      <w:r>
        <w:rPr>
          <w:lang w:val="pt-PT"/>
        </w:rPr>
        <w:tab/>
        <w:t xml:space="preserve">Directive </w:t>
      </w:r>
      <w:hyperlink r:id="rId256" w:history="1">
        <w:r>
          <w:rPr>
            <w:rStyle w:val="Hyperlink"/>
            <w:lang w:val="pt-PT"/>
          </w:rPr>
          <w:t>2014/17/EU</w:t>
        </w:r>
      </w:hyperlink>
      <w:r>
        <w:rPr>
          <w:lang w:val="pt-PT"/>
        </w:rPr>
        <w:t xml:space="preserve">; </w:t>
      </w:r>
      <w:hyperlink r:id="rId257" w:history="1">
        <w:r>
          <w:rPr>
            <w:rStyle w:val="Hyperlink"/>
            <w:lang w:val="pt-PT"/>
          </w:rPr>
          <w:t>MEMO/16/3644</w:t>
        </w:r>
      </w:hyperlink>
      <w:r>
        <w:rPr>
          <w:lang w:val="pt-PT"/>
        </w:rPr>
        <w:t>.</w:t>
      </w:r>
    </w:p>
  </w:footnote>
  <w:footnote w:id="161">
    <w:p>
      <w:pPr>
        <w:pStyle w:val="FootnoteText"/>
        <w:rPr>
          <w:lang w:val="pt-PT"/>
        </w:rPr>
      </w:pPr>
      <w:r>
        <w:rPr>
          <w:rStyle w:val="FootnoteReference"/>
        </w:rPr>
        <w:footnoteRef/>
      </w:r>
      <w:r>
        <w:rPr>
          <w:lang w:val="pt-PT"/>
        </w:rPr>
        <w:t xml:space="preserve"> </w:t>
      </w:r>
      <w:r>
        <w:rPr>
          <w:lang w:val="pt-PT"/>
        </w:rPr>
        <w:tab/>
        <w:t xml:space="preserve">Directive </w:t>
      </w:r>
      <w:hyperlink r:id="rId258" w:history="1">
        <w:r>
          <w:rPr>
            <w:rStyle w:val="Hyperlink"/>
            <w:lang w:val="pt-PT"/>
          </w:rPr>
          <w:t>2013/50/EU</w:t>
        </w:r>
      </w:hyperlink>
      <w:r>
        <w:rPr>
          <w:lang w:val="pt-PT"/>
        </w:rPr>
        <w:t xml:space="preserve">; </w:t>
      </w:r>
      <w:hyperlink r:id="rId259" w:history="1">
        <w:r>
          <w:rPr>
            <w:rStyle w:val="Hyperlink"/>
            <w:lang w:val="pt-PT"/>
          </w:rPr>
          <w:t>MEMO/16/3644</w:t>
        </w:r>
      </w:hyperlink>
      <w:r>
        <w:rPr>
          <w:lang w:val="pt-PT"/>
        </w:rPr>
        <w:t>.</w:t>
      </w:r>
    </w:p>
  </w:footnote>
  <w:footnote w:id="162">
    <w:p>
      <w:pPr>
        <w:pStyle w:val="FootnoteText"/>
        <w:rPr>
          <w:lang w:val="pt-PT"/>
        </w:rPr>
      </w:pPr>
      <w:r>
        <w:rPr>
          <w:rStyle w:val="FootnoteReference"/>
        </w:rPr>
        <w:footnoteRef/>
      </w:r>
      <w:r>
        <w:rPr>
          <w:lang w:val="pt-PT"/>
        </w:rPr>
        <w:t xml:space="preserve"> </w:t>
      </w:r>
      <w:r>
        <w:rPr>
          <w:lang w:val="pt-PT"/>
        </w:rPr>
        <w:tab/>
        <w:t xml:space="preserve">Directive </w:t>
      </w:r>
      <w:hyperlink r:id="rId260" w:history="1">
        <w:r>
          <w:rPr>
            <w:rStyle w:val="Hyperlink"/>
            <w:lang w:val="pt-PT"/>
          </w:rPr>
          <w:t>2009/18/EC</w:t>
        </w:r>
      </w:hyperlink>
      <w:r>
        <w:rPr>
          <w:lang w:val="pt-PT"/>
        </w:rPr>
        <w:t>.</w:t>
      </w:r>
    </w:p>
  </w:footnote>
  <w:footnote w:id="163">
    <w:p>
      <w:pPr>
        <w:pStyle w:val="FootnoteText"/>
        <w:rPr>
          <w:lang w:val="pt-PT"/>
        </w:rPr>
      </w:pPr>
      <w:r>
        <w:rPr>
          <w:rStyle w:val="FootnoteReference"/>
        </w:rPr>
        <w:footnoteRef/>
      </w:r>
      <w:r>
        <w:rPr>
          <w:lang w:val="pt-PT"/>
        </w:rPr>
        <w:t xml:space="preserve"> </w:t>
      </w:r>
      <w:r>
        <w:rPr>
          <w:lang w:val="pt-PT"/>
        </w:rPr>
        <w:tab/>
        <w:t xml:space="preserve">Directive </w:t>
      </w:r>
      <w:hyperlink r:id="rId261" w:history="1">
        <w:r>
          <w:rPr>
            <w:rStyle w:val="Hyperlink"/>
            <w:lang w:val="pt-PT"/>
          </w:rPr>
          <w:t>2009/16/EC</w:t>
        </w:r>
      </w:hyperlink>
      <w:r>
        <w:rPr>
          <w:lang w:val="pt-PT"/>
        </w:rPr>
        <w:t>.</w:t>
      </w:r>
    </w:p>
  </w:footnote>
  <w:footnote w:id="164">
    <w:p>
      <w:pPr>
        <w:pStyle w:val="FootnoteText"/>
        <w:rPr>
          <w:lang w:val="pt-PT"/>
        </w:rPr>
      </w:pPr>
      <w:r>
        <w:rPr>
          <w:rStyle w:val="FootnoteReference"/>
        </w:rPr>
        <w:footnoteRef/>
      </w:r>
      <w:r>
        <w:rPr>
          <w:lang w:val="pt-PT"/>
        </w:rPr>
        <w:t xml:space="preserve"> </w:t>
      </w:r>
      <w:r>
        <w:rPr>
          <w:lang w:val="pt-PT"/>
        </w:rPr>
        <w:tab/>
      </w:r>
      <w:r>
        <w:rPr>
          <w:rStyle w:val="Emphasis"/>
          <w:i w:val="0"/>
          <w:lang w:val="pt-PT"/>
        </w:rPr>
        <w:t xml:space="preserve">Directive </w:t>
      </w:r>
      <w:hyperlink r:id="rId262" w:history="1">
        <w:r>
          <w:rPr>
            <w:rStyle w:val="Hyperlink"/>
            <w:lang w:val="pt-PT"/>
          </w:rPr>
          <w:t>2009/21/EC</w:t>
        </w:r>
      </w:hyperlink>
      <w:r>
        <w:rPr>
          <w:rStyle w:val="Emphasis"/>
          <w:i w:val="0"/>
          <w:lang w:val="pt-PT"/>
        </w:rPr>
        <w:t xml:space="preserve">; </w:t>
      </w:r>
      <w:hyperlink r:id="rId263" w:history="1">
        <w:r>
          <w:rPr>
            <w:rStyle w:val="Hyperlink"/>
            <w:lang w:val="pt-PT"/>
          </w:rPr>
          <w:t>MEMO/16/3125</w:t>
        </w:r>
      </w:hyperlink>
      <w:r>
        <w:rPr>
          <w:lang w:val="pt-PT"/>
        </w:rPr>
        <w:t>.</w:t>
      </w:r>
    </w:p>
  </w:footnote>
  <w:footnote w:id="165">
    <w:p>
      <w:pPr>
        <w:pStyle w:val="FootnoteText"/>
        <w:rPr>
          <w:lang w:val="pt-PT"/>
        </w:rPr>
      </w:pPr>
      <w:r>
        <w:rPr>
          <w:rStyle w:val="FootnoteReference"/>
        </w:rPr>
        <w:footnoteRef/>
      </w:r>
      <w:r>
        <w:rPr>
          <w:lang w:val="pt-PT"/>
        </w:rPr>
        <w:t xml:space="preserve"> </w:t>
      </w:r>
      <w:r>
        <w:rPr>
          <w:lang w:val="pt-PT"/>
        </w:rPr>
        <w:tab/>
        <w:t xml:space="preserve">Directive </w:t>
      </w:r>
      <w:hyperlink r:id="rId264" w:history="1">
        <w:r>
          <w:rPr>
            <w:rStyle w:val="Hyperlink"/>
            <w:lang w:val="pt-PT"/>
          </w:rPr>
          <w:t>2009/15/EC</w:t>
        </w:r>
      </w:hyperlink>
      <w:r>
        <w:rPr>
          <w:lang w:val="pt-PT"/>
        </w:rPr>
        <w:t xml:space="preserve">; </w:t>
      </w:r>
      <w:hyperlink r:id="rId265" w:history="1">
        <w:r>
          <w:rPr>
            <w:rStyle w:val="Hyperlink"/>
            <w:lang w:val="pt-PT"/>
          </w:rPr>
          <w:t>MEMO/16/2490</w:t>
        </w:r>
      </w:hyperlink>
      <w:r>
        <w:rPr>
          <w:lang w:val="pt-PT"/>
        </w:rPr>
        <w:t>.</w:t>
      </w:r>
    </w:p>
  </w:footnote>
  <w:footnote w:id="166">
    <w:p>
      <w:pPr>
        <w:pStyle w:val="FootnoteText"/>
        <w:rPr>
          <w:lang w:val="pt-PT"/>
        </w:rPr>
      </w:pPr>
      <w:r>
        <w:rPr>
          <w:rStyle w:val="FootnoteReference"/>
        </w:rPr>
        <w:footnoteRef/>
      </w:r>
      <w:r>
        <w:rPr>
          <w:lang w:val="pt-PT"/>
        </w:rPr>
        <w:t xml:space="preserve"> </w:t>
      </w:r>
      <w:r>
        <w:rPr>
          <w:lang w:val="pt-PT"/>
        </w:rPr>
        <w:tab/>
        <w:t xml:space="preserve">Directive </w:t>
      </w:r>
      <w:hyperlink r:id="rId266" w:history="1">
        <w:r>
          <w:rPr>
            <w:rStyle w:val="Hyperlink"/>
            <w:lang w:val="pt-PT"/>
          </w:rPr>
          <w:t>2006/126/EC</w:t>
        </w:r>
      </w:hyperlink>
      <w:r>
        <w:rPr>
          <w:lang w:val="pt-PT"/>
        </w:rPr>
        <w:t xml:space="preserve">; </w:t>
      </w:r>
      <w:hyperlink r:id="rId267" w:history="1">
        <w:r>
          <w:rPr>
            <w:rStyle w:val="Hyperlink"/>
            <w:lang w:val="pt-PT"/>
          </w:rPr>
          <w:t>MEMO/16/2097</w:t>
        </w:r>
      </w:hyperlink>
      <w:r>
        <w:rPr>
          <w:lang w:val="pt-PT"/>
        </w:rPr>
        <w:t>.</w:t>
      </w:r>
    </w:p>
  </w:footnote>
  <w:footnote w:id="167">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268" w:history="1">
        <w:r>
          <w:rPr>
            <w:rStyle w:val="Hyperlink"/>
            <w:lang w:val="pt-PT"/>
          </w:rPr>
          <w:t>2014/23/EU</w:t>
        </w:r>
      </w:hyperlink>
      <w:r>
        <w:rPr>
          <w:lang w:val="pt-PT"/>
        </w:rPr>
        <w:t xml:space="preserve">, </w:t>
      </w:r>
      <w:hyperlink r:id="rId269" w:history="1">
        <w:r>
          <w:rPr>
            <w:rStyle w:val="Hyperlink"/>
            <w:lang w:val="pt-PT"/>
          </w:rPr>
          <w:t>2014/24/EU</w:t>
        </w:r>
      </w:hyperlink>
      <w:r>
        <w:rPr>
          <w:lang w:val="pt-PT"/>
        </w:rPr>
        <w:t xml:space="preserve"> and </w:t>
      </w:r>
      <w:hyperlink r:id="rId270" w:history="1">
        <w:r>
          <w:rPr>
            <w:rStyle w:val="Hyperlink"/>
            <w:lang w:val="pt-PT"/>
          </w:rPr>
          <w:t>2014/25/EU</w:t>
        </w:r>
      </w:hyperlink>
      <w:r>
        <w:rPr>
          <w:lang w:val="pt-PT"/>
        </w:rPr>
        <w:t xml:space="preserve">; </w:t>
      </w:r>
      <w:hyperlink r:id="rId271" w:history="1">
        <w:r>
          <w:rPr>
            <w:rStyle w:val="Hyperlink"/>
            <w:lang w:val="pt-PT"/>
          </w:rPr>
          <w:t>MEMO/16/4211</w:t>
        </w:r>
      </w:hyperlink>
      <w:r>
        <w:rPr>
          <w:lang w:val="pt-PT"/>
        </w:rPr>
        <w:t>.</w:t>
      </w:r>
    </w:p>
  </w:footnote>
  <w:footnote w:id="168">
    <w:p>
      <w:pPr>
        <w:pStyle w:val="FootnoteText"/>
        <w:rPr>
          <w:lang w:val="pt-PT"/>
        </w:rPr>
      </w:pPr>
      <w:r>
        <w:rPr>
          <w:rStyle w:val="FootnoteReference"/>
        </w:rPr>
        <w:footnoteRef/>
      </w:r>
      <w:r>
        <w:rPr>
          <w:lang w:val="pt-PT"/>
        </w:rPr>
        <w:t xml:space="preserve"> </w:t>
      </w:r>
      <w:r>
        <w:rPr>
          <w:lang w:val="pt-PT"/>
        </w:rPr>
        <w:tab/>
        <w:t xml:space="preserve">Directive </w:t>
      </w:r>
      <w:hyperlink r:id="rId272" w:history="1">
        <w:r>
          <w:rPr>
            <w:rStyle w:val="Hyperlink"/>
            <w:lang w:val="pt-PT"/>
          </w:rPr>
          <w:t>2013/55/EU</w:t>
        </w:r>
      </w:hyperlink>
      <w:r>
        <w:rPr>
          <w:lang w:val="pt-PT"/>
        </w:rPr>
        <w:t xml:space="preserve">; </w:t>
      </w:r>
      <w:hyperlink r:id="rId273" w:history="1">
        <w:r>
          <w:rPr>
            <w:rStyle w:val="Hyperlink"/>
            <w:lang w:val="pt-PT"/>
          </w:rPr>
          <w:t>MEMO/16/3125</w:t>
        </w:r>
      </w:hyperlink>
      <w:r>
        <w:rPr>
          <w:lang w:val="pt-PT"/>
        </w:rPr>
        <w:t>.</w:t>
      </w:r>
    </w:p>
  </w:footnote>
  <w:footnote w:id="169">
    <w:p>
      <w:pPr>
        <w:pStyle w:val="FootnoteText"/>
        <w:rPr>
          <w:lang w:val="pt-PT"/>
        </w:rPr>
      </w:pPr>
      <w:r>
        <w:rPr>
          <w:rStyle w:val="FootnoteReference"/>
        </w:rPr>
        <w:footnoteRef/>
      </w:r>
      <w:r>
        <w:rPr>
          <w:lang w:val="pt-PT"/>
        </w:rPr>
        <w:t xml:space="preserve"> </w:t>
      </w:r>
      <w:r>
        <w:rPr>
          <w:lang w:val="pt-PT"/>
        </w:rPr>
        <w:tab/>
        <w:t xml:space="preserve">Directive </w:t>
      </w:r>
      <w:hyperlink r:id="rId274" w:history="1">
        <w:r>
          <w:rPr>
            <w:rStyle w:val="Hyperlink"/>
            <w:lang w:val="pt-PT"/>
          </w:rPr>
          <w:t>2008/120/EC</w:t>
        </w:r>
      </w:hyperlink>
      <w:r>
        <w:rPr>
          <w:lang w:val="pt-PT"/>
        </w:rPr>
        <w:t>.</w:t>
      </w:r>
    </w:p>
  </w:footnote>
  <w:footnote w:id="170">
    <w:p>
      <w:pPr>
        <w:pStyle w:val="FootnoteText"/>
        <w:rPr>
          <w:lang w:val="pt-PT"/>
        </w:rPr>
      </w:pPr>
      <w:r>
        <w:rPr>
          <w:rStyle w:val="FootnoteReference"/>
        </w:rPr>
        <w:footnoteRef/>
      </w:r>
      <w:r>
        <w:rPr>
          <w:lang w:val="pt-PT"/>
        </w:rPr>
        <w:t xml:space="preserve"> </w:t>
      </w:r>
      <w:r>
        <w:rPr>
          <w:lang w:val="pt-PT"/>
        </w:rPr>
        <w:tab/>
        <w:t xml:space="preserve">Directive </w:t>
      </w:r>
      <w:hyperlink r:id="rId275" w:history="1">
        <w:r>
          <w:rPr>
            <w:rStyle w:val="Hyperlink"/>
            <w:lang w:val="pt-PT"/>
          </w:rPr>
          <w:t>1999/31/EC</w:t>
        </w:r>
      </w:hyperlink>
      <w:r>
        <w:rPr>
          <w:lang w:val="pt-PT"/>
        </w:rPr>
        <w:t>.</w:t>
      </w:r>
    </w:p>
  </w:footnote>
  <w:footnote w:id="171">
    <w:p>
      <w:pPr>
        <w:pStyle w:val="FootnoteText"/>
        <w:rPr>
          <w:lang w:val="pt-PT"/>
        </w:rPr>
      </w:pPr>
      <w:r>
        <w:rPr>
          <w:rStyle w:val="FootnoteReference"/>
        </w:rPr>
        <w:footnoteRef/>
      </w:r>
      <w:r>
        <w:rPr>
          <w:lang w:val="pt-PT"/>
        </w:rPr>
        <w:t xml:space="preserve"> </w:t>
      </w:r>
      <w:r>
        <w:rPr>
          <w:lang w:val="pt-PT"/>
        </w:rPr>
        <w:tab/>
        <w:t xml:space="preserve">Directive </w:t>
      </w:r>
      <w:hyperlink r:id="rId276" w:history="1">
        <w:r>
          <w:rPr>
            <w:rStyle w:val="Hyperlink"/>
            <w:lang w:val="pt-PT"/>
          </w:rPr>
          <w:t>2013/36/EU</w:t>
        </w:r>
      </w:hyperlink>
      <w:r>
        <w:rPr>
          <w:lang w:val="pt-PT"/>
        </w:rPr>
        <w:t>.</w:t>
      </w:r>
    </w:p>
  </w:footnote>
  <w:footnote w:id="172">
    <w:p>
      <w:pPr>
        <w:pStyle w:val="FootnoteText"/>
        <w:rPr>
          <w:lang w:val="pt-PT"/>
        </w:rPr>
      </w:pPr>
      <w:r>
        <w:rPr>
          <w:rStyle w:val="FootnoteReference"/>
        </w:rPr>
        <w:footnoteRef/>
      </w:r>
      <w:r>
        <w:rPr>
          <w:lang w:val="pt-PT"/>
        </w:rPr>
        <w:t xml:space="preserve"> </w:t>
      </w:r>
      <w:r>
        <w:rPr>
          <w:lang w:val="pt-PT"/>
        </w:rPr>
        <w:tab/>
        <w:t xml:space="preserve">Directive </w:t>
      </w:r>
      <w:hyperlink r:id="rId277" w:history="1">
        <w:r>
          <w:rPr>
            <w:rStyle w:val="Hyperlink"/>
            <w:lang w:val="pt-PT"/>
          </w:rPr>
          <w:t>2014/59/EU</w:t>
        </w:r>
      </w:hyperlink>
      <w:r>
        <w:rPr>
          <w:lang w:val="pt-PT"/>
        </w:rPr>
        <w:t>.</w:t>
      </w:r>
    </w:p>
  </w:footnote>
  <w:footnote w:id="173">
    <w:p>
      <w:pPr>
        <w:pStyle w:val="FootnoteText"/>
        <w:rPr>
          <w:lang w:val="pt-PT"/>
        </w:rPr>
      </w:pPr>
      <w:r>
        <w:rPr>
          <w:rStyle w:val="FootnoteReference"/>
        </w:rPr>
        <w:footnoteRef/>
      </w:r>
      <w:r>
        <w:rPr>
          <w:lang w:val="pt-PT"/>
        </w:rPr>
        <w:t xml:space="preserve"> </w:t>
      </w:r>
      <w:r>
        <w:rPr>
          <w:lang w:val="pt-PT"/>
        </w:rPr>
        <w:tab/>
        <w:t xml:space="preserve">Directive </w:t>
      </w:r>
      <w:hyperlink r:id="rId278" w:history="1">
        <w:r>
          <w:rPr>
            <w:rStyle w:val="Hyperlink"/>
            <w:lang w:val="pt-PT"/>
          </w:rPr>
          <w:t>2013/14/EU</w:t>
        </w:r>
      </w:hyperlink>
      <w:r>
        <w:rPr>
          <w:lang w:val="pt-PT"/>
        </w:rPr>
        <w:t>.</w:t>
      </w:r>
    </w:p>
  </w:footnote>
  <w:footnote w:id="174">
    <w:p>
      <w:pPr>
        <w:pStyle w:val="FootnoteText"/>
        <w:rPr>
          <w:lang w:val="pt-PT"/>
        </w:rPr>
      </w:pPr>
      <w:r>
        <w:rPr>
          <w:rStyle w:val="FootnoteReference"/>
        </w:rPr>
        <w:footnoteRef/>
      </w:r>
      <w:r>
        <w:rPr>
          <w:lang w:val="pt-PT"/>
        </w:rPr>
        <w:t xml:space="preserve"> </w:t>
      </w:r>
      <w:r>
        <w:rPr>
          <w:lang w:val="pt-PT"/>
        </w:rPr>
        <w:tab/>
        <w:t xml:space="preserve">Directive </w:t>
      </w:r>
      <w:hyperlink r:id="rId279" w:history="1">
        <w:r>
          <w:rPr>
            <w:rStyle w:val="Hyperlink"/>
            <w:lang w:val="pt-PT"/>
          </w:rPr>
          <w:t>2004/52/EC</w:t>
        </w:r>
      </w:hyperlink>
      <w:r>
        <w:rPr>
          <w:lang w:val="pt-PT"/>
        </w:rPr>
        <w:t>.</w:t>
      </w:r>
    </w:p>
  </w:footnote>
  <w:footnote w:id="175">
    <w:p>
      <w:pPr>
        <w:pStyle w:val="FootnoteText"/>
        <w:rPr>
          <w:lang w:val="pt-PT"/>
        </w:rPr>
      </w:pPr>
      <w:r>
        <w:rPr>
          <w:rStyle w:val="FootnoteReference"/>
        </w:rPr>
        <w:footnoteRef/>
      </w:r>
      <w:r>
        <w:rPr>
          <w:lang w:val="pt-PT"/>
        </w:rPr>
        <w:t xml:space="preserve"> </w:t>
      </w:r>
      <w:r>
        <w:rPr>
          <w:lang w:val="pt-PT"/>
        </w:rPr>
        <w:tab/>
        <w:t>These rulings are almost exclusively handed down in infringement procedures.</w:t>
      </w:r>
    </w:p>
  </w:footnote>
  <w:footnote w:id="176">
    <w:p>
      <w:pPr>
        <w:pStyle w:val="FootnoteText"/>
      </w:pPr>
      <w:r>
        <w:rPr>
          <w:rStyle w:val="FootnoteReference"/>
        </w:rPr>
        <w:footnoteRef/>
      </w:r>
      <w:r>
        <w:t xml:space="preserve"> </w:t>
      </w:r>
      <w:r>
        <w:tab/>
        <w:t xml:space="preserve">Directive </w:t>
      </w:r>
      <w:hyperlink r:id="rId280" w:history="1">
        <w:r>
          <w:rPr>
            <w:rStyle w:val="Hyperlink"/>
          </w:rPr>
          <w:t>91/271/EEC</w:t>
        </w:r>
      </w:hyperlink>
      <w:r>
        <w:t xml:space="preserve">, Commission v Portugal, </w:t>
      </w:r>
      <w:hyperlink r:id="rId281" w:history="1">
        <w:r>
          <w:rPr>
            <w:rStyle w:val="Hyperlink"/>
          </w:rPr>
          <w:t>C-557/14</w:t>
        </w:r>
      </w:hyperlink>
      <w:r>
        <w:rPr>
          <w:rStyle w:val="Hyperlink"/>
          <w:u w:val="none"/>
        </w:rPr>
        <w:t xml:space="preserve"> </w:t>
      </w:r>
      <w:r>
        <w:rPr>
          <w:rStyle w:val="Hyperlink"/>
          <w:color w:val="auto"/>
          <w:u w:val="none"/>
        </w:rPr>
        <w:t>and Court press release No </w:t>
      </w:r>
      <w:hyperlink r:id="rId282" w:history="1">
        <w:r>
          <w:rPr>
            <w:rStyle w:val="Hyperlink"/>
          </w:rPr>
          <w:t>67/16</w:t>
        </w:r>
      </w:hyperlink>
      <w:r>
        <w:rPr>
          <w:rStyle w:val="Hyperlink"/>
          <w:color w:val="auto"/>
          <w:u w:val="none"/>
        </w:rPr>
        <w:t>.</w:t>
      </w:r>
    </w:p>
  </w:footnote>
  <w:footnote w:id="177">
    <w:p>
      <w:pPr>
        <w:pStyle w:val="FootnoteText"/>
        <w:rPr>
          <w:lang w:val="fr-BE"/>
        </w:rPr>
      </w:pPr>
      <w:r>
        <w:rPr>
          <w:rStyle w:val="FootnoteReference"/>
        </w:rPr>
        <w:footnoteRef/>
      </w:r>
      <w:r>
        <w:rPr>
          <w:lang w:val="fr-BE"/>
        </w:rPr>
        <w:t xml:space="preserve"> </w:t>
      </w:r>
      <w:r>
        <w:rPr>
          <w:lang w:val="fr-BE"/>
        </w:rPr>
        <w:tab/>
        <w:t xml:space="preserve">Directive </w:t>
      </w:r>
      <w:hyperlink r:id="rId283" w:history="1">
        <w:r>
          <w:rPr>
            <w:rStyle w:val="Hyperlink"/>
            <w:lang w:val="fr-BE"/>
          </w:rPr>
          <w:t>91/271/EEC</w:t>
        </w:r>
      </w:hyperlink>
      <w:r>
        <w:rPr>
          <w:lang w:val="fr-BE"/>
        </w:rPr>
        <w:t xml:space="preserve">, Commission v Portugal, </w:t>
      </w:r>
      <w:hyperlink r:id="rId284" w:history="1">
        <w:r>
          <w:rPr>
            <w:rStyle w:val="Hyperlink"/>
            <w:lang w:val="fr-BE"/>
          </w:rPr>
          <w:t>C-398/14</w:t>
        </w:r>
      </w:hyperlink>
      <w:r>
        <w:rPr>
          <w:rStyle w:val="Hyperlink"/>
          <w:color w:val="auto"/>
          <w:u w:val="none"/>
          <w:lang w:val="fr-BE"/>
        </w:rPr>
        <w:t>.</w:t>
      </w:r>
    </w:p>
  </w:footnote>
  <w:footnote w:id="178">
    <w:p>
      <w:pPr>
        <w:pStyle w:val="FootnoteText"/>
        <w:rPr>
          <w:lang w:val="fr-BE"/>
        </w:rPr>
      </w:pPr>
      <w:r>
        <w:rPr>
          <w:rStyle w:val="FootnoteReference"/>
        </w:rPr>
        <w:footnoteRef/>
      </w:r>
      <w:r>
        <w:rPr>
          <w:lang w:val="fr-BE"/>
        </w:rPr>
        <w:t xml:space="preserve"> </w:t>
      </w:r>
      <w:r>
        <w:rPr>
          <w:lang w:val="fr-BE"/>
        </w:rPr>
        <w:tab/>
        <w:t>Regulation (EEC) No </w:t>
      </w:r>
      <w:hyperlink r:id="rId285" w:history="1">
        <w:r>
          <w:rPr>
            <w:rStyle w:val="Hyperlink"/>
            <w:lang w:val="fr-BE"/>
          </w:rPr>
          <w:t>95/93</w:t>
        </w:r>
      </w:hyperlink>
      <w:r>
        <w:rPr>
          <w:lang w:val="fr-BE"/>
        </w:rPr>
        <w:t xml:space="preserve">, Commission v Portugal, </w:t>
      </w:r>
      <w:hyperlink r:id="rId286" w:history="1">
        <w:r>
          <w:rPr>
            <w:rStyle w:val="Hyperlink"/>
            <w:lang w:val="fr-BE"/>
          </w:rPr>
          <w:t>C-205/14</w:t>
        </w:r>
      </w:hyperlink>
      <w:r>
        <w:rPr>
          <w:rStyle w:val="Hyperlink"/>
          <w:color w:val="auto"/>
          <w:u w:val="none"/>
          <w:lang w:val="fr-BE"/>
        </w:rPr>
        <w:t>.</w:t>
      </w:r>
    </w:p>
  </w:footnote>
  <w:footnote w:id="179">
    <w:p>
      <w:pPr>
        <w:pStyle w:val="FootnoteText"/>
        <w:rPr>
          <w:rFonts w:cs="Arial"/>
          <w:lang w:val="fr-BE"/>
        </w:rPr>
      </w:pPr>
      <w:r>
        <w:rPr>
          <w:rStyle w:val="FootnoteReference"/>
        </w:rPr>
        <w:footnoteRef/>
      </w:r>
      <w:r>
        <w:rPr>
          <w:lang w:val="fr-BE"/>
        </w:rPr>
        <w:t xml:space="preserve"> </w:t>
      </w:r>
      <w:r>
        <w:rPr>
          <w:lang w:val="fr-BE"/>
        </w:rPr>
        <w:tab/>
        <w:t>Regulation (EC) No </w:t>
      </w:r>
      <w:hyperlink r:id="rId287" w:history="1">
        <w:r>
          <w:rPr>
            <w:rStyle w:val="Hyperlink"/>
            <w:lang w:val="fr-BE"/>
          </w:rPr>
          <w:t>1071/2009</w:t>
        </w:r>
      </w:hyperlink>
      <w:r>
        <w:rPr>
          <w:lang w:val="fr-BE"/>
        </w:rPr>
        <w:t xml:space="preserve">, Commission v Portugal, </w:t>
      </w:r>
      <w:hyperlink r:id="rId288" w:history="1">
        <w:r>
          <w:rPr>
            <w:rStyle w:val="Hyperlink"/>
            <w:lang w:val="fr-BE"/>
          </w:rPr>
          <w:t>C-583/15</w:t>
        </w:r>
      </w:hyperlink>
      <w:r>
        <w:rPr>
          <w:lang w:val="fr-BE"/>
        </w:rPr>
        <w:t>.</w:t>
      </w:r>
    </w:p>
  </w:footnote>
  <w:footnote w:id="180">
    <w:p>
      <w:pPr>
        <w:pStyle w:val="FootnoteText"/>
        <w:rPr>
          <w:rFonts w:cs="Arial"/>
          <w:lang w:val="fr-BE"/>
        </w:rPr>
      </w:pPr>
      <w:r>
        <w:rPr>
          <w:rStyle w:val="FootnoteReference"/>
          <w:rFonts w:eastAsia="MS Gothic"/>
        </w:rPr>
        <w:footnoteRef/>
      </w:r>
      <w:r>
        <w:rPr>
          <w:lang w:val="fr-BE"/>
        </w:rPr>
        <w:t xml:space="preserve"> </w:t>
      </w:r>
      <w:r>
        <w:rPr>
          <w:lang w:val="fr-BE"/>
        </w:rPr>
        <w:tab/>
        <w:t xml:space="preserve">Commission v Portugal, </w:t>
      </w:r>
      <w:hyperlink r:id="rId289" w:history="1">
        <w:r>
          <w:rPr>
            <w:rStyle w:val="Hyperlink"/>
            <w:lang w:val="fr-BE"/>
          </w:rPr>
          <w:t>C-200/15</w:t>
        </w:r>
      </w:hyperlink>
      <w:r>
        <w:rPr>
          <w:rStyle w:val="Hyperlink"/>
          <w:color w:val="auto"/>
          <w:u w:val="none"/>
          <w:lang w:val="fr-BE"/>
        </w:rPr>
        <w:t>.</w:t>
      </w:r>
    </w:p>
  </w:footnote>
  <w:footnote w:id="181">
    <w:p>
      <w:pPr>
        <w:pStyle w:val="FootnoteText"/>
        <w:rPr>
          <w:rFonts w:cs="Arial"/>
          <w:lang w:val="fr-BE"/>
        </w:rPr>
      </w:pPr>
      <w:r>
        <w:rPr>
          <w:rStyle w:val="FootnoteReference"/>
        </w:rPr>
        <w:footnoteRef/>
      </w:r>
      <w:r>
        <w:rPr>
          <w:lang w:val="fr-BE"/>
        </w:rPr>
        <w:t xml:space="preserve"> </w:t>
      </w:r>
      <w:r>
        <w:rPr>
          <w:lang w:val="fr-BE"/>
        </w:rPr>
        <w:tab/>
        <w:t xml:space="preserve">Brisal, </w:t>
      </w:r>
      <w:hyperlink r:id="rId290" w:history="1">
        <w:r>
          <w:rPr>
            <w:rStyle w:val="Hyperlink"/>
            <w:lang w:val="fr-BE"/>
          </w:rPr>
          <w:t>C-18/15</w:t>
        </w:r>
      </w:hyperlink>
      <w:r>
        <w:rPr>
          <w:lang w:val="fr-BE"/>
        </w:rPr>
        <w:t>.</w:t>
      </w:r>
    </w:p>
  </w:footnote>
  <w:footnote w:id="182">
    <w:p>
      <w:pPr>
        <w:pStyle w:val="FootnoteText"/>
        <w:rPr>
          <w:lang w:val="pt-PT"/>
        </w:rPr>
      </w:pPr>
      <w:r>
        <w:rPr>
          <w:rStyle w:val="FootnoteReference"/>
        </w:rPr>
        <w:footnoteRef/>
      </w:r>
      <w:r>
        <w:rPr>
          <w:lang w:val="pt-PT"/>
        </w:rPr>
        <w:t xml:space="preserve"> </w:t>
      </w:r>
      <w:r>
        <w:rPr>
          <w:lang w:val="pt-PT"/>
        </w:rPr>
        <w:tab/>
        <w:t>Regulation (EU) No </w:t>
      </w:r>
      <w:hyperlink r:id="rId291" w:history="1">
        <w:r>
          <w:rPr>
            <w:rStyle w:val="Hyperlink"/>
            <w:lang w:val="pt-PT"/>
          </w:rPr>
          <w:t>98/2013</w:t>
        </w:r>
      </w:hyperlink>
      <w:r>
        <w:rPr>
          <w:lang w:val="pt-PT"/>
        </w:rPr>
        <w:t>.</w:t>
      </w:r>
    </w:p>
  </w:footnote>
  <w:footnote w:id="183">
    <w:p>
      <w:pPr>
        <w:pStyle w:val="FootnoteText"/>
        <w:rPr>
          <w:lang w:val="pt-PT"/>
        </w:rPr>
      </w:pPr>
      <w:r>
        <w:rPr>
          <w:rStyle w:val="FootnoteReference"/>
        </w:rPr>
        <w:footnoteRef/>
      </w:r>
      <w:r>
        <w:rPr>
          <w:lang w:val="pt-PT"/>
        </w:rPr>
        <w:t xml:space="preserve"> </w:t>
      </w:r>
      <w:r>
        <w:rPr>
          <w:lang w:val="pt-PT"/>
        </w:rPr>
        <w:tab/>
        <w:t xml:space="preserve">Directive </w:t>
      </w:r>
      <w:hyperlink r:id="rId292" w:history="1">
        <w:r>
          <w:rPr>
            <w:rStyle w:val="Hyperlink"/>
            <w:lang w:val="pt-PT"/>
          </w:rPr>
          <w:t>2008/98/EC</w:t>
        </w:r>
      </w:hyperlink>
      <w:r>
        <w:rPr>
          <w:lang w:val="pt-PT"/>
        </w:rPr>
        <w:t xml:space="preserve">, </w:t>
      </w:r>
      <w:hyperlink r:id="rId293" w:history="1">
        <w:r>
          <w:rPr>
            <w:rStyle w:val="Hyperlink"/>
            <w:lang w:val="pt-PT"/>
          </w:rPr>
          <w:t>MEMO/16/1823</w:t>
        </w:r>
      </w:hyperlink>
      <w:r>
        <w:rPr>
          <w:lang w:val="pt-PT"/>
        </w:rPr>
        <w:t>.</w:t>
      </w:r>
    </w:p>
  </w:footnote>
  <w:footnote w:id="184">
    <w:p>
      <w:pPr>
        <w:pStyle w:val="FootnoteText"/>
        <w:rPr>
          <w:lang w:val="pt-PT"/>
        </w:rPr>
      </w:pPr>
      <w:r>
        <w:rPr>
          <w:rStyle w:val="FootnoteReference"/>
        </w:rPr>
        <w:footnoteRef/>
      </w:r>
      <w:r>
        <w:rPr>
          <w:lang w:val="pt-PT"/>
        </w:rPr>
        <w:t xml:space="preserve"> </w:t>
      </w:r>
      <w:r>
        <w:rPr>
          <w:lang w:val="pt-PT"/>
        </w:rPr>
        <w:tab/>
        <w:t xml:space="preserve">Directive </w:t>
      </w:r>
      <w:hyperlink r:id="rId294" w:history="1">
        <w:r>
          <w:rPr>
            <w:rStyle w:val="Hyperlink"/>
            <w:lang w:val="pt-PT"/>
          </w:rPr>
          <w:t>2013/30/EU</w:t>
        </w:r>
      </w:hyperlink>
      <w:r>
        <w:rPr>
          <w:lang w:val="pt-PT"/>
        </w:rPr>
        <w:t xml:space="preserve">, </w:t>
      </w:r>
      <w:hyperlink r:id="rId295" w:history="1">
        <w:r>
          <w:rPr>
            <w:rStyle w:val="Hyperlink"/>
            <w:lang w:val="pt-PT"/>
          </w:rPr>
          <w:t>MEMO/16/319</w:t>
        </w:r>
      </w:hyperlink>
      <w:r>
        <w:rPr>
          <w:lang w:val="pt-PT"/>
        </w:rPr>
        <w:t xml:space="preserve">, </w:t>
      </w:r>
      <w:hyperlink r:id="rId296" w:history="1">
        <w:r>
          <w:rPr>
            <w:rStyle w:val="Hyperlink"/>
            <w:lang w:val="pt-PT"/>
          </w:rPr>
          <w:t>MEMO/16/1452</w:t>
        </w:r>
      </w:hyperlink>
      <w:r>
        <w:rPr>
          <w:lang w:val="pt-PT"/>
        </w:rPr>
        <w:t xml:space="preserve"> and </w:t>
      </w:r>
      <w:hyperlink r:id="rId297" w:history="1">
        <w:r>
          <w:rPr>
            <w:rStyle w:val="Hyperlink"/>
            <w:lang w:val="pt-PT"/>
          </w:rPr>
          <w:t>MEMO/16/3644</w:t>
        </w:r>
      </w:hyperlink>
      <w:r>
        <w:rPr>
          <w:lang w:val="pt-PT"/>
        </w:rPr>
        <w:t>.</w:t>
      </w:r>
    </w:p>
  </w:footnote>
  <w:footnote w:id="185">
    <w:p>
      <w:pPr>
        <w:pStyle w:val="FootnoteText"/>
        <w:rPr>
          <w:lang w:val="pt-PT"/>
        </w:rPr>
      </w:pPr>
      <w:r>
        <w:rPr>
          <w:rStyle w:val="FootnoteReference"/>
        </w:rPr>
        <w:footnoteRef/>
      </w:r>
      <w:r>
        <w:rPr>
          <w:lang w:val="pt-PT"/>
        </w:rPr>
        <w:t xml:space="preserve"> </w:t>
      </w:r>
      <w:r>
        <w:rPr>
          <w:lang w:val="pt-PT"/>
        </w:rPr>
        <w:tab/>
        <w:t xml:space="preserve">Directive </w:t>
      </w:r>
      <w:hyperlink r:id="rId298" w:history="1">
        <w:r>
          <w:rPr>
            <w:rStyle w:val="Hyperlink"/>
            <w:lang w:val="pt-PT"/>
          </w:rPr>
          <w:t>2009/119/EC</w:t>
        </w:r>
      </w:hyperlink>
      <w:r>
        <w:rPr>
          <w:lang w:val="pt-PT"/>
        </w:rPr>
        <w:t xml:space="preserve"> and </w:t>
      </w:r>
      <w:hyperlink r:id="rId299" w:history="1">
        <w:r>
          <w:rPr>
            <w:rStyle w:val="Hyperlink"/>
            <w:lang w:val="pt-PT"/>
          </w:rPr>
          <w:t>MEMO/16/3644</w:t>
        </w:r>
      </w:hyperlink>
      <w:r>
        <w:rPr>
          <w:lang w:val="pt-PT"/>
        </w:rPr>
        <w:t>.</w:t>
      </w:r>
    </w:p>
  </w:footnote>
  <w:footnote w:id="186">
    <w:p>
      <w:pPr>
        <w:pStyle w:val="FootnoteText"/>
        <w:rPr>
          <w:lang w:val="pt-PT"/>
        </w:rPr>
      </w:pPr>
      <w:r>
        <w:rPr>
          <w:rStyle w:val="FootnoteReference"/>
        </w:rPr>
        <w:footnoteRef/>
      </w:r>
      <w:r>
        <w:rPr>
          <w:lang w:val="pt-PT"/>
        </w:rPr>
        <w:t xml:space="preserve"> </w:t>
      </w:r>
      <w:r>
        <w:rPr>
          <w:lang w:val="pt-PT"/>
        </w:rPr>
        <w:tab/>
        <w:t xml:space="preserve">Directive </w:t>
      </w:r>
      <w:hyperlink r:id="rId300" w:history="1">
        <w:r>
          <w:rPr>
            <w:rStyle w:val="Hyperlink"/>
            <w:lang w:val="pt-PT"/>
          </w:rPr>
          <w:t>2013/50/EU</w:t>
        </w:r>
      </w:hyperlink>
      <w:r>
        <w:rPr>
          <w:lang w:val="pt-PT"/>
        </w:rPr>
        <w:t xml:space="preserve">; </w:t>
      </w:r>
      <w:hyperlink r:id="rId301" w:history="1">
        <w:r>
          <w:rPr>
            <w:rStyle w:val="Hyperlink"/>
            <w:lang w:val="pt-PT"/>
          </w:rPr>
          <w:t>MEMO/16/3644</w:t>
        </w:r>
      </w:hyperlink>
      <w:r>
        <w:rPr>
          <w:lang w:val="pt-PT"/>
        </w:rPr>
        <w:t>.</w:t>
      </w:r>
    </w:p>
  </w:footnote>
  <w:footnote w:id="187">
    <w:p>
      <w:pPr>
        <w:pStyle w:val="FootnoteText"/>
        <w:rPr>
          <w:lang w:val="pt-PT"/>
        </w:rPr>
      </w:pPr>
      <w:r>
        <w:rPr>
          <w:rStyle w:val="FootnoteReference"/>
        </w:rPr>
        <w:footnoteRef/>
      </w:r>
      <w:r>
        <w:rPr>
          <w:lang w:val="pt-PT"/>
        </w:rPr>
        <w:t xml:space="preserve"> </w:t>
      </w:r>
      <w:r>
        <w:rPr>
          <w:lang w:val="pt-PT"/>
        </w:rPr>
        <w:tab/>
      </w:r>
      <w:hyperlink r:id="rId302" w:history="1">
        <w:r>
          <w:rPr>
            <w:rStyle w:val="Hyperlink"/>
            <w:lang w:val="pt-PT"/>
          </w:rPr>
          <w:t>MEMO/16/3125</w:t>
        </w:r>
      </w:hyperlink>
      <w:r>
        <w:rPr>
          <w:lang w:val="pt-PT"/>
        </w:rPr>
        <w:t>.</w:t>
      </w:r>
    </w:p>
  </w:footnote>
  <w:footnote w:id="188">
    <w:p>
      <w:pPr>
        <w:pStyle w:val="FootnoteText"/>
        <w:rPr>
          <w:lang w:val="pt-PT"/>
        </w:rPr>
      </w:pPr>
      <w:r>
        <w:rPr>
          <w:rStyle w:val="FootnoteReference"/>
        </w:rPr>
        <w:footnoteRef/>
      </w:r>
      <w:r>
        <w:rPr>
          <w:lang w:val="pt-PT"/>
        </w:rPr>
        <w:t xml:space="preserve"> </w:t>
      </w:r>
      <w:r>
        <w:rPr>
          <w:lang w:val="pt-PT"/>
        </w:rPr>
        <w:tab/>
        <w:t xml:space="preserve">Directive </w:t>
      </w:r>
      <w:hyperlink r:id="rId303" w:history="1">
        <w:r>
          <w:rPr>
            <w:rStyle w:val="Hyperlink"/>
            <w:lang w:val="pt-PT"/>
          </w:rPr>
          <w:t>2012/34/EU</w:t>
        </w:r>
      </w:hyperlink>
      <w:r>
        <w:rPr>
          <w:lang w:val="pt-PT"/>
        </w:rPr>
        <w:t xml:space="preserve">, </w:t>
      </w:r>
      <w:hyperlink r:id="rId304" w:history="1">
        <w:r>
          <w:rPr>
            <w:rStyle w:val="Hyperlink"/>
            <w:lang w:val="pt-PT"/>
          </w:rPr>
          <w:t>MEMO/16/319</w:t>
        </w:r>
      </w:hyperlink>
      <w:r>
        <w:rPr>
          <w:lang w:val="pt-PT"/>
        </w:rPr>
        <w:t>.</w:t>
      </w:r>
    </w:p>
  </w:footnote>
  <w:footnote w:id="189">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305" w:history="1">
        <w:r>
          <w:rPr>
            <w:rStyle w:val="Hyperlink"/>
            <w:lang w:val="pt-PT"/>
          </w:rPr>
          <w:t>2014/23/EU</w:t>
        </w:r>
      </w:hyperlink>
      <w:r>
        <w:rPr>
          <w:lang w:val="pt-PT"/>
        </w:rPr>
        <w:t xml:space="preserve">, </w:t>
      </w:r>
      <w:hyperlink r:id="rId306" w:history="1">
        <w:r>
          <w:rPr>
            <w:rStyle w:val="Hyperlink"/>
            <w:lang w:val="pt-PT"/>
          </w:rPr>
          <w:t>2014/24/EU</w:t>
        </w:r>
      </w:hyperlink>
      <w:r>
        <w:rPr>
          <w:lang w:val="pt-PT"/>
        </w:rPr>
        <w:t xml:space="preserve">, </w:t>
      </w:r>
      <w:hyperlink r:id="rId307" w:history="1">
        <w:r>
          <w:rPr>
            <w:rStyle w:val="Hyperlink"/>
            <w:lang w:val="pt-PT"/>
          </w:rPr>
          <w:t>2014/25/EU</w:t>
        </w:r>
      </w:hyperlink>
      <w:r>
        <w:rPr>
          <w:lang w:val="pt-PT"/>
        </w:rPr>
        <w:t xml:space="preserve">, </w:t>
      </w:r>
      <w:hyperlink r:id="rId308" w:history="1">
        <w:r>
          <w:rPr>
            <w:rStyle w:val="Hyperlink"/>
            <w:lang w:val="pt-PT"/>
          </w:rPr>
          <w:t>MEMO/16/1823</w:t>
        </w:r>
      </w:hyperlink>
      <w:r>
        <w:rPr>
          <w:lang w:val="pt-PT"/>
        </w:rPr>
        <w:t>.</w:t>
      </w:r>
    </w:p>
  </w:footnote>
  <w:footnote w:id="190">
    <w:p>
      <w:pPr>
        <w:pStyle w:val="FootnoteText"/>
      </w:pPr>
      <w:r>
        <w:rPr>
          <w:rStyle w:val="FootnoteReference"/>
        </w:rPr>
        <w:footnoteRef/>
      </w:r>
      <w:r>
        <w:rPr>
          <w:lang w:val="fr-BE"/>
        </w:rPr>
        <w:t xml:space="preserve"> </w:t>
      </w:r>
      <w:r>
        <w:rPr>
          <w:lang w:val="fr-BE"/>
        </w:rPr>
        <w:tab/>
        <w:t xml:space="preserve">Directive </w:t>
      </w:r>
      <w:hyperlink r:id="rId309" w:history="1">
        <w:r>
          <w:rPr>
            <w:rStyle w:val="Hyperlink"/>
            <w:lang w:val="fr-BE"/>
          </w:rPr>
          <w:t>2012/33/EU</w:t>
        </w:r>
      </w:hyperlink>
      <w:r>
        <w:rPr>
          <w:lang w:val="fr-BE"/>
        </w:rPr>
        <w:t xml:space="preserve">, Commission v Romania, </w:t>
      </w:r>
      <w:hyperlink r:id="rId310" w:history="1">
        <w:r>
          <w:rPr>
            <w:rStyle w:val="Hyperlink"/>
            <w:lang w:val="fr-BE"/>
          </w:rPr>
          <w:t>C-62/16</w:t>
        </w:r>
      </w:hyperlink>
      <w:r>
        <w:rPr>
          <w:lang w:val="fr-BE"/>
        </w:rPr>
        <w:t xml:space="preserve">; </w:t>
      </w:r>
      <w:hyperlink r:id="rId311" w:history="1">
        <w:r>
          <w:rPr>
            <w:rStyle w:val="Hyperlink"/>
            <w:lang w:val="fr-BE"/>
          </w:rPr>
          <w:t>IP/15/6008</w:t>
        </w:r>
      </w:hyperlink>
      <w:r>
        <w:rPr>
          <w:lang w:val="fr-BE"/>
        </w:rPr>
        <w:t xml:space="preserve">. </w:t>
      </w:r>
      <w:r>
        <w:t>Romania subsequently adopted the necessary legislative measures and the Commission has therefore withdrawn this case from the Court.</w:t>
      </w:r>
    </w:p>
  </w:footnote>
  <w:footnote w:id="191">
    <w:p>
      <w:pPr>
        <w:pStyle w:val="FootnoteText"/>
      </w:pPr>
      <w:r>
        <w:rPr>
          <w:rStyle w:val="FootnoteReference"/>
        </w:rPr>
        <w:footnoteRef/>
      </w:r>
      <w:r>
        <w:t xml:space="preserve"> </w:t>
      </w:r>
      <w:r>
        <w:tab/>
        <w:t xml:space="preserve">Directive </w:t>
      </w:r>
      <w:hyperlink r:id="rId312" w:history="1">
        <w:r>
          <w:rPr>
            <w:rStyle w:val="Hyperlink"/>
          </w:rPr>
          <w:t>2011/92/EU</w:t>
        </w:r>
      </w:hyperlink>
      <w:r>
        <w:t>.</w:t>
      </w:r>
    </w:p>
  </w:footnote>
  <w:footnote w:id="192">
    <w:p>
      <w:pPr>
        <w:pStyle w:val="FootnoteText"/>
      </w:pPr>
      <w:r>
        <w:rPr>
          <w:rStyle w:val="FootnoteReference"/>
        </w:rPr>
        <w:footnoteRef/>
      </w:r>
      <w:r>
        <w:t xml:space="preserve"> </w:t>
      </w:r>
      <w:r>
        <w:tab/>
        <w:t xml:space="preserve">Directive </w:t>
      </w:r>
      <w:hyperlink r:id="rId313" w:history="1">
        <w:r>
          <w:rPr>
            <w:rStyle w:val="Hyperlink"/>
          </w:rPr>
          <w:t>2012/18/EU</w:t>
        </w:r>
      </w:hyperlink>
      <w:r>
        <w:t>.</w:t>
      </w:r>
    </w:p>
  </w:footnote>
  <w:footnote w:id="193">
    <w:p>
      <w:pPr>
        <w:pStyle w:val="FootnoteText"/>
      </w:pPr>
      <w:r>
        <w:rPr>
          <w:rStyle w:val="FootnoteReference"/>
        </w:rPr>
        <w:footnoteRef/>
      </w:r>
      <w:r>
        <w:t xml:space="preserve"> </w:t>
      </w:r>
      <w:r>
        <w:tab/>
        <w:t>Regulation (EU) No </w:t>
      </w:r>
      <w:hyperlink r:id="rId314" w:history="1">
        <w:r>
          <w:rPr>
            <w:rStyle w:val="Hyperlink"/>
          </w:rPr>
          <w:t>995/2010</w:t>
        </w:r>
      </w:hyperlink>
      <w:r>
        <w:t xml:space="preserve"> and Regulation (EC) No </w:t>
      </w:r>
      <w:hyperlink r:id="rId315" w:history="1">
        <w:r>
          <w:rPr>
            <w:rStyle w:val="Hyperlink"/>
          </w:rPr>
          <w:t>2173/2005</w:t>
        </w:r>
      </w:hyperlink>
      <w:r>
        <w:t>.</w:t>
      </w:r>
    </w:p>
  </w:footnote>
  <w:footnote w:id="194">
    <w:p>
      <w:pPr>
        <w:pStyle w:val="FootnoteText"/>
      </w:pPr>
      <w:r>
        <w:rPr>
          <w:rStyle w:val="FootnoteReference"/>
        </w:rPr>
        <w:footnoteRef/>
      </w:r>
      <w:r>
        <w:t xml:space="preserve"> </w:t>
      </w:r>
      <w:r>
        <w:tab/>
      </w:r>
      <w:r>
        <w:rPr>
          <w:rFonts w:cs="Arial"/>
        </w:rPr>
        <w:t xml:space="preserve">Directive </w:t>
      </w:r>
      <w:hyperlink r:id="rId316" w:history="1">
        <w:r>
          <w:rPr>
            <w:rStyle w:val="Hyperlink"/>
            <w:rFonts w:cs="Arial"/>
          </w:rPr>
          <w:t>2003/88/EC.</w:t>
        </w:r>
      </w:hyperlink>
    </w:p>
  </w:footnote>
  <w:footnote w:id="195">
    <w:p>
      <w:pPr>
        <w:pStyle w:val="FootnoteText"/>
      </w:pPr>
      <w:r>
        <w:rPr>
          <w:rStyle w:val="FootnoteReference"/>
        </w:rPr>
        <w:footnoteRef/>
      </w:r>
      <w:r>
        <w:t xml:space="preserve"> </w:t>
      </w:r>
      <w:r>
        <w:tab/>
        <w:t xml:space="preserve">Directive </w:t>
      </w:r>
      <w:hyperlink r:id="rId317" w:history="1">
        <w:r>
          <w:rPr>
            <w:rStyle w:val="Hyperlink"/>
          </w:rPr>
          <w:t>2014/49/EU</w:t>
        </w:r>
      </w:hyperlink>
      <w:r>
        <w:t>.</w:t>
      </w:r>
    </w:p>
  </w:footnote>
  <w:footnote w:id="196">
    <w:p>
      <w:pPr>
        <w:pStyle w:val="FootnoteText"/>
      </w:pPr>
      <w:r>
        <w:rPr>
          <w:rStyle w:val="FootnoteReference"/>
        </w:rPr>
        <w:footnoteRef/>
      </w:r>
      <w:r>
        <w:t xml:space="preserve"> </w:t>
      </w:r>
      <w:r>
        <w:tab/>
        <w:t xml:space="preserve">Directive </w:t>
      </w:r>
      <w:hyperlink r:id="rId318" w:history="1">
        <w:r>
          <w:rPr>
            <w:rStyle w:val="Hyperlink"/>
          </w:rPr>
          <w:t>2004/39/EC</w:t>
        </w:r>
      </w:hyperlink>
      <w:r>
        <w:t>.</w:t>
      </w:r>
    </w:p>
  </w:footnote>
  <w:footnote w:id="197">
    <w:p>
      <w:pPr>
        <w:pStyle w:val="FootnoteText"/>
        <w:rPr>
          <w:rFonts w:cs="Arial"/>
        </w:rPr>
      </w:pPr>
      <w:r>
        <w:rPr>
          <w:rStyle w:val="FootnoteReference"/>
        </w:rPr>
        <w:footnoteRef/>
      </w:r>
      <w:r>
        <w:t xml:space="preserve"> </w:t>
      </w:r>
      <w:r>
        <w:tab/>
        <w:t>Regulation (EC) No </w:t>
      </w:r>
      <w:hyperlink r:id="rId319" w:history="1">
        <w:r>
          <w:rPr>
            <w:rStyle w:val="Hyperlink"/>
          </w:rPr>
          <w:t>1370/2007</w:t>
        </w:r>
      </w:hyperlink>
      <w:r>
        <w:t>.</w:t>
      </w:r>
    </w:p>
  </w:footnote>
  <w:footnote w:id="198">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199">
    <w:p>
      <w:pPr>
        <w:pStyle w:val="FootnoteText"/>
      </w:pPr>
      <w:r>
        <w:rPr>
          <w:rStyle w:val="FootnoteReference"/>
        </w:rPr>
        <w:footnoteRef/>
      </w:r>
      <w:r>
        <w:t xml:space="preserve"> </w:t>
      </w:r>
      <w:r>
        <w:tab/>
        <w:t xml:space="preserve">Directive </w:t>
      </w:r>
      <w:hyperlink r:id="rId320" w:history="1">
        <w:r>
          <w:rPr>
            <w:rStyle w:val="Hyperlink"/>
          </w:rPr>
          <w:t>2006/21/EC</w:t>
        </w:r>
      </w:hyperlink>
      <w:r>
        <w:t xml:space="preserve">, Commission v Romania, </w:t>
      </w:r>
      <w:hyperlink r:id="rId321" w:history="1">
        <w:r>
          <w:rPr>
            <w:rStyle w:val="Hyperlink"/>
          </w:rPr>
          <w:t>C-104/15</w:t>
        </w:r>
      </w:hyperlink>
      <w:r>
        <w:rPr>
          <w:rStyle w:val="Hyperlink"/>
        </w:rPr>
        <w:t>.</w:t>
      </w:r>
    </w:p>
  </w:footnote>
  <w:footnote w:id="200">
    <w:p>
      <w:pPr>
        <w:pStyle w:val="FootnoteText"/>
      </w:pPr>
      <w:r>
        <w:rPr>
          <w:rStyle w:val="FootnoteReference"/>
        </w:rPr>
        <w:footnoteRef/>
      </w:r>
      <w:r>
        <w:t xml:space="preserve"> </w:t>
      </w:r>
      <w:r>
        <w:tab/>
        <w:t xml:space="preserve">Aranyosi and Căldăraru, Joined Cases </w:t>
      </w:r>
      <w:hyperlink r:id="rId322" w:history="1">
        <w:r>
          <w:rPr>
            <w:rStyle w:val="Hyperlink"/>
          </w:rPr>
          <w:t>C-404/15</w:t>
        </w:r>
      </w:hyperlink>
      <w:r>
        <w:t xml:space="preserve"> and </w:t>
      </w:r>
      <w:hyperlink r:id="rId323" w:history="1">
        <w:r>
          <w:rPr>
            <w:rStyle w:val="Hyperlink"/>
          </w:rPr>
          <w:t>C-659/15</w:t>
        </w:r>
      </w:hyperlink>
      <w:r>
        <w:t xml:space="preserve"> PPU  and Court press release No </w:t>
      </w:r>
      <w:hyperlink r:id="rId324" w:history="1">
        <w:r>
          <w:rPr>
            <w:rStyle w:val="Hyperlink"/>
          </w:rPr>
          <w:t>36/16</w:t>
        </w:r>
      </w:hyperlink>
      <w:r>
        <w:t>.</w:t>
      </w:r>
    </w:p>
  </w:footnote>
  <w:footnote w:id="201">
    <w:p>
      <w:pPr>
        <w:pStyle w:val="FootnoteText"/>
      </w:pPr>
      <w:r>
        <w:rPr>
          <w:rStyle w:val="FootnoteReference"/>
        </w:rPr>
        <w:footnoteRef/>
      </w:r>
      <w:r>
        <w:t xml:space="preserve"> </w:t>
      </w:r>
      <w:r>
        <w:tab/>
        <w:t xml:space="preserve">Câmpean, </w:t>
      </w:r>
      <w:hyperlink r:id="rId325" w:history="1">
        <w:r>
          <w:rPr>
            <w:rStyle w:val="Hyperlink"/>
          </w:rPr>
          <w:t>C-200/14</w:t>
        </w:r>
      </w:hyperlink>
      <w:r>
        <w:t xml:space="preserve"> and Ciup, </w:t>
      </w:r>
      <w:hyperlink r:id="rId326" w:history="1">
        <w:r>
          <w:rPr>
            <w:rStyle w:val="Hyperlink"/>
          </w:rPr>
          <w:t>C-288/14</w:t>
        </w:r>
      </w:hyperlink>
      <w:r>
        <w:t>.</w:t>
      </w:r>
    </w:p>
  </w:footnote>
  <w:footnote w:id="202">
    <w:p>
      <w:pPr>
        <w:pStyle w:val="FootnoteText"/>
        <w:rPr>
          <w:lang w:val="pt-PT"/>
        </w:rPr>
      </w:pPr>
      <w:r>
        <w:rPr>
          <w:rStyle w:val="FootnoteReference"/>
        </w:rPr>
        <w:footnoteRef/>
      </w:r>
      <w:r>
        <w:rPr>
          <w:lang w:val="pt-PT"/>
        </w:rPr>
        <w:t xml:space="preserve"> </w:t>
      </w:r>
      <w:r>
        <w:rPr>
          <w:lang w:val="pt-PT"/>
        </w:rPr>
        <w:tab/>
        <w:t xml:space="preserve">Directive </w:t>
      </w:r>
      <w:hyperlink r:id="rId327" w:history="1">
        <w:r>
          <w:rPr>
            <w:rStyle w:val="Hyperlink"/>
            <w:lang w:val="pt-PT"/>
          </w:rPr>
          <w:t>2014/40/EU</w:t>
        </w:r>
      </w:hyperlink>
      <w:r>
        <w:rPr>
          <w:lang w:val="pt-PT"/>
        </w:rPr>
        <w:t xml:space="preserve">; </w:t>
      </w:r>
      <w:hyperlink r:id="rId328" w:history="1">
        <w:r>
          <w:rPr>
            <w:rStyle w:val="Hyperlink"/>
            <w:lang w:val="pt-PT"/>
          </w:rPr>
          <w:t>MEMO/16/4211</w:t>
        </w:r>
      </w:hyperlink>
      <w:r>
        <w:rPr>
          <w:lang w:val="pt-PT"/>
        </w:rPr>
        <w:t>.</w:t>
      </w:r>
    </w:p>
  </w:footnote>
  <w:footnote w:id="203">
    <w:p>
      <w:pPr>
        <w:pStyle w:val="FootnoteText"/>
        <w:rPr>
          <w:lang w:val="pt-PT"/>
        </w:rPr>
      </w:pPr>
      <w:r>
        <w:rPr>
          <w:rStyle w:val="FootnoteReference"/>
        </w:rPr>
        <w:footnoteRef/>
      </w:r>
      <w:r>
        <w:rPr>
          <w:lang w:val="pt-PT"/>
        </w:rPr>
        <w:t xml:space="preserve"> </w:t>
      </w:r>
      <w:r>
        <w:rPr>
          <w:lang w:val="pt-PT"/>
        </w:rPr>
        <w:tab/>
      </w:r>
      <w:hyperlink r:id="rId329" w:history="1">
        <w:r>
          <w:rPr>
            <w:rStyle w:val="Hyperlink"/>
            <w:lang w:val="pt-PT"/>
          </w:rPr>
          <w:t>MEMO/16/1452</w:t>
        </w:r>
      </w:hyperlink>
      <w:r>
        <w:rPr>
          <w:lang w:val="pt-PT"/>
        </w:rPr>
        <w:t>.</w:t>
      </w:r>
    </w:p>
  </w:footnote>
  <w:footnote w:id="204">
    <w:p>
      <w:pPr>
        <w:pStyle w:val="FootnoteText"/>
        <w:rPr>
          <w:lang w:val="pt-PT"/>
        </w:rPr>
      </w:pPr>
      <w:r>
        <w:rPr>
          <w:rStyle w:val="FootnoteReference"/>
        </w:rPr>
        <w:footnoteRef/>
      </w:r>
      <w:r>
        <w:rPr>
          <w:lang w:val="pt-PT"/>
        </w:rPr>
        <w:t xml:space="preserve"> </w:t>
      </w:r>
      <w:r>
        <w:rPr>
          <w:lang w:val="pt-PT"/>
        </w:rPr>
        <w:tab/>
        <w:t xml:space="preserve">Directive </w:t>
      </w:r>
      <w:hyperlink r:id="rId330" w:history="1">
        <w:r>
          <w:rPr>
            <w:rStyle w:val="Hyperlink"/>
            <w:lang w:val="pt-PT"/>
          </w:rPr>
          <w:t>2002/49/EC</w:t>
        </w:r>
      </w:hyperlink>
      <w:r>
        <w:rPr>
          <w:lang w:val="pt-PT"/>
        </w:rPr>
        <w:t>.</w:t>
      </w:r>
    </w:p>
  </w:footnote>
  <w:footnote w:id="205">
    <w:p>
      <w:pPr>
        <w:pStyle w:val="FootnoteText"/>
      </w:pPr>
      <w:r>
        <w:rPr>
          <w:rStyle w:val="FootnoteReference"/>
        </w:rPr>
        <w:footnoteRef/>
      </w:r>
      <w:r>
        <w:t xml:space="preserve"> </w:t>
      </w:r>
      <w:r>
        <w:tab/>
        <w:t xml:space="preserve">Directive </w:t>
      </w:r>
      <w:hyperlink r:id="rId331" w:history="1">
        <w:r>
          <w:rPr>
            <w:rStyle w:val="Hyperlink"/>
          </w:rPr>
          <w:t>2012/27/EU</w:t>
        </w:r>
      </w:hyperlink>
      <w:r>
        <w:t xml:space="preserve">, and press releases </w:t>
      </w:r>
      <w:hyperlink r:id="rId332" w:history="1">
        <w:r>
          <w:rPr>
            <w:rStyle w:val="Hyperlink"/>
          </w:rPr>
          <w:t>MEMO/16/3644</w:t>
        </w:r>
      </w:hyperlink>
      <w:r>
        <w:t xml:space="preserve">,and </w:t>
      </w:r>
      <w:hyperlink r:id="rId333" w:history="1">
        <w:r>
          <w:rPr>
            <w:rStyle w:val="Hyperlink"/>
          </w:rPr>
          <w:t>MEMO/16/4211.</w:t>
        </w:r>
      </w:hyperlink>
    </w:p>
  </w:footnote>
  <w:footnote w:id="206">
    <w:p>
      <w:pPr>
        <w:pStyle w:val="FootnoteText"/>
      </w:pPr>
      <w:r>
        <w:rPr>
          <w:rStyle w:val="FootnoteReference"/>
        </w:rPr>
        <w:footnoteRef/>
      </w:r>
      <w:r>
        <w:t xml:space="preserve"> </w:t>
      </w:r>
      <w:r>
        <w:tab/>
        <w:t xml:space="preserve">Directive </w:t>
      </w:r>
      <w:hyperlink r:id="rId334" w:history="1">
        <w:r>
          <w:rPr>
            <w:rStyle w:val="Hyperlink"/>
          </w:rPr>
          <w:t>2014/17/EU</w:t>
        </w:r>
      </w:hyperlink>
      <w:r>
        <w:t xml:space="preserve">, and press releases </w:t>
      </w:r>
      <w:hyperlink r:id="rId335" w:history="1">
        <w:r>
          <w:rPr>
            <w:rStyle w:val="Hyperlink"/>
          </w:rPr>
          <w:t>MEMO/16/3644</w:t>
        </w:r>
      </w:hyperlink>
      <w:r>
        <w:t xml:space="preserve"> and </w:t>
      </w:r>
      <w:hyperlink r:id="rId336" w:history="1">
        <w:r>
          <w:rPr>
            <w:rStyle w:val="Hyperlink"/>
          </w:rPr>
          <w:t>MEMO/16/4211</w:t>
        </w:r>
      </w:hyperlink>
      <w:r>
        <w:t>.</w:t>
      </w:r>
    </w:p>
  </w:footnote>
  <w:footnote w:id="207">
    <w:p>
      <w:pPr>
        <w:pStyle w:val="FootnoteText"/>
        <w:rPr>
          <w:lang w:val="pt-PT"/>
        </w:rPr>
      </w:pPr>
      <w:r>
        <w:rPr>
          <w:rStyle w:val="FootnoteReference"/>
        </w:rPr>
        <w:footnoteRef/>
      </w:r>
      <w:r>
        <w:rPr>
          <w:lang w:val="pt-PT"/>
        </w:rPr>
        <w:t xml:space="preserve"> </w:t>
      </w:r>
      <w:r>
        <w:rPr>
          <w:lang w:val="pt-PT"/>
        </w:rPr>
        <w:tab/>
        <w:t xml:space="preserve">Directive </w:t>
      </w:r>
      <w:hyperlink r:id="rId337" w:history="1">
        <w:r>
          <w:rPr>
            <w:rStyle w:val="Hyperlink"/>
            <w:lang w:val="pt-PT"/>
          </w:rPr>
          <w:t>2014/59/EU</w:t>
        </w:r>
      </w:hyperlink>
      <w:r>
        <w:rPr>
          <w:lang w:val="pt-PT"/>
        </w:rPr>
        <w:t xml:space="preserve"> and </w:t>
      </w:r>
      <w:hyperlink r:id="rId338" w:history="1">
        <w:r>
          <w:rPr>
            <w:rStyle w:val="Hyperlink"/>
            <w:lang w:val="pt-PT"/>
          </w:rPr>
          <w:t>MEMO/16/1452</w:t>
        </w:r>
      </w:hyperlink>
      <w:r>
        <w:rPr>
          <w:lang w:val="pt-PT"/>
        </w:rPr>
        <w:t>.</w:t>
      </w:r>
    </w:p>
  </w:footnote>
  <w:footnote w:id="208">
    <w:p>
      <w:pPr>
        <w:pStyle w:val="FootnoteText"/>
        <w:rPr>
          <w:lang w:val="pt-PT"/>
        </w:rPr>
      </w:pPr>
      <w:r>
        <w:rPr>
          <w:rStyle w:val="FootnoteReference"/>
        </w:rPr>
        <w:footnoteRef/>
      </w:r>
      <w:r>
        <w:rPr>
          <w:lang w:val="pt-PT"/>
        </w:rPr>
        <w:t xml:space="preserve"> </w:t>
      </w:r>
      <w:r>
        <w:rPr>
          <w:lang w:val="pt-PT"/>
        </w:rPr>
        <w:tab/>
        <w:t xml:space="preserve">Regulation </w:t>
      </w:r>
      <w:hyperlink r:id="rId339" w:history="1">
        <w:r>
          <w:rPr>
            <w:rStyle w:val="Hyperlink"/>
            <w:lang w:val="pt-PT"/>
          </w:rPr>
          <w:t>(EU) No 748/2012</w:t>
        </w:r>
      </w:hyperlink>
      <w:r>
        <w:rPr>
          <w:lang w:val="pt-PT"/>
        </w:rPr>
        <w:t xml:space="preserve"> and Regulation </w:t>
      </w:r>
      <w:hyperlink r:id="rId340" w:history="1">
        <w:r>
          <w:rPr>
            <w:rStyle w:val="Hyperlink"/>
            <w:lang w:val="pt-PT"/>
          </w:rPr>
          <w:t>(EC) No 1321/2014</w:t>
        </w:r>
      </w:hyperlink>
      <w:r>
        <w:rPr>
          <w:rStyle w:val="Hyperlink"/>
          <w:lang w:val="pt-PT"/>
        </w:rPr>
        <w:t>.</w:t>
      </w:r>
    </w:p>
  </w:footnote>
  <w:footnote w:id="209">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341" w:history="1">
        <w:r>
          <w:rPr>
            <w:rStyle w:val="Hyperlink"/>
            <w:lang w:val="pt-PT"/>
          </w:rPr>
          <w:t>2014/23/EU</w:t>
        </w:r>
      </w:hyperlink>
      <w:r>
        <w:rPr>
          <w:lang w:val="pt-PT"/>
        </w:rPr>
        <w:t xml:space="preserve">, </w:t>
      </w:r>
      <w:hyperlink r:id="rId342" w:history="1">
        <w:r>
          <w:rPr>
            <w:rStyle w:val="Hyperlink"/>
            <w:lang w:val="pt-PT"/>
          </w:rPr>
          <w:t>2014/24/EU</w:t>
        </w:r>
      </w:hyperlink>
      <w:r>
        <w:rPr>
          <w:lang w:val="pt-PT"/>
        </w:rPr>
        <w:t xml:space="preserve">, </w:t>
      </w:r>
      <w:hyperlink r:id="rId343" w:history="1">
        <w:r>
          <w:rPr>
            <w:rStyle w:val="Hyperlink"/>
            <w:lang w:val="pt-PT"/>
          </w:rPr>
          <w:t>2014/25/EU</w:t>
        </w:r>
      </w:hyperlink>
      <w:r>
        <w:rPr>
          <w:lang w:val="pt-PT"/>
        </w:rPr>
        <w:t xml:space="preserve">, </w:t>
      </w:r>
      <w:hyperlink r:id="rId344" w:history="1">
        <w:r>
          <w:rPr>
            <w:rStyle w:val="Hyperlink"/>
            <w:lang w:val="pt-PT"/>
          </w:rPr>
          <w:t>MEMO/16/1823</w:t>
        </w:r>
      </w:hyperlink>
      <w:r>
        <w:rPr>
          <w:lang w:val="pt-PT"/>
        </w:rPr>
        <w:t>.</w:t>
      </w:r>
    </w:p>
  </w:footnote>
  <w:footnote w:id="210">
    <w:p>
      <w:pPr>
        <w:pStyle w:val="FootnoteText"/>
        <w:rPr>
          <w:lang w:val="pt-PT"/>
        </w:rPr>
      </w:pPr>
      <w:r>
        <w:rPr>
          <w:rStyle w:val="FootnoteReference"/>
        </w:rPr>
        <w:footnoteRef/>
      </w:r>
      <w:r>
        <w:rPr>
          <w:lang w:val="pt-PT"/>
        </w:rPr>
        <w:t xml:space="preserve"> </w:t>
      </w:r>
      <w:r>
        <w:rPr>
          <w:lang w:val="pt-PT"/>
        </w:rPr>
        <w:tab/>
        <w:t xml:space="preserve">Directive </w:t>
      </w:r>
      <w:hyperlink r:id="rId345" w:history="1">
        <w:r>
          <w:rPr>
            <w:rStyle w:val="Hyperlink"/>
            <w:lang w:val="pt-PT"/>
          </w:rPr>
          <w:t>2013/55/EU</w:t>
        </w:r>
      </w:hyperlink>
      <w:r>
        <w:rPr>
          <w:lang w:val="pt-PT"/>
        </w:rPr>
        <w:t xml:space="preserve">, </w:t>
      </w:r>
      <w:hyperlink r:id="rId346" w:history="1">
        <w:r>
          <w:rPr>
            <w:rStyle w:val="Hyperlink"/>
            <w:lang w:val="pt-PT"/>
          </w:rPr>
          <w:t>MEMO/16/3125</w:t>
        </w:r>
      </w:hyperlink>
      <w:r>
        <w:rPr>
          <w:lang w:val="pt-PT"/>
        </w:rPr>
        <w:t>.</w:t>
      </w:r>
    </w:p>
  </w:footnote>
  <w:footnote w:id="211">
    <w:p>
      <w:pPr>
        <w:pStyle w:val="FootnoteText"/>
        <w:rPr>
          <w:lang w:val="pt-PT"/>
        </w:rPr>
      </w:pPr>
      <w:r>
        <w:rPr>
          <w:rStyle w:val="FootnoteReference"/>
        </w:rPr>
        <w:footnoteRef/>
      </w:r>
      <w:r>
        <w:rPr>
          <w:lang w:val="pt-PT"/>
        </w:rPr>
        <w:t xml:space="preserve"> </w:t>
      </w:r>
      <w:r>
        <w:rPr>
          <w:lang w:val="pt-PT"/>
        </w:rPr>
        <w:tab/>
        <w:t xml:space="preserve">Commission v Slovenia, </w:t>
      </w:r>
      <w:hyperlink r:id="rId347" w:history="1">
        <w:r>
          <w:rPr>
            <w:rStyle w:val="Hyperlink"/>
            <w:lang w:val="pt-PT"/>
          </w:rPr>
          <w:t>C-153/16</w:t>
        </w:r>
      </w:hyperlink>
      <w:r>
        <w:rPr>
          <w:lang w:val="pt-PT"/>
        </w:rPr>
        <w:t xml:space="preserve">; </w:t>
      </w:r>
      <w:hyperlink r:id="rId348" w:history="1">
        <w:r>
          <w:rPr>
            <w:rStyle w:val="Hyperlink"/>
            <w:lang w:val="pt-PT"/>
          </w:rPr>
          <w:t>IP/15/4671</w:t>
        </w:r>
      </w:hyperlink>
      <w:r>
        <w:rPr>
          <w:lang w:val="pt-PT"/>
        </w:rPr>
        <w:t>.</w:t>
      </w:r>
    </w:p>
  </w:footnote>
  <w:footnote w:id="212">
    <w:p>
      <w:pPr>
        <w:pStyle w:val="FootnoteText"/>
        <w:rPr>
          <w:lang w:val="pt-PT"/>
        </w:rPr>
      </w:pPr>
      <w:r>
        <w:rPr>
          <w:rStyle w:val="FootnoteReference"/>
        </w:rPr>
        <w:footnoteRef/>
      </w:r>
      <w:r>
        <w:rPr>
          <w:lang w:val="pt-PT"/>
        </w:rPr>
        <w:t xml:space="preserve"> </w:t>
      </w:r>
      <w:r>
        <w:rPr>
          <w:lang w:val="pt-PT"/>
        </w:rPr>
        <w:tab/>
        <w:t xml:space="preserve">Directives </w:t>
      </w:r>
      <w:hyperlink r:id="rId349" w:history="1">
        <w:r>
          <w:rPr>
            <w:rStyle w:val="Hyperlink"/>
            <w:lang w:val="pt-PT"/>
          </w:rPr>
          <w:t>2000/43</w:t>
        </w:r>
      </w:hyperlink>
      <w:r>
        <w:rPr>
          <w:lang w:val="pt-PT"/>
        </w:rPr>
        <w:t xml:space="preserve">, </w:t>
      </w:r>
      <w:hyperlink r:id="rId350" w:history="1">
        <w:r>
          <w:rPr>
            <w:rStyle w:val="Hyperlink"/>
            <w:lang w:val="pt-PT"/>
          </w:rPr>
          <w:t>2004/113</w:t>
        </w:r>
      </w:hyperlink>
      <w:r>
        <w:rPr>
          <w:lang w:val="pt-PT"/>
        </w:rPr>
        <w:t xml:space="preserve"> and </w:t>
      </w:r>
      <w:hyperlink r:id="rId351" w:history="1">
        <w:r>
          <w:rPr>
            <w:rStyle w:val="Hyperlink"/>
            <w:lang w:val="pt-PT"/>
          </w:rPr>
          <w:t>2006/54</w:t>
        </w:r>
      </w:hyperlink>
      <w:r>
        <w:rPr>
          <w:lang w:val="pt-PT"/>
        </w:rPr>
        <w:t>.</w:t>
      </w:r>
    </w:p>
  </w:footnote>
  <w:footnote w:id="213">
    <w:p>
      <w:pPr>
        <w:pStyle w:val="FootnoteText"/>
        <w:rPr>
          <w:lang w:val="pt-PT"/>
        </w:rPr>
      </w:pPr>
      <w:r>
        <w:rPr>
          <w:rStyle w:val="FootnoteReference"/>
        </w:rPr>
        <w:footnoteRef/>
      </w:r>
      <w:r>
        <w:rPr>
          <w:lang w:val="pt-PT"/>
        </w:rPr>
        <w:t xml:space="preserve"> </w:t>
      </w:r>
      <w:r>
        <w:rPr>
          <w:lang w:val="pt-PT"/>
        </w:rPr>
        <w:tab/>
        <w:t xml:space="preserve">Directive </w:t>
      </w:r>
      <w:hyperlink r:id="rId352" w:history="1">
        <w:r>
          <w:rPr>
            <w:rStyle w:val="Hyperlink"/>
            <w:lang w:val="pt-PT"/>
          </w:rPr>
          <w:t>2013/40/EU</w:t>
        </w:r>
      </w:hyperlink>
      <w:r>
        <w:rPr>
          <w:lang w:val="pt-PT"/>
        </w:rPr>
        <w:t xml:space="preserve">; </w:t>
      </w:r>
      <w:hyperlink r:id="rId353" w:history="1">
        <w:r>
          <w:rPr>
            <w:rStyle w:val="Hyperlink"/>
            <w:lang w:val="pt-PT"/>
          </w:rPr>
          <w:t>MEMO/16/4211</w:t>
        </w:r>
      </w:hyperlink>
      <w:r>
        <w:rPr>
          <w:lang w:val="pt-PT"/>
        </w:rPr>
        <w:t>.</w:t>
      </w:r>
    </w:p>
  </w:footnote>
  <w:footnote w:id="214">
    <w:p>
      <w:pPr>
        <w:pStyle w:val="FootnoteText"/>
        <w:rPr>
          <w:lang w:val="pt-PT"/>
        </w:rPr>
      </w:pPr>
      <w:r>
        <w:rPr>
          <w:rStyle w:val="FootnoteReference"/>
        </w:rPr>
        <w:footnoteRef/>
      </w:r>
      <w:r>
        <w:rPr>
          <w:lang w:val="pt-PT"/>
        </w:rPr>
        <w:t xml:space="preserve"> </w:t>
      </w:r>
      <w:r>
        <w:rPr>
          <w:lang w:val="pt-PT"/>
        </w:rPr>
        <w:tab/>
        <w:t xml:space="preserve">Directive </w:t>
      </w:r>
      <w:hyperlink r:id="rId354" w:history="1">
        <w:r>
          <w:rPr>
            <w:rStyle w:val="Hyperlink"/>
            <w:lang w:val="pt-PT"/>
          </w:rPr>
          <w:t>2008/98/EC</w:t>
        </w:r>
      </w:hyperlink>
      <w:r>
        <w:rPr>
          <w:lang w:val="pt-PT"/>
        </w:rPr>
        <w:t>.</w:t>
      </w:r>
    </w:p>
  </w:footnote>
  <w:footnote w:id="215">
    <w:p>
      <w:pPr>
        <w:pStyle w:val="FootnoteText"/>
        <w:rPr>
          <w:lang w:val="pt-PT"/>
        </w:rPr>
      </w:pPr>
      <w:r>
        <w:rPr>
          <w:rStyle w:val="FootnoteReference"/>
        </w:rPr>
        <w:footnoteRef/>
      </w:r>
      <w:r>
        <w:rPr>
          <w:lang w:val="pt-PT"/>
        </w:rPr>
        <w:t xml:space="preserve"> </w:t>
      </w:r>
      <w:r>
        <w:rPr>
          <w:lang w:val="pt-PT"/>
        </w:rPr>
        <w:tab/>
        <w:t xml:space="preserve">Directive </w:t>
      </w:r>
      <w:hyperlink r:id="rId355" w:history="1">
        <w:r>
          <w:rPr>
            <w:rStyle w:val="Hyperlink"/>
            <w:lang w:val="pt-PT"/>
          </w:rPr>
          <w:t>2010/75/EU</w:t>
        </w:r>
      </w:hyperlink>
      <w:r>
        <w:rPr>
          <w:lang w:val="pt-PT"/>
        </w:rPr>
        <w:t>.</w:t>
      </w:r>
    </w:p>
  </w:footnote>
  <w:footnote w:id="216">
    <w:p>
      <w:pPr>
        <w:pStyle w:val="FootnoteText"/>
        <w:rPr>
          <w:lang w:val="pt-PT"/>
        </w:rPr>
      </w:pPr>
      <w:r>
        <w:rPr>
          <w:rStyle w:val="FootnoteReference"/>
        </w:rPr>
        <w:footnoteRef/>
      </w:r>
      <w:r>
        <w:rPr>
          <w:lang w:val="pt-PT"/>
        </w:rPr>
        <w:t xml:space="preserve"> </w:t>
      </w:r>
      <w:r>
        <w:rPr>
          <w:lang w:val="pt-PT"/>
        </w:rPr>
        <w:tab/>
        <w:t xml:space="preserve">Directive </w:t>
      </w:r>
      <w:hyperlink r:id="rId356" w:history="1">
        <w:r>
          <w:rPr>
            <w:rStyle w:val="Hyperlink"/>
            <w:lang w:val="pt-PT"/>
          </w:rPr>
          <w:t>2012/18/EU</w:t>
        </w:r>
      </w:hyperlink>
      <w:r>
        <w:rPr>
          <w:lang w:val="pt-PT"/>
        </w:rPr>
        <w:t>.</w:t>
      </w:r>
    </w:p>
  </w:footnote>
  <w:footnote w:id="217">
    <w:p>
      <w:pPr>
        <w:pStyle w:val="FootnoteText"/>
        <w:rPr>
          <w:lang w:val="pt-PT"/>
        </w:rPr>
      </w:pPr>
      <w:r>
        <w:rPr>
          <w:rStyle w:val="FootnoteReference"/>
        </w:rPr>
        <w:footnoteRef/>
      </w:r>
      <w:r>
        <w:rPr>
          <w:lang w:val="pt-PT"/>
        </w:rPr>
        <w:t xml:space="preserve"> </w:t>
      </w:r>
      <w:r>
        <w:rPr>
          <w:lang w:val="pt-PT"/>
        </w:rPr>
        <w:tab/>
        <w:t xml:space="preserve">Directive </w:t>
      </w:r>
      <w:hyperlink r:id="rId357" w:history="1">
        <w:r>
          <w:rPr>
            <w:rStyle w:val="Hyperlink"/>
            <w:lang w:val="pt-PT"/>
          </w:rPr>
          <w:t>2013/14/EU</w:t>
        </w:r>
      </w:hyperlink>
      <w:r>
        <w:rPr>
          <w:lang w:val="pt-PT"/>
        </w:rPr>
        <w:t>.</w:t>
      </w:r>
    </w:p>
  </w:footnote>
  <w:footnote w:id="218">
    <w:p>
      <w:pPr>
        <w:pStyle w:val="FootnoteText"/>
      </w:pPr>
      <w:r>
        <w:rPr>
          <w:rStyle w:val="FootnoteReference"/>
        </w:rPr>
        <w:footnoteRef/>
      </w:r>
      <w:r>
        <w:t xml:space="preserve"> </w:t>
      </w:r>
      <w:r>
        <w:tab/>
        <w:t xml:space="preserve">Directive </w:t>
      </w:r>
      <w:hyperlink r:id="rId358" w:history="1">
        <w:r>
          <w:rPr>
            <w:rStyle w:val="Hyperlink"/>
          </w:rPr>
          <w:t>2006/126/EC</w:t>
        </w:r>
      </w:hyperlink>
      <w:r>
        <w:t>.</w:t>
      </w:r>
    </w:p>
  </w:footnote>
  <w:footnote w:id="219">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220">
    <w:p>
      <w:pPr>
        <w:pStyle w:val="FootnoteText"/>
        <w:rPr>
          <w:rFonts w:cs="Arial"/>
          <w:lang w:val="pt-PT"/>
        </w:rPr>
      </w:pPr>
      <w:r>
        <w:rPr>
          <w:rStyle w:val="FootnoteReference"/>
        </w:rPr>
        <w:footnoteRef/>
      </w:r>
      <w:r>
        <w:rPr>
          <w:lang w:val="pt-PT"/>
        </w:rPr>
        <w:t xml:space="preserve"> </w:t>
      </w:r>
      <w:r>
        <w:rPr>
          <w:lang w:val="pt-PT"/>
        </w:rPr>
        <w:tab/>
        <w:t xml:space="preserve">Directive </w:t>
      </w:r>
      <w:hyperlink r:id="rId359" w:history="1">
        <w:r>
          <w:rPr>
            <w:rStyle w:val="Hyperlink"/>
            <w:lang w:val="pt-PT"/>
          </w:rPr>
          <w:t>2000/35/EC</w:t>
        </w:r>
      </w:hyperlink>
      <w:r>
        <w:rPr>
          <w:lang w:val="pt-PT"/>
        </w:rPr>
        <w:t>.</w:t>
      </w:r>
    </w:p>
  </w:footnote>
  <w:footnote w:id="221">
    <w:p>
      <w:pPr>
        <w:pStyle w:val="FootnoteText"/>
        <w:rPr>
          <w:lang w:val="pt-PT"/>
        </w:rPr>
      </w:pPr>
      <w:r>
        <w:rPr>
          <w:rStyle w:val="FootnoteReference"/>
        </w:rPr>
        <w:footnoteRef/>
      </w:r>
      <w:r>
        <w:rPr>
          <w:lang w:val="pt-PT"/>
        </w:rPr>
        <w:t xml:space="preserve"> </w:t>
      </w:r>
      <w:r>
        <w:rPr>
          <w:lang w:val="pt-PT"/>
        </w:rPr>
        <w:tab/>
      </w:r>
      <w:hyperlink r:id="rId360" w:history="1">
        <w:r>
          <w:rPr>
            <w:rStyle w:val="Hyperlink"/>
            <w:lang w:val="pt-PT"/>
          </w:rPr>
          <w:t>C-256/15</w:t>
        </w:r>
      </w:hyperlink>
      <w:r>
        <w:rPr>
          <w:lang w:val="pt-PT"/>
        </w:rPr>
        <w:t>, Drago Nemec vs Slovenia.</w:t>
      </w:r>
    </w:p>
  </w:footnote>
  <w:footnote w:id="222">
    <w:p>
      <w:pPr>
        <w:pStyle w:val="FootnoteText"/>
        <w:rPr>
          <w:lang w:val="pt-PT"/>
        </w:rPr>
      </w:pPr>
      <w:r>
        <w:rPr>
          <w:rStyle w:val="FootnoteReference"/>
        </w:rPr>
        <w:footnoteRef/>
      </w:r>
      <w:r>
        <w:rPr>
          <w:lang w:val="pt-PT"/>
        </w:rPr>
        <w:t xml:space="preserve"> </w:t>
      </w:r>
      <w:r>
        <w:rPr>
          <w:lang w:val="pt-PT"/>
        </w:rPr>
        <w:tab/>
        <w:t xml:space="preserve">Directive </w:t>
      </w:r>
      <w:hyperlink r:id="rId361" w:history="1">
        <w:r>
          <w:rPr>
            <w:rStyle w:val="Hyperlink"/>
            <w:lang w:val="pt-PT"/>
          </w:rPr>
          <w:t>2002/49/EC</w:t>
        </w:r>
      </w:hyperlink>
      <w:r>
        <w:rPr>
          <w:lang w:val="pt-PT"/>
        </w:rPr>
        <w:t>.</w:t>
      </w:r>
    </w:p>
  </w:footnote>
  <w:footnote w:id="223">
    <w:p>
      <w:pPr>
        <w:pStyle w:val="FootnoteText"/>
        <w:rPr>
          <w:lang w:val="pt-PT"/>
        </w:rPr>
      </w:pPr>
      <w:r>
        <w:rPr>
          <w:rStyle w:val="FootnoteReference"/>
        </w:rPr>
        <w:footnoteRef/>
      </w:r>
      <w:r>
        <w:rPr>
          <w:lang w:val="pt-PT"/>
        </w:rPr>
        <w:t xml:space="preserve"> </w:t>
      </w:r>
      <w:r>
        <w:rPr>
          <w:lang w:val="pt-PT"/>
        </w:rPr>
        <w:tab/>
        <w:t>Regulation (EU) No </w:t>
      </w:r>
      <w:hyperlink r:id="rId362" w:history="1">
        <w:r>
          <w:rPr>
            <w:rStyle w:val="Hyperlink"/>
            <w:lang w:val="pt-PT"/>
          </w:rPr>
          <w:t>995/2010</w:t>
        </w:r>
      </w:hyperlink>
      <w:r>
        <w:rPr>
          <w:lang w:val="pt-PT"/>
        </w:rPr>
        <w:t>.</w:t>
      </w:r>
    </w:p>
  </w:footnote>
  <w:footnote w:id="224">
    <w:p>
      <w:pPr>
        <w:pStyle w:val="FootnoteText"/>
        <w:rPr>
          <w:lang w:val="pt-PT"/>
        </w:rPr>
      </w:pPr>
      <w:r>
        <w:rPr>
          <w:rStyle w:val="FootnoteReference"/>
        </w:rPr>
        <w:footnoteRef/>
      </w:r>
      <w:r>
        <w:rPr>
          <w:lang w:val="pt-PT"/>
        </w:rPr>
        <w:t xml:space="preserve"> </w:t>
      </w:r>
      <w:r>
        <w:rPr>
          <w:lang w:val="pt-PT"/>
        </w:rPr>
        <w:tab/>
        <w:t xml:space="preserve">Directive </w:t>
      </w:r>
      <w:hyperlink r:id="rId363" w:history="1">
        <w:r>
          <w:rPr>
            <w:rStyle w:val="Hyperlink"/>
            <w:lang w:val="pt-PT"/>
          </w:rPr>
          <w:t>2013/36/EU</w:t>
        </w:r>
      </w:hyperlink>
      <w:r>
        <w:rPr>
          <w:lang w:val="pt-PT"/>
        </w:rPr>
        <w:t xml:space="preserve">; </w:t>
      </w:r>
      <w:hyperlink r:id="rId364" w:history="1">
        <w:r>
          <w:rPr>
            <w:rStyle w:val="Hyperlink"/>
            <w:lang w:val="pt-PT"/>
          </w:rPr>
          <w:t>MEMO/16/1452</w:t>
        </w:r>
      </w:hyperlink>
      <w:r>
        <w:rPr>
          <w:lang w:val="pt-PT"/>
        </w:rPr>
        <w:t>.</w:t>
      </w:r>
    </w:p>
  </w:footnote>
  <w:footnote w:id="225">
    <w:p>
      <w:pPr>
        <w:pStyle w:val="FootnoteText"/>
        <w:rPr>
          <w:lang w:val="pt-PT"/>
        </w:rPr>
      </w:pPr>
      <w:r>
        <w:rPr>
          <w:rStyle w:val="FootnoteReference"/>
        </w:rPr>
        <w:footnoteRef/>
      </w:r>
      <w:r>
        <w:rPr>
          <w:lang w:val="pt-PT"/>
        </w:rPr>
        <w:t xml:space="preserve"> </w:t>
      </w:r>
      <w:r>
        <w:rPr>
          <w:lang w:val="pt-PT"/>
        </w:rPr>
        <w:tab/>
      </w:r>
      <w:hyperlink r:id="rId365" w:history="1">
        <w:r>
          <w:rPr>
            <w:rStyle w:val="Hyperlink"/>
            <w:lang w:val="pt-PT"/>
          </w:rPr>
          <w:t>MEMO/16/3125</w:t>
        </w:r>
      </w:hyperlink>
      <w:r>
        <w:rPr>
          <w:lang w:val="pt-PT"/>
        </w:rPr>
        <w:t>.</w:t>
      </w:r>
    </w:p>
  </w:footnote>
  <w:footnote w:id="226">
    <w:p>
      <w:pPr>
        <w:pStyle w:val="FootnoteText"/>
        <w:rPr>
          <w:lang w:val="pt-PT"/>
        </w:rPr>
      </w:pPr>
      <w:r>
        <w:rPr>
          <w:rStyle w:val="FootnoteReference"/>
        </w:rPr>
        <w:footnoteRef/>
      </w:r>
      <w:r>
        <w:rPr>
          <w:lang w:val="pt-PT"/>
        </w:rPr>
        <w:t xml:space="preserve"> </w:t>
      </w:r>
      <w:r>
        <w:rPr>
          <w:lang w:val="pt-PT"/>
        </w:rPr>
        <w:tab/>
      </w:r>
      <w:hyperlink r:id="rId366" w:history="1">
        <w:r>
          <w:rPr>
            <w:rStyle w:val="Hyperlink"/>
            <w:lang w:val="pt-PT"/>
          </w:rPr>
          <w:t>IP/16/1827</w:t>
        </w:r>
      </w:hyperlink>
      <w:r>
        <w:rPr>
          <w:lang w:val="pt-PT"/>
        </w:rPr>
        <w:t xml:space="preserve"> and </w:t>
      </w:r>
      <w:hyperlink r:id="rId367" w:history="1">
        <w:r>
          <w:rPr>
            <w:rStyle w:val="Hyperlink"/>
            <w:lang w:val="pt-PT"/>
          </w:rPr>
          <w:t>MEMO/16/1823</w:t>
        </w:r>
      </w:hyperlink>
      <w:r>
        <w:rPr>
          <w:lang w:val="pt-PT"/>
        </w:rPr>
        <w:t>.</w:t>
      </w:r>
    </w:p>
  </w:footnote>
  <w:footnote w:id="227">
    <w:p>
      <w:pPr>
        <w:pStyle w:val="FootnoteText"/>
      </w:pPr>
      <w:r>
        <w:rPr>
          <w:rStyle w:val="FootnoteReference"/>
        </w:rPr>
        <w:footnoteRef/>
      </w:r>
      <w:r>
        <w:t xml:space="preserve"> </w:t>
      </w:r>
      <w:r>
        <w:tab/>
        <w:t>Regulation (EU) No</w:t>
      </w:r>
      <w:hyperlink r:id="rId368" w:history="1">
        <w:r>
          <w:rPr>
            <w:rStyle w:val="Hyperlink"/>
          </w:rPr>
          <w:t xml:space="preserve"> 748/2012</w:t>
        </w:r>
      </w:hyperlink>
      <w:r>
        <w:t xml:space="preserve"> and Regulation (EC) No </w:t>
      </w:r>
      <w:hyperlink r:id="rId369" w:history="1">
        <w:r>
          <w:rPr>
            <w:rStyle w:val="Hyperlink"/>
          </w:rPr>
          <w:t>1321/2014</w:t>
        </w:r>
      </w:hyperlink>
      <w:r>
        <w:rPr>
          <w:rStyle w:val="Hyperlink"/>
        </w:rPr>
        <w:t>.</w:t>
      </w:r>
    </w:p>
  </w:footnote>
  <w:footnote w:id="228">
    <w:p>
      <w:pPr>
        <w:pStyle w:val="FootnoteText"/>
        <w:rPr>
          <w:lang w:val="pt-PT"/>
        </w:rPr>
      </w:pPr>
      <w:r>
        <w:rPr>
          <w:rStyle w:val="FootnoteReference"/>
        </w:rPr>
        <w:footnoteRef/>
      </w:r>
      <w:r>
        <w:rPr>
          <w:lang w:val="pt-PT"/>
        </w:rPr>
        <w:t xml:space="preserve"> </w:t>
      </w:r>
      <w:r>
        <w:rPr>
          <w:lang w:val="pt-PT"/>
        </w:rPr>
        <w:tab/>
      </w:r>
      <w:r>
        <w:rPr>
          <w:rFonts w:cs="Arial"/>
          <w:lang w:val="pt-PT"/>
        </w:rPr>
        <w:t xml:space="preserve">Directive </w:t>
      </w:r>
      <w:hyperlink r:id="rId370" w:history="1">
        <w:r>
          <w:rPr>
            <w:rStyle w:val="Hyperlink"/>
            <w:lang w:val="pt-PT"/>
          </w:rPr>
          <w:t>91/676/EEC</w:t>
        </w:r>
      </w:hyperlink>
      <w:r>
        <w:rPr>
          <w:rFonts w:cs="Arial"/>
          <w:lang w:val="pt-PT"/>
        </w:rPr>
        <w:t xml:space="preserve">; </w:t>
      </w:r>
      <w:hyperlink r:id="rId371" w:history="1">
        <w:r>
          <w:rPr>
            <w:rStyle w:val="Hyperlink"/>
            <w:lang w:val="pt-PT"/>
          </w:rPr>
          <w:t>MEMO/16/3125</w:t>
        </w:r>
      </w:hyperlink>
      <w:r>
        <w:rPr>
          <w:rFonts w:cs="Arial"/>
          <w:lang w:val="pt-PT"/>
        </w:rPr>
        <w:t>.</w:t>
      </w:r>
    </w:p>
  </w:footnote>
  <w:footnote w:id="229">
    <w:p>
      <w:pPr>
        <w:pStyle w:val="FootnoteText"/>
        <w:rPr>
          <w:rFonts w:cs="Arial"/>
          <w:lang w:val="pt-PT"/>
        </w:rPr>
      </w:pPr>
      <w:r>
        <w:rPr>
          <w:rStyle w:val="FootnoteReference"/>
          <w:rFonts w:eastAsia="MS Gothic"/>
        </w:rPr>
        <w:footnoteRef/>
      </w:r>
      <w:r>
        <w:rPr>
          <w:lang w:val="pt-PT"/>
        </w:rPr>
        <w:t xml:space="preserve"> </w:t>
      </w:r>
      <w:r>
        <w:rPr>
          <w:lang w:val="pt-PT"/>
        </w:rPr>
        <w:tab/>
      </w:r>
      <w:hyperlink r:id="rId372" w:history="1">
        <w:r>
          <w:rPr>
            <w:rStyle w:val="Hyperlink"/>
            <w:lang w:val="pt-PT"/>
          </w:rPr>
          <w:t>Directive 92/13/EEC</w:t>
        </w:r>
      </w:hyperlink>
      <w:r>
        <w:rPr>
          <w:rStyle w:val="Hyperlink"/>
          <w:lang w:val="pt-PT"/>
        </w:rPr>
        <w:t>;</w:t>
      </w:r>
      <w:r>
        <w:rPr>
          <w:lang w:val="pt-PT"/>
        </w:rPr>
        <w:t xml:space="preserve"> </w:t>
      </w:r>
      <w:hyperlink r:id="rId373" w:history="1">
        <w:r>
          <w:rPr>
            <w:rStyle w:val="Hyperlink"/>
            <w:lang w:val="pt-PT"/>
          </w:rPr>
          <w:t>MEMO/16/3125</w:t>
        </w:r>
      </w:hyperlink>
      <w:r>
        <w:rPr>
          <w:lang w:val="pt-PT"/>
        </w:rPr>
        <w:t>.</w:t>
      </w:r>
    </w:p>
  </w:footnote>
  <w:footnote w:id="230">
    <w:p>
      <w:pPr>
        <w:pStyle w:val="FootnoteText"/>
        <w:rPr>
          <w:lang w:val="it-IT"/>
        </w:rPr>
      </w:pPr>
      <w:r>
        <w:rPr>
          <w:rStyle w:val="FootnoteReference"/>
        </w:rPr>
        <w:footnoteRef/>
      </w:r>
      <w:r>
        <w:rPr>
          <w:lang w:val="it-IT"/>
        </w:rPr>
        <w:t xml:space="preserve"> </w:t>
      </w:r>
      <w:r>
        <w:rPr>
          <w:lang w:val="it-IT"/>
        </w:rPr>
        <w:tab/>
        <w:t xml:space="preserve">Commission v Slovakia, </w:t>
      </w:r>
      <w:hyperlink r:id="rId374" w:history="1">
        <w:r>
          <w:rPr>
            <w:rStyle w:val="Hyperlink"/>
            <w:lang w:val="it-IT"/>
          </w:rPr>
          <w:t>C-626/16</w:t>
        </w:r>
      </w:hyperlink>
      <w:r>
        <w:rPr>
          <w:lang w:val="it-IT"/>
        </w:rPr>
        <w:t xml:space="preserve">; </w:t>
      </w:r>
      <w:hyperlink r:id="rId375" w:history="1">
        <w:r>
          <w:rPr>
            <w:rStyle w:val="Hyperlink"/>
            <w:lang w:val="it-IT"/>
          </w:rPr>
          <w:t>IP/16/2099</w:t>
        </w:r>
      </w:hyperlink>
      <w:r>
        <w:rPr>
          <w:lang w:val="it-IT"/>
        </w:rPr>
        <w:t>.</w:t>
      </w:r>
    </w:p>
  </w:footnote>
  <w:footnote w:id="231">
    <w:p>
      <w:pPr>
        <w:pStyle w:val="FootnoteText"/>
        <w:rPr>
          <w:lang w:val="it-IT"/>
        </w:rPr>
      </w:pPr>
      <w:r>
        <w:rPr>
          <w:rStyle w:val="FootnoteReference"/>
        </w:rPr>
        <w:footnoteRef/>
      </w:r>
      <w:r>
        <w:rPr>
          <w:lang w:val="it-IT"/>
        </w:rPr>
        <w:t xml:space="preserve"> </w:t>
      </w:r>
      <w:r>
        <w:rPr>
          <w:lang w:val="it-IT"/>
        </w:rPr>
        <w:tab/>
        <w:t xml:space="preserve">Directive </w:t>
      </w:r>
      <w:hyperlink r:id="rId376" w:history="1">
        <w:r>
          <w:rPr>
            <w:rStyle w:val="Hyperlink"/>
            <w:lang w:val="it-IT"/>
          </w:rPr>
          <w:t>92/43/EEC</w:t>
        </w:r>
      </w:hyperlink>
      <w:r>
        <w:rPr>
          <w:lang w:val="it-IT"/>
        </w:rPr>
        <w:t>.</w:t>
      </w:r>
    </w:p>
  </w:footnote>
  <w:footnote w:id="232">
    <w:p>
      <w:pPr>
        <w:pStyle w:val="FootnoteText"/>
        <w:rPr>
          <w:lang w:val="it-IT"/>
        </w:rPr>
      </w:pPr>
      <w:r>
        <w:rPr>
          <w:rStyle w:val="FootnoteReference"/>
        </w:rPr>
        <w:footnoteRef/>
      </w:r>
      <w:r>
        <w:rPr>
          <w:lang w:val="it-IT"/>
        </w:rPr>
        <w:t xml:space="preserve"> </w:t>
      </w:r>
      <w:r>
        <w:rPr>
          <w:lang w:val="it-IT"/>
        </w:rPr>
        <w:tab/>
        <w:t xml:space="preserve">Directive </w:t>
      </w:r>
      <w:hyperlink r:id="rId377" w:history="1">
        <w:r>
          <w:rPr>
            <w:rStyle w:val="Hyperlink"/>
            <w:lang w:val="it-IT"/>
          </w:rPr>
          <w:t>2007/60/EC</w:t>
        </w:r>
      </w:hyperlink>
      <w:r>
        <w:rPr>
          <w:lang w:val="it-IT"/>
        </w:rPr>
        <w:t>.</w:t>
      </w:r>
    </w:p>
  </w:footnote>
  <w:footnote w:id="233">
    <w:p>
      <w:pPr>
        <w:pStyle w:val="FootnoteText"/>
        <w:rPr>
          <w:lang w:val="it-IT"/>
        </w:rPr>
      </w:pPr>
      <w:r>
        <w:rPr>
          <w:rStyle w:val="FootnoteReference"/>
        </w:rPr>
        <w:footnoteRef/>
      </w:r>
      <w:r>
        <w:rPr>
          <w:lang w:val="it-IT"/>
        </w:rPr>
        <w:t xml:space="preserve"> </w:t>
      </w:r>
      <w:r>
        <w:rPr>
          <w:lang w:val="it-IT"/>
        </w:rPr>
        <w:tab/>
        <w:t xml:space="preserve">Directive </w:t>
      </w:r>
      <w:hyperlink r:id="rId378" w:history="1">
        <w:r>
          <w:rPr>
            <w:rStyle w:val="Hyperlink"/>
            <w:lang w:val="it-IT"/>
          </w:rPr>
          <w:t>2013/36/EU</w:t>
        </w:r>
      </w:hyperlink>
      <w:r>
        <w:rPr>
          <w:lang w:val="it-IT"/>
        </w:rPr>
        <w:t>.</w:t>
      </w:r>
    </w:p>
  </w:footnote>
  <w:footnote w:id="234">
    <w:p>
      <w:pPr>
        <w:pStyle w:val="FootnoteText"/>
        <w:rPr>
          <w:lang w:val="it-IT"/>
        </w:rPr>
      </w:pPr>
      <w:r>
        <w:rPr>
          <w:rStyle w:val="FootnoteReference"/>
        </w:rPr>
        <w:footnoteRef/>
      </w:r>
      <w:r>
        <w:rPr>
          <w:lang w:val="it-IT"/>
        </w:rPr>
        <w:t xml:space="preserve"> </w:t>
      </w:r>
      <w:r>
        <w:rPr>
          <w:lang w:val="it-IT"/>
        </w:rPr>
        <w:tab/>
        <w:t xml:space="preserve">Directive </w:t>
      </w:r>
      <w:hyperlink r:id="rId379" w:history="1">
        <w:r>
          <w:rPr>
            <w:rStyle w:val="Hyperlink"/>
            <w:lang w:val="it-IT"/>
          </w:rPr>
          <w:t>2014/59/EU</w:t>
        </w:r>
      </w:hyperlink>
      <w:r>
        <w:rPr>
          <w:lang w:val="it-IT"/>
        </w:rPr>
        <w:t>.</w:t>
      </w:r>
    </w:p>
  </w:footnote>
  <w:footnote w:id="235">
    <w:p>
      <w:pPr>
        <w:pStyle w:val="FootnoteText"/>
        <w:rPr>
          <w:lang w:val="it-IT"/>
        </w:rPr>
      </w:pPr>
      <w:r>
        <w:rPr>
          <w:rStyle w:val="FootnoteReference"/>
        </w:rPr>
        <w:footnoteRef/>
      </w:r>
      <w:r>
        <w:rPr>
          <w:lang w:val="it-IT"/>
        </w:rPr>
        <w:t xml:space="preserve"> </w:t>
      </w:r>
      <w:r>
        <w:rPr>
          <w:lang w:val="it-IT"/>
        </w:rPr>
        <w:tab/>
        <w:t xml:space="preserve">Directive </w:t>
      </w:r>
      <w:hyperlink r:id="rId380" w:history="1">
        <w:r>
          <w:rPr>
            <w:rStyle w:val="Hyperlink"/>
            <w:lang w:val="it-IT"/>
          </w:rPr>
          <w:t>2014/49/EU</w:t>
        </w:r>
      </w:hyperlink>
      <w:r>
        <w:rPr>
          <w:lang w:val="it-IT"/>
        </w:rPr>
        <w:t>.</w:t>
      </w:r>
    </w:p>
  </w:footnote>
  <w:footnote w:id="236">
    <w:p>
      <w:pPr>
        <w:pStyle w:val="FootnoteText"/>
        <w:rPr>
          <w:lang w:val="it-IT"/>
        </w:rPr>
      </w:pPr>
      <w:r>
        <w:rPr>
          <w:rStyle w:val="FootnoteReference"/>
        </w:rPr>
        <w:footnoteRef/>
      </w:r>
      <w:r>
        <w:rPr>
          <w:lang w:val="it-IT"/>
        </w:rPr>
        <w:t xml:space="preserve"> </w:t>
      </w:r>
      <w:r>
        <w:rPr>
          <w:lang w:val="it-IT"/>
        </w:rPr>
        <w:tab/>
        <w:t xml:space="preserve">Directive </w:t>
      </w:r>
      <w:hyperlink r:id="rId381" w:history="1">
        <w:r>
          <w:rPr>
            <w:rStyle w:val="Hyperlink"/>
            <w:lang w:val="it-IT"/>
          </w:rPr>
          <w:t>2006/126/EC</w:t>
        </w:r>
      </w:hyperlink>
      <w:r>
        <w:rPr>
          <w:lang w:val="it-IT"/>
        </w:rPr>
        <w:t>.</w:t>
      </w:r>
    </w:p>
  </w:footnote>
  <w:footnote w:id="237">
    <w:p>
      <w:pPr>
        <w:pStyle w:val="FootnoteText"/>
        <w:rPr>
          <w:lang w:val="it-IT"/>
        </w:rPr>
      </w:pPr>
      <w:r>
        <w:rPr>
          <w:rStyle w:val="FootnoteReference"/>
        </w:rPr>
        <w:footnoteRef/>
      </w:r>
      <w:r>
        <w:rPr>
          <w:lang w:val="it-IT"/>
        </w:rPr>
        <w:t xml:space="preserve"> </w:t>
      </w:r>
      <w:r>
        <w:rPr>
          <w:lang w:val="it-IT"/>
        </w:rPr>
        <w:tab/>
        <w:t xml:space="preserve">Directive </w:t>
      </w:r>
      <w:hyperlink r:id="rId382" w:history="1">
        <w:r>
          <w:rPr>
            <w:rStyle w:val="Hyperlink"/>
            <w:lang w:val="it-IT"/>
          </w:rPr>
          <w:t>2008/57/EC</w:t>
        </w:r>
      </w:hyperlink>
      <w:r>
        <w:rPr>
          <w:lang w:val="it-IT"/>
        </w:rPr>
        <w:t>.</w:t>
      </w:r>
    </w:p>
  </w:footnote>
  <w:footnote w:id="238">
    <w:p>
      <w:pPr>
        <w:pStyle w:val="FootnoteText"/>
        <w:rPr>
          <w:lang w:val="it-IT"/>
        </w:rPr>
      </w:pPr>
      <w:r>
        <w:rPr>
          <w:rStyle w:val="FootnoteReference"/>
        </w:rPr>
        <w:footnoteRef/>
      </w:r>
      <w:r>
        <w:rPr>
          <w:lang w:val="it-IT"/>
        </w:rPr>
        <w:t xml:space="preserve"> </w:t>
      </w:r>
      <w:r>
        <w:rPr>
          <w:lang w:val="it-IT"/>
        </w:rPr>
        <w:tab/>
        <w:t>These rulings are almost exclusively handed down on infringement procedures.</w:t>
      </w:r>
    </w:p>
  </w:footnote>
  <w:footnote w:id="239">
    <w:p>
      <w:pPr>
        <w:pStyle w:val="FootnoteText"/>
      </w:pPr>
      <w:r>
        <w:rPr>
          <w:rStyle w:val="FootnoteReference"/>
        </w:rPr>
        <w:footnoteRef/>
      </w:r>
      <w:r>
        <w:t xml:space="preserve"> </w:t>
      </w:r>
      <w:r>
        <w:tab/>
        <w:t xml:space="preserve">Directive </w:t>
      </w:r>
      <w:hyperlink r:id="rId383" w:history="1">
        <w:r>
          <w:rPr>
            <w:rStyle w:val="Hyperlink"/>
          </w:rPr>
          <w:t>2008/48/EC</w:t>
        </w:r>
      </w:hyperlink>
      <w:r>
        <w:t>.</w:t>
      </w:r>
    </w:p>
  </w:footnote>
  <w:footnote w:id="240">
    <w:p>
      <w:pPr>
        <w:pStyle w:val="FootnoteText"/>
      </w:pPr>
      <w:r>
        <w:rPr>
          <w:rStyle w:val="FootnoteReference"/>
        </w:rPr>
        <w:footnoteRef/>
      </w:r>
      <w:r>
        <w:t xml:space="preserve"> </w:t>
      </w:r>
      <w:r>
        <w:tab/>
        <w:t xml:space="preserve">Home Credit Slovakia, </w:t>
      </w:r>
      <w:hyperlink r:id="rId384" w:history="1">
        <w:r>
          <w:rPr>
            <w:rStyle w:val="Hyperlink"/>
          </w:rPr>
          <w:t>C-42/15</w:t>
        </w:r>
      </w:hyperlink>
      <w:r>
        <w:t xml:space="preserve"> and Court press release No </w:t>
      </w:r>
      <w:hyperlink r:id="rId385" w:history="1">
        <w:r>
          <w:rPr>
            <w:rStyle w:val="Hyperlink"/>
          </w:rPr>
          <w:t>119/16</w:t>
        </w:r>
      </w:hyperlink>
      <w:r>
        <w:t>.</w:t>
      </w:r>
    </w:p>
  </w:footnote>
  <w:footnote w:id="241">
    <w:p>
      <w:pPr>
        <w:pStyle w:val="FootnoteText"/>
        <w:rPr>
          <w:rFonts w:cs="Arial"/>
        </w:rPr>
      </w:pPr>
      <w:r>
        <w:rPr>
          <w:rStyle w:val="FootnoteReference"/>
        </w:rPr>
        <w:footnoteRef/>
      </w:r>
      <w:r>
        <w:t xml:space="preserve"> </w:t>
      </w:r>
      <w:r>
        <w:tab/>
        <w:t xml:space="preserve">Lesoochranárske zoskupenie VLK, </w:t>
      </w:r>
      <w:hyperlink r:id="rId386" w:history="1">
        <w:r>
          <w:rPr>
            <w:rStyle w:val="Hyperlink"/>
          </w:rPr>
          <w:t>C-243/15</w:t>
        </w:r>
      </w:hyperlink>
      <w:r>
        <w:t>.</w:t>
      </w:r>
    </w:p>
  </w:footnote>
  <w:footnote w:id="242">
    <w:p>
      <w:pPr>
        <w:pStyle w:val="FootnoteText"/>
      </w:pPr>
      <w:r>
        <w:rPr>
          <w:rStyle w:val="FootnoteReference"/>
        </w:rPr>
        <w:footnoteRef/>
      </w:r>
      <w:r>
        <w:t xml:space="preserve"> </w:t>
      </w:r>
      <w:r>
        <w:tab/>
        <w:t xml:space="preserve">Directive </w:t>
      </w:r>
      <w:hyperlink r:id="rId387" w:history="1">
        <w:r>
          <w:rPr>
            <w:rStyle w:val="Hyperlink"/>
          </w:rPr>
          <w:t>2011/24/EU</w:t>
        </w:r>
      </w:hyperlink>
      <w:r>
        <w:rPr>
          <w:rStyle w:val="Hyperlink"/>
          <w:color w:val="auto"/>
          <w:u w:val="none"/>
        </w:rPr>
        <w:t xml:space="preserve">; </w:t>
      </w:r>
      <w:hyperlink r:id="rId388" w:history="1">
        <w:r>
          <w:rPr>
            <w:rStyle w:val="Hyperlink"/>
          </w:rPr>
          <w:t>MEMO/16/1452</w:t>
        </w:r>
      </w:hyperlink>
      <w:r>
        <w:t>.</w:t>
      </w:r>
    </w:p>
  </w:footnote>
  <w:footnote w:id="243">
    <w:p>
      <w:pPr>
        <w:pStyle w:val="FootnoteText"/>
        <w:rPr>
          <w:lang w:val="pt-PT"/>
        </w:rPr>
      </w:pPr>
      <w:r>
        <w:rPr>
          <w:rStyle w:val="FootnoteReference"/>
        </w:rPr>
        <w:footnoteRef/>
      </w:r>
      <w:r>
        <w:rPr>
          <w:lang w:val="pt-PT"/>
        </w:rPr>
        <w:t xml:space="preserve"> </w:t>
      </w:r>
      <w:r>
        <w:rPr>
          <w:lang w:val="pt-PT"/>
        </w:rPr>
        <w:tab/>
        <w:t xml:space="preserve">Directive </w:t>
      </w:r>
      <w:hyperlink r:id="rId389" w:history="1">
        <w:r>
          <w:rPr>
            <w:rStyle w:val="Hyperlink"/>
            <w:lang w:val="pt-PT"/>
          </w:rPr>
          <w:t>2008/98/EC</w:t>
        </w:r>
      </w:hyperlink>
      <w:r>
        <w:rPr>
          <w:lang w:val="pt-PT"/>
        </w:rPr>
        <w:t>.</w:t>
      </w:r>
    </w:p>
  </w:footnote>
  <w:footnote w:id="244">
    <w:p>
      <w:pPr>
        <w:pStyle w:val="FootnoteText"/>
        <w:rPr>
          <w:lang w:val="pt-PT"/>
        </w:rPr>
      </w:pPr>
      <w:r>
        <w:rPr>
          <w:rStyle w:val="FootnoteReference"/>
        </w:rPr>
        <w:footnoteRef/>
      </w:r>
      <w:r>
        <w:rPr>
          <w:lang w:val="pt-PT"/>
        </w:rPr>
        <w:t xml:space="preserve"> </w:t>
      </w:r>
      <w:r>
        <w:rPr>
          <w:lang w:val="pt-PT"/>
        </w:rPr>
        <w:tab/>
        <w:t xml:space="preserve">Directive </w:t>
      </w:r>
      <w:hyperlink r:id="rId390" w:history="1">
        <w:r>
          <w:rPr>
            <w:rStyle w:val="Hyperlink"/>
            <w:lang w:val="pt-PT"/>
          </w:rPr>
          <w:t>2014/17/EU</w:t>
        </w:r>
      </w:hyperlink>
      <w:r>
        <w:rPr>
          <w:lang w:val="pt-PT"/>
        </w:rPr>
        <w:t xml:space="preserve">; </w:t>
      </w:r>
      <w:hyperlink r:id="rId391" w:history="1">
        <w:r>
          <w:rPr>
            <w:rStyle w:val="Hyperlink"/>
            <w:lang w:val="pt-PT"/>
          </w:rPr>
          <w:t>MEMO/16/3644</w:t>
        </w:r>
      </w:hyperlink>
      <w:r>
        <w:rPr>
          <w:lang w:val="pt-PT"/>
        </w:rPr>
        <w:t>.</w:t>
      </w:r>
    </w:p>
  </w:footnote>
  <w:footnote w:id="245">
    <w:p>
      <w:pPr>
        <w:pStyle w:val="FootnoteText"/>
        <w:rPr>
          <w:lang w:val="pt-PT"/>
        </w:rPr>
      </w:pPr>
      <w:r>
        <w:rPr>
          <w:rStyle w:val="FootnoteReference"/>
        </w:rPr>
        <w:footnoteRef/>
      </w:r>
      <w:r>
        <w:rPr>
          <w:lang w:val="pt-PT"/>
        </w:rPr>
        <w:t xml:space="preserve"> </w:t>
      </w:r>
      <w:r>
        <w:rPr>
          <w:lang w:val="pt-PT"/>
        </w:rPr>
        <w:tab/>
        <w:t xml:space="preserve">Directive </w:t>
      </w:r>
      <w:hyperlink r:id="rId392" w:history="1">
        <w:r>
          <w:rPr>
            <w:rStyle w:val="Hyperlink"/>
            <w:lang w:val="pt-PT"/>
          </w:rPr>
          <w:t>2009/12/EC</w:t>
        </w:r>
      </w:hyperlink>
      <w:r>
        <w:rPr>
          <w:lang w:val="pt-PT"/>
        </w:rPr>
        <w:t>.</w:t>
      </w:r>
    </w:p>
  </w:footnote>
  <w:footnote w:id="246">
    <w:p>
      <w:pPr>
        <w:pStyle w:val="FootnoteText"/>
        <w:rPr>
          <w:lang w:val="pt-PT"/>
        </w:rPr>
      </w:pPr>
      <w:r>
        <w:rPr>
          <w:rStyle w:val="FootnoteReference"/>
        </w:rPr>
        <w:footnoteRef/>
      </w:r>
      <w:r>
        <w:rPr>
          <w:lang w:val="pt-PT"/>
        </w:rPr>
        <w:t xml:space="preserve"> </w:t>
      </w:r>
      <w:r>
        <w:rPr>
          <w:lang w:val="pt-PT"/>
        </w:rPr>
        <w:tab/>
        <w:t xml:space="preserve">Directive </w:t>
      </w:r>
      <w:hyperlink r:id="rId393" w:history="1">
        <w:r>
          <w:rPr>
            <w:rStyle w:val="Hyperlink"/>
            <w:lang w:val="pt-PT"/>
          </w:rPr>
          <w:t>2014/111/EU</w:t>
        </w:r>
      </w:hyperlink>
      <w:r>
        <w:rPr>
          <w:lang w:val="pt-PT"/>
        </w:rPr>
        <w:t xml:space="preserve">; </w:t>
      </w:r>
      <w:hyperlink r:id="rId394" w:history="1">
        <w:r>
          <w:rPr>
            <w:rStyle w:val="Hyperlink"/>
            <w:lang w:val="pt-PT"/>
          </w:rPr>
          <w:t>MEMO/16/4211</w:t>
        </w:r>
      </w:hyperlink>
      <w:r>
        <w:rPr>
          <w:lang w:val="pt-PT"/>
        </w:rPr>
        <w:t>.</w:t>
      </w:r>
    </w:p>
  </w:footnote>
  <w:footnote w:id="247">
    <w:p>
      <w:pPr>
        <w:pStyle w:val="FootnoteText"/>
        <w:rPr>
          <w:lang w:val="pt-PT"/>
        </w:rPr>
      </w:pPr>
      <w:r>
        <w:rPr>
          <w:rStyle w:val="FootnoteReference"/>
        </w:rPr>
        <w:footnoteRef/>
      </w:r>
      <w:r>
        <w:rPr>
          <w:lang w:val="pt-PT"/>
        </w:rPr>
        <w:t xml:space="preserve"> </w:t>
      </w:r>
      <w:r>
        <w:rPr>
          <w:lang w:val="pt-PT"/>
        </w:rPr>
        <w:tab/>
        <w:t xml:space="preserve">Directive </w:t>
      </w:r>
      <w:hyperlink r:id="rId395" w:history="1">
        <w:r>
          <w:rPr>
            <w:rStyle w:val="Hyperlink"/>
            <w:lang w:val="pt-PT"/>
          </w:rPr>
          <w:t>2014/89/EU</w:t>
        </w:r>
      </w:hyperlink>
      <w:r>
        <w:rPr>
          <w:lang w:val="pt-PT"/>
        </w:rPr>
        <w:t>.</w:t>
      </w:r>
    </w:p>
  </w:footnote>
  <w:footnote w:id="248">
    <w:p>
      <w:pPr>
        <w:pStyle w:val="FootnoteText"/>
        <w:rPr>
          <w:rFonts w:cs="Arial"/>
          <w:lang w:val="pt-PT"/>
        </w:rPr>
      </w:pPr>
      <w:r>
        <w:rPr>
          <w:rStyle w:val="FootnoteReference"/>
          <w:rFonts w:eastAsia="MS Gothic"/>
        </w:rPr>
        <w:footnoteRef/>
      </w:r>
      <w:r>
        <w:rPr>
          <w:lang w:val="pt-PT"/>
        </w:rPr>
        <w:t xml:space="preserve"> </w:t>
      </w:r>
      <w:r>
        <w:rPr>
          <w:lang w:val="pt-PT"/>
        </w:rPr>
        <w:tab/>
        <w:t xml:space="preserve">Directives </w:t>
      </w:r>
      <w:hyperlink r:id="rId396" w:history="1">
        <w:r>
          <w:rPr>
            <w:rStyle w:val="Hyperlink"/>
            <w:lang w:val="pt-PT"/>
          </w:rPr>
          <w:t>2014/23/EU</w:t>
        </w:r>
      </w:hyperlink>
      <w:r>
        <w:rPr>
          <w:lang w:val="pt-PT"/>
        </w:rPr>
        <w:t xml:space="preserve">, </w:t>
      </w:r>
      <w:hyperlink r:id="rId397" w:history="1">
        <w:r>
          <w:rPr>
            <w:rStyle w:val="Hyperlink"/>
            <w:lang w:val="pt-PT"/>
          </w:rPr>
          <w:t>2014/24/EU</w:t>
        </w:r>
      </w:hyperlink>
      <w:r>
        <w:rPr>
          <w:lang w:val="pt-PT"/>
        </w:rPr>
        <w:t xml:space="preserve"> and </w:t>
      </w:r>
      <w:hyperlink r:id="rId398" w:history="1">
        <w:r>
          <w:rPr>
            <w:rStyle w:val="Hyperlink"/>
            <w:lang w:val="pt-PT"/>
          </w:rPr>
          <w:t>2014/25/EU</w:t>
        </w:r>
      </w:hyperlink>
      <w:r>
        <w:rPr>
          <w:lang w:val="pt-PT"/>
        </w:rPr>
        <w:t xml:space="preserve">; </w:t>
      </w:r>
      <w:hyperlink r:id="rId399" w:history="1">
        <w:r>
          <w:rPr>
            <w:rStyle w:val="Hyperlink"/>
            <w:lang w:val="pt-PT"/>
          </w:rPr>
          <w:t>MEMO/16/4211</w:t>
        </w:r>
      </w:hyperlink>
      <w:r>
        <w:rPr>
          <w:lang w:val="pt-PT"/>
        </w:rPr>
        <w:t>.</w:t>
      </w:r>
    </w:p>
  </w:footnote>
  <w:footnote w:id="249">
    <w:p>
      <w:pPr>
        <w:pStyle w:val="FootnoteText"/>
        <w:rPr>
          <w:lang w:val="pt-PT"/>
        </w:rPr>
      </w:pPr>
      <w:r>
        <w:rPr>
          <w:rStyle w:val="FootnoteReference"/>
        </w:rPr>
        <w:footnoteRef/>
      </w:r>
      <w:r>
        <w:rPr>
          <w:lang w:val="pt-PT"/>
        </w:rPr>
        <w:t xml:space="preserve"> </w:t>
      </w:r>
      <w:r>
        <w:rPr>
          <w:lang w:val="pt-PT"/>
        </w:rPr>
        <w:tab/>
        <w:t xml:space="preserve">Directive </w:t>
      </w:r>
      <w:hyperlink r:id="rId400" w:history="1">
        <w:r>
          <w:rPr>
            <w:rStyle w:val="Hyperlink"/>
            <w:lang w:val="pt-PT"/>
          </w:rPr>
          <w:t>2009/147/EC</w:t>
        </w:r>
      </w:hyperlink>
      <w:r>
        <w:rPr>
          <w:lang w:val="pt-PT"/>
        </w:rPr>
        <w:t xml:space="preserve">; </w:t>
      </w:r>
      <w:hyperlink r:id="rId401" w:history="1">
        <w:r>
          <w:rPr>
            <w:rStyle w:val="Hyperlink"/>
            <w:lang w:val="pt-PT"/>
          </w:rPr>
          <w:t>MEMO/16/4211</w:t>
        </w:r>
      </w:hyperlink>
      <w:r>
        <w:rPr>
          <w:lang w:val="pt-PT"/>
        </w:rPr>
        <w:t>.</w:t>
      </w:r>
    </w:p>
  </w:footnote>
  <w:footnote w:id="250">
    <w:p>
      <w:pPr>
        <w:pStyle w:val="FootnoteText"/>
        <w:rPr>
          <w:lang w:val="pt-PT"/>
        </w:rPr>
      </w:pPr>
      <w:r>
        <w:rPr>
          <w:rStyle w:val="FootnoteReference"/>
        </w:rPr>
        <w:footnoteRef/>
      </w:r>
      <w:r>
        <w:rPr>
          <w:lang w:val="pt-PT"/>
        </w:rPr>
        <w:t xml:space="preserve"> </w:t>
      </w:r>
      <w:r>
        <w:rPr>
          <w:lang w:val="pt-PT"/>
        </w:rPr>
        <w:tab/>
        <w:t xml:space="preserve">Directive </w:t>
      </w:r>
      <w:hyperlink r:id="rId402" w:history="1">
        <w:r>
          <w:rPr>
            <w:rStyle w:val="Hyperlink"/>
            <w:lang w:val="pt-PT"/>
          </w:rPr>
          <w:t>2012/18/EU</w:t>
        </w:r>
      </w:hyperlink>
      <w:r>
        <w:rPr>
          <w:lang w:val="pt-PT"/>
        </w:rPr>
        <w:t xml:space="preserve">; </w:t>
      </w:r>
      <w:hyperlink r:id="rId403" w:history="1">
        <w:r>
          <w:rPr>
            <w:rStyle w:val="Hyperlink"/>
            <w:lang w:val="pt-PT"/>
          </w:rPr>
          <w:t>MEMO/16/3644</w:t>
        </w:r>
      </w:hyperlink>
      <w:r>
        <w:rPr>
          <w:lang w:val="pt-PT"/>
        </w:rPr>
        <w:t>.</w:t>
      </w:r>
    </w:p>
  </w:footnote>
  <w:footnote w:id="251">
    <w:p>
      <w:pPr>
        <w:pStyle w:val="FootnoteText"/>
        <w:rPr>
          <w:lang w:val="pt-PT"/>
        </w:rPr>
      </w:pPr>
      <w:r>
        <w:rPr>
          <w:rStyle w:val="FootnoteReference"/>
        </w:rPr>
        <w:footnoteRef/>
      </w:r>
      <w:r>
        <w:rPr>
          <w:lang w:val="pt-PT"/>
        </w:rPr>
        <w:t xml:space="preserve"> </w:t>
      </w:r>
      <w:r>
        <w:rPr>
          <w:lang w:val="pt-PT"/>
        </w:rPr>
        <w:tab/>
        <w:t xml:space="preserve">Directive </w:t>
      </w:r>
      <w:hyperlink r:id="rId404" w:history="1">
        <w:r>
          <w:rPr>
            <w:rStyle w:val="Hyperlink"/>
            <w:lang w:val="pt-PT"/>
          </w:rPr>
          <w:t>2003/4/EC</w:t>
        </w:r>
      </w:hyperlink>
      <w:r>
        <w:rPr>
          <w:lang w:val="pt-PT"/>
        </w:rPr>
        <w:t xml:space="preserve">; </w:t>
      </w:r>
      <w:hyperlink r:id="rId405" w:history="1">
        <w:r>
          <w:rPr>
            <w:rStyle w:val="Hyperlink"/>
            <w:lang w:val="pt-PT"/>
          </w:rPr>
          <w:t>MEMO/16/2490</w:t>
        </w:r>
      </w:hyperlink>
      <w:r>
        <w:rPr>
          <w:lang w:val="pt-PT"/>
        </w:rPr>
        <w:t>.</w:t>
      </w:r>
    </w:p>
  </w:footnote>
  <w:footnote w:id="252">
    <w:p>
      <w:pPr>
        <w:pStyle w:val="FootnoteText"/>
        <w:rPr>
          <w:lang w:val="pt-PT"/>
        </w:rPr>
      </w:pPr>
      <w:r>
        <w:rPr>
          <w:rStyle w:val="FootnoteReference"/>
        </w:rPr>
        <w:footnoteRef/>
      </w:r>
      <w:r>
        <w:rPr>
          <w:lang w:val="pt-PT"/>
        </w:rPr>
        <w:t xml:space="preserve"> </w:t>
      </w:r>
      <w:r>
        <w:rPr>
          <w:lang w:val="pt-PT"/>
        </w:rPr>
        <w:tab/>
        <w:t xml:space="preserve">Directive </w:t>
      </w:r>
      <w:hyperlink r:id="rId406" w:history="1">
        <w:r>
          <w:rPr>
            <w:rStyle w:val="Hyperlink"/>
            <w:lang w:val="pt-PT"/>
          </w:rPr>
          <w:t>2013/55/EU</w:t>
        </w:r>
      </w:hyperlink>
      <w:r>
        <w:rPr>
          <w:lang w:val="pt-PT"/>
        </w:rPr>
        <w:t xml:space="preserve">; </w:t>
      </w:r>
      <w:hyperlink r:id="rId407" w:history="1">
        <w:r>
          <w:rPr>
            <w:rStyle w:val="Hyperlink"/>
            <w:lang w:val="pt-PT"/>
          </w:rPr>
          <w:t>MEMO/16/3125</w:t>
        </w:r>
      </w:hyperlink>
      <w:r>
        <w:rPr>
          <w:lang w:val="pt-PT"/>
        </w:rPr>
        <w:t>.</w:t>
      </w:r>
    </w:p>
  </w:footnote>
  <w:footnote w:id="253">
    <w:p>
      <w:pPr>
        <w:pStyle w:val="FootnoteText"/>
      </w:pPr>
      <w:r>
        <w:rPr>
          <w:rStyle w:val="FootnoteReference"/>
        </w:rPr>
        <w:footnoteRef/>
      </w:r>
      <w:r>
        <w:t xml:space="preserve"> </w:t>
      </w:r>
      <w:r>
        <w:tab/>
        <w:t xml:space="preserve">Directive </w:t>
      </w:r>
      <w:hyperlink r:id="rId408" w:history="1">
        <w:r>
          <w:rPr>
            <w:rStyle w:val="Hyperlink"/>
          </w:rPr>
          <w:t>2006/126/EC</w:t>
        </w:r>
      </w:hyperlink>
      <w:r>
        <w:t xml:space="preserve">; </w:t>
      </w:r>
      <w:hyperlink r:id="rId409" w:history="1">
        <w:r>
          <w:rPr>
            <w:rStyle w:val="Hyperlink"/>
          </w:rPr>
          <w:t>IP/15/6229</w:t>
        </w:r>
      </w:hyperlink>
      <w:r>
        <w:t xml:space="preserve"> and </w:t>
      </w:r>
      <w:hyperlink r:id="rId410" w:history="1">
        <w:r>
          <w:rPr>
            <w:rStyle w:val="Hyperlink"/>
          </w:rPr>
          <w:t>MEMO/15/6223</w:t>
        </w:r>
      </w:hyperlink>
      <w:r>
        <w:t>. The Commission subsequently decided to withdraw the case from the Court as Finland remedied the breach before the Court handed down its judgment.</w:t>
      </w:r>
    </w:p>
  </w:footnote>
  <w:footnote w:id="254">
    <w:p>
      <w:pPr>
        <w:pStyle w:val="FootnoteText"/>
      </w:pPr>
      <w:r>
        <w:rPr>
          <w:rStyle w:val="FootnoteReference"/>
        </w:rPr>
        <w:footnoteRef/>
      </w:r>
      <w:r>
        <w:t xml:space="preserve"> </w:t>
      </w:r>
      <w:r>
        <w:tab/>
        <w:t xml:space="preserve">Directive </w:t>
      </w:r>
      <w:hyperlink r:id="rId411" w:history="1">
        <w:r>
          <w:rPr>
            <w:rStyle w:val="Hyperlink"/>
          </w:rPr>
          <w:t>2008/120/EC</w:t>
        </w:r>
      </w:hyperlink>
      <w:r>
        <w:t>.</w:t>
      </w:r>
    </w:p>
  </w:footnote>
  <w:footnote w:id="255">
    <w:p>
      <w:pPr>
        <w:pStyle w:val="FootnoteText"/>
      </w:pPr>
      <w:r>
        <w:rPr>
          <w:rStyle w:val="FootnoteReference"/>
        </w:rPr>
        <w:footnoteRef/>
      </w:r>
      <w:r>
        <w:t xml:space="preserve"> </w:t>
      </w:r>
      <w:r>
        <w:tab/>
        <w:t xml:space="preserve">Directive </w:t>
      </w:r>
      <w:hyperlink r:id="rId412" w:history="1">
        <w:r>
          <w:rPr>
            <w:rStyle w:val="Hyperlink"/>
          </w:rPr>
          <w:t>2000/60/EC</w:t>
        </w:r>
      </w:hyperlink>
      <w:r>
        <w:t>.</w:t>
      </w:r>
    </w:p>
  </w:footnote>
  <w:footnote w:id="256">
    <w:p>
      <w:pPr>
        <w:pStyle w:val="FootnoteText"/>
      </w:pPr>
      <w:r>
        <w:rPr>
          <w:rStyle w:val="FootnoteReference"/>
        </w:rPr>
        <w:footnoteRef/>
      </w:r>
      <w:r>
        <w:t xml:space="preserve"> </w:t>
      </w:r>
      <w:r>
        <w:tab/>
        <w:t xml:space="preserve">Directive </w:t>
      </w:r>
      <w:hyperlink r:id="rId413" w:history="1">
        <w:r>
          <w:rPr>
            <w:rStyle w:val="Hyperlink"/>
          </w:rPr>
          <w:t>2013/36/EU</w:t>
        </w:r>
      </w:hyperlink>
      <w:r>
        <w:t>.</w:t>
      </w:r>
    </w:p>
  </w:footnote>
  <w:footnote w:id="257">
    <w:p>
      <w:pPr>
        <w:pStyle w:val="FootnoteText"/>
      </w:pPr>
      <w:r>
        <w:rPr>
          <w:rStyle w:val="FootnoteReference"/>
        </w:rPr>
        <w:footnoteRef/>
      </w:r>
      <w:r>
        <w:t xml:space="preserve"> </w:t>
      </w:r>
      <w:r>
        <w:tab/>
        <w:t xml:space="preserve">Directive </w:t>
      </w:r>
      <w:hyperlink r:id="rId414" w:history="1">
        <w:r>
          <w:rPr>
            <w:rStyle w:val="Hyperlink"/>
          </w:rPr>
          <w:t>2014/59/EU</w:t>
        </w:r>
      </w:hyperlink>
      <w:r>
        <w:t>.</w:t>
      </w:r>
    </w:p>
  </w:footnote>
  <w:footnote w:id="258">
    <w:p>
      <w:pPr>
        <w:pStyle w:val="FootnoteText"/>
      </w:pPr>
      <w:r>
        <w:rPr>
          <w:rStyle w:val="FootnoteReference"/>
        </w:rPr>
        <w:footnoteRef/>
      </w:r>
      <w:r>
        <w:t xml:space="preserve"> </w:t>
      </w:r>
      <w:r>
        <w:tab/>
        <w:t xml:space="preserve">Directive </w:t>
      </w:r>
      <w:hyperlink r:id="rId415" w:history="1">
        <w:r>
          <w:rPr>
            <w:rStyle w:val="Hyperlink"/>
          </w:rPr>
          <w:t>2006/126/EC</w:t>
        </w:r>
      </w:hyperlink>
      <w:r>
        <w:t xml:space="preserve">; </w:t>
      </w:r>
      <w:hyperlink r:id="rId416" w:history="1">
        <w:r>
          <w:rPr>
            <w:rStyle w:val="Hyperlink"/>
          </w:rPr>
          <w:t>IP/15/6229</w:t>
        </w:r>
      </w:hyperlink>
      <w:r>
        <w:t xml:space="preserve"> and </w:t>
      </w:r>
      <w:hyperlink r:id="rId417" w:history="1">
        <w:r>
          <w:rPr>
            <w:rStyle w:val="Hyperlink"/>
          </w:rPr>
          <w:t>MEMO/15/6223</w:t>
        </w:r>
      </w:hyperlink>
      <w:r>
        <w:t>..</w:t>
      </w:r>
    </w:p>
  </w:footnote>
  <w:footnote w:id="259">
    <w:p>
      <w:pPr>
        <w:pStyle w:val="FootnoteText"/>
      </w:pPr>
      <w:r>
        <w:rPr>
          <w:rStyle w:val="FootnoteReference"/>
        </w:rPr>
        <w:footnoteRef/>
      </w:r>
      <w:r>
        <w:t xml:space="preserve"> </w:t>
      </w:r>
      <w:r>
        <w:tab/>
        <w:t>Regulations (EC) No </w:t>
      </w:r>
      <w:hyperlink r:id="rId418" w:history="1">
        <w:r>
          <w:rPr>
            <w:rStyle w:val="Hyperlink"/>
          </w:rPr>
          <w:t>1071/2009</w:t>
        </w:r>
      </w:hyperlink>
      <w:r>
        <w:t xml:space="preserve"> and (EC) No </w:t>
      </w:r>
      <w:hyperlink r:id="rId419" w:history="1">
        <w:r>
          <w:rPr>
            <w:rStyle w:val="Hyperlink"/>
          </w:rPr>
          <w:t>1072/2009</w:t>
        </w:r>
      </w:hyperlink>
      <w:r>
        <w:t>.</w:t>
      </w:r>
    </w:p>
  </w:footnote>
  <w:footnote w:id="260">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261">
    <w:p>
      <w:pPr>
        <w:pStyle w:val="FootnoteText"/>
        <w:rPr>
          <w:lang w:val="fi-FI"/>
        </w:rPr>
      </w:pPr>
      <w:r>
        <w:rPr>
          <w:rStyle w:val="FootnoteReference"/>
        </w:rPr>
        <w:footnoteRef/>
      </w:r>
      <w:r>
        <w:rPr>
          <w:lang w:val="fi-FI"/>
        </w:rPr>
        <w:t xml:space="preserve"> </w:t>
      </w:r>
      <w:r>
        <w:rPr>
          <w:lang w:val="fi-FI"/>
        </w:rPr>
        <w:tab/>
        <w:t xml:space="preserve">Sanoma Media Finland Oy — Nelonen Media v Viestintävirasto, </w:t>
      </w:r>
      <w:hyperlink r:id="rId420" w:history="1">
        <w:r>
          <w:rPr>
            <w:rStyle w:val="Hyperlink"/>
            <w:lang w:val="fi-FI"/>
          </w:rPr>
          <w:t>C-314/14</w:t>
        </w:r>
      </w:hyperlink>
      <w:r>
        <w:rPr>
          <w:lang w:val="fi-FI"/>
        </w:rPr>
        <w:t>.</w:t>
      </w:r>
    </w:p>
  </w:footnote>
  <w:footnote w:id="262">
    <w:p>
      <w:pPr>
        <w:pStyle w:val="FootnoteText"/>
        <w:rPr>
          <w:lang w:val="es-ES"/>
        </w:rPr>
      </w:pPr>
      <w:r>
        <w:rPr>
          <w:rStyle w:val="FootnoteReference"/>
        </w:rPr>
        <w:footnoteRef/>
      </w:r>
      <w:r>
        <w:rPr>
          <w:lang w:val="es-ES"/>
        </w:rPr>
        <w:t xml:space="preserve"> </w:t>
      </w:r>
      <w:r>
        <w:rPr>
          <w:lang w:val="es-ES"/>
        </w:rPr>
        <w:tab/>
        <w:t>Regulation (EC) No </w:t>
      </w:r>
      <w:hyperlink r:id="rId421" w:history="1">
        <w:r>
          <w:rPr>
            <w:rStyle w:val="Hyperlink"/>
            <w:lang w:val="es-ES"/>
          </w:rPr>
          <w:t>110/2008</w:t>
        </w:r>
      </w:hyperlink>
      <w:r>
        <w:rPr>
          <w:lang w:val="es-ES"/>
        </w:rPr>
        <w:t xml:space="preserve">, Viiniverla, </w:t>
      </w:r>
      <w:hyperlink r:id="rId422" w:history="1">
        <w:r>
          <w:rPr>
            <w:rStyle w:val="Hyperlink"/>
            <w:lang w:val="es-ES"/>
          </w:rPr>
          <w:t>C-75/15</w:t>
        </w:r>
      </w:hyperlink>
      <w:r>
        <w:rPr>
          <w:lang w:val="es-ES"/>
        </w:rPr>
        <w:t>.</w:t>
      </w:r>
    </w:p>
  </w:footnote>
  <w:footnote w:id="263">
    <w:p>
      <w:pPr>
        <w:pStyle w:val="FootnoteText"/>
        <w:rPr>
          <w:lang w:val="pt-PT"/>
        </w:rPr>
      </w:pPr>
      <w:r>
        <w:rPr>
          <w:rStyle w:val="FootnoteReference"/>
        </w:rPr>
        <w:footnoteRef/>
      </w:r>
      <w:r>
        <w:rPr>
          <w:lang w:val="pt-PT"/>
        </w:rPr>
        <w:t xml:space="preserve"> </w:t>
      </w:r>
      <w:r>
        <w:rPr>
          <w:lang w:val="pt-PT"/>
        </w:rPr>
        <w:tab/>
        <w:t xml:space="preserve">Directive </w:t>
      </w:r>
      <w:hyperlink r:id="rId423" w:history="1">
        <w:r>
          <w:rPr>
            <w:rStyle w:val="Hyperlink"/>
            <w:lang w:val="pt-PT"/>
          </w:rPr>
          <w:t>2014/40/EU</w:t>
        </w:r>
      </w:hyperlink>
      <w:r>
        <w:rPr>
          <w:lang w:val="pt-PT"/>
        </w:rPr>
        <w:t xml:space="preserve">; </w:t>
      </w:r>
      <w:hyperlink r:id="rId424" w:history="1">
        <w:r>
          <w:rPr>
            <w:rStyle w:val="Hyperlink"/>
            <w:lang w:val="pt-PT"/>
          </w:rPr>
          <w:t>MEMO/16/4211</w:t>
        </w:r>
      </w:hyperlink>
      <w:r>
        <w:rPr>
          <w:lang w:val="pt-PT"/>
        </w:rPr>
        <w:t>.</w:t>
      </w:r>
    </w:p>
  </w:footnote>
  <w:footnote w:id="264">
    <w:p>
      <w:pPr>
        <w:pStyle w:val="FootnoteText"/>
        <w:rPr>
          <w:lang w:val="pt-PT"/>
        </w:rPr>
      </w:pPr>
      <w:r>
        <w:rPr>
          <w:rStyle w:val="FootnoteReference"/>
        </w:rPr>
        <w:footnoteRef/>
      </w:r>
      <w:r>
        <w:rPr>
          <w:lang w:val="pt-PT"/>
        </w:rPr>
        <w:t xml:space="preserve"> </w:t>
      </w:r>
      <w:r>
        <w:rPr>
          <w:lang w:val="pt-PT"/>
        </w:rPr>
        <w:tab/>
        <w:t xml:space="preserve">Directive </w:t>
      </w:r>
      <w:hyperlink r:id="rId425" w:history="1">
        <w:r>
          <w:rPr>
            <w:rStyle w:val="Hyperlink"/>
            <w:lang w:val="pt-PT"/>
          </w:rPr>
          <w:t>2008/98/EC</w:t>
        </w:r>
      </w:hyperlink>
      <w:r>
        <w:rPr>
          <w:lang w:val="pt-PT"/>
        </w:rPr>
        <w:t>.</w:t>
      </w:r>
    </w:p>
  </w:footnote>
  <w:footnote w:id="265">
    <w:p>
      <w:pPr>
        <w:pStyle w:val="FootnoteText"/>
      </w:pPr>
      <w:r>
        <w:rPr>
          <w:rStyle w:val="FootnoteReference"/>
        </w:rPr>
        <w:footnoteRef/>
      </w:r>
      <w:r>
        <w:t xml:space="preserve"> </w:t>
      </w:r>
      <w:r>
        <w:tab/>
        <w:t xml:space="preserve">Directive </w:t>
      </w:r>
      <w:hyperlink r:id="rId426" w:history="1">
        <w:r>
          <w:rPr>
            <w:rStyle w:val="Hyperlink"/>
          </w:rPr>
          <w:t>2000/60/EC</w:t>
        </w:r>
      </w:hyperlink>
      <w:r>
        <w:t>.</w:t>
      </w:r>
    </w:p>
  </w:footnote>
  <w:footnote w:id="266">
    <w:p>
      <w:pPr>
        <w:pStyle w:val="FootnoteText"/>
      </w:pPr>
      <w:r>
        <w:rPr>
          <w:rStyle w:val="FootnoteReference"/>
        </w:rPr>
        <w:footnoteRef/>
      </w:r>
      <w:r>
        <w:t xml:space="preserve"> </w:t>
      </w:r>
      <w:r>
        <w:tab/>
        <w:t xml:space="preserve">Directive </w:t>
      </w:r>
      <w:hyperlink r:id="rId427" w:history="1">
        <w:r>
          <w:rPr>
            <w:rStyle w:val="Hyperlink"/>
          </w:rPr>
          <w:t>2014/17/EU</w:t>
        </w:r>
      </w:hyperlink>
      <w:r>
        <w:t xml:space="preserve">, and press releases </w:t>
      </w:r>
      <w:hyperlink r:id="rId428" w:history="1">
        <w:r>
          <w:rPr>
            <w:rStyle w:val="Hyperlink"/>
          </w:rPr>
          <w:t>MEMO/16/3644</w:t>
        </w:r>
      </w:hyperlink>
      <w:r>
        <w:t xml:space="preserve"> and </w:t>
      </w:r>
      <w:hyperlink r:id="rId429" w:history="1">
        <w:r>
          <w:rPr>
            <w:rStyle w:val="Hyperlink"/>
          </w:rPr>
          <w:t>MEMO/16/4211</w:t>
        </w:r>
      </w:hyperlink>
      <w:r>
        <w:t>.</w:t>
      </w:r>
    </w:p>
  </w:footnote>
  <w:footnote w:id="267">
    <w:p>
      <w:pPr>
        <w:pStyle w:val="FootnoteText"/>
        <w:rPr>
          <w:lang w:val="pt-PT"/>
        </w:rPr>
      </w:pPr>
      <w:r>
        <w:rPr>
          <w:rStyle w:val="FootnoteReference"/>
        </w:rPr>
        <w:footnoteRef/>
      </w:r>
      <w:r>
        <w:rPr>
          <w:lang w:val="pt-PT"/>
        </w:rPr>
        <w:t xml:space="preserve"> </w:t>
      </w:r>
      <w:r>
        <w:rPr>
          <w:lang w:val="pt-PT"/>
        </w:rPr>
        <w:tab/>
      </w:r>
      <w:hyperlink r:id="rId430" w:history="1">
        <w:r>
          <w:rPr>
            <w:rStyle w:val="Hyperlink"/>
            <w:lang w:val="pt-PT"/>
          </w:rPr>
          <w:t>MEMO/16/3125</w:t>
        </w:r>
      </w:hyperlink>
      <w:r>
        <w:rPr>
          <w:lang w:val="pt-PT"/>
        </w:rPr>
        <w:t>.</w:t>
      </w:r>
    </w:p>
  </w:footnote>
  <w:footnote w:id="268">
    <w:p>
      <w:pPr>
        <w:pStyle w:val="FootnoteText"/>
        <w:rPr>
          <w:lang w:val="pt-PT"/>
        </w:rPr>
      </w:pPr>
      <w:r>
        <w:rPr>
          <w:rStyle w:val="FootnoteReference"/>
        </w:rPr>
        <w:footnoteRef/>
      </w:r>
      <w:r>
        <w:rPr>
          <w:lang w:val="pt-PT"/>
        </w:rPr>
        <w:t xml:space="preserve"> </w:t>
      </w:r>
      <w:r>
        <w:rPr>
          <w:lang w:val="pt-PT"/>
        </w:rPr>
        <w:tab/>
        <w:t xml:space="preserve">Directive </w:t>
      </w:r>
      <w:hyperlink r:id="rId431" w:history="1">
        <w:r>
          <w:rPr>
            <w:rStyle w:val="Hyperlink"/>
            <w:lang w:val="pt-PT"/>
          </w:rPr>
          <w:t>2009/12/EC</w:t>
        </w:r>
      </w:hyperlink>
      <w:r>
        <w:rPr>
          <w:lang w:val="pt-PT"/>
        </w:rPr>
        <w:t xml:space="preserve">, </w:t>
      </w:r>
      <w:hyperlink r:id="rId432" w:history="1">
        <w:r>
          <w:rPr>
            <w:rStyle w:val="Hyperlink"/>
            <w:lang w:val="pt-PT"/>
          </w:rPr>
          <w:t>MEMO/16/319</w:t>
        </w:r>
      </w:hyperlink>
      <w:r>
        <w:rPr>
          <w:lang w:val="pt-PT"/>
        </w:rPr>
        <w:t>.</w:t>
      </w:r>
    </w:p>
  </w:footnote>
  <w:footnote w:id="269">
    <w:p>
      <w:pPr>
        <w:pStyle w:val="FootnoteText"/>
        <w:rPr>
          <w:lang w:val="pt-PT"/>
        </w:rPr>
      </w:pPr>
      <w:r>
        <w:rPr>
          <w:rStyle w:val="FootnoteReference"/>
        </w:rPr>
        <w:footnoteRef/>
      </w:r>
      <w:r>
        <w:rPr>
          <w:lang w:val="pt-PT"/>
        </w:rPr>
        <w:t xml:space="preserve"> </w:t>
      </w:r>
      <w:r>
        <w:rPr>
          <w:lang w:val="pt-PT"/>
        </w:rPr>
        <w:tab/>
        <w:t xml:space="preserve">Directive </w:t>
      </w:r>
      <w:hyperlink r:id="rId433" w:history="1">
        <w:r>
          <w:rPr>
            <w:rStyle w:val="Hyperlink"/>
            <w:lang w:val="pt-PT"/>
          </w:rPr>
          <w:t>2006/126/EC</w:t>
        </w:r>
      </w:hyperlink>
      <w:r>
        <w:rPr>
          <w:lang w:val="pt-PT"/>
        </w:rPr>
        <w:t xml:space="preserve">, </w:t>
      </w:r>
      <w:hyperlink r:id="rId434" w:history="1">
        <w:r>
          <w:rPr>
            <w:rStyle w:val="Hyperlink"/>
            <w:lang w:val="pt-PT"/>
          </w:rPr>
          <w:t>MEMO/16/2097</w:t>
        </w:r>
      </w:hyperlink>
      <w:r>
        <w:rPr>
          <w:lang w:val="pt-PT"/>
        </w:rPr>
        <w:t>.</w:t>
      </w:r>
    </w:p>
  </w:footnote>
  <w:footnote w:id="270">
    <w:p>
      <w:pPr>
        <w:pStyle w:val="FootnoteText"/>
        <w:rPr>
          <w:lang w:val="pt-PT"/>
        </w:rPr>
      </w:pPr>
      <w:r>
        <w:rPr>
          <w:rStyle w:val="FootnoteReference"/>
          <w:rFonts w:eastAsia="MS Gothic"/>
        </w:rPr>
        <w:footnoteRef/>
      </w:r>
      <w:r>
        <w:rPr>
          <w:lang w:val="pt-PT"/>
        </w:rPr>
        <w:t xml:space="preserve"> </w:t>
      </w:r>
      <w:r>
        <w:rPr>
          <w:lang w:val="pt-PT"/>
        </w:rPr>
        <w:tab/>
        <w:t xml:space="preserve">Directives </w:t>
      </w:r>
      <w:hyperlink r:id="rId435" w:history="1">
        <w:r>
          <w:rPr>
            <w:rStyle w:val="Hyperlink"/>
            <w:lang w:val="pt-PT"/>
          </w:rPr>
          <w:t>2014/23/EU</w:t>
        </w:r>
      </w:hyperlink>
      <w:r>
        <w:rPr>
          <w:lang w:val="pt-PT"/>
        </w:rPr>
        <w:t xml:space="preserve">, </w:t>
      </w:r>
      <w:hyperlink r:id="rId436" w:history="1">
        <w:r>
          <w:rPr>
            <w:rStyle w:val="Hyperlink"/>
            <w:lang w:val="pt-PT"/>
          </w:rPr>
          <w:t>2014/24/EU</w:t>
        </w:r>
      </w:hyperlink>
      <w:r>
        <w:rPr>
          <w:lang w:val="pt-PT"/>
        </w:rPr>
        <w:t xml:space="preserve">, </w:t>
      </w:r>
      <w:hyperlink r:id="rId437" w:history="1">
        <w:r>
          <w:rPr>
            <w:rStyle w:val="Hyperlink"/>
            <w:lang w:val="pt-PT"/>
          </w:rPr>
          <w:t>2014/25/EU</w:t>
        </w:r>
      </w:hyperlink>
      <w:r>
        <w:rPr>
          <w:lang w:val="pt-PT"/>
        </w:rPr>
        <w:t xml:space="preserve">, </w:t>
      </w:r>
      <w:hyperlink r:id="rId438" w:history="1">
        <w:r>
          <w:rPr>
            <w:rStyle w:val="Hyperlink"/>
            <w:lang w:val="pt-PT"/>
          </w:rPr>
          <w:t>MEMO/16/1823</w:t>
        </w:r>
      </w:hyperlink>
      <w:r>
        <w:rPr>
          <w:lang w:val="pt-PT"/>
        </w:rPr>
        <w:t>.</w:t>
      </w:r>
    </w:p>
  </w:footnote>
  <w:footnote w:id="271">
    <w:p>
      <w:pPr>
        <w:pStyle w:val="FootnoteText"/>
      </w:pPr>
      <w:r>
        <w:rPr>
          <w:rStyle w:val="FootnoteReference"/>
        </w:rPr>
        <w:footnoteRef/>
      </w:r>
      <w:r>
        <w:t xml:space="preserve"> </w:t>
      </w:r>
      <w:r>
        <w:tab/>
        <w:t xml:space="preserve">Directive </w:t>
      </w:r>
      <w:hyperlink r:id="rId439" w:history="1">
        <w:r>
          <w:rPr>
            <w:rStyle w:val="Hyperlink"/>
          </w:rPr>
          <w:t>2013/36/EU</w:t>
        </w:r>
      </w:hyperlink>
      <w:r>
        <w:t>.</w:t>
      </w:r>
    </w:p>
  </w:footnote>
  <w:footnote w:id="272">
    <w:p>
      <w:pPr>
        <w:pStyle w:val="FootnoteText"/>
      </w:pPr>
      <w:r>
        <w:rPr>
          <w:rStyle w:val="FootnoteReference"/>
        </w:rPr>
        <w:footnoteRef/>
      </w:r>
      <w:r>
        <w:t xml:space="preserve"> </w:t>
      </w:r>
      <w:r>
        <w:tab/>
      </w:r>
      <w:r>
        <w:rPr>
          <w:rFonts w:cs="Arial"/>
          <w:szCs w:val="18"/>
        </w:rPr>
        <w:t>These rulings are almost exclusively handed down on infringement procedures.</w:t>
      </w:r>
    </w:p>
  </w:footnote>
  <w:footnote w:id="273">
    <w:p>
      <w:pPr>
        <w:pStyle w:val="FootnoteText"/>
      </w:pPr>
      <w:r>
        <w:rPr>
          <w:rStyle w:val="FootnoteReference"/>
        </w:rPr>
        <w:footnoteRef/>
      </w:r>
      <w:r>
        <w:t xml:space="preserve"> </w:t>
      </w:r>
      <w:r>
        <w:tab/>
        <w:t xml:space="preserve">Article 19(2) of Regulation </w:t>
      </w:r>
      <w:hyperlink r:id="rId440" w:history="1">
        <w:r>
          <w:rPr>
            <w:rStyle w:val="Hyperlink"/>
          </w:rPr>
          <w:t>(EU) 604/2013</w:t>
        </w:r>
      </w:hyperlink>
      <w:r>
        <w:t>.</w:t>
      </w:r>
    </w:p>
  </w:footnote>
  <w:footnote w:id="274">
    <w:p>
      <w:pPr>
        <w:pStyle w:val="FootnoteText"/>
      </w:pPr>
      <w:r>
        <w:rPr>
          <w:rStyle w:val="FootnoteReference"/>
        </w:rPr>
        <w:footnoteRef/>
      </w:r>
      <w:r>
        <w:t xml:space="preserve"> </w:t>
      </w:r>
      <w:r>
        <w:tab/>
        <w:t xml:space="preserve">Karim, </w:t>
      </w:r>
      <w:hyperlink r:id="rId441" w:history="1">
        <w:r>
          <w:rPr>
            <w:rStyle w:val="Hyperlink"/>
          </w:rPr>
          <w:t>C-155/15</w:t>
        </w:r>
      </w:hyperlink>
      <w:r>
        <w:t>.</w:t>
      </w:r>
    </w:p>
  </w:footnote>
  <w:footnote w:id="275">
    <w:p>
      <w:pPr>
        <w:pStyle w:val="FootnoteText"/>
      </w:pPr>
      <w:r>
        <w:rPr>
          <w:rStyle w:val="FootnoteReference"/>
        </w:rPr>
        <w:footnoteRef/>
      </w:r>
      <w:r>
        <w:t xml:space="preserve"> </w:t>
      </w:r>
      <w:r>
        <w:tab/>
        <w:t xml:space="preserve">Directive </w:t>
      </w:r>
      <w:hyperlink r:id="rId442" w:history="1">
        <w:r>
          <w:rPr>
            <w:rStyle w:val="Hyperlink"/>
          </w:rPr>
          <w:t>2002/58/EC</w:t>
        </w:r>
      </w:hyperlink>
      <w:r>
        <w:t>.</w:t>
      </w:r>
    </w:p>
  </w:footnote>
  <w:footnote w:id="276">
    <w:p>
      <w:pPr>
        <w:pStyle w:val="FootnoteText"/>
      </w:pPr>
      <w:r>
        <w:rPr>
          <w:rStyle w:val="FootnoteReference"/>
        </w:rPr>
        <w:footnoteRef/>
      </w:r>
      <w:r>
        <w:t xml:space="preserve"> </w:t>
      </w:r>
      <w:r>
        <w:tab/>
        <w:t xml:space="preserve">Tele2 Sverige, joined case </w:t>
      </w:r>
      <w:hyperlink r:id="rId443" w:history="1">
        <w:r>
          <w:rPr>
            <w:rStyle w:val="Hyperlink"/>
          </w:rPr>
          <w:t>C-203/15</w:t>
        </w:r>
      </w:hyperlink>
      <w:r>
        <w:t xml:space="preserve"> and </w:t>
      </w:r>
      <w:hyperlink r:id="rId444" w:history="1">
        <w:r>
          <w:rPr>
            <w:rStyle w:val="Hyperlink"/>
          </w:rPr>
          <w:t>C-698/15</w:t>
        </w:r>
      </w:hyperlink>
      <w:r>
        <w:t xml:space="preserve">, Court press release </w:t>
      </w:r>
      <w:hyperlink r:id="rId445" w:history="1">
        <w:r>
          <w:rPr>
            <w:rStyle w:val="Hyperlink"/>
          </w:rPr>
          <w:t>No 145/16</w:t>
        </w:r>
      </w:hyperlink>
      <w:r>
        <w:t>.</w:t>
      </w:r>
    </w:p>
  </w:footnote>
  <w:footnote w:id="277">
    <w:p>
      <w:pPr>
        <w:pStyle w:val="FootnoteText"/>
        <w:rPr>
          <w:lang w:val="nl-NL"/>
        </w:rPr>
      </w:pPr>
      <w:r>
        <w:rPr>
          <w:rStyle w:val="FootnoteReference"/>
        </w:rPr>
        <w:footnoteRef/>
      </w:r>
      <w:r>
        <w:rPr>
          <w:lang w:val="nl-NL"/>
        </w:rPr>
        <w:t xml:space="preserve"> </w:t>
      </w:r>
      <w:r>
        <w:rPr>
          <w:lang w:val="nl-NL"/>
        </w:rPr>
        <w:tab/>
        <w:t xml:space="preserve">Poltorak, </w:t>
      </w:r>
      <w:hyperlink r:id="rId446" w:history="1">
        <w:r>
          <w:rPr>
            <w:rStyle w:val="Hyperlink"/>
            <w:lang w:val="nl-NL"/>
          </w:rPr>
          <w:t>C-452/16</w:t>
        </w:r>
      </w:hyperlink>
      <w:r>
        <w:rPr>
          <w:lang w:val="nl-NL"/>
        </w:rPr>
        <w:t>.</w:t>
      </w:r>
    </w:p>
  </w:footnote>
  <w:footnote w:id="278">
    <w:p>
      <w:pPr>
        <w:pStyle w:val="FootnoteText"/>
        <w:rPr>
          <w:lang w:val="nl-NL"/>
        </w:rPr>
      </w:pPr>
      <w:r>
        <w:rPr>
          <w:rStyle w:val="FootnoteReference"/>
        </w:rPr>
        <w:footnoteRef/>
      </w:r>
      <w:r>
        <w:rPr>
          <w:lang w:val="nl-NL"/>
        </w:rPr>
        <w:t xml:space="preserve"> </w:t>
      </w:r>
      <w:r>
        <w:rPr>
          <w:lang w:val="nl-NL"/>
        </w:rPr>
        <w:tab/>
      </w:r>
      <w:r>
        <w:rPr>
          <w:rStyle w:val="affairetitle"/>
          <w:lang w:val="nl-NL"/>
        </w:rPr>
        <w:t xml:space="preserve">Pensioenfonds Metaal en Techniek, </w:t>
      </w:r>
      <w:hyperlink r:id="rId447" w:history="1">
        <w:r>
          <w:rPr>
            <w:rStyle w:val="Hyperlink"/>
            <w:lang w:val="nl-NL"/>
          </w:rPr>
          <w:t>C-252/14</w:t>
        </w:r>
      </w:hyperlink>
      <w:r>
        <w:rPr>
          <w:lang w:val="nl-NL"/>
        </w:rPr>
        <w:t>.</w:t>
      </w:r>
    </w:p>
  </w:footnote>
  <w:footnote w:id="279">
    <w:p>
      <w:pPr>
        <w:pStyle w:val="FootnoteText"/>
        <w:rPr>
          <w:lang w:val="pt-PT"/>
        </w:rPr>
      </w:pPr>
      <w:r>
        <w:rPr>
          <w:rStyle w:val="FootnoteReference"/>
        </w:rPr>
        <w:footnoteRef/>
      </w:r>
      <w:r>
        <w:rPr>
          <w:lang w:val="pt-PT"/>
        </w:rPr>
        <w:t xml:space="preserve"> </w:t>
      </w:r>
      <w:r>
        <w:rPr>
          <w:lang w:val="pt-PT"/>
        </w:rPr>
        <w:tab/>
        <w:t xml:space="preserve">Directive </w:t>
      </w:r>
      <w:hyperlink r:id="rId448" w:history="1">
        <w:r>
          <w:rPr>
            <w:rStyle w:val="Hyperlink"/>
            <w:lang w:val="pt-PT"/>
          </w:rPr>
          <w:t>2013/30/EU</w:t>
        </w:r>
      </w:hyperlink>
      <w:r>
        <w:rPr>
          <w:lang w:val="pt-PT"/>
        </w:rPr>
        <w:t xml:space="preserve">, </w:t>
      </w:r>
      <w:hyperlink r:id="rId449" w:history="1">
        <w:r>
          <w:rPr>
            <w:rStyle w:val="Hyperlink"/>
            <w:lang w:val="pt-PT"/>
          </w:rPr>
          <w:t>MEMO/16/319</w:t>
        </w:r>
      </w:hyperlink>
      <w:r>
        <w:rPr>
          <w:lang w:val="pt-PT"/>
        </w:rPr>
        <w:t xml:space="preserve">, </w:t>
      </w:r>
      <w:hyperlink r:id="rId450" w:history="1">
        <w:r>
          <w:rPr>
            <w:rStyle w:val="Hyperlink"/>
            <w:lang w:val="pt-PT"/>
          </w:rPr>
          <w:t>MEMO/16/1452</w:t>
        </w:r>
      </w:hyperlink>
      <w:r>
        <w:rPr>
          <w:lang w:val="pt-PT"/>
        </w:rPr>
        <w:t xml:space="preserve"> and </w:t>
      </w:r>
      <w:hyperlink r:id="rId451" w:history="1">
        <w:r>
          <w:rPr>
            <w:rStyle w:val="Hyperlink"/>
            <w:lang w:val="pt-PT"/>
          </w:rPr>
          <w:t>MEMO/16/3644</w:t>
        </w:r>
      </w:hyperlink>
      <w:r>
        <w:rPr>
          <w:lang w:val="pt-PT"/>
        </w:rPr>
        <w:t>.</w:t>
      </w:r>
    </w:p>
  </w:footnote>
  <w:footnote w:id="280">
    <w:p>
      <w:pPr>
        <w:pStyle w:val="FootnoteText"/>
        <w:rPr>
          <w:lang w:val="pt-PT"/>
        </w:rPr>
      </w:pPr>
      <w:r>
        <w:rPr>
          <w:rStyle w:val="FootnoteReference"/>
        </w:rPr>
        <w:footnoteRef/>
      </w:r>
      <w:r>
        <w:rPr>
          <w:lang w:val="pt-PT"/>
        </w:rPr>
        <w:t xml:space="preserve"> </w:t>
      </w:r>
      <w:r>
        <w:rPr>
          <w:lang w:val="pt-PT"/>
        </w:rPr>
        <w:tab/>
      </w:r>
      <w:hyperlink r:id="rId452" w:history="1">
        <w:r>
          <w:rPr>
            <w:rStyle w:val="Hyperlink"/>
            <w:lang w:val="pt-PT"/>
          </w:rPr>
          <w:t>IP/16/2101</w:t>
        </w:r>
      </w:hyperlink>
      <w:r>
        <w:rPr>
          <w:lang w:val="pt-PT"/>
        </w:rPr>
        <w:t xml:space="preserve">, </w:t>
      </w:r>
      <w:hyperlink r:id="rId453" w:history="1">
        <w:r>
          <w:rPr>
            <w:rStyle w:val="Hyperlink"/>
            <w:lang w:val="pt-PT"/>
          </w:rPr>
          <w:t>IP/16/1456</w:t>
        </w:r>
      </w:hyperlink>
      <w:r>
        <w:rPr>
          <w:lang w:val="pt-PT"/>
        </w:rPr>
        <w:t>.</w:t>
      </w:r>
    </w:p>
  </w:footnote>
  <w:footnote w:id="281">
    <w:p>
      <w:pPr>
        <w:pStyle w:val="FootnoteText"/>
        <w:rPr>
          <w:lang w:val="pt-PT"/>
        </w:rPr>
      </w:pPr>
      <w:r>
        <w:rPr>
          <w:rStyle w:val="FootnoteReference"/>
        </w:rPr>
        <w:footnoteRef/>
      </w:r>
      <w:r>
        <w:rPr>
          <w:lang w:val="pt-PT"/>
        </w:rPr>
        <w:t xml:space="preserve"> </w:t>
      </w:r>
      <w:r>
        <w:rPr>
          <w:lang w:val="pt-PT"/>
        </w:rPr>
        <w:tab/>
        <w:t xml:space="preserve">Directive </w:t>
      </w:r>
      <w:hyperlink r:id="rId454" w:history="1">
        <w:r>
          <w:rPr>
            <w:rStyle w:val="Hyperlink"/>
            <w:lang w:val="pt-PT"/>
          </w:rPr>
          <w:t>2013/55/EU</w:t>
        </w:r>
      </w:hyperlink>
      <w:r>
        <w:rPr>
          <w:lang w:val="pt-PT"/>
        </w:rPr>
        <w:t xml:space="preserve">, </w:t>
      </w:r>
      <w:hyperlink r:id="rId455" w:history="1">
        <w:r>
          <w:rPr>
            <w:rStyle w:val="Hyperlink"/>
            <w:lang w:val="pt-PT"/>
          </w:rPr>
          <w:t>MEMO/16/3125</w:t>
        </w:r>
      </w:hyperlink>
      <w:r>
        <w:rPr>
          <w:lang w:val="pt-PT"/>
        </w:rPr>
        <w:t>.</w:t>
      </w:r>
    </w:p>
  </w:footnote>
  <w:footnote w:id="282">
    <w:p>
      <w:pPr>
        <w:pStyle w:val="FootnoteText"/>
        <w:rPr>
          <w:rFonts w:cs="Arial"/>
        </w:rPr>
      </w:pPr>
      <w:r>
        <w:rPr>
          <w:rStyle w:val="FootnoteReference"/>
        </w:rPr>
        <w:footnoteRef/>
      </w:r>
      <w:r>
        <w:t xml:space="preserve"> </w:t>
      </w:r>
      <w:r>
        <w:tab/>
        <w:t xml:space="preserve">Directive </w:t>
      </w:r>
      <w:hyperlink r:id="rId456" w:history="1">
        <w:r>
          <w:rPr>
            <w:rStyle w:val="Hyperlink"/>
          </w:rPr>
          <w:t>2007/46/EC</w:t>
        </w:r>
      </w:hyperlink>
      <w:r>
        <w:t xml:space="preserve"> and Regulation </w:t>
      </w:r>
      <w:hyperlink r:id="rId457" w:history="1">
        <w:r>
          <w:rPr>
            <w:rStyle w:val="Hyperlink"/>
          </w:rPr>
          <w:t>2007/715/EC</w:t>
        </w:r>
      </w:hyperlink>
      <w:r>
        <w:t xml:space="preserve">, </w:t>
      </w:r>
      <w:hyperlink r:id="rId458" w:history="1">
        <w:r>
          <w:rPr>
            <w:rStyle w:val="Hyperlink"/>
          </w:rPr>
          <w:t>IP/16/4214</w:t>
        </w:r>
      </w:hyperlink>
      <w:r>
        <w:t>.</w:t>
      </w:r>
    </w:p>
  </w:footnote>
  <w:footnote w:id="283">
    <w:p>
      <w:pPr>
        <w:pStyle w:val="FootnoteText"/>
      </w:pPr>
      <w:r>
        <w:rPr>
          <w:rStyle w:val="FootnoteReference"/>
        </w:rPr>
        <w:footnoteRef/>
      </w:r>
      <w:r>
        <w:t xml:space="preserve"> </w:t>
      </w:r>
      <w:r>
        <w:tab/>
        <w:t xml:space="preserve">Directive </w:t>
      </w:r>
      <w:hyperlink r:id="rId459" w:history="1">
        <w:r>
          <w:rPr>
            <w:rStyle w:val="Hyperlink"/>
          </w:rPr>
          <w:t>92/43/EEC</w:t>
        </w:r>
      </w:hyperlink>
      <w:r>
        <w:t>.</w:t>
      </w:r>
    </w:p>
  </w:footnote>
  <w:footnote w:id="284">
    <w:p>
      <w:pPr>
        <w:pStyle w:val="FootnoteText"/>
      </w:pPr>
      <w:r>
        <w:rPr>
          <w:rStyle w:val="FootnoteReference"/>
        </w:rPr>
        <w:footnoteRef/>
      </w:r>
      <w:r>
        <w:t xml:space="preserve"> </w:t>
      </w:r>
      <w:r>
        <w:tab/>
        <w:t xml:space="preserve">Directive </w:t>
      </w:r>
      <w:hyperlink r:id="rId460" w:history="1">
        <w:r>
          <w:rPr>
            <w:rStyle w:val="Hyperlink"/>
          </w:rPr>
          <w:t>2012/18/EU</w:t>
        </w:r>
      </w:hyperlink>
      <w:r>
        <w:t>.</w:t>
      </w:r>
    </w:p>
  </w:footnote>
  <w:footnote w:id="285">
    <w:p>
      <w:pPr>
        <w:pStyle w:val="FootnoteText"/>
      </w:pPr>
      <w:r>
        <w:rPr>
          <w:rStyle w:val="FootnoteReference"/>
        </w:rPr>
        <w:footnoteRef/>
      </w:r>
      <w:r>
        <w:t xml:space="preserve"> </w:t>
      </w:r>
      <w:r>
        <w:tab/>
        <w:t xml:space="preserve">Directive </w:t>
      </w:r>
      <w:hyperlink r:id="rId461" w:history="1">
        <w:r>
          <w:rPr>
            <w:rStyle w:val="Hyperlink"/>
          </w:rPr>
          <w:t>2010/75/EU</w:t>
        </w:r>
      </w:hyperlink>
      <w:r>
        <w:t>.</w:t>
      </w:r>
    </w:p>
  </w:footnote>
  <w:footnote w:id="286">
    <w:p>
      <w:pPr>
        <w:pStyle w:val="FootnoteText"/>
      </w:pPr>
      <w:r>
        <w:rPr>
          <w:rStyle w:val="FootnoteReference"/>
        </w:rPr>
        <w:footnoteRef/>
      </w:r>
      <w:r>
        <w:t xml:space="preserve"> </w:t>
      </w:r>
      <w:r>
        <w:tab/>
        <w:t xml:space="preserve">Directive </w:t>
      </w:r>
      <w:hyperlink r:id="rId462" w:history="1">
        <w:r>
          <w:rPr>
            <w:rStyle w:val="Hyperlink"/>
          </w:rPr>
          <w:t>2013/36/EU</w:t>
        </w:r>
      </w:hyperlink>
      <w:r>
        <w:t>.</w:t>
      </w:r>
    </w:p>
  </w:footnote>
  <w:footnote w:id="287">
    <w:p>
      <w:pPr>
        <w:pStyle w:val="FootnoteText"/>
      </w:pPr>
      <w:r>
        <w:rPr>
          <w:rStyle w:val="FootnoteReference"/>
        </w:rPr>
        <w:footnoteRef/>
      </w:r>
      <w:r>
        <w:t xml:space="preserve"> </w:t>
      </w:r>
      <w:r>
        <w:tab/>
        <w:t xml:space="preserve">Directive </w:t>
      </w:r>
      <w:hyperlink r:id="rId463" w:history="1">
        <w:r>
          <w:rPr>
            <w:rStyle w:val="Hyperlink"/>
          </w:rPr>
          <w:t>2011/89/EU</w:t>
        </w:r>
      </w:hyperlink>
      <w:r>
        <w:t>.</w:t>
      </w:r>
    </w:p>
  </w:footnote>
  <w:footnote w:id="288">
    <w:p>
      <w:pPr>
        <w:pStyle w:val="FootnoteText"/>
      </w:pPr>
      <w:r>
        <w:rPr>
          <w:rStyle w:val="FootnoteReference"/>
        </w:rPr>
        <w:footnoteRef/>
      </w:r>
      <w:r>
        <w:t xml:space="preserve"> </w:t>
      </w:r>
      <w:r>
        <w:tab/>
        <w:t xml:space="preserve">Directive </w:t>
      </w:r>
      <w:hyperlink r:id="rId464" w:history="1">
        <w:r>
          <w:rPr>
            <w:rStyle w:val="Hyperlink"/>
          </w:rPr>
          <w:t>2013/14/EU</w:t>
        </w:r>
      </w:hyperlink>
      <w:r>
        <w:t>.</w:t>
      </w:r>
    </w:p>
  </w:footnote>
  <w:footnote w:id="289">
    <w:p>
      <w:pPr>
        <w:pStyle w:val="FootnoteText"/>
      </w:pPr>
      <w:r>
        <w:rPr>
          <w:rStyle w:val="FootnoteReference"/>
        </w:rPr>
        <w:footnoteRef/>
      </w:r>
      <w:r>
        <w:t xml:space="preserve"> </w:t>
      </w:r>
      <w:r>
        <w:tab/>
      </w:r>
      <w:r>
        <w:rPr>
          <w:rFonts w:cs="Arial"/>
          <w:szCs w:val="18"/>
        </w:rPr>
        <w:t>These rulings are almost exclusively handed down in infringement procedures.</w:t>
      </w:r>
    </w:p>
  </w:footnote>
  <w:footnote w:id="290">
    <w:p>
      <w:pPr>
        <w:pStyle w:val="FootnoteText"/>
      </w:pPr>
      <w:r>
        <w:rPr>
          <w:rStyle w:val="FootnoteReference"/>
        </w:rPr>
        <w:footnoteRef/>
      </w:r>
      <w:r>
        <w:t xml:space="preserve"> </w:t>
      </w:r>
      <w:r>
        <w:tab/>
        <w:t xml:space="preserve">Directive </w:t>
      </w:r>
      <w:hyperlink r:id="rId465" w:history="1">
        <w:r>
          <w:rPr>
            <w:rStyle w:val="Hyperlink"/>
          </w:rPr>
          <w:t>2001/80/EC,</w:t>
        </w:r>
      </w:hyperlink>
      <w:r>
        <w:t xml:space="preserve"> Commission v United Kingdom, </w:t>
      </w:r>
      <w:hyperlink r:id="rId466" w:history="1">
        <w:r>
          <w:rPr>
            <w:rStyle w:val="Hyperlink"/>
          </w:rPr>
          <w:t>C-304/15</w:t>
        </w:r>
      </w:hyperlink>
      <w:r>
        <w:rPr>
          <w:rStyle w:val="Hyperlink"/>
        </w:rPr>
        <w:t>.</w:t>
      </w:r>
    </w:p>
  </w:footnote>
  <w:footnote w:id="291">
    <w:p>
      <w:pPr>
        <w:pStyle w:val="FootnoteText"/>
      </w:pPr>
      <w:r>
        <w:rPr>
          <w:rStyle w:val="FootnoteReference"/>
        </w:rPr>
        <w:footnoteRef/>
      </w:r>
      <w:r>
        <w:t xml:space="preserve"> </w:t>
      </w:r>
      <w:r>
        <w:tab/>
        <w:t xml:space="preserve">Regulation (EC) No </w:t>
      </w:r>
      <w:hyperlink r:id="rId467" w:history="1">
        <w:r>
          <w:rPr>
            <w:rStyle w:val="Hyperlink"/>
          </w:rPr>
          <w:t>883/2004</w:t>
        </w:r>
      </w:hyperlink>
      <w:r>
        <w:rPr>
          <w:rStyle w:val="Hyperlink"/>
        </w:rPr>
        <w:t>.</w:t>
      </w:r>
    </w:p>
  </w:footnote>
  <w:footnote w:id="292">
    <w:p>
      <w:pPr>
        <w:pStyle w:val="FootnoteText"/>
      </w:pPr>
      <w:r>
        <w:rPr>
          <w:rStyle w:val="FootnoteReference"/>
        </w:rPr>
        <w:footnoteRef/>
      </w:r>
      <w:r>
        <w:t xml:space="preserve"> </w:t>
      </w:r>
      <w:r>
        <w:tab/>
        <w:t xml:space="preserve">Commission v United Kingdom, </w:t>
      </w:r>
      <w:hyperlink r:id="rId468" w:history="1">
        <w:r>
          <w:rPr>
            <w:rStyle w:val="Hyperlink"/>
          </w:rPr>
          <w:t>C-308/14</w:t>
        </w:r>
      </w:hyperlink>
      <w:r>
        <w:rPr>
          <w:rStyle w:val="Hyperlink"/>
        </w:rPr>
        <w:t>.</w:t>
      </w:r>
    </w:p>
  </w:footnote>
  <w:footnote w:id="293">
    <w:p>
      <w:pPr>
        <w:pStyle w:val="FootnoteText"/>
      </w:pPr>
      <w:r>
        <w:rPr>
          <w:rStyle w:val="FootnoteReference"/>
        </w:rPr>
        <w:footnoteRef/>
      </w:r>
      <w:r>
        <w:t xml:space="preserve"> </w:t>
      </w:r>
      <w:r>
        <w:tab/>
        <w:t xml:space="preserve">Rendón Marín and CS, joined cases </w:t>
      </w:r>
      <w:hyperlink r:id="rId469" w:history="1">
        <w:r>
          <w:rPr>
            <w:rStyle w:val="Hyperlink"/>
          </w:rPr>
          <w:t>C-165/14</w:t>
        </w:r>
      </w:hyperlink>
      <w:r>
        <w:t xml:space="preserve"> and </w:t>
      </w:r>
      <w:hyperlink r:id="rId470" w:history="1">
        <w:r>
          <w:rPr>
            <w:rStyle w:val="Hyperlink"/>
          </w:rPr>
          <w:t>C-304/14</w:t>
        </w:r>
      </w:hyperlink>
      <w:r>
        <w:t xml:space="preserve"> and Court press release </w:t>
      </w:r>
      <w:hyperlink r:id="rId471" w:history="1">
        <w:r>
          <w:rPr>
            <w:rStyle w:val="Hyperlink"/>
          </w:rPr>
          <w:t>No 95/16</w:t>
        </w:r>
      </w:hyperlink>
      <w:r>
        <w:t>.</w:t>
      </w:r>
    </w:p>
  </w:footnote>
  <w:footnote w:id="294">
    <w:p>
      <w:pPr>
        <w:pStyle w:val="FootnoteText"/>
      </w:pPr>
      <w:r>
        <w:rPr>
          <w:rStyle w:val="FootnoteReference"/>
        </w:rPr>
        <w:footnoteRef/>
      </w:r>
      <w:r>
        <w:t xml:space="preserve"> </w:t>
      </w:r>
      <w:r>
        <w:tab/>
        <w:t xml:space="preserve">Directive </w:t>
      </w:r>
      <w:hyperlink r:id="rId472" w:history="1">
        <w:r>
          <w:rPr>
            <w:rStyle w:val="Hyperlink"/>
          </w:rPr>
          <w:t>2002/58/EC</w:t>
        </w:r>
      </w:hyperlink>
      <w:r>
        <w:t>.</w:t>
      </w:r>
    </w:p>
  </w:footnote>
  <w:footnote w:id="295">
    <w:p>
      <w:pPr>
        <w:pStyle w:val="FootnoteText"/>
      </w:pPr>
      <w:r>
        <w:rPr>
          <w:rStyle w:val="FootnoteReference"/>
        </w:rPr>
        <w:footnoteRef/>
      </w:r>
      <w:r>
        <w:t xml:space="preserve"> </w:t>
      </w:r>
      <w:r>
        <w:tab/>
        <w:t xml:space="preserve">Tele2 Sverige, joined case </w:t>
      </w:r>
      <w:hyperlink r:id="rId473" w:history="1">
        <w:r>
          <w:rPr>
            <w:rStyle w:val="Hyperlink"/>
          </w:rPr>
          <w:t>C-203/15</w:t>
        </w:r>
      </w:hyperlink>
      <w:r>
        <w:t xml:space="preserve"> and </w:t>
      </w:r>
      <w:hyperlink r:id="rId474" w:history="1">
        <w:r>
          <w:rPr>
            <w:rStyle w:val="Hyperlink"/>
          </w:rPr>
          <w:t>C-698/15</w:t>
        </w:r>
      </w:hyperlink>
      <w:r>
        <w:t xml:space="preserve">, Court press release </w:t>
      </w:r>
      <w:hyperlink r:id="rId475" w:history="1">
        <w:r>
          <w:rPr>
            <w:rStyle w:val="Hyperlink"/>
          </w:rPr>
          <w:t>No 145/16</w:t>
        </w:r>
      </w:hyperlink>
      <w:r>
        <w:t>.</w:t>
      </w:r>
    </w:p>
  </w:footnote>
  <w:footnote w:id="296">
    <w:p>
      <w:pPr>
        <w:pStyle w:val="FootnoteText"/>
        <w:rPr>
          <w:rFonts w:cs="Arial"/>
        </w:rPr>
      </w:pPr>
      <w:r>
        <w:rPr>
          <w:rStyle w:val="FootnoteReference"/>
        </w:rPr>
        <w:footnoteRef/>
      </w:r>
      <w:r>
        <w:t xml:space="preserve"> </w:t>
      </w:r>
      <w:r>
        <w:tab/>
        <w:t xml:space="preserve">Directive </w:t>
      </w:r>
      <w:hyperlink r:id="rId476" w:history="1">
        <w:r>
          <w:rPr>
            <w:rStyle w:val="Hyperlink"/>
          </w:rPr>
          <w:t>2006/123/EC</w:t>
        </w:r>
      </w:hyperlink>
      <w:r>
        <w:t xml:space="preserve">, </w:t>
      </w:r>
      <w:hyperlink r:id="rId477" w:history="1">
        <w:r>
          <w:rPr>
            <w:rStyle w:val="Hyperlink"/>
          </w:rPr>
          <w:t>C-316/15</w:t>
        </w:r>
      </w:hyperlink>
      <w:r>
        <w:t>, Timothy Martin Hemming and Others v Westminster City Council, Court press release No </w:t>
      </w:r>
      <w:hyperlink r:id="rId478" w:history="1">
        <w:r>
          <w:rPr>
            <w:rStyle w:val="Hyperlink"/>
          </w:rPr>
          <w:t>127/2016</w:t>
        </w:r>
      </w:hyperlink>
      <w:r>
        <w:t>.</w:t>
      </w:r>
    </w:p>
  </w:footnote>
  <w:footnote w:id="297">
    <w:p>
      <w:pPr>
        <w:pStyle w:val="FootnoteText"/>
        <w:rPr>
          <w:rFonts w:cs="Arial"/>
        </w:rPr>
      </w:pPr>
      <w:r>
        <w:rPr>
          <w:rStyle w:val="FootnoteReference"/>
        </w:rPr>
        <w:footnoteRef/>
      </w:r>
      <w:r>
        <w:t xml:space="preserve"> </w:t>
      </w:r>
      <w:r>
        <w:tab/>
        <w:t xml:space="preserve">European Federation for Cosmetic Ingredients v Secretary of State for Business, Innovation and Skills and Attorney General, </w:t>
      </w:r>
      <w:hyperlink r:id="rId479" w:history="1">
        <w:r>
          <w:rPr>
            <w:rStyle w:val="Hyperlink"/>
          </w:rPr>
          <w:t>C-592/14</w:t>
        </w:r>
      </w:hyperlink>
      <w:r>
        <w:t>,, Court press release No </w:t>
      </w:r>
      <w:hyperlink r:id="rId480" w:history="1">
        <w:r>
          <w:rPr>
            <w:rStyle w:val="Hyperlink"/>
          </w:rPr>
          <w:t>105/2016</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5008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left:0;text-align:left;margin-left:-70.9pt;margin-top:49.65pt;width:595.25pt;height:3.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Dc4lPl&#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470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28" name="Rectangle 62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28" o:spid="_x0000_s1026" style="position:absolute;margin-left:379.65pt;margin-top:23.65pt;width:144.5pt;height:17.25pt;z-index:2517403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JKvaeB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4393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629" name="Rectangle 62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29" o:spid="_x0000_s1026" style="position:absolute;margin-left:-70.9pt;margin-top:23.65pt;width:142pt;height:17.25pt;z-index:251739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amBc1V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40864" behindDoc="0" locked="0" layoutInCell="1" allowOverlap="1">
              <wp:simplePos x="0" y="0"/>
              <wp:positionH relativeFrom="column">
                <wp:posOffset>-975995</wp:posOffset>
              </wp:positionH>
              <wp:positionV relativeFrom="paragraph">
                <wp:posOffset>43815</wp:posOffset>
              </wp:positionV>
              <wp:extent cx="7557135" cy="579120"/>
              <wp:effectExtent l="0" t="0" r="0" b="0"/>
              <wp:wrapNone/>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Hungary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76.85pt;margin-top:3.45pt;width:595.05pt;height:45.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Hungary</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3779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70.9pt;margin-top:49.65pt;width:595.25pt;height:3.6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K/PB4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28576"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6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0.9pt;margin-top:17.5pt;width:595.05pt;height:32.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kIui&#10;u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93472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632" name="Rectangle 632"/>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32" o:spid="_x0000_s1026" style="position:absolute;margin-left:379.65pt;margin-top:23.65pt;width:144.5pt;height:17.25pt;z-index:2517362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P1xeW9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3164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633" name="Rectangle 633"/>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33" o:spid="_x0000_s1026" style="position:absolute;margin-left:-70.9pt;margin-top:23.65pt;width:142pt;height:17.25pt;z-index:251735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Bb5MWlsCAAC1BAAADgAAAAAAAAAAAAAAAAAuAgAAZHJzL2Uyb0RvYy54&#10;bWxQSwECLQAUAAYACAAAACEAn3OlNt8AAAAKAQAADwAAAAAAAAAAAAAAAAC1BAAAZHJzL2Rvd25y&#10;ZXYueG1sUEsFBgAAAAAEAAQA8wAAAMEFAAAAAA==&#10;" fillcolor="#004194" stroked="f" strokeweight="2p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3808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70.9pt;margin-top:49.65pt;width:595.25pt;height:3.6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8cG8E&#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43500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34" name="Rectangle 83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4" o:spid="_x0000_s1026" style="position:absolute;margin-left:379.65pt;margin-top:23.65pt;width:144.5pt;height:17.25pt;z-index:25165827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Aq1Ksa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3193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835" name="Rectangle 83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5" o:spid="_x0000_s1026" style="position:absolute;margin-left:-70.9pt;margin-top:23.65pt;width:142pt;height:17.2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428864" behindDoc="0" locked="0" layoutInCell="1" allowOverlap="1">
              <wp:simplePos x="0" y="0"/>
              <wp:positionH relativeFrom="column">
                <wp:posOffset>-899795</wp:posOffset>
              </wp:positionH>
              <wp:positionV relativeFrom="paragraph">
                <wp:posOffset>43815</wp:posOffset>
              </wp:positionV>
              <wp:extent cx="7557135" cy="640080"/>
              <wp:effectExtent l="0" t="0" r="0" b="0"/>
              <wp:wrapNone/>
              <wp:docPr id="8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400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Malta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70.85pt;margin-top:3.45pt;width:595.05pt;height:50.4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Malta</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2579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left:0;text-align:left;margin-left:-70.9pt;margin-top:49.65pt;width:595.25pt;height:3.6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6Hcg&#10;rQ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416576"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8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70.9pt;margin-top:17.5pt;width:595.05pt;height:32.2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lc71&#10;UB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42272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38" name="Rectangle 83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38" o:spid="_x0000_s1026" style="position:absolute;margin-left:379.65pt;margin-top:23.65pt;width:144.5pt;height:17.25pt;z-index:25165827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BFZsaZ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1964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839" name="Rectangle 83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39" o:spid="_x0000_s1026" style="position:absolute;margin-left:-70.9pt;margin-top:23.65pt;width:142pt;height:17.2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6ZaEk1sCAAC1BAAADgAAAAAAAAAAAAAAAAAuAgAAZHJzL2Uyb0RvYy54&#10;bWxQSwECLQAUAAYACAAAACEAn3OlNt8AAAAKAQAADwAAAAAAAAAAAAAAAAC1BAAAZHJzL2Rvd25y&#10;ZXYueG1sUEsFBgAAAAAEAAQA8wAAAMEFAAAAAA==&#10;" fillcolor="#004194" stroked="f" strokeweight="2pt"/>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6265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8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left:0;text-align:left;margin-left:-70.9pt;margin-top:49.65pt;width:595.25pt;height:3.6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7p9r7&#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45958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70" name="Rectangle 870"/>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70" o:spid="_x0000_s1026" style="position:absolute;margin-left:379.65pt;margin-top:23.65pt;width:144.5pt;height:17.25pt;z-index:2516582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JsD4Kh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5651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871" name="Rectangle 87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1" o:spid="_x0000_s1026" style="position:absolute;margin-left:-70.9pt;margin-top:23.65pt;width:142pt;height:17.25pt;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BjzNWdWgIAALU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453440" behindDoc="0" locked="0" layoutInCell="1" allowOverlap="1">
              <wp:simplePos x="0" y="0"/>
              <wp:positionH relativeFrom="column">
                <wp:posOffset>-899795</wp:posOffset>
              </wp:positionH>
              <wp:positionV relativeFrom="paragraph">
                <wp:posOffset>43815</wp:posOffset>
              </wp:positionV>
              <wp:extent cx="7557135" cy="609600"/>
              <wp:effectExtent l="0" t="0" r="0" b="0"/>
              <wp:wrapNone/>
              <wp:docPr id="8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960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Netherlands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70.85pt;margin-top:3.45pt;width:595.05pt;height:4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Netherlands</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5036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8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4" type="#_x0000_t202" style="position:absolute;left:0;text-align:left;margin-left:-70.9pt;margin-top:49.65pt;width:595.25pt;height:3.6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0bzCx&#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441152"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8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70.9pt;margin-top:17.5pt;width:595.05pt;height:32.2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iyK/&#10;D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44729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74" name="Rectangle 87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74" o:spid="_x0000_s1026" style="position:absolute;margin-left:379.65pt;margin-top:23.65pt;width:144.5pt;height:17.25pt;z-index:25165828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BNhcZ1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4422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875" name="Rectangle 87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75" o:spid="_x0000_s1026" style="position:absolute;margin-left:-70.9pt;margin-top:23.65pt;width:142pt;height:17.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tUrzQFsCAAC1BAAADgAAAAAAAAAAAAAAAAAuAgAAZHJzL2Uyb0RvYy54&#10;bWxQSwECLQAUAAYACAAAACEAn3OlNt8AAAAKAQAADwAAAAAAAAAAAAAAAAC1BAAAZHJzL2Rvd25y&#10;ZXYueG1sUEsFBgAAAAAEAAQA8wAAAMEFAAAAAA==&#10;" fillcolor="#004194" stroked="f" strokeweight="2pt"/>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8416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04" name="Rectangle 90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04" o:spid="_x0000_s1026" style="position:absolute;margin-left:379.65pt;margin-top:23.65pt;width:144.5pt;height:17.25pt;z-index:25165829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AajEyZ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8108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05" name="Rectangle 90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5" o:spid="_x0000_s1026" style="position:absolute;margin-left:-70.9pt;margin-top:23.65pt;width:142pt;height:17.2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478016" behindDoc="0" locked="0" layoutInCell="1" allowOverlap="1">
              <wp:simplePos x="0" y="0"/>
              <wp:positionH relativeFrom="column">
                <wp:posOffset>-899795</wp:posOffset>
              </wp:positionH>
              <wp:positionV relativeFrom="paragraph">
                <wp:posOffset>43815</wp:posOffset>
              </wp:positionV>
              <wp:extent cx="7557135" cy="662940"/>
              <wp:effectExtent l="0" t="0" r="0" b="3810"/>
              <wp:wrapNone/>
              <wp:docPr id="9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Austria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6" type="#_x0000_t202" style="position:absolute;left:0;text-align:left;margin-left:-70.85pt;margin-top:3.45pt;width:595.05pt;height:52.2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Austria</w:t>
                    </w:r>
                  </w:p>
                </w:txbxContent>
              </v:textbox>
            </v:shape>
          </w:pict>
        </mc:Fallback>
      </mc:AlternateContent>
    </w:r>
  </w:p>
  <w:p>
    <w:r>
      <w:rPr>
        <w:rFonts w:ascii="Arial" w:hAnsi="Arial"/>
        <w:noProof/>
        <w:sz w:val="22"/>
        <w:lang w:val="en-US"/>
      </w:rPr>
      <mc:AlternateContent>
        <mc:Choice Requires="wps">
          <w:drawing>
            <wp:anchor distT="0" distB="0" distL="114300" distR="114300" simplePos="0" relativeHeight="251487232" behindDoc="0" locked="0" layoutInCell="1" allowOverlap="1">
              <wp:simplePos x="0" y="0"/>
              <wp:positionH relativeFrom="column">
                <wp:posOffset>-902970</wp:posOffset>
              </wp:positionH>
              <wp:positionV relativeFrom="paragraph">
                <wp:posOffset>363855</wp:posOffset>
              </wp:positionV>
              <wp:extent cx="7559675" cy="45085"/>
              <wp:effectExtent l="0" t="19050" r="0" b="12065"/>
              <wp:wrapNone/>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71.1pt;margin-top:28.65pt;width:595.25pt;height:3.5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7494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9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70.9pt;margin-top:49.65pt;width:595.25pt;height:3.6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PqnmbU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46572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9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70.9pt;margin-top:17.5pt;width:595.05pt;height:32.2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NYw5&#10;GR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47187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08" name="Rectangle 90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08" o:spid="_x0000_s1026" style="position:absolute;margin-left:379.65pt;margin-top:23.65pt;width:144.5pt;height:17.25pt;z-index:25165829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IQFWJVsCAAC1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68800"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09" name="Rectangle 90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9" o:spid="_x0000_s1026" style="position:absolute;margin-left:-70.9pt;margin-top:23.65pt;width:142pt;height:17.25pt;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2c5jEFsCAAC1BAAADgAAAAAAAAAAAAAAAAAuAgAAZHJzL2Uyb0RvYy54&#10;bWxQSwECLQAUAAYACAAAACEAn3OlNt8AAAAKAQAADwAAAAAAAAAAAAAAAAC1BAAAZHJzL2Rvd25y&#10;ZXYueG1sUEsFBgAAAAAEAAQA8wAAAMEFAAAAAA==&#10;" fillcolor="#004194" stroked="f" strokeweight="2pt"/>
          </w:pict>
        </mc:Fallback>
      </mc:AlternateContent>
    </w:r>
  </w:p>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9923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8" name="Rectangle 58"/>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8" o:spid="_x0000_s1026" style="position:absolute;margin-left:379.65pt;margin-top:23.65pt;width:144.5pt;height:17.25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tMgnRV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9820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9" name="Rectangle 59"/>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9" o:spid="_x0000_s1026" style="position:absolute;margin-left:-70.9pt;margin-top:23.65pt;width:142pt;height:17.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DOZ2f8WgIAALM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97184" behindDoc="0" locked="0" layoutInCell="1" allowOverlap="1">
              <wp:simplePos x="0" y="0"/>
              <wp:positionH relativeFrom="column">
                <wp:posOffset>-899795</wp:posOffset>
              </wp:positionH>
              <wp:positionV relativeFrom="paragraph">
                <wp:posOffset>43815</wp:posOffset>
              </wp:positionV>
              <wp:extent cx="7557135" cy="662940"/>
              <wp:effectExtent l="0" t="0" r="0" b="3810"/>
              <wp:wrapNone/>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629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Poland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left:0;text-align:left;margin-left:-70.85pt;margin-top:3.45pt;width:595.05pt;height:52.2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Poland</w:t>
                    </w:r>
                  </w:p>
                </w:txbxContent>
              </v:textbox>
            </v:shape>
          </w:pict>
        </mc:Fallback>
      </mc:AlternateContent>
    </w:r>
  </w:p>
  <w:p>
    <w:r>
      <w:rPr>
        <w:rFonts w:ascii="Arial" w:hAnsi="Arial"/>
        <w:noProof/>
        <w:sz w:val="22"/>
        <w:lang w:val="en-US"/>
      </w:rPr>
      <mc:AlternateContent>
        <mc:Choice Requires="wps">
          <w:drawing>
            <wp:anchor distT="0" distB="0" distL="114300" distR="114300" simplePos="0" relativeHeight="252000256" behindDoc="0" locked="0" layoutInCell="1" allowOverlap="1">
              <wp:simplePos x="0" y="0"/>
              <wp:positionH relativeFrom="column">
                <wp:posOffset>-902970</wp:posOffset>
              </wp:positionH>
              <wp:positionV relativeFrom="paragraph">
                <wp:posOffset>363855</wp:posOffset>
              </wp:positionV>
              <wp:extent cx="7559675" cy="45085"/>
              <wp:effectExtent l="0" t="19050" r="0" b="12065"/>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085"/>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71.1pt;margin-top:28.65pt;width:595.25pt;height:3.5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9513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2" type="#_x0000_t202" style="position:absolute;left:0;text-align:left;margin-left:-70.9pt;margin-top:49.65pt;width:595.25pt;height:3.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Bffe3P&#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9206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70.9pt;margin-top:17.5pt;width:595.05pt;height:32.2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BdRd6Q&#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99411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56" name="Rectangle 56"/>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56" o:spid="_x0000_s1026" style="position:absolute;margin-left:379.65pt;margin-top:23.65pt;width:144.5pt;height:17.25pt;z-index:25199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Fj+sF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9308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57" name="Rectangle 57"/>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7" o:spid="_x0000_s1026" style="position:absolute;margin-left:-70.9pt;margin-top:23.65pt;width:142pt;height:17.2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CG974JWgIAALMEAAAOAAAAAAAAAAAAAAAAAC4CAABkcnMvZTJvRG9jLnht&#10;bFBLAQItABQABgAIAAAAIQCfc6U23wAAAAoBAAAPAAAAAAAAAAAAAAAAALQEAABkcnMvZG93bnJl&#10;di54bWxQSwUGAAAAAAQABADzAAAAwAUAAAAA&#10;" fillcolor="#004194" stroked="f" strokeweight="2pt"/>
          </w:pict>
        </mc:Fallback>
      </mc:AlternateContent>
    </w:r>
  </w:p>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0873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5" name="Rectangle 93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35" o:spid="_x0000_s1026" style="position:absolute;margin-left:379.65pt;margin-top:23.65pt;width:144.5pt;height:17.25pt;z-index:2516583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0566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36" name="Rectangle 93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6" o:spid="_x0000_s1026" style="position:absolute;margin-left:-70.9pt;margin-top:23.65pt;width:142pt;height:17.2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Zp+qQl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511808" behindDoc="0" locked="0" layoutInCell="1" allowOverlap="1">
              <wp:simplePos x="0" y="0"/>
              <wp:positionH relativeFrom="column">
                <wp:posOffset>-899795</wp:posOffset>
              </wp:positionH>
              <wp:positionV relativeFrom="paragraph">
                <wp:posOffset>462915</wp:posOffset>
              </wp:positionV>
              <wp:extent cx="7559675" cy="83820"/>
              <wp:effectExtent l="0" t="0" r="0" b="0"/>
              <wp:wrapNone/>
              <wp:docPr id="9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83820"/>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4" type="#_x0000_t202" style="position:absolute;left:0;text-align:left;margin-left:-70.85pt;margin-top:36.45pt;width:595.25pt;height:6.6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02592" behindDoc="0" locked="0" layoutInCell="1" allowOverlap="1">
              <wp:simplePos x="0" y="0"/>
              <wp:positionH relativeFrom="column">
                <wp:posOffset>-899795</wp:posOffset>
              </wp:positionH>
              <wp:positionV relativeFrom="paragraph">
                <wp:posOffset>43815</wp:posOffset>
              </wp:positionV>
              <wp:extent cx="7557135" cy="716280"/>
              <wp:effectExtent l="0" t="0" r="0" b="0"/>
              <wp:wrapNone/>
              <wp:docPr id="9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62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Portugal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70.85pt;margin-top:3.45pt;width:595.05pt;height:56.4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Portugal</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9952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9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6" type="#_x0000_t202" style="position:absolute;left:0;text-align:left;margin-left:-70.9pt;margin-top:49.65pt;width:595.25pt;height:3.6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MIEHv&#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49030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9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70.9pt;margin-top:17.5pt;width:595.05pt;height:32.2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BkYIDu&#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49644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39" name="Rectangle 939"/>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39" o:spid="_x0000_s1026" style="position:absolute;margin-left:379.65pt;margin-top:23.65pt;width:144.5pt;height:17.25pt;z-index:2516582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M6eFqV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9337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40" name="Rectangle 940"/>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0" o:spid="_x0000_s1026" style="position:absolute;margin-left:-70.9pt;margin-top:23.65pt;width:142pt;height:17.25pt;z-index:251658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DGtsPEWgIAALUEAAAOAAAAAAAAAAAAAAAAAC4CAABkcnMvZTJvRG9jLnht&#10;bFBLAQItABQABgAIAAAAIQCfc6U23wAAAAoBAAAPAAAAAAAAAAAAAAAAALQEAABkcnMvZG93bnJl&#10;di54bWxQSwUGAAAAAAQABADzAAAAwAUAAAAA&#10;" fillcolor="#004194" stroked="f" strokeweight="2pt"/>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3638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left:0;text-align:left;margin-left:-70.9pt;margin-top:49.65pt;width:595.25pt;height:3.6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rQYY6&#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3331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41" name="Rectangle 14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1" o:spid="_x0000_s1026" style="position:absolute;margin-left:379.65pt;margin-top:23.65pt;width:144.5pt;height:17.25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K0z0jVsCAAC1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30240"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42" name="Rectangle 142"/>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2" o:spid="_x0000_s1026" style="position:absolute;margin-left:-70.9pt;margin-top:23.65pt;width:142pt;height:17.25pt;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C4wFLWWgIAALU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527168" behindDoc="0" locked="0" layoutInCell="1" allowOverlap="1">
              <wp:simplePos x="0" y="0"/>
              <wp:positionH relativeFrom="column">
                <wp:posOffset>-899795</wp:posOffset>
              </wp:positionH>
              <wp:positionV relativeFrom="paragraph">
                <wp:posOffset>43815</wp:posOffset>
              </wp:positionV>
              <wp:extent cx="7557135" cy="617220"/>
              <wp:effectExtent l="0" t="0" r="0" b="0"/>
              <wp:wrapNone/>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172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Romania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70.85pt;margin-top:3.45pt;width:595.05pt;height:48.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Romania</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2409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0" type="#_x0000_t202" style="position:absolute;left:0;text-align:left;margin-left:-70.9pt;margin-top:49.65pt;width:595.25pt;height:3.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9RQG&#10;MQ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14880"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70.9pt;margin-top:17.5pt;width:595.05pt;height:32.2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De2E&#10;ax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52102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45" name="Rectangle 14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45" o:spid="_x0000_s1026" style="position:absolute;margin-left:379.65pt;margin-top:23.65pt;width:144.5pt;height:17.25pt;z-index:25165830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D9ytJQ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1795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46" name="Rectangle 14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6" o:spid="_x0000_s1026" style="position:absolute;margin-left:-70.9pt;margin-top:23.65pt;width:142pt;height:17.2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BuRnQLWgIAALUEAAAOAAAAAAAAAAAAAAAAAC4CAABkcnMvZTJvRG9jLnht&#10;bFBLAQItABQABgAIAAAAIQCfc6U23wAAAAoBAAAPAAAAAAAAAAAAAAAAALQEAABkcnMvZG93bnJl&#10;di54bWxQSwUGAAAAAAQABADzAAAAwAUAAAAA&#10;" fillcolor="#004194" stroked="f" strokeweight="2pt"/>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7465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9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2" type="#_x0000_t202" style="position:absolute;left:0;text-align:left;margin-left:-70.9pt;margin-top:49.65pt;width:595.25pt;height:3.6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1+yUQ&#10;DgIAAPs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7158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80" name="Rectangle 980"/>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80" o:spid="_x0000_s1026" style="position:absolute;margin-left:379.65pt;margin-top:23.65pt;width:144.5pt;height:17.25pt;z-index:2517496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AKosJp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6851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81" name="Rectangle 98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1" o:spid="_x0000_s1026" style="position:absolute;margin-left:-70.9pt;margin-top:23.65pt;width:142pt;height:17.25pt;z-index:2517485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meFr1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965440" behindDoc="0" locked="0" layoutInCell="1" allowOverlap="1">
              <wp:simplePos x="0" y="0"/>
              <wp:positionH relativeFrom="column">
                <wp:posOffset>-899795</wp:posOffset>
              </wp:positionH>
              <wp:positionV relativeFrom="paragraph">
                <wp:posOffset>43815</wp:posOffset>
              </wp:positionV>
              <wp:extent cx="7557135" cy="594360"/>
              <wp:effectExtent l="0" t="0" r="0" b="0"/>
              <wp:wrapNone/>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Slovenia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70.85pt;margin-top:3.45pt;width:595.05pt;height:46.8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Slovenia</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96236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4" type="#_x0000_t202" style="position:absolute;left:0;text-align:left;margin-left:-70.9pt;margin-top:49.65pt;width:595.25pt;height:3.6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DaqR&#10;fQ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953152"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70.9pt;margin-top:17.5pt;width:595.05pt;height:32.2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95929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84" name="Rectangle 984"/>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84" o:spid="_x0000_s1026" style="position:absolute;margin-left:379.65pt;margin-top:23.65pt;width:144.5pt;height:17.25pt;z-index:25174551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DULpZH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95622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85" name="Rectangle 985"/>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5" o:spid="_x0000_s1026" style="position:absolute;margin-left:-70.9pt;margin-top:23.65pt;width:142pt;height:17.25pt;z-index:251744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" fillcolor="#004194" stroked="f" strokeweight="2pt"/>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6096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6" type="#_x0000_t202" style="position:absolute;left:0;text-align:left;margin-left:-70.9pt;margin-top:49.65pt;width:595.25pt;height:3.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XdbDAIAAPs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5788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77" name="Rectangle 177"/>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77" o:spid="_x0000_s1026" style="position:absolute;margin-left:379.65pt;margin-top:23.65pt;width:144.5pt;height:17.25pt;z-index:25165831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Ow08GR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5481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78" name="Rectangle 178"/>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8" o:spid="_x0000_s1026" style="position:absolute;margin-left:-70.9pt;margin-top:23.65pt;width:142pt;height:17.2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BENUyDWgIAALU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551744" behindDoc="0" locked="0" layoutInCell="1" allowOverlap="1">
              <wp:simplePos x="0" y="0"/>
              <wp:positionH relativeFrom="column">
                <wp:posOffset>-899795</wp:posOffset>
              </wp:positionH>
              <wp:positionV relativeFrom="paragraph">
                <wp:posOffset>43815</wp:posOffset>
              </wp:positionV>
              <wp:extent cx="7557135" cy="632460"/>
              <wp:effectExtent l="0" t="0" r="0"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324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Slovakia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70.85pt;margin-top:3.45pt;width:595.05pt;height:49.8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Slovakia</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4867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68" type="#_x0000_t202" style="position:absolute;left:0;text-align:left;margin-left:-70.9pt;margin-top:49.65pt;width:595.25pt;height:3.6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L6EZqU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39456"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9" type="#_x0000_t202" style="position:absolute;left:0;text-align:left;margin-left:-70.9pt;margin-top:17.5pt;width:595.05pt;height:32.2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fU7C&#10;oBACAAD8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54560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81" name="Rectangle 18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81" o:spid="_x0000_s1026" style="position:absolute;margin-left:379.65pt;margin-top:23.65pt;width:144.5pt;height:17.25pt;z-index:2516583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gr9DPFsCAAC1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4252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82" name="Rectangle 182"/>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2" o:spid="_x0000_s1026" style="position:absolute;margin-left:-70.9pt;margin-top:23.65pt;width:142pt;height:17.2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ARM+VnWgIAALUEAAAOAAAAAAAAAAAAAAAAAC4CAABkcnMvZTJvRG9jLnht&#10;bFBLAQItABQABgAIAAAAIQCfc6U23wAAAAoBAAAPAAAAAAAAAAAAAAAAALQEAABkcnMvZG93bnJl&#10;di54bWxQSwUGAAAAAAQABADzAAAAwAUAAAAA&#10;" fillcolor="#004194" stroked="f" strokeweight="2pt"/>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76352"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left:0;text-align:left;margin-left:-70.9pt;margin-top:49.65pt;width:595.25pt;height:3.6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phEBW&#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7328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1" name="Rectangle 7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1" o:spid="_x0000_s1026" style="position:absolute;margin-left:379.65pt;margin-top:23.65pt;width:144.5pt;height:17.25pt;z-index:2517127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k5VpFl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7020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72" name="Rectangle 72"/>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2" o:spid="_x0000_s1026" style="position:absolute;margin-left:-70.9pt;margin-top:23.65pt;width:142pt;height:17.25pt;z-index:2517117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DHviECWgIAALM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867136" behindDoc="0" locked="0" layoutInCell="1" allowOverlap="1">
              <wp:simplePos x="0" y="0"/>
              <wp:positionH relativeFrom="column">
                <wp:posOffset>-899795</wp:posOffset>
              </wp:positionH>
              <wp:positionV relativeFrom="paragraph">
                <wp:posOffset>43815</wp:posOffset>
              </wp:positionV>
              <wp:extent cx="7557135" cy="579120"/>
              <wp:effectExtent l="0" t="0" r="0" b="0"/>
              <wp:wrapNone/>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7912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Finland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1" type="#_x0000_t202" style="position:absolute;left:0;text-align:left;margin-left:-70.85pt;margin-top:3.45pt;width:595.05pt;height:45.6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p>
                  <w:p>
                    <w:pPr>
                      <w:spacing w:after="0"/>
                      <w:jc w:val="center"/>
                      <w:rPr>
                        <w:rFonts w:ascii="Arial" w:hAnsi="Arial" w:cs="Arial"/>
                        <w:color w:val="004194"/>
                        <w:sz w:val="20"/>
                      </w:rPr>
                    </w:pPr>
                    <w:r>
                      <w:rPr>
                        <w:rFonts w:ascii="Arial" w:hAnsi="Arial" w:cs="Arial"/>
                        <w:color w:val="004194"/>
                        <w:sz w:val="20"/>
                      </w:rP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Finland</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86406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2" type="#_x0000_t202" style="position:absolute;left:0;text-align:left;margin-left:-70.9pt;margin-top:49.65pt;width:595.25pt;height:3.6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D4OEOt&#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85484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3" type="#_x0000_t202" style="position:absolute;left:0;text-align:left;margin-left:-70.9pt;margin-top:17.5pt;width:595.05pt;height:32.2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CcXlPu&#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p>
                  <w:p>
                    <w:pPr>
                      <w:tabs>
                        <w:tab w:val="left" w:pos="4111"/>
                      </w:tabs>
                      <w:spacing w:after="0"/>
                      <w:jc w:val="center"/>
                      <w:rPr>
                        <w:rFonts w:ascii="Arial" w:hAnsi="Arial" w:cs="Arial"/>
                        <w:color w:val="004194"/>
                        <w:sz w:val="20"/>
                      </w:rPr>
                    </w:pPr>
                    <w:r>
                      <w:rPr>
                        <w:rFonts w:ascii="Arial" w:hAnsi="Arial" w:cs="Arial"/>
                        <w:color w:val="004194"/>
                        <w:sz w:val="20"/>
                      </w:rP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86099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5" name="Rectangle 7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5" o:spid="_x0000_s1026" style="position:absolute;margin-left:379.65pt;margin-top:23.65pt;width:144.5pt;height:17.25pt;z-index:2517086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jpsJl1sCAACz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857920"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76" name="Rectangle 7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 o:spid="_x0000_s1026" style="position:absolute;margin-left:-70.9pt;margin-top:23.65pt;width:142pt;height:17.25pt;z-index:2517076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DasEGDWgIAALMEAAAOAAAAAAAAAAAAAAAAAC4CAABkcnMvZTJvRG9jLnht&#10;bFBLAQItABQABgAIAAAAIQCfc6U23wAAAAoBAAAPAAAAAAAAAAAAAAAAALQEAABkcnMvZG93bnJl&#10;di54bWxQSwUGAAAAAAQABADzAAAAwAUAAAAA&#10;" fillcolor="#004194" stroked="f" strokeweight="2pt"/>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8553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left:0;text-align:left;margin-left:-70.9pt;margin-top:49.65pt;width:595.25pt;height:3.6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DeGP/V&#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8246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52" name="Rectangle 1052"/>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2" o:spid="_x0000_s1026" style="position:absolute;margin-left:379.65pt;margin-top:23.65pt;width:144.5pt;height:17.25pt;z-index:251658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AkPEQvXQIAALc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7939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053" name="Rectangle 1053"/>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3" o:spid="_x0000_s1026" style="position:absolute;margin-left:-70.9pt;margin-top:23.65pt;width:142pt;height:17.2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576320" behindDoc="0" locked="0" layoutInCell="1" allowOverlap="1">
              <wp:simplePos x="0" y="0"/>
              <wp:positionH relativeFrom="column">
                <wp:posOffset>-899795</wp:posOffset>
              </wp:positionH>
              <wp:positionV relativeFrom="paragraph">
                <wp:posOffset>43815</wp:posOffset>
              </wp:positionV>
              <wp:extent cx="7557135" cy="594360"/>
              <wp:effectExtent l="0" t="0" r="0" b="0"/>
              <wp:wrapNone/>
              <wp:docPr id="1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9436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Sweden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70.85pt;margin-top:3.45pt;width:595.05pt;height:46.8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Sweden</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7324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left:0;text-align:left;margin-left:-70.9pt;margin-top:49.65pt;width:595.25pt;height:3.6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C+396S&#10;DgIAAPw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64032"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7" type="#_x0000_t202" style="position:absolute;left:0;text-align:left;margin-left:-70.9pt;margin-top:17.5pt;width:595.05pt;height:32.2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xMRV&#10;kxACAAD9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57017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56" name="Rectangle 1056"/>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6" o:spid="_x0000_s1026" style="position:absolute;margin-left:379.65pt;margin-top:23.65pt;width:144.5pt;height:17.25pt;z-index:2516583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BC54j+XQIAALc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6710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057" name="Rectangle 1057"/>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57" o:spid="_x0000_s1026" style="position:absolute;margin-left:-70.9pt;margin-top:23.65pt;width:142pt;height:17.2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" fillcolor="#004194" stroked="f" strokeweight="2pt"/>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63468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left:0;text-align:left;margin-left:-70.9pt;margin-top:49.65pt;width:595.25pt;height:3.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DsLgm8N&#10;AgAA+w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31616"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9" name="Rectangle 109"/>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9" o:spid="_x0000_s1026" style="position:absolute;margin-left:379.65pt;margin-top:23.65pt;width:144.5pt;height:17.25pt;z-index:251658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62854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10" name="Rectangle 110"/>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0" o:spid="_x0000_s1026" style="position:absolute;margin-left:-70.9pt;margin-top:23.65pt;width:142pt;height:17.25pt;z-index:251658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BdRBNXWgIAALUEAAAOAAAAAAAAAAAAAAAAAC4CAABkcnMvZTJvRG9jLnht&#10;bFBLAQItABQABgAIAAAAIQCfc6U23wAAAAoBAAAPAAAAAAAAAAAAAAAAALQEAABkcnMvZG93bnJl&#10;di54bWxQSwUGAAAAAAQABADzAAAAwAU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625472" behindDoc="0" locked="0" layoutInCell="1" allowOverlap="1">
              <wp:simplePos x="0" y="0"/>
              <wp:positionH relativeFrom="column">
                <wp:posOffset>-900430</wp:posOffset>
              </wp:positionH>
              <wp:positionV relativeFrom="paragraph">
                <wp:posOffset>43815</wp:posOffset>
              </wp:positionV>
              <wp:extent cx="7557135" cy="60198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6019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United Kingdom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9" type="#_x0000_t202" style="position:absolute;left:0;text-align:left;margin-left:-70.9pt;margin-top:3.45pt;width:595.05pt;height:47.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United Kingdom</w:t>
                    </w:r>
                  </w:p>
                </w:txbxContent>
              </v:textbox>
            </v:shape>
          </w:pict>
        </mc:Fallback>
      </mc:AlternateConten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622400"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0" type="#_x0000_t202" style="position:absolute;left:0;text-align:left;margin-left:-70.9pt;margin-top:49.65pt;width:595.25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1318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left:0;text-align:left;margin-left:-70.9pt;margin-top:17.5pt;width:595.05pt;height:32.2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Xbexy&#10;DwIAAPw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619328"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105" name="Rectangle 10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05" o:spid="_x0000_s1026" style="position:absolute;margin-left:379.65pt;margin-top:23.65pt;width:144.5pt;height:17.25pt;z-index:25165836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Jqbvz9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616256"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106" name="Rectangle 10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6" o:spid="_x0000_s1026" style="position:absolute;margin-left:-70.9pt;margin-top:23.65pt;width:142pt;height:17.2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AJFxlkWgIAALUEAAAOAAAAAAAAAAAAAAAAAC4CAABkcnMvZTJvRG9jLnht&#10;bFBLAQItABQABgAIAAAAIQCfc6U23wAAAAoBAAAPAAAAAAAAAAAAAAAAALQEAABkcnMvZG93bnJl&#10;di54bWxQSwUGAAAAAAQABADzAAAAwAUAAAAA&#10;" fillcolor="#004194" stroked="f" strokeweight="2pt"/>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65837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3" name="Rectangle 3"/>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 o:spid="_x0000_s1026" style="position:absolute;margin-left:379.65pt;margin-top:23.65pt;width:144.5pt;height:17.25pt;z-index:2516583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658369"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4" name="Rectangle 4"/>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70.9pt;margin-top:23.65pt;width:142pt;height:17.25pt;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658371" behindDoc="0" locked="0" layoutInCell="1" allowOverlap="1">
              <wp:simplePos x="0" y="0"/>
              <wp:positionH relativeFrom="column">
                <wp:posOffset>-900430</wp:posOffset>
              </wp:positionH>
              <wp:positionV relativeFrom="paragraph">
                <wp:posOffset>508000</wp:posOffset>
              </wp:positionV>
              <wp:extent cx="7559675" cy="46355"/>
              <wp:effectExtent l="0" t="19050" r="0" b="1079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7559675" cy="46355"/>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left:0;text-align:left;margin-left:-70.9pt;margin-top:40pt;width:595.25pt;height:3.65pt;flip:y;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58368" behindDoc="0" locked="0" layoutInCell="1" allowOverlap="1">
              <wp:simplePos x="0" y="0"/>
              <wp:positionH relativeFrom="column">
                <wp:posOffset>-900430</wp:posOffset>
              </wp:positionH>
              <wp:positionV relativeFrom="paragraph">
                <wp:posOffset>43815</wp:posOffset>
              </wp:positionV>
              <wp:extent cx="7557769" cy="535304"/>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769" cy="535304"/>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aps/>
                              <w:color w:val="A6A6A6" w:themeColor="background1" w:themeShade="A6"/>
                              <w:sz w:val="22"/>
                              <w:szCs w:val="22"/>
                            </w:rPr>
                          </w:pPr>
                          <w:r>
                            <w:rPr>
                              <w:rFonts w:ascii="Arial" w:hAnsi="Arial"/>
                              <w:caps/>
                              <w:color w:val="A6A6A6" w:themeColor="background1" w:themeShade="A6"/>
                              <w:sz w:val="22"/>
                            </w:rPr>
                            <w:t>METHodology and expLanations</w:t>
                          </w:r>
                        </w:p>
                        <w:p>
                          <w:pPr>
                            <w:spacing w:after="0"/>
                            <w:jc w:val="center"/>
                            <w:rPr>
                              <w:rFonts w:ascii="Arial" w:hAnsi="Arial" w:cs="Arial"/>
                              <w:color w:val="004194"/>
                              <w:sz w:val="20"/>
                            </w:rPr>
                          </w:pPr>
                        </w:p>
                        <w:p>
                          <w:pPr>
                            <w:spacing w:after="0"/>
                            <w:jc w:val="center"/>
                            <w:rPr>
                              <w:rFonts w:ascii="Arial" w:hAnsi="Arial" w:cs="Arial"/>
                              <w:b/>
                              <w:color w:val="A6A6A6" w:themeColor="background1" w:themeShade="A6"/>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3" type="#_x0000_t202" style="position:absolute;left:0;text-align:left;margin-left:-70.9pt;margin-top:3.45pt;width:595.1pt;height:42.15pt;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aps/>
                        <w:color w:val="A6A6A6" w:themeColor="background1" w:themeShade="A6"/>
                        <w:sz w:val="22"/>
                        <w:szCs w:val="22"/>
                      </w:rPr>
                    </w:pPr>
                    <w:r>
                      <w:rPr>
                        <w:rFonts w:ascii="Arial" w:hAnsi="Arial"/>
                        <w:caps/>
                        <w:color w:val="A6A6A6" w:themeColor="background1" w:themeShade="A6"/>
                        <w:sz w:val="22"/>
                      </w:rPr>
                      <w:t>METHodology and expLanations</w:t>
                    </w:r>
                  </w:p>
                  <w:p>
                    <w:pPr>
                      <w:spacing w:after="0"/>
                      <w:jc w:val="center"/>
                      <w:rPr>
                        <w:rFonts w:ascii="Arial" w:hAnsi="Arial" w:cs="Arial"/>
                        <w:color w:val="004194"/>
                        <w:sz w:val="20"/>
                      </w:rPr>
                    </w:pPr>
                  </w:p>
                  <w:p>
                    <w:pPr>
                      <w:spacing w:after="0"/>
                      <w:jc w:val="center"/>
                      <w:rPr>
                        <w:rFonts w:ascii="Arial" w:hAnsi="Arial" w:cs="Arial"/>
                        <w:b/>
                        <w:color w:val="A6A6A6" w:themeColor="background1" w:themeShade="A6"/>
                        <w:sz w:val="22"/>
                        <w:szCs w:val="22"/>
                      </w:rPr>
                    </w:pPr>
                  </w:p>
                </w:txbxContent>
              </v:textbox>
            </v:shape>
          </w:pict>
        </mc:Fallback>
      </mc:AlternateConten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200537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left:0;text-align:left;margin-left:-70.9pt;margin-top:49.65pt;width:595.25pt;height:3.6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sIOuF&#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2002304"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0.9pt;margin-top:17.5pt;width:595.05pt;height:32.2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20043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95" name="Rectangle 9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5" o:spid="_x0000_s1026" style="position:absolute;margin-left:379.65pt;margin-top:23.65pt;width:144.5pt;height:17.25pt;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LyL++9cAgAAsw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2003328"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96" name="Rectangle 9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26" style="position:absolute;margin-left:-70.9pt;margin-top:23.65pt;width:142pt;height:17.2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" fillcolor="#004194" stroked="f" strokeweight="2p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588608"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0.9pt;margin-top:49.65pt;width:595.25pt;height: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59475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66" name="Rectangle 766"/>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66" o:spid="_x0000_s1026" style="position:absolute;margin-left:379.65pt;margin-top:23.65pt;width:144.5pt;height:17.25pt;z-index:2516583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O/V24R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597824"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767" name="Rectangle 767"/>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67" o:spid="_x0000_s1026" style="position:absolute;margin-left:-70.9pt;margin-top:23.65pt;width:142pt;height:17.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FxrusV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591680" behindDoc="0" locked="0" layoutInCell="1" allowOverlap="1">
              <wp:simplePos x="0" y="0"/>
              <wp:positionH relativeFrom="column">
                <wp:posOffset>-899795</wp:posOffset>
              </wp:positionH>
              <wp:positionV relativeFrom="paragraph">
                <wp:posOffset>43815</wp:posOffset>
              </wp:positionV>
              <wp:extent cx="7557135" cy="563880"/>
              <wp:effectExtent l="0" t="0" r="0" b="0"/>
              <wp:wrapNone/>
              <wp:docPr id="7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6388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Lithuania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0.85pt;margin-top:3.45pt;width:595.05pt;height:44.4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Lithuania</w:t>
                    </w:r>
                  </w:p>
                </w:txbxContent>
              </v:textbox>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60089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70.9pt;margin-top:49.65pt;width:595.25pt;height:3.6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FMRzvc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603968"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7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70.9pt;margin-top:17.5pt;width:595.05pt;height:32.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607040"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770" name="Rectangle 770"/>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770" o:spid="_x0000_s1026" style="position:absolute;margin-left:379.65pt;margin-top:23.65pt;width:144.5pt;height:17.25pt;z-index:2516583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LuG0bd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61011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771" name="Rectangle 771"/>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71" o:spid="_x0000_s1026" style="position:absolute;margin-left:-70.9pt;margin-top:23.65pt;width:142pt;height:17.2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Q0nkglsCAAC1BAAADgAAAAAAAAAAAAAAAAAuAgAAZHJzL2Uyb0RvYy54&#10;bWxQSwECLQAUAAYACAAAACEAn3OlNt8AAAAKAQAADwAAAAAAAAAAAAAAAAC1BAAAZHJzL2Rvd25y&#10;ZXYueG1sUEsFBgAAAAAEAAQA8wAAAMEFAAAAAA==&#10;" fillcolor="#004194" stroked="f" strokeweight="2p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13504"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7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70.9pt;margin-top:49.65pt;width:595.25pt;height:3.6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410432"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01" name="Rectangle 801"/>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01" o:spid="_x0000_s1026" style="position:absolute;margin-left:379.65pt;margin-top:23.65pt;width:144.5pt;height:17.25pt;z-index:25165827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407360"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802" name="Rectangle 802"/>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2" o:spid="_x0000_s1026" style="position:absolute;margin-left:-70.9pt;margin-top:23.65pt;width:142pt;height:17.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gEFrHFsCAAC1BAAADgAAAAAAAAAAAAAAAAAuAgAAZHJzL2Uyb0RvYy54&#10;bWxQSwECLQAUAAYACAAAACEAn3OlNt8AAAAKAQAADwAAAAAAAAAAAAAAAAC1BAAAZHJzL2Rvd25y&#10;ZXYueG1sUEsFBgAAAAAEAAQA8wAAAMEFAAAAAA==&#10;" fillcolor="#004194" stroked="f" strokeweight="2pt"/>
          </w:pict>
        </mc:Fallback>
      </mc:AlternateContent>
    </w:r>
  </w:p>
  <w:p>
    <w:pPr>
      <w:pStyle w:val="Header"/>
    </w:pPr>
    <w:r>
      <w:rPr>
        <w:rFonts w:ascii="Arial" w:hAnsi="Arial"/>
        <w:noProof/>
        <w:sz w:val="22"/>
        <w:lang w:val="en-US"/>
      </w:rPr>
      <mc:AlternateContent>
        <mc:Choice Requires="wps">
          <w:drawing>
            <wp:anchor distT="0" distB="0" distL="114300" distR="114300" simplePos="0" relativeHeight="251404288" behindDoc="0" locked="0" layoutInCell="1" allowOverlap="1">
              <wp:simplePos x="0" y="0"/>
              <wp:positionH relativeFrom="column">
                <wp:posOffset>-899795</wp:posOffset>
              </wp:positionH>
              <wp:positionV relativeFrom="paragraph">
                <wp:posOffset>43815</wp:posOffset>
              </wp:positionV>
              <wp:extent cx="7557135" cy="586740"/>
              <wp:effectExtent l="0" t="0" r="0" b="3810"/>
              <wp:wrapNone/>
              <wp:docPr id="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586740"/>
                      </a:xfrm>
                      <a:prstGeom prst="rect">
                        <a:avLst/>
                      </a:prstGeom>
                      <a:noFill/>
                      <a:ln w="9525">
                        <a:noFill/>
                        <a:miter lim="800000"/>
                        <a:headEnd/>
                        <a:tailEnd/>
                      </a:ln>
                    </wps:spPr>
                    <wps:txb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Luxembourg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0.85pt;margin-top:3.45pt;width:595.05pt;height:46.2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" filled="f" stroked="f">
              <v:textbox>
                <w:txbxContent>
                  <w:p>
                    <w:pPr>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p>
                    <w:pPr>
                      <w:spacing w:after="0"/>
                      <w:jc w:val="center"/>
                      <w:rPr>
                        <w:rFonts w:ascii="Arial" w:hAnsi="Arial" w:cs="Arial"/>
                        <w:b/>
                        <w:color w:val="A6A6A6" w:themeColor="background1" w:themeShade="A6"/>
                        <w:sz w:val="22"/>
                        <w:szCs w:val="22"/>
                      </w:rPr>
                    </w:pPr>
                    <w:r>
                      <w:rPr>
                        <w:rFonts w:ascii="Arial" w:hAnsi="Arial"/>
                        <w:color w:val="A6A6A6" w:themeColor="background1" w:themeShade="A6"/>
                        <w:sz w:val="22"/>
                      </w:rPr>
                      <w:t>Luxembourg</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153"/>
        <w:tab w:val="left" w:pos="7513"/>
        <w:tab w:val="right" w:pos="8306"/>
      </w:tabs>
      <w:spacing w:after="0"/>
      <w:ind w:left="4153" w:hanging="4153"/>
      <w:jc w:val="center"/>
    </w:pPr>
    <w:r>
      <w:rPr>
        <w:rFonts w:ascii="Arial" w:hAnsi="Arial"/>
        <w:noProof/>
        <w:sz w:val="22"/>
        <w:lang w:val="en-US"/>
      </w:rPr>
      <mc:AlternateContent>
        <mc:Choice Requires="wps">
          <w:drawing>
            <wp:anchor distT="0" distB="0" distL="114300" distR="114300" simplePos="0" relativeHeight="251401216" behindDoc="0" locked="0" layoutInCell="1" allowOverlap="1">
              <wp:simplePos x="0" y="0"/>
              <wp:positionH relativeFrom="column">
                <wp:posOffset>-900430</wp:posOffset>
              </wp:positionH>
              <wp:positionV relativeFrom="paragraph">
                <wp:posOffset>630555</wp:posOffset>
              </wp:positionV>
              <wp:extent cx="7559675" cy="45719"/>
              <wp:effectExtent l="0" t="19050" r="0" b="12065"/>
              <wp:wrapNone/>
              <wp:docPr id="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5719"/>
                      </a:xfrm>
                      <a:prstGeom prst="rect">
                        <a:avLst/>
                      </a:prstGeom>
                      <a:noFill/>
                      <a:ln w="9525">
                        <a:noFill/>
                        <a:miter lim="800000"/>
                        <a:headEnd/>
                        <a:tailEnd/>
                      </a:ln>
                    </wps:spPr>
                    <wps:txbx>
                      <w:txbxContent>
                        <w:p>
                          <w:pPr>
                            <w:pStyle w:val="Priorities"/>
                            <w:ind w:right="555"/>
                            <w:jc w:val="both"/>
                            <w:rPr>
                              <w:color w:val="808080" w:themeColor="background1" w:themeShade="80"/>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2" type="#_x0000_t202" style="position:absolute;left:0;text-align:left;margin-left:-70.9pt;margin-top:49.65pt;width:595.25pt;height:3.6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" filled="f" stroked="f">
              <v:textbox>
                <w:txbxContent>
                  <w:p>
                    <w:pPr>
                      <w:pStyle w:val="Priorities"/>
                      <w:ind w:right="555"/>
                      <w:jc w:val="both"/>
                      <w:rPr>
                        <w:color w:val="808080" w:themeColor="background1" w:themeShade="80"/>
                        <w:lang w:val="de-DE"/>
                      </w:rPr>
                    </w:pPr>
                  </w:p>
                </w:txbxContent>
              </v:textbox>
            </v:shape>
          </w:pict>
        </mc:Fallback>
      </mc:AlternateContent>
    </w:r>
    <w:r>
      <w:rPr>
        <w:rFonts w:ascii="Arial" w:hAnsi="Arial"/>
        <w:noProof/>
        <w:sz w:val="22"/>
        <w:lang w:val="en-US"/>
      </w:rPr>
      <mc:AlternateContent>
        <mc:Choice Requires="wps">
          <w:drawing>
            <wp:anchor distT="0" distB="0" distL="114300" distR="114300" simplePos="0" relativeHeight="251392000" behindDoc="0" locked="0" layoutInCell="1" allowOverlap="1">
              <wp:simplePos x="0" y="0"/>
              <wp:positionH relativeFrom="column">
                <wp:posOffset>-900430</wp:posOffset>
              </wp:positionH>
              <wp:positionV relativeFrom="paragraph">
                <wp:posOffset>222283</wp:posOffset>
              </wp:positionV>
              <wp:extent cx="7557168" cy="408940"/>
              <wp:effectExtent l="0" t="0" r="0" b="0"/>
              <wp:wrapNone/>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68" cy="408940"/>
                      </a:xfrm>
                      <a:prstGeom prst="rect">
                        <a:avLst/>
                      </a:prstGeom>
                      <a:noFill/>
                      <a:ln w="9525">
                        <a:noFill/>
                        <a:miter lim="800000"/>
                        <a:headEnd/>
                        <a:tailEnd/>
                      </a:ln>
                    </wps:spPr>
                    <wps:txb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0.9pt;margin-top:17.5pt;width:595.05pt;height:32.2pt;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" filled="f" stroked="f">
              <v:textbox>
                <w:txbxContent>
                  <w:p>
                    <w:pPr>
                      <w:tabs>
                        <w:tab w:val="left" w:pos="4111"/>
                      </w:tabs>
                      <w:spacing w:after="0"/>
                      <w:jc w:val="center"/>
                      <w:rPr>
                        <w:rFonts w:ascii="Arial" w:hAnsi="Arial" w:cs="Arial"/>
                        <w:color w:val="004194"/>
                        <w:sz w:val="20"/>
                      </w:rPr>
                    </w:pPr>
                    <w:r>
                      <w:rPr>
                        <w:rFonts w:ascii="Arial" w:hAnsi="Arial" w:cs="Arial"/>
                        <w:color w:val="004194"/>
                        <w:sz w:val="20"/>
                      </w:rPr>
                      <w:t>Monitoring the application of European Union law</w:t>
                    </w:r>
                    <w:r>
                      <w:rPr>
                        <w:rFonts w:ascii="Arial" w:hAnsi="Arial" w:cs="Arial"/>
                        <w:color w:val="004194"/>
                        <w:sz w:val="20"/>
                      </w:rPr>
                      <w:br/>
                      <w:t>2016 Annual Report</w:t>
                    </w:r>
                  </w:p>
                </w:txbxContent>
              </v:textbox>
            </v:shape>
          </w:pict>
        </mc:Fallback>
      </mc:AlternateContent>
    </w:r>
    <w:r>
      <w:rPr>
        <w:rFonts w:ascii="Arial" w:hAnsi="Arial"/>
        <w:noProof/>
        <w:sz w:val="22"/>
        <w:lang w:val="en-US"/>
      </w:rPr>
      <mc:AlternateContent>
        <mc:Choice Requires="wps">
          <w:drawing>
            <wp:anchor distT="0" distB="0" distL="114300" distR="114300" simplePos="0" relativeHeight="251398144" behindDoc="0" locked="0" layoutInCell="1" allowOverlap="1">
              <wp:simplePos x="0" y="0"/>
              <wp:positionH relativeFrom="column">
                <wp:posOffset>4821555</wp:posOffset>
              </wp:positionH>
              <wp:positionV relativeFrom="paragraph">
                <wp:posOffset>300355</wp:posOffset>
              </wp:positionV>
              <wp:extent cx="1835150" cy="219075"/>
              <wp:effectExtent l="0" t="0" r="0" b="9525"/>
              <wp:wrapNone/>
              <wp:docPr id="805" name="Rectangle 805"/>
              <wp:cNvGraphicFramePr/>
              <a:graphic xmlns:a="http://schemas.openxmlformats.org/drawingml/2006/main">
                <a:graphicData uri="http://schemas.microsoft.com/office/word/2010/wordprocessingShape">
                  <wps:wsp>
                    <wps:cNvSpPr/>
                    <wps:spPr>
                      <a:xfrm>
                        <a:off x="0" y="0"/>
                        <a:ext cx="183515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805" o:spid="_x0000_s1026" style="position:absolute;margin-left:379.65pt;margin-top:23.65pt;width:144.5pt;height:17.25pt;z-index:2516582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" fillcolor="#004194" stroked="f" strokeweight="2pt"/>
          </w:pict>
        </mc:Fallback>
      </mc:AlternateContent>
    </w:r>
    <w:r>
      <w:rPr>
        <w:rFonts w:ascii="Arial" w:hAnsi="Arial"/>
        <w:noProof/>
        <w:sz w:val="22"/>
        <w:lang w:val="en-US"/>
      </w:rPr>
      <mc:AlternateContent>
        <mc:Choice Requires="wps">
          <w:drawing>
            <wp:anchor distT="0" distB="0" distL="114300" distR="114300" simplePos="0" relativeHeight="251395072" behindDoc="0" locked="0" layoutInCell="1" allowOverlap="1">
              <wp:simplePos x="0" y="0"/>
              <wp:positionH relativeFrom="column">
                <wp:posOffset>-900430</wp:posOffset>
              </wp:positionH>
              <wp:positionV relativeFrom="paragraph">
                <wp:posOffset>300354</wp:posOffset>
              </wp:positionV>
              <wp:extent cx="1803400" cy="219075"/>
              <wp:effectExtent l="0" t="0" r="6350" b="9525"/>
              <wp:wrapNone/>
              <wp:docPr id="806" name="Rectangle 806"/>
              <wp:cNvGraphicFramePr/>
              <a:graphic xmlns:a="http://schemas.openxmlformats.org/drawingml/2006/main">
                <a:graphicData uri="http://schemas.microsoft.com/office/word/2010/wordprocessingShape">
                  <wps:wsp>
                    <wps:cNvSpPr/>
                    <wps:spPr>
                      <a:xfrm>
                        <a:off x="0" y="0"/>
                        <a:ext cx="1803400" cy="219075"/>
                      </a:xfrm>
                      <a:prstGeom prst="rect">
                        <a:avLst/>
                      </a:prstGeom>
                      <a:solidFill>
                        <a:srgbClr val="00419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06" o:spid="_x0000_s1026" style="position:absolute;margin-left:-70.9pt;margin-top:23.65pt;width:142pt;height:17.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" fillcolor="#004194" stroked="f" strokeweight="2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86DF1"/>
    <w:multiLevelType w:val="hybridMultilevel"/>
    <w:tmpl w:val="F9140EFC"/>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
    <w:nsid w:val="02552A65"/>
    <w:multiLevelType w:val="hybridMultilevel"/>
    <w:tmpl w:val="1CFC325A"/>
    <w:lvl w:ilvl="0" w:tplc="A0C2CF64">
      <w:start w:val="1"/>
      <w:numFmt w:val="bullet"/>
      <w:lvlText w:val=""/>
      <w:lvlJc w:val="left"/>
      <w:pPr>
        <w:ind w:left="1713" w:hanging="360"/>
      </w:pPr>
      <w:rPr>
        <w:rFonts w:ascii="Symbol" w:hAnsi="Symbol" w:hint="default"/>
      </w:rPr>
    </w:lvl>
    <w:lvl w:ilvl="1" w:tplc="995E2D6E">
      <w:start w:val="1"/>
      <w:numFmt w:val="bullet"/>
      <w:lvlText w:val=""/>
      <w:lvlJc w:val="left"/>
      <w:pPr>
        <w:ind w:left="2433" w:hanging="360"/>
      </w:pPr>
      <w:rPr>
        <w:rFonts w:ascii="Symbol" w:hAnsi="Symbol" w:hint="default"/>
      </w:rPr>
    </w:lvl>
    <w:lvl w:ilvl="2" w:tplc="08130005">
      <w:start w:val="1"/>
      <w:numFmt w:val="bullet"/>
      <w:lvlText w:val=""/>
      <w:lvlJc w:val="left"/>
      <w:pPr>
        <w:ind w:left="3153" w:hanging="360"/>
      </w:pPr>
      <w:rPr>
        <w:rFonts w:ascii="Wingdings" w:hAnsi="Wingdings" w:hint="default"/>
      </w:rPr>
    </w:lvl>
    <w:lvl w:ilvl="3" w:tplc="08130001" w:tentative="1">
      <w:start w:val="1"/>
      <w:numFmt w:val="bullet"/>
      <w:lvlText w:val=""/>
      <w:lvlJc w:val="left"/>
      <w:pPr>
        <w:ind w:left="3873" w:hanging="360"/>
      </w:pPr>
      <w:rPr>
        <w:rFonts w:ascii="Symbol" w:hAnsi="Symbol" w:hint="default"/>
      </w:rPr>
    </w:lvl>
    <w:lvl w:ilvl="4" w:tplc="08130003" w:tentative="1">
      <w:start w:val="1"/>
      <w:numFmt w:val="bullet"/>
      <w:lvlText w:val="o"/>
      <w:lvlJc w:val="left"/>
      <w:pPr>
        <w:ind w:left="4593" w:hanging="360"/>
      </w:pPr>
      <w:rPr>
        <w:rFonts w:ascii="Courier New" w:hAnsi="Courier New" w:cs="Courier New" w:hint="default"/>
      </w:rPr>
    </w:lvl>
    <w:lvl w:ilvl="5" w:tplc="08130005" w:tentative="1">
      <w:start w:val="1"/>
      <w:numFmt w:val="bullet"/>
      <w:lvlText w:val=""/>
      <w:lvlJc w:val="left"/>
      <w:pPr>
        <w:ind w:left="5313" w:hanging="360"/>
      </w:pPr>
      <w:rPr>
        <w:rFonts w:ascii="Wingdings" w:hAnsi="Wingdings" w:hint="default"/>
      </w:rPr>
    </w:lvl>
    <w:lvl w:ilvl="6" w:tplc="08130001" w:tentative="1">
      <w:start w:val="1"/>
      <w:numFmt w:val="bullet"/>
      <w:lvlText w:val=""/>
      <w:lvlJc w:val="left"/>
      <w:pPr>
        <w:ind w:left="6033" w:hanging="360"/>
      </w:pPr>
      <w:rPr>
        <w:rFonts w:ascii="Symbol" w:hAnsi="Symbol" w:hint="default"/>
      </w:rPr>
    </w:lvl>
    <w:lvl w:ilvl="7" w:tplc="08130003" w:tentative="1">
      <w:start w:val="1"/>
      <w:numFmt w:val="bullet"/>
      <w:lvlText w:val="o"/>
      <w:lvlJc w:val="left"/>
      <w:pPr>
        <w:ind w:left="6753" w:hanging="360"/>
      </w:pPr>
      <w:rPr>
        <w:rFonts w:ascii="Courier New" w:hAnsi="Courier New" w:cs="Courier New" w:hint="default"/>
      </w:rPr>
    </w:lvl>
    <w:lvl w:ilvl="8" w:tplc="08130005" w:tentative="1">
      <w:start w:val="1"/>
      <w:numFmt w:val="bullet"/>
      <w:lvlText w:val=""/>
      <w:lvlJc w:val="left"/>
      <w:pPr>
        <w:ind w:left="7473" w:hanging="360"/>
      </w:pPr>
      <w:rPr>
        <w:rFonts w:ascii="Wingdings" w:hAnsi="Wingdings" w:hint="default"/>
      </w:rPr>
    </w:lvl>
  </w:abstractNum>
  <w:abstractNum w:abstractNumId="2">
    <w:nsid w:val="0529301D"/>
    <w:multiLevelType w:val="hybridMultilevel"/>
    <w:tmpl w:val="FDAC6F4C"/>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
    <w:nsid w:val="09C61C9C"/>
    <w:multiLevelType w:val="hybridMultilevel"/>
    <w:tmpl w:val="7BD63462"/>
    <w:lvl w:ilvl="0" w:tplc="08090001">
      <w:start w:val="1"/>
      <w:numFmt w:val="bullet"/>
      <w:lvlText w:val=""/>
      <w:lvlJc w:val="left"/>
      <w:pPr>
        <w:ind w:left="2139" w:hanging="360"/>
      </w:pPr>
      <w:rPr>
        <w:rFonts w:ascii="Symbol" w:hAnsi="Symbol" w:hint="default"/>
      </w:rPr>
    </w:lvl>
    <w:lvl w:ilvl="1" w:tplc="08090003" w:tentative="1">
      <w:start w:val="1"/>
      <w:numFmt w:val="bullet"/>
      <w:lvlText w:val="o"/>
      <w:lvlJc w:val="left"/>
      <w:pPr>
        <w:ind w:left="2859" w:hanging="360"/>
      </w:pPr>
      <w:rPr>
        <w:rFonts w:ascii="Courier New" w:hAnsi="Courier New" w:cs="Courier New" w:hint="default"/>
      </w:rPr>
    </w:lvl>
    <w:lvl w:ilvl="2" w:tplc="08090005" w:tentative="1">
      <w:start w:val="1"/>
      <w:numFmt w:val="bullet"/>
      <w:lvlText w:val=""/>
      <w:lvlJc w:val="left"/>
      <w:pPr>
        <w:ind w:left="3579" w:hanging="360"/>
      </w:pPr>
      <w:rPr>
        <w:rFonts w:ascii="Wingdings" w:hAnsi="Wingdings" w:hint="default"/>
      </w:rPr>
    </w:lvl>
    <w:lvl w:ilvl="3" w:tplc="08090001" w:tentative="1">
      <w:start w:val="1"/>
      <w:numFmt w:val="bullet"/>
      <w:lvlText w:val=""/>
      <w:lvlJc w:val="left"/>
      <w:pPr>
        <w:ind w:left="4299" w:hanging="360"/>
      </w:pPr>
      <w:rPr>
        <w:rFonts w:ascii="Symbol" w:hAnsi="Symbol" w:hint="default"/>
      </w:rPr>
    </w:lvl>
    <w:lvl w:ilvl="4" w:tplc="08090003" w:tentative="1">
      <w:start w:val="1"/>
      <w:numFmt w:val="bullet"/>
      <w:lvlText w:val="o"/>
      <w:lvlJc w:val="left"/>
      <w:pPr>
        <w:ind w:left="5019" w:hanging="360"/>
      </w:pPr>
      <w:rPr>
        <w:rFonts w:ascii="Courier New" w:hAnsi="Courier New" w:cs="Courier New" w:hint="default"/>
      </w:rPr>
    </w:lvl>
    <w:lvl w:ilvl="5" w:tplc="08090005" w:tentative="1">
      <w:start w:val="1"/>
      <w:numFmt w:val="bullet"/>
      <w:lvlText w:val=""/>
      <w:lvlJc w:val="left"/>
      <w:pPr>
        <w:ind w:left="5739" w:hanging="360"/>
      </w:pPr>
      <w:rPr>
        <w:rFonts w:ascii="Wingdings" w:hAnsi="Wingdings" w:hint="default"/>
      </w:rPr>
    </w:lvl>
    <w:lvl w:ilvl="6" w:tplc="08090001" w:tentative="1">
      <w:start w:val="1"/>
      <w:numFmt w:val="bullet"/>
      <w:lvlText w:val=""/>
      <w:lvlJc w:val="left"/>
      <w:pPr>
        <w:ind w:left="6459" w:hanging="360"/>
      </w:pPr>
      <w:rPr>
        <w:rFonts w:ascii="Symbol" w:hAnsi="Symbol" w:hint="default"/>
      </w:rPr>
    </w:lvl>
    <w:lvl w:ilvl="7" w:tplc="08090003" w:tentative="1">
      <w:start w:val="1"/>
      <w:numFmt w:val="bullet"/>
      <w:lvlText w:val="o"/>
      <w:lvlJc w:val="left"/>
      <w:pPr>
        <w:ind w:left="7179" w:hanging="360"/>
      </w:pPr>
      <w:rPr>
        <w:rFonts w:ascii="Courier New" w:hAnsi="Courier New" w:cs="Courier New" w:hint="default"/>
      </w:rPr>
    </w:lvl>
    <w:lvl w:ilvl="8" w:tplc="08090005" w:tentative="1">
      <w:start w:val="1"/>
      <w:numFmt w:val="bullet"/>
      <w:lvlText w:val=""/>
      <w:lvlJc w:val="left"/>
      <w:pPr>
        <w:ind w:left="7899" w:hanging="360"/>
      </w:pPr>
      <w:rPr>
        <w:rFonts w:ascii="Wingdings" w:hAnsi="Wingdings" w:hint="default"/>
      </w:rPr>
    </w:lvl>
  </w:abstractNum>
  <w:abstractNum w:abstractNumId="4">
    <w:nsid w:val="158D7BEA"/>
    <w:multiLevelType w:val="hybridMultilevel"/>
    <w:tmpl w:val="D44E4A7E"/>
    <w:lvl w:ilvl="0" w:tplc="666CA6D0">
      <w:start w:val="1"/>
      <w:numFmt w:val="lowerLetter"/>
      <w:pStyle w:val="Lijstje"/>
      <w:lvlText w:val="%1)"/>
      <w:lvlJc w:val="left"/>
      <w:pPr>
        <w:ind w:left="1419" w:hanging="705"/>
      </w:pPr>
      <w:rPr>
        <w:rFonts w:ascii="Arial" w:hAnsi="Arial" w:cs="Arial" w:hint="default"/>
      </w:r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5">
    <w:nsid w:val="160E3FAA"/>
    <w:multiLevelType w:val="hybridMultilevel"/>
    <w:tmpl w:val="4BDC8CF0"/>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6">
    <w:nsid w:val="185240A1"/>
    <w:multiLevelType w:val="hybridMultilevel"/>
    <w:tmpl w:val="2EBA086C"/>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7">
    <w:nsid w:val="1A9B57EB"/>
    <w:multiLevelType w:val="hybridMultilevel"/>
    <w:tmpl w:val="480074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1C675DD2"/>
    <w:multiLevelType w:val="hybridMultilevel"/>
    <w:tmpl w:val="0130C8C0"/>
    <w:lvl w:ilvl="0" w:tplc="08090001">
      <w:start w:val="1"/>
      <w:numFmt w:val="bullet"/>
      <w:lvlText w:val=""/>
      <w:lvlJc w:val="left"/>
      <w:pPr>
        <w:ind w:left="1276" w:hanging="360"/>
      </w:pPr>
      <w:rPr>
        <w:rFonts w:ascii="Symbol" w:hAnsi="Symbol" w:hint="default"/>
      </w:rPr>
    </w:lvl>
    <w:lvl w:ilvl="1" w:tplc="08090003" w:tentative="1">
      <w:start w:val="1"/>
      <w:numFmt w:val="bullet"/>
      <w:lvlText w:val="o"/>
      <w:lvlJc w:val="left"/>
      <w:pPr>
        <w:ind w:left="1996" w:hanging="360"/>
      </w:pPr>
      <w:rPr>
        <w:rFonts w:ascii="Courier New" w:hAnsi="Courier New" w:cs="Courier New" w:hint="default"/>
      </w:rPr>
    </w:lvl>
    <w:lvl w:ilvl="2" w:tplc="08090005" w:tentative="1">
      <w:start w:val="1"/>
      <w:numFmt w:val="bullet"/>
      <w:lvlText w:val=""/>
      <w:lvlJc w:val="left"/>
      <w:pPr>
        <w:ind w:left="2716" w:hanging="360"/>
      </w:pPr>
      <w:rPr>
        <w:rFonts w:ascii="Wingdings" w:hAnsi="Wingdings" w:hint="default"/>
      </w:rPr>
    </w:lvl>
    <w:lvl w:ilvl="3" w:tplc="08090001" w:tentative="1">
      <w:start w:val="1"/>
      <w:numFmt w:val="bullet"/>
      <w:lvlText w:val=""/>
      <w:lvlJc w:val="left"/>
      <w:pPr>
        <w:ind w:left="3436" w:hanging="360"/>
      </w:pPr>
      <w:rPr>
        <w:rFonts w:ascii="Symbol" w:hAnsi="Symbol" w:hint="default"/>
      </w:rPr>
    </w:lvl>
    <w:lvl w:ilvl="4" w:tplc="08090003" w:tentative="1">
      <w:start w:val="1"/>
      <w:numFmt w:val="bullet"/>
      <w:lvlText w:val="o"/>
      <w:lvlJc w:val="left"/>
      <w:pPr>
        <w:ind w:left="4156" w:hanging="360"/>
      </w:pPr>
      <w:rPr>
        <w:rFonts w:ascii="Courier New" w:hAnsi="Courier New" w:cs="Courier New" w:hint="default"/>
      </w:rPr>
    </w:lvl>
    <w:lvl w:ilvl="5" w:tplc="08090005" w:tentative="1">
      <w:start w:val="1"/>
      <w:numFmt w:val="bullet"/>
      <w:lvlText w:val=""/>
      <w:lvlJc w:val="left"/>
      <w:pPr>
        <w:ind w:left="4876" w:hanging="360"/>
      </w:pPr>
      <w:rPr>
        <w:rFonts w:ascii="Wingdings" w:hAnsi="Wingdings" w:hint="default"/>
      </w:rPr>
    </w:lvl>
    <w:lvl w:ilvl="6" w:tplc="08090001" w:tentative="1">
      <w:start w:val="1"/>
      <w:numFmt w:val="bullet"/>
      <w:lvlText w:val=""/>
      <w:lvlJc w:val="left"/>
      <w:pPr>
        <w:ind w:left="5596" w:hanging="360"/>
      </w:pPr>
      <w:rPr>
        <w:rFonts w:ascii="Symbol" w:hAnsi="Symbol" w:hint="default"/>
      </w:rPr>
    </w:lvl>
    <w:lvl w:ilvl="7" w:tplc="08090003" w:tentative="1">
      <w:start w:val="1"/>
      <w:numFmt w:val="bullet"/>
      <w:lvlText w:val="o"/>
      <w:lvlJc w:val="left"/>
      <w:pPr>
        <w:ind w:left="6316" w:hanging="360"/>
      </w:pPr>
      <w:rPr>
        <w:rFonts w:ascii="Courier New" w:hAnsi="Courier New" w:cs="Courier New" w:hint="default"/>
      </w:rPr>
    </w:lvl>
    <w:lvl w:ilvl="8" w:tplc="08090005" w:tentative="1">
      <w:start w:val="1"/>
      <w:numFmt w:val="bullet"/>
      <w:lvlText w:val=""/>
      <w:lvlJc w:val="left"/>
      <w:pPr>
        <w:ind w:left="7036" w:hanging="360"/>
      </w:pPr>
      <w:rPr>
        <w:rFonts w:ascii="Wingdings" w:hAnsi="Wingdings" w:hint="default"/>
      </w:rPr>
    </w:lvl>
  </w:abstractNum>
  <w:abstractNum w:abstractNumId="9">
    <w:nsid w:val="1C7E53D2"/>
    <w:multiLevelType w:val="hybridMultilevel"/>
    <w:tmpl w:val="EACE97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DDF28AD"/>
    <w:multiLevelType w:val="hybridMultilevel"/>
    <w:tmpl w:val="70E228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241609E"/>
    <w:multiLevelType w:val="hybridMultilevel"/>
    <w:tmpl w:val="C5444EF8"/>
    <w:lvl w:ilvl="0" w:tplc="08090001">
      <w:start w:val="1"/>
      <w:numFmt w:val="bullet"/>
      <w:lvlText w:val=""/>
      <w:lvlJc w:val="left"/>
      <w:pPr>
        <w:ind w:left="2132" w:hanging="360"/>
      </w:pPr>
      <w:rPr>
        <w:rFonts w:ascii="Symbol" w:hAnsi="Symbol" w:hint="default"/>
      </w:rPr>
    </w:lvl>
    <w:lvl w:ilvl="1" w:tplc="08090003" w:tentative="1">
      <w:start w:val="1"/>
      <w:numFmt w:val="bullet"/>
      <w:lvlText w:val="o"/>
      <w:lvlJc w:val="left"/>
      <w:pPr>
        <w:ind w:left="2852" w:hanging="360"/>
      </w:pPr>
      <w:rPr>
        <w:rFonts w:ascii="Courier New" w:hAnsi="Courier New" w:cs="Courier New" w:hint="default"/>
      </w:rPr>
    </w:lvl>
    <w:lvl w:ilvl="2" w:tplc="08090005" w:tentative="1">
      <w:start w:val="1"/>
      <w:numFmt w:val="bullet"/>
      <w:lvlText w:val=""/>
      <w:lvlJc w:val="left"/>
      <w:pPr>
        <w:ind w:left="3572" w:hanging="360"/>
      </w:pPr>
      <w:rPr>
        <w:rFonts w:ascii="Wingdings" w:hAnsi="Wingdings" w:hint="default"/>
      </w:rPr>
    </w:lvl>
    <w:lvl w:ilvl="3" w:tplc="08090001" w:tentative="1">
      <w:start w:val="1"/>
      <w:numFmt w:val="bullet"/>
      <w:lvlText w:val=""/>
      <w:lvlJc w:val="left"/>
      <w:pPr>
        <w:ind w:left="4292" w:hanging="360"/>
      </w:pPr>
      <w:rPr>
        <w:rFonts w:ascii="Symbol" w:hAnsi="Symbol" w:hint="default"/>
      </w:rPr>
    </w:lvl>
    <w:lvl w:ilvl="4" w:tplc="08090003" w:tentative="1">
      <w:start w:val="1"/>
      <w:numFmt w:val="bullet"/>
      <w:lvlText w:val="o"/>
      <w:lvlJc w:val="left"/>
      <w:pPr>
        <w:ind w:left="5012" w:hanging="360"/>
      </w:pPr>
      <w:rPr>
        <w:rFonts w:ascii="Courier New" w:hAnsi="Courier New" w:cs="Courier New" w:hint="default"/>
      </w:rPr>
    </w:lvl>
    <w:lvl w:ilvl="5" w:tplc="08090005" w:tentative="1">
      <w:start w:val="1"/>
      <w:numFmt w:val="bullet"/>
      <w:lvlText w:val=""/>
      <w:lvlJc w:val="left"/>
      <w:pPr>
        <w:ind w:left="5732" w:hanging="360"/>
      </w:pPr>
      <w:rPr>
        <w:rFonts w:ascii="Wingdings" w:hAnsi="Wingdings" w:hint="default"/>
      </w:rPr>
    </w:lvl>
    <w:lvl w:ilvl="6" w:tplc="08090001" w:tentative="1">
      <w:start w:val="1"/>
      <w:numFmt w:val="bullet"/>
      <w:lvlText w:val=""/>
      <w:lvlJc w:val="left"/>
      <w:pPr>
        <w:ind w:left="6452" w:hanging="360"/>
      </w:pPr>
      <w:rPr>
        <w:rFonts w:ascii="Symbol" w:hAnsi="Symbol" w:hint="default"/>
      </w:rPr>
    </w:lvl>
    <w:lvl w:ilvl="7" w:tplc="08090003" w:tentative="1">
      <w:start w:val="1"/>
      <w:numFmt w:val="bullet"/>
      <w:lvlText w:val="o"/>
      <w:lvlJc w:val="left"/>
      <w:pPr>
        <w:ind w:left="7172" w:hanging="360"/>
      </w:pPr>
      <w:rPr>
        <w:rFonts w:ascii="Courier New" w:hAnsi="Courier New" w:cs="Courier New" w:hint="default"/>
      </w:rPr>
    </w:lvl>
    <w:lvl w:ilvl="8" w:tplc="08090005" w:tentative="1">
      <w:start w:val="1"/>
      <w:numFmt w:val="bullet"/>
      <w:lvlText w:val=""/>
      <w:lvlJc w:val="left"/>
      <w:pPr>
        <w:ind w:left="7892" w:hanging="360"/>
      </w:pPr>
      <w:rPr>
        <w:rFonts w:ascii="Wingdings" w:hAnsi="Wingdings" w:hint="default"/>
      </w:rPr>
    </w:lvl>
  </w:abstractNum>
  <w:abstractNum w:abstractNumId="12">
    <w:nsid w:val="24CF4B32"/>
    <w:multiLevelType w:val="hybridMultilevel"/>
    <w:tmpl w:val="25AED57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F94B72"/>
    <w:multiLevelType w:val="hybridMultilevel"/>
    <w:tmpl w:val="460A8560"/>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4">
    <w:nsid w:val="28C549C4"/>
    <w:multiLevelType w:val="hybridMultilevel"/>
    <w:tmpl w:val="43903F30"/>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5">
    <w:nsid w:val="2BB02EC0"/>
    <w:multiLevelType w:val="hybridMultilevel"/>
    <w:tmpl w:val="7410EEE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6">
    <w:nsid w:val="2F092CBD"/>
    <w:multiLevelType w:val="hybridMultilevel"/>
    <w:tmpl w:val="35042C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nsid w:val="32CA24F5"/>
    <w:multiLevelType w:val="hybridMultilevel"/>
    <w:tmpl w:val="464E8E90"/>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start w:val="1"/>
      <w:numFmt w:val="bullet"/>
      <w:lvlText w:val=""/>
      <w:lvlJc w:val="left"/>
      <w:pPr>
        <w:ind w:left="3960" w:hanging="360"/>
      </w:pPr>
      <w:rPr>
        <w:rFonts w:ascii="Wingdings" w:hAnsi="Wingdings" w:hint="default"/>
      </w:rPr>
    </w:lvl>
    <w:lvl w:ilvl="3" w:tplc="08090001">
      <w:start w:val="1"/>
      <w:numFmt w:val="bullet"/>
      <w:lvlText w:val=""/>
      <w:lvlJc w:val="left"/>
      <w:pPr>
        <w:ind w:left="4680" w:hanging="360"/>
      </w:pPr>
      <w:rPr>
        <w:rFonts w:ascii="Symbol" w:hAnsi="Symbol" w:hint="default"/>
      </w:rPr>
    </w:lvl>
    <w:lvl w:ilvl="4" w:tplc="08090003">
      <w:start w:val="1"/>
      <w:numFmt w:val="bullet"/>
      <w:lvlText w:val="o"/>
      <w:lvlJc w:val="left"/>
      <w:pPr>
        <w:ind w:left="5400" w:hanging="360"/>
      </w:pPr>
      <w:rPr>
        <w:rFonts w:ascii="Courier New" w:hAnsi="Courier New" w:cs="Courier New" w:hint="default"/>
      </w:rPr>
    </w:lvl>
    <w:lvl w:ilvl="5" w:tplc="08090005">
      <w:start w:val="1"/>
      <w:numFmt w:val="bullet"/>
      <w:lvlText w:val=""/>
      <w:lvlJc w:val="left"/>
      <w:pPr>
        <w:ind w:left="6120" w:hanging="360"/>
      </w:pPr>
      <w:rPr>
        <w:rFonts w:ascii="Wingdings" w:hAnsi="Wingdings" w:hint="default"/>
      </w:rPr>
    </w:lvl>
    <w:lvl w:ilvl="6" w:tplc="08090001">
      <w:start w:val="1"/>
      <w:numFmt w:val="bullet"/>
      <w:lvlText w:val=""/>
      <w:lvlJc w:val="left"/>
      <w:pPr>
        <w:ind w:left="6840" w:hanging="360"/>
      </w:pPr>
      <w:rPr>
        <w:rFonts w:ascii="Symbol" w:hAnsi="Symbol" w:hint="default"/>
      </w:rPr>
    </w:lvl>
    <w:lvl w:ilvl="7" w:tplc="08090003">
      <w:start w:val="1"/>
      <w:numFmt w:val="bullet"/>
      <w:lvlText w:val="o"/>
      <w:lvlJc w:val="left"/>
      <w:pPr>
        <w:ind w:left="7560" w:hanging="360"/>
      </w:pPr>
      <w:rPr>
        <w:rFonts w:ascii="Courier New" w:hAnsi="Courier New" w:cs="Courier New" w:hint="default"/>
      </w:rPr>
    </w:lvl>
    <w:lvl w:ilvl="8" w:tplc="08090005">
      <w:start w:val="1"/>
      <w:numFmt w:val="bullet"/>
      <w:lvlText w:val=""/>
      <w:lvlJc w:val="left"/>
      <w:pPr>
        <w:ind w:left="8280" w:hanging="360"/>
      </w:pPr>
      <w:rPr>
        <w:rFonts w:ascii="Wingdings" w:hAnsi="Wingdings" w:hint="default"/>
      </w:rPr>
    </w:lvl>
  </w:abstractNum>
  <w:abstractNum w:abstractNumId="18">
    <w:nsid w:val="357E63CA"/>
    <w:multiLevelType w:val="hybridMultilevel"/>
    <w:tmpl w:val="0DF824B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19">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0">
    <w:nsid w:val="4B7D4076"/>
    <w:multiLevelType w:val="hybridMultilevel"/>
    <w:tmpl w:val="7BCE1200"/>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1">
    <w:nsid w:val="4BB52C59"/>
    <w:multiLevelType w:val="hybridMultilevel"/>
    <w:tmpl w:val="24B493BE"/>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2">
    <w:nsid w:val="5767434B"/>
    <w:multiLevelType w:val="hybridMultilevel"/>
    <w:tmpl w:val="A6F0F8CC"/>
    <w:lvl w:ilvl="0" w:tplc="08090001">
      <w:start w:val="1"/>
      <w:numFmt w:val="bullet"/>
      <w:lvlText w:val=""/>
      <w:lvlJc w:val="left"/>
      <w:pPr>
        <w:ind w:left="2852" w:hanging="360"/>
      </w:pPr>
      <w:rPr>
        <w:rFonts w:ascii="Symbol" w:hAnsi="Symbol" w:hint="default"/>
      </w:rPr>
    </w:lvl>
    <w:lvl w:ilvl="1" w:tplc="08090003" w:tentative="1">
      <w:start w:val="1"/>
      <w:numFmt w:val="bullet"/>
      <w:lvlText w:val="o"/>
      <w:lvlJc w:val="left"/>
      <w:pPr>
        <w:ind w:left="3572" w:hanging="360"/>
      </w:pPr>
      <w:rPr>
        <w:rFonts w:ascii="Courier New" w:hAnsi="Courier New" w:cs="Courier New" w:hint="default"/>
      </w:rPr>
    </w:lvl>
    <w:lvl w:ilvl="2" w:tplc="08090005" w:tentative="1">
      <w:start w:val="1"/>
      <w:numFmt w:val="bullet"/>
      <w:lvlText w:val=""/>
      <w:lvlJc w:val="left"/>
      <w:pPr>
        <w:ind w:left="4292" w:hanging="360"/>
      </w:pPr>
      <w:rPr>
        <w:rFonts w:ascii="Wingdings" w:hAnsi="Wingdings" w:hint="default"/>
      </w:rPr>
    </w:lvl>
    <w:lvl w:ilvl="3" w:tplc="08090001" w:tentative="1">
      <w:start w:val="1"/>
      <w:numFmt w:val="bullet"/>
      <w:lvlText w:val=""/>
      <w:lvlJc w:val="left"/>
      <w:pPr>
        <w:ind w:left="5012" w:hanging="360"/>
      </w:pPr>
      <w:rPr>
        <w:rFonts w:ascii="Symbol" w:hAnsi="Symbol" w:hint="default"/>
      </w:rPr>
    </w:lvl>
    <w:lvl w:ilvl="4" w:tplc="08090003" w:tentative="1">
      <w:start w:val="1"/>
      <w:numFmt w:val="bullet"/>
      <w:lvlText w:val="o"/>
      <w:lvlJc w:val="left"/>
      <w:pPr>
        <w:ind w:left="5732" w:hanging="360"/>
      </w:pPr>
      <w:rPr>
        <w:rFonts w:ascii="Courier New" w:hAnsi="Courier New" w:cs="Courier New" w:hint="default"/>
      </w:rPr>
    </w:lvl>
    <w:lvl w:ilvl="5" w:tplc="08090005" w:tentative="1">
      <w:start w:val="1"/>
      <w:numFmt w:val="bullet"/>
      <w:lvlText w:val=""/>
      <w:lvlJc w:val="left"/>
      <w:pPr>
        <w:ind w:left="6452" w:hanging="360"/>
      </w:pPr>
      <w:rPr>
        <w:rFonts w:ascii="Wingdings" w:hAnsi="Wingdings" w:hint="default"/>
      </w:rPr>
    </w:lvl>
    <w:lvl w:ilvl="6" w:tplc="08090001" w:tentative="1">
      <w:start w:val="1"/>
      <w:numFmt w:val="bullet"/>
      <w:lvlText w:val=""/>
      <w:lvlJc w:val="left"/>
      <w:pPr>
        <w:ind w:left="7172" w:hanging="360"/>
      </w:pPr>
      <w:rPr>
        <w:rFonts w:ascii="Symbol" w:hAnsi="Symbol" w:hint="default"/>
      </w:rPr>
    </w:lvl>
    <w:lvl w:ilvl="7" w:tplc="08090003" w:tentative="1">
      <w:start w:val="1"/>
      <w:numFmt w:val="bullet"/>
      <w:lvlText w:val="o"/>
      <w:lvlJc w:val="left"/>
      <w:pPr>
        <w:ind w:left="7892" w:hanging="360"/>
      </w:pPr>
      <w:rPr>
        <w:rFonts w:ascii="Courier New" w:hAnsi="Courier New" w:cs="Courier New" w:hint="default"/>
      </w:rPr>
    </w:lvl>
    <w:lvl w:ilvl="8" w:tplc="08090005" w:tentative="1">
      <w:start w:val="1"/>
      <w:numFmt w:val="bullet"/>
      <w:lvlText w:val=""/>
      <w:lvlJc w:val="left"/>
      <w:pPr>
        <w:ind w:left="8612" w:hanging="360"/>
      </w:pPr>
      <w:rPr>
        <w:rFonts w:ascii="Wingdings" w:hAnsi="Wingdings" w:hint="default"/>
      </w:rPr>
    </w:lvl>
  </w:abstractNum>
  <w:abstractNum w:abstractNumId="23">
    <w:nsid w:val="5AD97560"/>
    <w:multiLevelType w:val="hybridMultilevel"/>
    <w:tmpl w:val="8D7A03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nsid w:val="5B1F6E21"/>
    <w:multiLevelType w:val="hybridMultilevel"/>
    <w:tmpl w:val="82D49930"/>
    <w:lvl w:ilvl="0" w:tplc="08090001">
      <w:start w:val="1"/>
      <w:numFmt w:val="bullet"/>
      <w:lvlText w:val=""/>
      <w:lvlJc w:val="left"/>
      <w:pPr>
        <w:ind w:left="2137" w:hanging="360"/>
      </w:pPr>
      <w:rPr>
        <w:rFonts w:ascii="Symbol" w:hAnsi="Symbol" w:hint="default"/>
      </w:rPr>
    </w:lvl>
    <w:lvl w:ilvl="1" w:tplc="08090003" w:tentative="1">
      <w:start w:val="1"/>
      <w:numFmt w:val="bullet"/>
      <w:lvlText w:val="o"/>
      <w:lvlJc w:val="left"/>
      <w:pPr>
        <w:ind w:left="2857" w:hanging="360"/>
      </w:pPr>
      <w:rPr>
        <w:rFonts w:ascii="Courier New" w:hAnsi="Courier New" w:cs="Courier New" w:hint="default"/>
      </w:rPr>
    </w:lvl>
    <w:lvl w:ilvl="2" w:tplc="08090005" w:tentative="1">
      <w:start w:val="1"/>
      <w:numFmt w:val="bullet"/>
      <w:lvlText w:val=""/>
      <w:lvlJc w:val="left"/>
      <w:pPr>
        <w:ind w:left="3577" w:hanging="360"/>
      </w:pPr>
      <w:rPr>
        <w:rFonts w:ascii="Wingdings" w:hAnsi="Wingdings" w:hint="default"/>
      </w:rPr>
    </w:lvl>
    <w:lvl w:ilvl="3" w:tplc="08090001" w:tentative="1">
      <w:start w:val="1"/>
      <w:numFmt w:val="bullet"/>
      <w:lvlText w:val=""/>
      <w:lvlJc w:val="left"/>
      <w:pPr>
        <w:ind w:left="4297" w:hanging="360"/>
      </w:pPr>
      <w:rPr>
        <w:rFonts w:ascii="Symbol" w:hAnsi="Symbol" w:hint="default"/>
      </w:rPr>
    </w:lvl>
    <w:lvl w:ilvl="4" w:tplc="08090003" w:tentative="1">
      <w:start w:val="1"/>
      <w:numFmt w:val="bullet"/>
      <w:lvlText w:val="o"/>
      <w:lvlJc w:val="left"/>
      <w:pPr>
        <w:ind w:left="5017" w:hanging="360"/>
      </w:pPr>
      <w:rPr>
        <w:rFonts w:ascii="Courier New" w:hAnsi="Courier New" w:cs="Courier New" w:hint="default"/>
      </w:rPr>
    </w:lvl>
    <w:lvl w:ilvl="5" w:tplc="08090005" w:tentative="1">
      <w:start w:val="1"/>
      <w:numFmt w:val="bullet"/>
      <w:lvlText w:val=""/>
      <w:lvlJc w:val="left"/>
      <w:pPr>
        <w:ind w:left="5737" w:hanging="360"/>
      </w:pPr>
      <w:rPr>
        <w:rFonts w:ascii="Wingdings" w:hAnsi="Wingdings" w:hint="default"/>
      </w:rPr>
    </w:lvl>
    <w:lvl w:ilvl="6" w:tplc="08090001" w:tentative="1">
      <w:start w:val="1"/>
      <w:numFmt w:val="bullet"/>
      <w:lvlText w:val=""/>
      <w:lvlJc w:val="left"/>
      <w:pPr>
        <w:ind w:left="6457" w:hanging="360"/>
      </w:pPr>
      <w:rPr>
        <w:rFonts w:ascii="Symbol" w:hAnsi="Symbol" w:hint="default"/>
      </w:rPr>
    </w:lvl>
    <w:lvl w:ilvl="7" w:tplc="08090003" w:tentative="1">
      <w:start w:val="1"/>
      <w:numFmt w:val="bullet"/>
      <w:lvlText w:val="o"/>
      <w:lvlJc w:val="left"/>
      <w:pPr>
        <w:ind w:left="7177" w:hanging="360"/>
      </w:pPr>
      <w:rPr>
        <w:rFonts w:ascii="Courier New" w:hAnsi="Courier New" w:cs="Courier New" w:hint="default"/>
      </w:rPr>
    </w:lvl>
    <w:lvl w:ilvl="8" w:tplc="08090005" w:tentative="1">
      <w:start w:val="1"/>
      <w:numFmt w:val="bullet"/>
      <w:lvlText w:val=""/>
      <w:lvlJc w:val="left"/>
      <w:pPr>
        <w:ind w:left="7897" w:hanging="360"/>
      </w:pPr>
      <w:rPr>
        <w:rFonts w:ascii="Wingdings" w:hAnsi="Wingdings" w:hint="default"/>
      </w:rPr>
    </w:lvl>
  </w:abstractNum>
  <w:abstractNum w:abstractNumId="25">
    <w:nsid w:val="5EA36AE3"/>
    <w:multiLevelType w:val="hybridMultilevel"/>
    <w:tmpl w:val="47920AC0"/>
    <w:lvl w:ilvl="0" w:tplc="BF86F04E">
      <w:start w:val="1"/>
      <w:numFmt w:val="bullet"/>
      <w:pStyle w:val="Lijstje2"/>
      <w:lvlText w:val=""/>
      <w:lvlJc w:val="left"/>
      <w:pPr>
        <w:ind w:left="1080" w:hanging="360"/>
      </w:pPr>
      <w:rPr>
        <w:rFonts w:ascii="Symbol" w:hAnsi="Symbol" w:hint="default"/>
      </w:rPr>
    </w:lvl>
    <w:lvl w:ilvl="1" w:tplc="995E2D6E">
      <w:start w:val="1"/>
      <w:numFmt w:val="bullet"/>
      <w:lvlText w:val=""/>
      <w:lvlJc w:val="left"/>
      <w:pPr>
        <w:ind w:left="1800" w:hanging="360"/>
      </w:pPr>
      <w:rPr>
        <w:rFonts w:ascii="Symbol" w:hAnsi="Symbol" w:hint="default"/>
      </w:rPr>
    </w:lvl>
    <w:lvl w:ilvl="2" w:tplc="08130005">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26">
    <w:nsid w:val="5F3253F2"/>
    <w:multiLevelType w:val="hybridMultilevel"/>
    <w:tmpl w:val="5AD40E08"/>
    <w:lvl w:ilvl="0" w:tplc="85186CD8">
      <w:start w:val="1"/>
      <w:numFmt w:val="upperRoman"/>
      <w:pStyle w:val="kop2"/>
      <w:lvlText w:val="%1."/>
      <w:lvlJc w:val="right"/>
      <w:pPr>
        <w:ind w:left="360" w:hanging="360"/>
      </w:p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7">
    <w:nsid w:val="60457355"/>
    <w:multiLevelType w:val="hybridMultilevel"/>
    <w:tmpl w:val="9D509866"/>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8">
    <w:nsid w:val="605F6036"/>
    <w:multiLevelType w:val="hybridMultilevel"/>
    <w:tmpl w:val="9C0613E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29">
    <w:nsid w:val="639053E8"/>
    <w:multiLevelType w:val="hybridMultilevel"/>
    <w:tmpl w:val="6D9C6D58"/>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30">
    <w:nsid w:val="658A1F67"/>
    <w:multiLevelType w:val="multilevel"/>
    <w:tmpl w:val="C548126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6A92F84"/>
    <w:multiLevelType w:val="hybridMultilevel"/>
    <w:tmpl w:val="13643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94C623D"/>
    <w:multiLevelType w:val="hybridMultilevel"/>
    <w:tmpl w:val="F5C2DB90"/>
    <w:lvl w:ilvl="0" w:tplc="08090001">
      <w:start w:val="1"/>
      <w:numFmt w:val="bullet"/>
      <w:lvlText w:val=""/>
      <w:lvlJc w:val="left"/>
      <w:pPr>
        <w:ind w:left="1353" w:hanging="360"/>
      </w:pPr>
      <w:rPr>
        <w:rFonts w:ascii="Symbol" w:hAnsi="Symbol" w:hint="default"/>
      </w:rPr>
    </w:lvl>
    <w:lvl w:ilvl="1" w:tplc="08090003" w:tentative="1">
      <w:start w:val="1"/>
      <w:numFmt w:val="bullet"/>
      <w:lvlText w:val="o"/>
      <w:lvlJc w:val="left"/>
      <w:pPr>
        <w:ind w:left="2073" w:hanging="360"/>
      </w:pPr>
      <w:rPr>
        <w:rFonts w:ascii="Courier New" w:hAnsi="Courier New" w:cs="Courier New"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33">
    <w:nsid w:val="6E156DEB"/>
    <w:multiLevelType w:val="hybridMultilevel"/>
    <w:tmpl w:val="507E542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4">
    <w:nsid w:val="71B7561B"/>
    <w:multiLevelType w:val="hybridMultilevel"/>
    <w:tmpl w:val="3AD2FCA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5">
    <w:nsid w:val="72C00CB1"/>
    <w:multiLevelType w:val="hybridMultilevel"/>
    <w:tmpl w:val="24DA17DE"/>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6">
    <w:nsid w:val="74702C58"/>
    <w:multiLevelType w:val="hybridMultilevel"/>
    <w:tmpl w:val="CBAC0284"/>
    <w:lvl w:ilvl="0" w:tplc="A0C2CF64">
      <w:start w:val="1"/>
      <w:numFmt w:val="bullet"/>
      <w:lvlText w:val=""/>
      <w:lvlJc w:val="left"/>
      <w:pPr>
        <w:ind w:left="2137" w:hanging="360"/>
      </w:pPr>
      <w:rPr>
        <w:rFonts w:ascii="Symbol" w:hAnsi="Symbol" w:hint="default"/>
      </w:rPr>
    </w:lvl>
    <w:lvl w:ilvl="1" w:tplc="995E2D6E">
      <w:start w:val="1"/>
      <w:numFmt w:val="bullet"/>
      <w:lvlText w:val=""/>
      <w:lvlJc w:val="left"/>
      <w:pPr>
        <w:ind w:left="2857" w:hanging="360"/>
      </w:pPr>
      <w:rPr>
        <w:rFonts w:ascii="Symbol" w:hAnsi="Symbol" w:hint="default"/>
      </w:rPr>
    </w:lvl>
    <w:lvl w:ilvl="2" w:tplc="08130005">
      <w:start w:val="1"/>
      <w:numFmt w:val="bullet"/>
      <w:lvlText w:val=""/>
      <w:lvlJc w:val="left"/>
      <w:pPr>
        <w:ind w:left="3577" w:hanging="360"/>
      </w:pPr>
      <w:rPr>
        <w:rFonts w:ascii="Wingdings" w:hAnsi="Wingdings" w:hint="default"/>
      </w:rPr>
    </w:lvl>
    <w:lvl w:ilvl="3" w:tplc="08130001" w:tentative="1">
      <w:start w:val="1"/>
      <w:numFmt w:val="bullet"/>
      <w:lvlText w:val=""/>
      <w:lvlJc w:val="left"/>
      <w:pPr>
        <w:ind w:left="4297" w:hanging="360"/>
      </w:pPr>
      <w:rPr>
        <w:rFonts w:ascii="Symbol" w:hAnsi="Symbol" w:hint="default"/>
      </w:rPr>
    </w:lvl>
    <w:lvl w:ilvl="4" w:tplc="08130003" w:tentative="1">
      <w:start w:val="1"/>
      <w:numFmt w:val="bullet"/>
      <w:lvlText w:val="o"/>
      <w:lvlJc w:val="left"/>
      <w:pPr>
        <w:ind w:left="5017" w:hanging="360"/>
      </w:pPr>
      <w:rPr>
        <w:rFonts w:ascii="Courier New" w:hAnsi="Courier New" w:cs="Courier New" w:hint="default"/>
      </w:rPr>
    </w:lvl>
    <w:lvl w:ilvl="5" w:tplc="08130005" w:tentative="1">
      <w:start w:val="1"/>
      <w:numFmt w:val="bullet"/>
      <w:lvlText w:val=""/>
      <w:lvlJc w:val="left"/>
      <w:pPr>
        <w:ind w:left="5737" w:hanging="360"/>
      </w:pPr>
      <w:rPr>
        <w:rFonts w:ascii="Wingdings" w:hAnsi="Wingdings" w:hint="default"/>
      </w:rPr>
    </w:lvl>
    <w:lvl w:ilvl="6" w:tplc="08130001" w:tentative="1">
      <w:start w:val="1"/>
      <w:numFmt w:val="bullet"/>
      <w:lvlText w:val=""/>
      <w:lvlJc w:val="left"/>
      <w:pPr>
        <w:ind w:left="6457" w:hanging="360"/>
      </w:pPr>
      <w:rPr>
        <w:rFonts w:ascii="Symbol" w:hAnsi="Symbol" w:hint="default"/>
      </w:rPr>
    </w:lvl>
    <w:lvl w:ilvl="7" w:tplc="08130003" w:tentative="1">
      <w:start w:val="1"/>
      <w:numFmt w:val="bullet"/>
      <w:lvlText w:val="o"/>
      <w:lvlJc w:val="left"/>
      <w:pPr>
        <w:ind w:left="7177" w:hanging="360"/>
      </w:pPr>
      <w:rPr>
        <w:rFonts w:ascii="Courier New" w:hAnsi="Courier New" w:cs="Courier New" w:hint="default"/>
      </w:rPr>
    </w:lvl>
    <w:lvl w:ilvl="8" w:tplc="08130005" w:tentative="1">
      <w:start w:val="1"/>
      <w:numFmt w:val="bullet"/>
      <w:lvlText w:val=""/>
      <w:lvlJc w:val="left"/>
      <w:pPr>
        <w:ind w:left="7897" w:hanging="360"/>
      </w:pPr>
      <w:rPr>
        <w:rFonts w:ascii="Wingdings" w:hAnsi="Wingdings" w:hint="default"/>
      </w:rPr>
    </w:lvl>
  </w:abstractNum>
  <w:abstractNum w:abstractNumId="37">
    <w:nsid w:val="771541D1"/>
    <w:multiLevelType w:val="hybridMultilevel"/>
    <w:tmpl w:val="149AB5D6"/>
    <w:lvl w:ilvl="0" w:tplc="87623F1E">
      <w:start w:val="1"/>
      <w:numFmt w:val="decimal"/>
      <w:pStyle w:val="Subtitle"/>
      <w:lvlText w:val="%1."/>
      <w:lvlJc w:val="left"/>
      <w:pPr>
        <w:ind w:left="786" w:hanging="360"/>
      </w:pPr>
    </w:lvl>
    <w:lvl w:ilvl="1" w:tplc="08130019">
      <w:start w:val="1"/>
      <w:numFmt w:val="lowerLetter"/>
      <w:lvlText w:val="%2."/>
      <w:lvlJc w:val="left"/>
      <w:pPr>
        <w:ind w:left="1440" w:hanging="360"/>
      </w:pPr>
    </w:lvl>
    <w:lvl w:ilvl="2" w:tplc="0813001B">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8">
    <w:nsid w:val="7D5F0442"/>
    <w:multiLevelType w:val="hybridMultilevel"/>
    <w:tmpl w:val="1B946F16"/>
    <w:lvl w:ilvl="0" w:tplc="A0C2CF6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6"/>
  </w:num>
  <w:num w:numId="2">
    <w:abstractNumId w:val="4"/>
  </w:num>
  <w:num w:numId="3">
    <w:abstractNumId w:val="37"/>
  </w:num>
  <w:num w:numId="4">
    <w:abstractNumId w:val="25"/>
  </w:num>
  <w:num w:numId="5">
    <w:abstractNumId w:val="26"/>
    <w:lvlOverride w:ilvl="0">
      <w:startOverride w:val="1"/>
    </w:lvlOverride>
  </w:num>
  <w:num w:numId="6">
    <w:abstractNumId w:val="4"/>
    <w:lvlOverride w:ilvl="0">
      <w:startOverride w:val="1"/>
    </w:lvlOverride>
  </w:num>
  <w:num w:numId="7">
    <w:abstractNumId w:val="26"/>
    <w:lvlOverride w:ilvl="0">
      <w:startOverride w:val="1"/>
    </w:lvlOverride>
  </w:num>
  <w:num w:numId="8">
    <w:abstractNumId w:val="26"/>
    <w:lvlOverride w:ilvl="0">
      <w:startOverride w:val="1"/>
    </w:lvlOverride>
  </w:num>
  <w:num w:numId="9">
    <w:abstractNumId w:val="26"/>
    <w:lvlOverride w:ilvl="0">
      <w:startOverride w:val="1"/>
    </w:lvlOverride>
  </w:num>
  <w:num w:numId="10">
    <w:abstractNumId w:val="26"/>
    <w:lvlOverride w:ilvl="0">
      <w:startOverride w:val="1"/>
    </w:lvlOverride>
  </w:num>
  <w:num w:numId="11">
    <w:abstractNumId w:val="26"/>
    <w:lvlOverride w:ilvl="0">
      <w:startOverride w:val="1"/>
    </w:lvlOverride>
  </w:num>
  <w:num w:numId="12">
    <w:abstractNumId w:val="26"/>
    <w:lvlOverride w:ilvl="0">
      <w:startOverride w:val="1"/>
    </w:lvlOverride>
  </w:num>
  <w:num w:numId="13">
    <w:abstractNumId w:val="26"/>
    <w:lvlOverride w:ilvl="0">
      <w:startOverride w:val="1"/>
    </w:lvlOverride>
  </w:num>
  <w:num w:numId="14">
    <w:abstractNumId w:val="26"/>
    <w:lvlOverride w:ilvl="0">
      <w:startOverride w:val="1"/>
    </w:lvlOverride>
  </w:num>
  <w:num w:numId="15">
    <w:abstractNumId w:val="26"/>
    <w:lvlOverride w:ilvl="0">
      <w:startOverride w:val="1"/>
    </w:lvlOverride>
  </w:num>
  <w:num w:numId="16">
    <w:abstractNumId w:val="26"/>
    <w:lvlOverride w:ilvl="0">
      <w:startOverride w:val="1"/>
    </w:lvlOverride>
  </w:num>
  <w:num w:numId="17">
    <w:abstractNumId w:val="26"/>
    <w:lvlOverride w:ilvl="0">
      <w:startOverride w:val="1"/>
    </w:lvlOverride>
  </w:num>
  <w:num w:numId="18">
    <w:abstractNumId w:val="26"/>
    <w:lvlOverride w:ilvl="0">
      <w:startOverride w:val="1"/>
    </w:lvlOverride>
  </w:num>
  <w:num w:numId="19">
    <w:abstractNumId w:val="26"/>
    <w:lvlOverride w:ilvl="0">
      <w:startOverride w:val="1"/>
    </w:lvlOverride>
  </w:num>
  <w:num w:numId="20">
    <w:abstractNumId w:val="26"/>
    <w:lvlOverride w:ilvl="0">
      <w:startOverride w:val="1"/>
    </w:lvlOverride>
  </w:num>
  <w:num w:numId="21">
    <w:abstractNumId w:val="26"/>
    <w:lvlOverride w:ilvl="0">
      <w:startOverride w:val="1"/>
    </w:lvlOverride>
  </w:num>
  <w:num w:numId="22">
    <w:abstractNumId w:val="19"/>
  </w:num>
  <w:num w:numId="23">
    <w:abstractNumId w:val="37"/>
    <w:lvlOverride w:ilvl="0">
      <w:startOverride w:val="1"/>
    </w:lvlOverride>
  </w:num>
  <w:num w:numId="24">
    <w:abstractNumId w:val="37"/>
    <w:lvlOverride w:ilvl="0">
      <w:startOverride w:val="1"/>
    </w:lvlOverride>
  </w:num>
  <w:num w:numId="25">
    <w:abstractNumId w:val="37"/>
    <w:lvlOverride w:ilvl="0">
      <w:startOverride w:val="1"/>
    </w:lvlOverride>
  </w:num>
  <w:num w:numId="26">
    <w:abstractNumId w:val="37"/>
    <w:lvlOverride w:ilvl="0">
      <w:startOverride w:val="1"/>
    </w:lvlOverride>
  </w:num>
  <w:num w:numId="27">
    <w:abstractNumId w:val="37"/>
    <w:lvlOverride w:ilvl="0">
      <w:startOverride w:val="1"/>
    </w:lvlOverride>
  </w:num>
  <w:num w:numId="28">
    <w:abstractNumId w:val="37"/>
    <w:lvlOverride w:ilvl="0">
      <w:startOverride w:val="1"/>
    </w:lvlOverride>
  </w:num>
  <w:num w:numId="29">
    <w:abstractNumId w:val="37"/>
    <w:lvlOverride w:ilvl="0">
      <w:startOverride w:val="1"/>
    </w:lvlOverride>
  </w:num>
  <w:num w:numId="30">
    <w:abstractNumId w:val="37"/>
    <w:lvlOverride w:ilvl="0">
      <w:startOverride w:val="1"/>
    </w:lvlOverride>
  </w:num>
  <w:num w:numId="31">
    <w:abstractNumId w:val="37"/>
    <w:lvlOverride w:ilvl="0">
      <w:startOverride w:val="1"/>
    </w:lvlOverride>
  </w:num>
  <w:num w:numId="32">
    <w:abstractNumId w:val="37"/>
    <w:lvlOverride w:ilvl="0">
      <w:startOverride w:val="1"/>
    </w:lvlOverride>
  </w:num>
  <w:num w:numId="33">
    <w:abstractNumId w:val="37"/>
    <w:lvlOverride w:ilvl="0">
      <w:startOverride w:val="1"/>
    </w:lvlOverride>
  </w:num>
  <w:num w:numId="34">
    <w:abstractNumId w:val="37"/>
    <w:lvlOverride w:ilvl="0">
      <w:startOverride w:val="1"/>
    </w:lvlOverride>
  </w:num>
  <w:num w:numId="35">
    <w:abstractNumId w:val="37"/>
    <w:lvlOverride w:ilvl="0">
      <w:startOverride w:val="1"/>
    </w:lvlOverride>
  </w:num>
  <w:num w:numId="36">
    <w:abstractNumId w:val="37"/>
    <w:lvlOverride w:ilvl="0">
      <w:startOverride w:val="1"/>
    </w:lvlOverride>
  </w:num>
  <w:num w:numId="37">
    <w:abstractNumId w:val="37"/>
    <w:lvlOverride w:ilvl="0">
      <w:startOverride w:val="1"/>
    </w:lvlOverride>
  </w:num>
  <w:num w:numId="38">
    <w:abstractNumId w:val="37"/>
    <w:lvlOverride w:ilvl="0">
      <w:startOverride w:val="1"/>
    </w:lvlOverride>
  </w:num>
  <w:num w:numId="39">
    <w:abstractNumId w:val="37"/>
    <w:lvlOverride w:ilvl="0">
      <w:startOverride w:val="1"/>
    </w:lvlOverride>
  </w:num>
  <w:num w:numId="40">
    <w:abstractNumId w:val="37"/>
    <w:lvlOverride w:ilvl="0">
      <w:startOverride w:val="1"/>
    </w:lvlOverride>
  </w:num>
  <w:num w:numId="41">
    <w:abstractNumId w:val="37"/>
    <w:lvlOverride w:ilvl="0">
      <w:startOverride w:val="1"/>
    </w:lvlOverride>
  </w:num>
  <w:num w:numId="42">
    <w:abstractNumId w:val="37"/>
    <w:lvlOverride w:ilvl="0">
      <w:startOverride w:val="1"/>
    </w:lvlOverride>
  </w:num>
  <w:num w:numId="43">
    <w:abstractNumId w:val="37"/>
    <w:lvlOverride w:ilvl="0">
      <w:startOverride w:val="1"/>
    </w:lvlOverride>
  </w:num>
  <w:num w:numId="44">
    <w:abstractNumId w:val="37"/>
    <w:lvlOverride w:ilvl="0">
      <w:startOverride w:val="1"/>
    </w:lvlOverride>
  </w:num>
  <w:num w:numId="45">
    <w:abstractNumId w:val="37"/>
    <w:lvlOverride w:ilvl="0">
      <w:startOverride w:val="1"/>
    </w:lvlOverride>
  </w:num>
  <w:num w:numId="46">
    <w:abstractNumId w:val="37"/>
    <w:lvlOverride w:ilvl="0">
      <w:startOverride w:val="1"/>
    </w:lvlOverride>
  </w:num>
  <w:num w:numId="47">
    <w:abstractNumId w:val="37"/>
    <w:lvlOverride w:ilvl="0">
      <w:startOverride w:val="1"/>
    </w:lvlOverride>
  </w:num>
  <w:num w:numId="48">
    <w:abstractNumId w:val="37"/>
    <w:lvlOverride w:ilvl="0">
      <w:startOverride w:val="1"/>
    </w:lvlOverride>
  </w:num>
  <w:num w:numId="49">
    <w:abstractNumId w:val="37"/>
    <w:lvlOverride w:ilvl="0">
      <w:startOverride w:val="1"/>
    </w:lvlOverride>
  </w:num>
  <w:num w:numId="50">
    <w:abstractNumId w:val="37"/>
    <w:lvlOverride w:ilvl="0">
      <w:startOverride w:val="1"/>
    </w:lvlOverride>
  </w:num>
  <w:num w:numId="51">
    <w:abstractNumId w:val="37"/>
    <w:lvlOverride w:ilvl="0">
      <w:startOverride w:val="1"/>
    </w:lvlOverride>
  </w:num>
  <w:num w:numId="52">
    <w:abstractNumId w:val="37"/>
    <w:lvlOverride w:ilvl="0">
      <w:startOverride w:val="1"/>
    </w:lvlOverride>
  </w:num>
  <w:num w:numId="53">
    <w:abstractNumId w:val="37"/>
    <w:lvlOverride w:ilvl="0">
      <w:startOverride w:val="1"/>
    </w:lvlOverride>
  </w:num>
  <w:num w:numId="54">
    <w:abstractNumId w:val="37"/>
    <w:lvlOverride w:ilvl="0">
      <w:startOverride w:val="1"/>
    </w:lvlOverride>
  </w:num>
  <w:num w:numId="55">
    <w:abstractNumId w:val="37"/>
    <w:lvlOverride w:ilvl="0">
      <w:startOverride w:val="1"/>
    </w:lvlOverride>
  </w:num>
  <w:num w:numId="56">
    <w:abstractNumId w:val="37"/>
    <w:lvlOverride w:ilvl="0">
      <w:startOverride w:val="1"/>
    </w:lvlOverride>
  </w:num>
  <w:num w:numId="57">
    <w:abstractNumId w:val="37"/>
    <w:lvlOverride w:ilvl="0">
      <w:startOverride w:val="1"/>
    </w:lvlOverride>
  </w:num>
  <w:num w:numId="58">
    <w:abstractNumId w:val="37"/>
    <w:lvlOverride w:ilvl="0">
      <w:startOverride w:val="1"/>
    </w:lvlOverride>
  </w:num>
  <w:num w:numId="59">
    <w:abstractNumId w:val="37"/>
    <w:lvlOverride w:ilvl="0">
      <w:startOverride w:val="1"/>
    </w:lvlOverride>
  </w:num>
  <w:num w:numId="60">
    <w:abstractNumId w:val="37"/>
    <w:lvlOverride w:ilvl="0">
      <w:startOverride w:val="1"/>
    </w:lvlOverride>
  </w:num>
  <w:num w:numId="61">
    <w:abstractNumId w:val="37"/>
    <w:lvlOverride w:ilvl="0">
      <w:startOverride w:val="1"/>
    </w:lvlOverride>
  </w:num>
  <w:num w:numId="62">
    <w:abstractNumId w:val="37"/>
    <w:lvlOverride w:ilvl="0">
      <w:startOverride w:val="1"/>
    </w:lvlOverride>
  </w:num>
  <w:num w:numId="63">
    <w:abstractNumId w:val="37"/>
    <w:lvlOverride w:ilvl="0">
      <w:startOverride w:val="1"/>
    </w:lvlOverride>
  </w:num>
  <w:num w:numId="64">
    <w:abstractNumId w:val="37"/>
    <w:lvlOverride w:ilvl="0">
      <w:startOverride w:val="1"/>
    </w:lvlOverride>
  </w:num>
  <w:num w:numId="65">
    <w:abstractNumId w:val="37"/>
    <w:lvlOverride w:ilvl="0">
      <w:startOverride w:val="1"/>
    </w:lvlOverride>
  </w:num>
  <w:num w:numId="66">
    <w:abstractNumId w:val="37"/>
    <w:lvlOverride w:ilvl="0">
      <w:startOverride w:val="1"/>
    </w:lvlOverride>
  </w:num>
  <w:num w:numId="67">
    <w:abstractNumId w:val="37"/>
    <w:lvlOverride w:ilvl="0">
      <w:startOverride w:val="1"/>
    </w:lvlOverride>
  </w:num>
  <w:num w:numId="68">
    <w:abstractNumId w:val="37"/>
    <w:lvlOverride w:ilvl="0">
      <w:startOverride w:val="1"/>
    </w:lvlOverride>
  </w:num>
  <w:num w:numId="69">
    <w:abstractNumId w:val="37"/>
    <w:lvlOverride w:ilvl="0">
      <w:startOverride w:val="1"/>
    </w:lvlOverride>
  </w:num>
  <w:num w:numId="70">
    <w:abstractNumId w:val="37"/>
    <w:lvlOverride w:ilvl="0">
      <w:startOverride w:val="1"/>
    </w:lvlOverride>
  </w:num>
  <w:num w:numId="71">
    <w:abstractNumId w:val="37"/>
    <w:lvlOverride w:ilvl="0">
      <w:startOverride w:val="1"/>
    </w:lvlOverride>
  </w:num>
  <w:num w:numId="72">
    <w:abstractNumId w:val="37"/>
    <w:lvlOverride w:ilvl="0">
      <w:startOverride w:val="1"/>
    </w:lvlOverride>
  </w:num>
  <w:num w:numId="73">
    <w:abstractNumId w:val="37"/>
    <w:lvlOverride w:ilvl="0">
      <w:startOverride w:val="1"/>
    </w:lvlOverride>
  </w:num>
  <w:num w:numId="74">
    <w:abstractNumId w:val="37"/>
    <w:lvlOverride w:ilvl="0">
      <w:startOverride w:val="1"/>
    </w:lvlOverride>
  </w:num>
  <w:num w:numId="75">
    <w:abstractNumId w:val="37"/>
    <w:lvlOverride w:ilvl="0">
      <w:startOverride w:val="1"/>
    </w:lvlOverride>
  </w:num>
  <w:num w:numId="76">
    <w:abstractNumId w:val="37"/>
    <w:lvlOverride w:ilvl="0">
      <w:startOverride w:val="1"/>
    </w:lvlOverride>
  </w:num>
  <w:num w:numId="77">
    <w:abstractNumId w:val="37"/>
    <w:lvlOverride w:ilvl="0">
      <w:startOverride w:val="1"/>
    </w:lvlOverride>
  </w:num>
  <w:num w:numId="78">
    <w:abstractNumId w:val="37"/>
    <w:lvlOverride w:ilvl="0">
      <w:startOverride w:val="1"/>
    </w:lvlOverride>
  </w:num>
  <w:num w:numId="79">
    <w:abstractNumId w:val="37"/>
    <w:lvlOverride w:ilvl="0">
      <w:startOverride w:val="1"/>
    </w:lvlOverride>
  </w:num>
  <w:num w:numId="80">
    <w:abstractNumId w:val="37"/>
    <w:lvlOverride w:ilvl="0">
      <w:startOverride w:val="1"/>
    </w:lvlOverride>
  </w:num>
  <w:num w:numId="81">
    <w:abstractNumId w:val="37"/>
    <w:lvlOverride w:ilvl="0">
      <w:startOverride w:val="1"/>
    </w:lvlOverride>
  </w:num>
  <w:num w:numId="82">
    <w:abstractNumId w:val="37"/>
    <w:lvlOverride w:ilvl="0">
      <w:startOverride w:val="1"/>
    </w:lvlOverride>
  </w:num>
  <w:num w:numId="83">
    <w:abstractNumId w:val="37"/>
    <w:lvlOverride w:ilvl="0">
      <w:startOverride w:val="1"/>
    </w:lvlOverride>
  </w:num>
  <w:num w:numId="84">
    <w:abstractNumId w:val="37"/>
    <w:lvlOverride w:ilvl="0">
      <w:startOverride w:val="1"/>
    </w:lvlOverride>
  </w:num>
  <w:num w:numId="85">
    <w:abstractNumId w:val="37"/>
    <w:lvlOverride w:ilvl="0">
      <w:startOverride w:val="1"/>
    </w:lvlOverride>
  </w:num>
  <w:num w:numId="86">
    <w:abstractNumId w:val="37"/>
    <w:lvlOverride w:ilvl="0">
      <w:startOverride w:val="1"/>
    </w:lvlOverride>
  </w:num>
  <w:num w:numId="87">
    <w:abstractNumId w:val="37"/>
    <w:lvlOverride w:ilvl="0">
      <w:startOverride w:val="1"/>
    </w:lvlOverride>
  </w:num>
  <w:num w:numId="88">
    <w:abstractNumId w:val="37"/>
    <w:lvlOverride w:ilvl="0">
      <w:startOverride w:val="1"/>
    </w:lvlOverride>
  </w:num>
  <w:num w:numId="89">
    <w:abstractNumId w:val="37"/>
    <w:lvlOverride w:ilvl="0">
      <w:startOverride w:val="1"/>
    </w:lvlOverride>
  </w:num>
  <w:num w:numId="90">
    <w:abstractNumId w:val="37"/>
    <w:lvlOverride w:ilvl="0">
      <w:startOverride w:val="1"/>
    </w:lvlOverride>
  </w:num>
  <w:num w:numId="91">
    <w:abstractNumId w:val="37"/>
    <w:lvlOverride w:ilvl="0">
      <w:startOverride w:val="1"/>
    </w:lvlOverride>
  </w:num>
  <w:num w:numId="92">
    <w:abstractNumId w:val="37"/>
    <w:lvlOverride w:ilvl="0">
      <w:startOverride w:val="1"/>
    </w:lvlOverride>
  </w:num>
  <w:num w:numId="93">
    <w:abstractNumId w:val="37"/>
    <w:lvlOverride w:ilvl="0">
      <w:startOverride w:val="1"/>
    </w:lvlOverride>
  </w:num>
  <w:num w:numId="94">
    <w:abstractNumId w:val="37"/>
    <w:lvlOverride w:ilvl="0">
      <w:startOverride w:val="1"/>
    </w:lvlOverride>
  </w:num>
  <w:num w:numId="95">
    <w:abstractNumId w:val="37"/>
    <w:lvlOverride w:ilvl="0">
      <w:startOverride w:val="1"/>
    </w:lvlOverride>
  </w:num>
  <w:num w:numId="96">
    <w:abstractNumId w:val="37"/>
    <w:lvlOverride w:ilvl="0">
      <w:startOverride w:val="1"/>
    </w:lvlOverride>
  </w:num>
  <w:num w:numId="97">
    <w:abstractNumId w:val="37"/>
    <w:lvlOverride w:ilvl="0">
      <w:startOverride w:val="1"/>
    </w:lvlOverride>
  </w:num>
  <w:num w:numId="98">
    <w:abstractNumId w:val="37"/>
    <w:lvlOverride w:ilvl="0">
      <w:startOverride w:val="1"/>
    </w:lvlOverride>
  </w:num>
  <w:num w:numId="99">
    <w:abstractNumId w:val="8"/>
  </w:num>
  <w:num w:numId="100">
    <w:abstractNumId w:val="4"/>
  </w:num>
  <w:num w:numId="101">
    <w:abstractNumId w:val="4"/>
    <w:lvlOverride w:ilvl="0">
      <w:startOverride w:val="1"/>
    </w:lvlOverride>
  </w:num>
  <w:num w:numId="102">
    <w:abstractNumId w:val="4"/>
    <w:lvlOverride w:ilvl="0">
      <w:startOverride w:val="1"/>
    </w:lvlOverride>
  </w:num>
  <w:num w:numId="103">
    <w:abstractNumId w:val="4"/>
    <w:lvlOverride w:ilvl="0">
      <w:startOverride w:val="1"/>
    </w:lvlOverride>
  </w:num>
  <w:num w:numId="104">
    <w:abstractNumId w:val="4"/>
    <w:lvlOverride w:ilvl="0">
      <w:startOverride w:val="1"/>
    </w:lvlOverride>
  </w:num>
  <w:num w:numId="105">
    <w:abstractNumId w:val="4"/>
    <w:lvlOverride w:ilvl="0">
      <w:startOverride w:val="1"/>
    </w:lvlOverride>
  </w:num>
  <w:num w:numId="106">
    <w:abstractNumId w:val="4"/>
    <w:lvlOverride w:ilvl="0">
      <w:startOverride w:val="1"/>
    </w:lvlOverride>
  </w:num>
  <w:num w:numId="107">
    <w:abstractNumId w:val="4"/>
    <w:lvlOverride w:ilvl="0">
      <w:startOverride w:val="1"/>
    </w:lvlOverride>
  </w:num>
  <w:num w:numId="108">
    <w:abstractNumId w:val="4"/>
    <w:lvlOverride w:ilvl="0">
      <w:startOverride w:val="1"/>
    </w:lvlOverride>
  </w:num>
  <w:num w:numId="109">
    <w:abstractNumId w:val="4"/>
    <w:lvlOverride w:ilvl="0">
      <w:startOverride w:val="1"/>
    </w:lvlOverride>
  </w:num>
  <w:num w:numId="110">
    <w:abstractNumId w:val="4"/>
    <w:lvlOverride w:ilvl="0">
      <w:startOverride w:val="1"/>
    </w:lvlOverride>
  </w:num>
  <w:num w:numId="111">
    <w:abstractNumId w:val="4"/>
    <w:lvlOverride w:ilvl="0">
      <w:startOverride w:val="1"/>
    </w:lvlOverride>
  </w:num>
  <w:num w:numId="112">
    <w:abstractNumId w:val="4"/>
    <w:lvlOverride w:ilvl="0">
      <w:startOverride w:val="1"/>
    </w:lvlOverride>
  </w:num>
  <w:num w:numId="113">
    <w:abstractNumId w:val="4"/>
    <w:lvlOverride w:ilvl="0">
      <w:startOverride w:val="1"/>
    </w:lvlOverride>
  </w:num>
  <w:num w:numId="114">
    <w:abstractNumId w:val="4"/>
    <w:lvlOverride w:ilvl="0">
      <w:startOverride w:val="1"/>
    </w:lvlOverride>
  </w:num>
  <w:num w:numId="115">
    <w:abstractNumId w:val="31"/>
  </w:num>
  <w:num w:numId="116">
    <w:abstractNumId w:val="30"/>
  </w:num>
  <w:num w:numId="117">
    <w:abstractNumId w:val="10"/>
  </w:num>
  <w:num w:numId="118">
    <w:abstractNumId w:val="37"/>
    <w:lvlOverride w:ilvl="0">
      <w:startOverride w:val="1"/>
    </w:lvlOverride>
  </w:num>
  <w:num w:numId="119">
    <w:abstractNumId w:val="37"/>
    <w:lvlOverride w:ilvl="0">
      <w:startOverride w:val="1"/>
    </w:lvlOverride>
  </w:num>
  <w:num w:numId="120">
    <w:abstractNumId w:val="37"/>
    <w:lvlOverride w:ilvl="0">
      <w:startOverride w:val="1"/>
    </w:lvlOverride>
  </w:num>
  <w:num w:numId="121">
    <w:abstractNumId w:val="37"/>
    <w:lvlOverride w:ilvl="0">
      <w:startOverride w:val="1"/>
    </w:lvlOverride>
  </w:num>
  <w:num w:numId="122">
    <w:abstractNumId w:val="37"/>
    <w:lvlOverride w:ilvl="0">
      <w:startOverride w:val="1"/>
    </w:lvlOverride>
  </w:num>
  <w:num w:numId="123">
    <w:abstractNumId w:val="37"/>
    <w:lvlOverride w:ilvl="0">
      <w:startOverride w:val="1"/>
    </w:lvlOverride>
  </w:num>
  <w:num w:numId="124">
    <w:abstractNumId w:val="37"/>
    <w:lvlOverride w:ilvl="0">
      <w:startOverride w:val="1"/>
    </w:lvlOverride>
  </w:num>
  <w:num w:numId="125">
    <w:abstractNumId w:val="37"/>
    <w:lvlOverride w:ilvl="0">
      <w:startOverride w:val="1"/>
    </w:lvlOverride>
  </w:num>
  <w:num w:numId="126">
    <w:abstractNumId w:val="37"/>
    <w:lvlOverride w:ilvl="0">
      <w:startOverride w:val="1"/>
    </w:lvlOverride>
  </w:num>
  <w:num w:numId="127">
    <w:abstractNumId w:val="37"/>
    <w:lvlOverride w:ilvl="0">
      <w:startOverride w:val="1"/>
    </w:lvlOverride>
  </w:num>
  <w:num w:numId="128">
    <w:abstractNumId w:val="37"/>
    <w:lvlOverride w:ilvl="0">
      <w:startOverride w:val="1"/>
    </w:lvlOverride>
  </w:num>
  <w:num w:numId="129">
    <w:abstractNumId w:val="26"/>
    <w:lvlOverride w:ilvl="0">
      <w:startOverride w:val="1"/>
    </w:lvlOverride>
  </w:num>
  <w:num w:numId="130">
    <w:abstractNumId w:val="37"/>
    <w:lvlOverride w:ilvl="0">
      <w:startOverride w:val="1"/>
    </w:lvlOverride>
  </w:num>
  <w:num w:numId="131">
    <w:abstractNumId w:val="37"/>
    <w:lvlOverride w:ilvl="0">
      <w:startOverride w:val="1"/>
    </w:lvlOverride>
  </w:num>
  <w:num w:numId="132">
    <w:abstractNumId w:val="26"/>
    <w:lvlOverride w:ilvl="0">
      <w:startOverride w:val="1"/>
    </w:lvlOverride>
  </w:num>
  <w:num w:numId="133">
    <w:abstractNumId w:val="37"/>
    <w:lvlOverride w:ilvl="0">
      <w:startOverride w:val="1"/>
    </w:lvlOverride>
  </w:num>
  <w:num w:numId="134">
    <w:abstractNumId w:val="37"/>
    <w:lvlOverride w:ilvl="0">
      <w:startOverride w:val="1"/>
    </w:lvlOverride>
  </w:num>
  <w:num w:numId="135">
    <w:abstractNumId w:val="37"/>
    <w:lvlOverride w:ilvl="0">
      <w:startOverride w:val="1"/>
    </w:lvlOverride>
  </w:num>
  <w:num w:numId="136">
    <w:abstractNumId w:val="37"/>
    <w:lvlOverride w:ilvl="0">
      <w:startOverride w:val="1"/>
    </w:lvlOverride>
  </w:num>
  <w:num w:numId="137">
    <w:abstractNumId w:val="37"/>
    <w:lvlOverride w:ilvl="0">
      <w:startOverride w:val="1"/>
    </w:lvlOverride>
  </w:num>
  <w:num w:numId="138">
    <w:abstractNumId w:val="26"/>
    <w:lvlOverride w:ilvl="0">
      <w:startOverride w:val="1"/>
    </w:lvlOverride>
  </w:num>
  <w:num w:numId="139">
    <w:abstractNumId w:val="37"/>
    <w:lvlOverride w:ilvl="0">
      <w:startOverride w:val="1"/>
    </w:lvlOverride>
  </w:num>
  <w:num w:numId="140">
    <w:abstractNumId w:val="37"/>
    <w:lvlOverride w:ilvl="0">
      <w:startOverride w:val="1"/>
    </w:lvlOverride>
  </w:num>
  <w:num w:numId="141">
    <w:abstractNumId w:val="37"/>
    <w:lvlOverride w:ilvl="0">
      <w:startOverride w:val="1"/>
    </w:lvlOverride>
  </w:num>
  <w:num w:numId="142">
    <w:abstractNumId w:val="37"/>
    <w:lvlOverride w:ilvl="0">
      <w:startOverride w:val="1"/>
    </w:lvlOverride>
  </w:num>
  <w:num w:numId="143">
    <w:abstractNumId w:val="37"/>
    <w:lvlOverride w:ilvl="0">
      <w:startOverride w:val="1"/>
    </w:lvlOverride>
  </w:num>
  <w:num w:numId="144">
    <w:abstractNumId w:val="26"/>
    <w:lvlOverride w:ilvl="0">
      <w:startOverride w:val="1"/>
    </w:lvlOverride>
  </w:num>
  <w:num w:numId="145">
    <w:abstractNumId w:val="37"/>
    <w:lvlOverride w:ilvl="0">
      <w:startOverride w:val="1"/>
    </w:lvlOverride>
  </w:num>
  <w:num w:numId="146">
    <w:abstractNumId w:val="37"/>
    <w:lvlOverride w:ilvl="0">
      <w:startOverride w:val="1"/>
    </w:lvlOverride>
  </w:num>
  <w:num w:numId="147">
    <w:abstractNumId w:val="37"/>
    <w:lvlOverride w:ilvl="0">
      <w:startOverride w:val="1"/>
    </w:lvlOverride>
  </w:num>
  <w:num w:numId="148">
    <w:abstractNumId w:val="37"/>
    <w:lvlOverride w:ilvl="0">
      <w:startOverride w:val="1"/>
    </w:lvlOverride>
  </w:num>
  <w:num w:numId="149">
    <w:abstractNumId w:val="37"/>
    <w:lvlOverride w:ilvl="0">
      <w:startOverride w:val="1"/>
    </w:lvlOverride>
  </w:num>
  <w:num w:numId="150">
    <w:abstractNumId w:val="26"/>
    <w:lvlOverride w:ilvl="0">
      <w:startOverride w:val="1"/>
    </w:lvlOverride>
  </w:num>
  <w:num w:numId="151">
    <w:abstractNumId w:val="37"/>
    <w:lvlOverride w:ilvl="0">
      <w:startOverride w:val="1"/>
    </w:lvlOverride>
  </w:num>
  <w:num w:numId="152">
    <w:abstractNumId w:val="37"/>
    <w:lvlOverride w:ilvl="0">
      <w:startOverride w:val="1"/>
    </w:lvlOverride>
  </w:num>
  <w:num w:numId="153">
    <w:abstractNumId w:val="37"/>
    <w:lvlOverride w:ilvl="0">
      <w:startOverride w:val="1"/>
    </w:lvlOverride>
  </w:num>
  <w:num w:numId="154">
    <w:abstractNumId w:val="4"/>
    <w:lvlOverride w:ilvl="0">
      <w:startOverride w:val="1"/>
    </w:lvlOverride>
  </w:num>
  <w:num w:numId="155">
    <w:abstractNumId w:val="37"/>
    <w:lvlOverride w:ilvl="0">
      <w:startOverride w:val="1"/>
    </w:lvlOverride>
  </w:num>
  <w:num w:numId="156">
    <w:abstractNumId w:val="4"/>
    <w:lvlOverride w:ilvl="0">
      <w:startOverride w:val="1"/>
    </w:lvlOverride>
  </w:num>
  <w:num w:numId="157">
    <w:abstractNumId w:val="4"/>
    <w:lvlOverride w:ilvl="0">
      <w:startOverride w:val="1"/>
    </w:lvlOverride>
  </w:num>
  <w:num w:numId="158">
    <w:abstractNumId w:val="4"/>
    <w:lvlOverride w:ilvl="0">
      <w:startOverride w:val="1"/>
    </w:lvlOverride>
  </w:num>
  <w:num w:numId="159">
    <w:abstractNumId w:val="4"/>
    <w:lvlOverride w:ilvl="0">
      <w:startOverride w:val="1"/>
    </w:lvlOverride>
  </w:num>
  <w:num w:numId="160">
    <w:abstractNumId w:val="37"/>
    <w:lvlOverride w:ilvl="0">
      <w:startOverride w:val="1"/>
    </w:lvlOverride>
  </w:num>
  <w:num w:numId="161">
    <w:abstractNumId w:val="26"/>
    <w:lvlOverride w:ilvl="0">
      <w:startOverride w:val="1"/>
    </w:lvlOverride>
  </w:num>
  <w:num w:numId="162">
    <w:abstractNumId w:val="37"/>
    <w:lvlOverride w:ilvl="0">
      <w:startOverride w:val="1"/>
    </w:lvlOverride>
  </w:num>
  <w:num w:numId="163">
    <w:abstractNumId w:val="37"/>
    <w:lvlOverride w:ilvl="0">
      <w:startOverride w:val="1"/>
    </w:lvlOverride>
  </w:num>
  <w:num w:numId="164">
    <w:abstractNumId w:val="37"/>
    <w:lvlOverride w:ilvl="0">
      <w:startOverride w:val="1"/>
    </w:lvlOverride>
  </w:num>
  <w:num w:numId="165">
    <w:abstractNumId w:val="4"/>
    <w:lvlOverride w:ilvl="0">
      <w:startOverride w:val="1"/>
    </w:lvlOverride>
  </w:num>
  <w:num w:numId="166">
    <w:abstractNumId w:val="37"/>
    <w:lvlOverride w:ilvl="0">
      <w:startOverride w:val="1"/>
    </w:lvlOverride>
  </w:num>
  <w:num w:numId="167">
    <w:abstractNumId w:val="37"/>
    <w:lvlOverride w:ilvl="0">
      <w:startOverride w:val="1"/>
    </w:lvlOverride>
  </w:num>
  <w:num w:numId="168">
    <w:abstractNumId w:val="37"/>
    <w:lvlOverride w:ilvl="0">
      <w:startOverride w:val="1"/>
    </w:lvlOverride>
  </w:num>
  <w:num w:numId="169">
    <w:abstractNumId w:val="26"/>
    <w:lvlOverride w:ilvl="0">
      <w:startOverride w:val="1"/>
    </w:lvlOverride>
  </w:num>
  <w:num w:numId="170">
    <w:abstractNumId w:val="37"/>
    <w:lvlOverride w:ilvl="0">
      <w:startOverride w:val="1"/>
    </w:lvlOverride>
  </w:num>
  <w:num w:numId="171">
    <w:abstractNumId w:val="37"/>
    <w:lvlOverride w:ilvl="0">
      <w:startOverride w:val="1"/>
    </w:lvlOverride>
  </w:num>
  <w:num w:numId="172">
    <w:abstractNumId w:val="4"/>
    <w:lvlOverride w:ilvl="0">
      <w:startOverride w:val="1"/>
    </w:lvlOverride>
  </w:num>
  <w:num w:numId="173">
    <w:abstractNumId w:val="37"/>
    <w:lvlOverride w:ilvl="0">
      <w:startOverride w:val="1"/>
    </w:lvlOverride>
  </w:num>
  <w:num w:numId="174">
    <w:abstractNumId w:val="37"/>
    <w:lvlOverride w:ilvl="0">
      <w:startOverride w:val="1"/>
    </w:lvlOverride>
  </w:num>
  <w:num w:numId="175">
    <w:abstractNumId w:val="26"/>
    <w:lvlOverride w:ilvl="0">
      <w:startOverride w:val="1"/>
    </w:lvlOverride>
  </w:num>
  <w:num w:numId="176">
    <w:abstractNumId w:val="37"/>
    <w:lvlOverride w:ilvl="0">
      <w:startOverride w:val="1"/>
    </w:lvlOverride>
  </w:num>
  <w:num w:numId="177">
    <w:abstractNumId w:val="37"/>
    <w:lvlOverride w:ilvl="0">
      <w:startOverride w:val="1"/>
    </w:lvlOverride>
  </w:num>
  <w:num w:numId="178">
    <w:abstractNumId w:val="37"/>
    <w:lvlOverride w:ilvl="0">
      <w:startOverride w:val="1"/>
    </w:lvlOverride>
  </w:num>
  <w:num w:numId="179">
    <w:abstractNumId w:val="4"/>
    <w:lvlOverride w:ilvl="0">
      <w:startOverride w:val="1"/>
    </w:lvlOverride>
  </w:num>
  <w:num w:numId="180">
    <w:abstractNumId w:val="37"/>
    <w:lvlOverride w:ilvl="0">
      <w:startOverride w:val="1"/>
    </w:lvlOverride>
  </w:num>
  <w:num w:numId="181">
    <w:abstractNumId w:val="37"/>
    <w:lvlOverride w:ilvl="0">
      <w:startOverride w:val="1"/>
    </w:lvlOverride>
  </w:num>
  <w:num w:numId="182">
    <w:abstractNumId w:val="26"/>
    <w:lvlOverride w:ilvl="0">
      <w:startOverride w:val="1"/>
    </w:lvlOverride>
  </w:num>
  <w:num w:numId="183">
    <w:abstractNumId w:val="37"/>
    <w:lvlOverride w:ilvl="0">
      <w:startOverride w:val="1"/>
    </w:lvlOverride>
  </w:num>
  <w:num w:numId="184">
    <w:abstractNumId w:val="37"/>
    <w:lvlOverride w:ilvl="0">
      <w:startOverride w:val="1"/>
    </w:lvlOverride>
  </w:num>
  <w:num w:numId="185">
    <w:abstractNumId w:val="37"/>
    <w:lvlOverride w:ilvl="0">
      <w:startOverride w:val="1"/>
    </w:lvlOverride>
  </w:num>
  <w:num w:numId="186">
    <w:abstractNumId w:val="4"/>
    <w:lvlOverride w:ilvl="0">
      <w:startOverride w:val="1"/>
    </w:lvlOverride>
  </w:num>
  <w:num w:numId="187">
    <w:abstractNumId w:val="37"/>
    <w:lvlOverride w:ilvl="0">
      <w:startOverride w:val="1"/>
    </w:lvlOverride>
  </w:num>
  <w:num w:numId="188">
    <w:abstractNumId w:val="37"/>
    <w:lvlOverride w:ilvl="0">
      <w:startOverride w:val="1"/>
    </w:lvlOverride>
  </w:num>
  <w:num w:numId="189">
    <w:abstractNumId w:val="26"/>
    <w:lvlOverride w:ilvl="0">
      <w:startOverride w:val="1"/>
    </w:lvlOverride>
  </w:num>
  <w:num w:numId="190">
    <w:abstractNumId w:val="37"/>
    <w:lvlOverride w:ilvl="0">
      <w:startOverride w:val="1"/>
    </w:lvlOverride>
  </w:num>
  <w:num w:numId="191">
    <w:abstractNumId w:val="37"/>
    <w:lvlOverride w:ilvl="0">
      <w:startOverride w:val="1"/>
    </w:lvlOverride>
  </w:num>
  <w:num w:numId="192">
    <w:abstractNumId w:val="37"/>
    <w:lvlOverride w:ilvl="0">
      <w:startOverride w:val="1"/>
    </w:lvlOverride>
  </w:num>
  <w:num w:numId="193">
    <w:abstractNumId w:val="4"/>
    <w:lvlOverride w:ilvl="0">
      <w:startOverride w:val="1"/>
    </w:lvlOverride>
  </w:num>
  <w:num w:numId="194">
    <w:abstractNumId w:val="37"/>
    <w:lvlOverride w:ilvl="0">
      <w:startOverride w:val="1"/>
    </w:lvlOverride>
  </w:num>
  <w:num w:numId="195">
    <w:abstractNumId w:val="37"/>
    <w:lvlOverride w:ilvl="0">
      <w:startOverride w:val="1"/>
    </w:lvlOverride>
  </w:num>
  <w:num w:numId="196">
    <w:abstractNumId w:val="26"/>
    <w:lvlOverride w:ilvl="0">
      <w:startOverride w:val="1"/>
    </w:lvlOverride>
  </w:num>
  <w:num w:numId="197">
    <w:abstractNumId w:val="37"/>
    <w:lvlOverride w:ilvl="0">
      <w:startOverride w:val="1"/>
    </w:lvlOverride>
  </w:num>
  <w:num w:numId="198">
    <w:abstractNumId w:val="37"/>
    <w:lvlOverride w:ilvl="0">
      <w:startOverride w:val="1"/>
    </w:lvlOverride>
  </w:num>
  <w:num w:numId="199">
    <w:abstractNumId w:val="37"/>
    <w:lvlOverride w:ilvl="0">
      <w:startOverride w:val="1"/>
    </w:lvlOverride>
  </w:num>
  <w:num w:numId="200">
    <w:abstractNumId w:val="4"/>
    <w:lvlOverride w:ilvl="0">
      <w:startOverride w:val="1"/>
    </w:lvlOverride>
  </w:num>
  <w:num w:numId="201">
    <w:abstractNumId w:val="37"/>
    <w:lvlOverride w:ilvl="0">
      <w:startOverride w:val="1"/>
    </w:lvlOverride>
  </w:num>
  <w:num w:numId="202">
    <w:abstractNumId w:val="37"/>
    <w:lvlOverride w:ilvl="0">
      <w:startOverride w:val="1"/>
    </w:lvlOverride>
  </w:num>
  <w:num w:numId="203">
    <w:abstractNumId w:val="4"/>
    <w:lvlOverride w:ilvl="0">
      <w:startOverride w:val="1"/>
    </w:lvlOverride>
  </w:num>
  <w:num w:numId="204">
    <w:abstractNumId w:val="25"/>
  </w:num>
  <w:num w:numId="205">
    <w:abstractNumId w:val="25"/>
  </w:num>
  <w:num w:numId="206">
    <w:abstractNumId w:val="25"/>
  </w:num>
  <w:num w:numId="207">
    <w:abstractNumId w:val="25"/>
  </w:num>
  <w:num w:numId="208">
    <w:abstractNumId w:val="25"/>
  </w:num>
  <w:num w:numId="209">
    <w:abstractNumId w:val="25"/>
  </w:num>
  <w:num w:numId="210">
    <w:abstractNumId w:val="25"/>
  </w:num>
  <w:num w:numId="211">
    <w:abstractNumId w:val="22"/>
  </w:num>
  <w:num w:numId="212">
    <w:abstractNumId w:val="25"/>
  </w:num>
  <w:num w:numId="213">
    <w:abstractNumId w:val="25"/>
  </w:num>
  <w:num w:numId="214">
    <w:abstractNumId w:val="3"/>
  </w:num>
  <w:num w:numId="215">
    <w:abstractNumId w:val="25"/>
  </w:num>
  <w:num w:numId="216">
    <w:abstractNumId w:val="11"/>
  </w:num>
  <w:num w:numId="217">
    <w:abstractNumId w:val="24"/>
  </w:num>
  <w:num w:numId="218">
    <w:abstractNumId w:val="25"/>
  </w:num>
  <w:num w:numId="219">
    <w:abstractNumId w:val="25"/>
  </w:num>
  <w:num w:numId="220">
    <w:abstractNumId w:val="25"/>
  </w:num>
  <w:num w:numId="221">
    <w:abstractNumId w:val="25"/>
  </w:num>
  <w:num w:numId="222">
    <w:abstractNumId w:val="17"/>
  </w:num>
  <w:num w:numId="223">
    <w:abstractNumId w:val="25"/>
  </w:num>
  <w:num w:numId="224">
    <w:abstractNumId w:val="25"/>
  </w:num>
  <w:num w:numId="225">
    <w:abstractNumId w:val="25"/>
  </w:num>
  <w:num w:numId="226">
    <w:abstractNumId w:val="25"/>
  </w:num>
  <w:num w:numId="227">
    <w:abstractNumId w:val="25"/>
  </w:num>
  <w:num w:numId="228">
    <w:abstractNumId w:val="25"/>
  </w:num>
  <w:num w:numId="229">
    <w:abstractNumId w:val="25"/>
  </w:num>
  <w:num w:numId="230">
    <w:abstractNumId w:val="25"/>
  </w:num>
  <w:num w:numId="231">
    <w:abstractNumId w:val="18"/>
  </w:num>
  <w:num w:numId="232">
    <w:abstractNumId w:val="2"/>
  </w:num>
  <w:num w:numId="233">
    <w:abstractNumId w:val="13"/>
  </w:num>
  <w:num w:numId="234">
    <w:abstractNumId w:val="5"/>
  </w:num>
  <w:num w:numId="235">
    <w:abstractNumId w:val="20"/>
  </w:num>
  <w:num w:numId="236">
    <w:abstractNumId w:val="14"/>
  </w:num>
  <w:num w:numId="237">
    <w:abstractNumId w:val="0"/>
  </w:num>
  <w:num w:numId="238">
    <w:abstractNumId w:val="35"/>
  </w:num>
  <w:num w:numId="239">
    <w:abstractNumId w:val="27"/>
  </w:num>
  <w:num w:numId="240">
    <w:abstractNumId w:val="34"/>
  </w:num>
  <w:num w:numId="241">
    <w:abstractNumId w:val="36"/>
  </w:num>
  <w:num w:numId="242">
    <w:abstractNumId w:val="21"/>
  </w:num>
  <w:num w:numId="243">
    <w:abstractNumId w:val="38"/>
  </w:num>
  <w:num w:numId="244">
    <w:abstractNumId w:val="16"/>
  </w:num>
  <w:num w:numId="245">
    <w:abstractNumId w:val="7"/>
  </w:num>
  <w:num w:numId="246">
    <w:abstractNumId w:val="28"/>
  </w:num>
  <w:num w:numId="247">
    <w:abstractNumId w:val="6"/>
  </w:num>
  <w:num w:numId="248">
    <w:abstractNumId w:val="23"/>
  </w:num>
  <w:num w:numId="249">
    <w:abstractNumId w:val="9"/>
  </w:num>
  <w:num w:numId="250">
    <w:abstractNumId w:val="12"/>
  </w:num>
  <w:num w:numId="251">
    <w:abstractNumId w:val="32"/>
  </w:num>
  <w:num w:numId="252">
    <w:abstractNumId w:val="29"/>
  </w:num>
  <w:num w:numId="253">
    <w:abstractNumId w:val="15"/>
  </w:num>
  <w:num w:numId="254">
    <w:abstractNumId w:val="33"/>
  </w:num>
  <w:num w:numId="255">
    <w:abstractNumId w:val="1"/>
  </w:num>
  <w:num w:numId="256">
    <w:abstractNumId w:val="26"/>
    <w:lvlOverride w:ilvl="0">
      <w:startOverride w:val="1"/>
    </w:lvlOverride>
  </w:num>
  <w:num w:numId="257">
    <w:abstractNumId w:val="37"/>
    <w:lvlOverride w:ilvl="0">
      <w:startOverride w:val="1"/>
    </w:lvlOverride>
  </w:num>
  <w:num w:numId="258">
    <w:abstractNumId w:val="37"/>
    <w:lvlOverride w:ilvl="0">
      <w:startOverride w:val="1"/>
    </w:lvlOverride>
  </w:num>
  <w:num w:numId="259">
    <w:abstractNumId w:val="4"/>
    <w:lvlOverride w:ilvl="0">
      <w:startOverride w:val="1"/>
    </w:lvlOverride>
  </w:num>
  <w:numIdMacAtCleanup w:val="2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nl-NL" w:vendorID="1" w:dllVersion="512" w:checkStyle="1"/>
  <w:activeWritingStyle w:appName="MSWord" w:lang="nl-BE" w:vendorID="1" w:dllVersion="512" w:checkStyle="1"/>
  <w:activeWritingStyle w:appName="MSWord" w:lang="pt-PT" w:vendorID="13" w:dllVersion="513" w:checkStyle="1"/>
  <w:activeWritingStyle w:appName="MSWord" w:lang="da-DK" w:vendorID="22" w:dllVersion="513" w:checkStyle="1"/>
  <w:activeWritingStyle w:appName="MSWord" w:lang="sv-SE" w:vendorID="22" w:dllVersion="513" w:checkStyle="1"/>
  <w:activeWritingStyle w:appName="MSWord" w:lang="it-IT" w:vendorID="3" w:dllVersion="517" w:checkStyle="1"/>
  <w:activeWritingStyle w:appName="MSWord" w:lang="pl-PL" w:vendorID="12" w:dllVersion="512" w:checkStyle="1"/>
  <w:activeWritingStyle w:appName="MSWord" w:lang="fi-FI" w:vendorID="22" w:dllVersion="513" w:checkStyle="1"/>
  <w:revisionView w:markup="0"/>
  <w:defaultTabStop w:val="720"/>
  <w:characterSpacingControl w:val="doNotCompress"/>
  <w:hdrShapeDefaults>
    <o:shapedefaults v:ext="edit" spidmax="163841"/>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VERPAGE_EXISTS" w:val="True"/>
    <w:docVar w:name="DocStatus" w:val="Green"/>
    <w:docVar w:name="LW_ACCOMPAGNANT.CP" w:val="Accompanying the document"/>
    <w:docVar w:name="LW_CONFIDENCE" w:val=" "/>
    <w:docVar w:name="LW_CONST_RESTREINT_UE" w:val="RESTREINT UE"/>
    <w:docVar w:name="LW_CORRIGENDUM" w:val="&lt;UNUSED&gt;"/>
    <w:docVar w:name="LW_COVERPAGE_GUID" w:val="94CF47D81FB3420E915E1A1AAB6BB864"/>
    <w:docVar w:name="LW_CROSSREFERENCE" w:val="{COM(2017) 370 final}_x000b_{SWD(2017) 259 final}"/>
    <w:docVar w:name="LW_DocType" w:val="NORMAL"/>
    <w:docVar w:name="LW_EMISSION" w:val="6.7.2017"/>
    <w:docVar w:name="LW_EMISSION_ISODATE" w:val="2017-07-06"/>
    <w:docVar w:name="LW_EMISSION_LOCATION" w:val="BRX"/>
    <w:docVar w:name="LW_EMISSION_PREFIX" w:val="Brussels, "/>
    <w:docVar w:name="LW_EMISSION_SUFFIX" w:val=" "/>
    <w:docVar w:name="LW_ID_DOCTYPE_NONLW" w:val="CP-025"/>
    <w:docVar w:name="LW_LANGUE" w:val="EN"/>
    <w:docVar w:name="LW_MARKING" w:val="&lt;UNUSED&gt;"/>
    <w:docVar w:name="LW_NOM.INST" w:val="EUROPEAN COMMISSION"/>
    <w:docVar w:name="LW_NOM.INST_JOINTDOC" w:val="&lt;EMPTY&gt;"/>
    <w:docVar w:name="LW_OBJETACTEPRINCIPAL.CP" w:val="Monitoring the application of European Union law_x000b_2016 Annual Report"/>
    <w:docVar w:name="LW_PART_NBR" w:val="2"/>
    <w:docVar w:name="LW_PART_NBR_TOTAL" w:val="2"/>
    <w:docVar w:name="LW_REF.INST.NEW" w:val="SWD"/>
    <w:docVar w:name="LW_REF.INST.NEW_ADOPTED" w:val="final"/>
    <w:docVar w:name="LW_REF.INST.NEW_TEXT" w:val="(2017) 260"/>
    <w:docVar w:name="LW_REF.INTERNE" w:val="&lt;UNUSED&gt;"/>
    <w:docVar w:name="LW_SUPERTITRE" w:val="&lt;UNUSED&gt;"/>
    <w:docVar w:name="LW_TITRE.OBJ.CP" w:val="Part II: Member States"/>
    <w:docVar w:name="LW_TYPE.DOC.CP" w:val="COMMISSION STAFF WORKING DOCUMENT"/>
    <w:docVar w:name="LW_TYPEACTEPRINCIPAL.CP" w:val="&lt;UNUSED&gt;"/>
    <w:docVar w:name="Stamp" w:val="\\dossiers.dgt.cec.eu.int\dossiers\SG\SG-2016-00297\SG-2016-00297-00-02-EN-REV-00.DOCX"/>
  </w:docVar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line="240" w:lineRule="auto"/>
      <w:jc w:val="both"/>
    </w:pPr>
    <w:rPr>
      <w:rFonts w:ascii="Times New Roman" w:eastAsia="Times New Roman" w:hAnsi="Times New Roman" w:cs="Times New Roman"/>
      <w:sz w:val="24"/>
      <w:szCs w:val="20"/>
    </w:rPr>
  </w:style>
  <w:style w:type="paragraph" w:styleId="Heading1">
    <w:name w:val="heading 1"/>
    <w:basedOn w:val="MemberStateHeader"/>
    <w:next w:val="Subtitle"/>
    <w:link w:val="Heading1Char"/>
    <w:uiPriority w:val="9"/>
    <w:qFormat/>
    <w:pPr>
      <w:keepNext/>
      <w:keepLines/>
      <w:outlineLvl w:val="0"/>
    </w:pPr>
    <w:rPr>
      <w:rFonts w:eastAsiaTheme="majorEastAsia" w:cstheme="majorBidi"/>
      <w:bCs/>
      <w:color w:val="A6A6A6" w:themeColor="background1" w:themeShade="A6"/>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basedOn w:val="DefaultParagraphFont"/>
    <w:uiPriority w:val="99"/>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numPr>
        <w:numId w:val="1"/>
      </w:numPr>
      <w:spacing w:after="12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numPr>
        <w:numId w:val="100"/>
      </w:numPr>
      <w:spacing w:after="120"/>
    </w:pPr>
    <w:rPr>
      <w:rFonts w:ascii="Verdana" w:eastAsia="Calibri" w:hAnsi="Verdana"/>
      <w:kern w:val="20"/>
      <w:sz w:val="20"/>
      <w:lang w:val="en-US"/>
    </w:rPr>
  </w:style>
  <w:style w:type="paragraph" w:customStyle="1" w:styleId="Lijstje2">
    <w:name w:val="Lijstje2"/>
    <w:basedOn w:val="ListParagraph"/>
    <w:uiPriority w:val="1"/>
    <w:unhideWhenUsed/>
    <w:qFormat/>
    <w:locked/>
    <w:pPr>
      <w:numPr>
        <w:numId w:val="4"/>
      </w:numPr>
      <w:spacing w:after="12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themeColor="background1" w:themeShade="BF"/>
      <w:szCs w:val="24"/>
    </w:rPr>
  </w:style>
  <w:style w:type="character" w:customStyle="1" w:styleId="MemberStateHeaderChar">
    <w:name w:val="Member State Header Char"/>
    <w:link w:val="MemberStateHeader"/>
    <w:rPr>
      <w:rFonts w:ascii="Arial" w:eastAsia="Times New Roman" w:hAnsi="Arial" w:cs="Times New Roman"/>
      <w:color w:val="BFBFBF" w:themeColor="background1" w:themeShade="BF"/>
      <w:sz w:val="24"/>
      <w:szCs w:val="24"/>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nhideWhenUsed/>
    <w:pPr>
      <w:tabs>
        <w:tab w:val="center" w:pos="4536"/>
        <w:tab w:val="right" w:pos="9072"/>
      </w:tabs>
      <w:spacing w:after="0"/>
    </w:pPr>
  </w:style>
  <w:style w:type="character" w:customStyle="1" w:styleId="FooterChar">
    <w:name w:val="Footer Char"/>
    <w:basedOn w:val="DefaultParagraphFont"/>
    <w:link w:val="Footer"/>
    <w:rPr>
      <w:rFonts w:ascii="Times New Roman" w:eastAsia="Times New Roman" w:hAnsi="Times New Roman" w:cs="Times New Roman"/>
      <w:sz w:val="24"/>
      <w:szCs w:val="20"/>
    </w:rPr>
  </w:style>
  <w:style w:type="paragraph" w:customStyle="1" w:styleId="Priorities">
    <w:name w:val="Priorities"/>
    <w:basedOn w:val="Normal"/>
    <w:link w:val="PrioritiesChar"/>
    <w:qFormat/>
    <w:pPr>
      <w:spacing w:after="200" w:line="276" w:lineRule="auto"/>
      <w:jc w:val="center"/>
    </w:pPr>
    <w:rPr>
      <w:rFonts w:ascii="Arial" w:eastAsiaTheme="minorHAnsi" w:hAnsi="Arial" w:cs="Arial"/>
      <w:b/>
      <w:color w:val="163E71"/>
      <w:sz w:val="28"/>
      <w:szCs w:val="28"/>
    </w:rPr>
  </w:style>
  <w:style w:type="character" w:customStyle="1" w:styleId="PrioritiesChar">
    <w:name w:val="Priorities Char"/>
    <w:basedOn w:val="DefaultParagraphFont"/>
    <w:link w:val="Priorities"/>
    <w:rPr>
      <w:rFonts w:ascii="Arial" w:hAnsi="Arial" w:cs="Arial"/>
      <w:b/>
      <w:color w:val="163E71"/>
      <w:sz w:val="28"/>
      <w:szCs w:val="28"/>
    </w:rPr>
  </w:style>
  <w:style w:type="paragraph" w:styleId="Subtitle">
    <w:name w:val="Subtitle"/>
    <w:basedOn w:val="Normal"/>
    <w:link w:val="SubtitleChar"/>
    <w:autoRedefine/>
    <w:qFormat/>
    <w:pPr>
      <w:numPr>
        <w:numId w:val="3"/>
      </w:numPr>
      <w:spacing w:before="120" w:after="120"/>
      <w:jc w:val="left"/>
      <w:outlineLvl w:val="1"/>
    </w:pPr>
    <w:rPr>
      <w:rFonts w:ascii="Arial" w:hAnsi="Arial"/>
      <w:color w:val="002060"/>
      <w:sz w:val="22"/>
      <w:szCs w:val="22"/>
    </w:rPr>
  </w:style>
  <w:style w:type="character" w:customStyle="1" w:styleId="SubtitleChar">
    <w:name w:val="Subtitle Char"/>
    <w:basedOn w:val="DefaultParagraphFont"/>
    <w:link w:val="Subtitle"/>
    <w:rPr>
      <w:rFonts w:ascii="Arial" w:eastAsia="Times New Roman" w:hAnsi="Arial" w:cs="Times New Roman"/>
      <w:color w:val="002060"/>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affairetitle">
    <w:name w:val="affaire_titl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
    <w:name w:val="Style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3">
    <w:name w:val="Style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4">
    <w:name w:val="Style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5">
    <w:name w:val="Style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6">
    <w:name w:val="Style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7">
    <w:name w:val="Style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8">
    <w:name w:val="Style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9">
    <w:name w:val="Style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0">
    <w:name w:val="Style11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1">
    <w:name w:val="Style1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table" w:customStyle="1" w:styleId="Style112">
    <w:name w:val="Style1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3">
    <w:name w:val="Style1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4">
    <w:name w:val="Style1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5">
    <w:name w:val="Style1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6">
    <w:name w:val="Style1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7">
    <w:name w:val="Style1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8">
    <w:name w:val="Style1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9">
    <w:name w:val="Style1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0">
    <w:name w:val="Style12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1">
    <w:name w:val="Style12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2">
    <w:name w:val="Style12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3">
    <w:name w:val="Style12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4">
    <w:name w:val="Style12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5">
    <w:name w:val="Style12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6">
    <w:name w:val="Style12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7">
    <w:name w:val="Style12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Arial" w:eastAsiaTheme="majorEastAsia" w:hAnsi="Arial" w:cstheme="majorBidi"/>
      <w:bCs/>
      <w:color w:val="A6A6A6" w:themeColor="background1" w:themeShade="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spacing w:after="100"/>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basedOn w:val="DefaultParagraphFont"/>
    <w:uiPriority w:val="20"/>
    <w:qFormat/>
    <w:rPr>
      <w:i/>
      <w:iCs/>
    </w:rPr>
  </w:style>
  <w:style w:type="paragraph" w:styleId="ListBullet">
    <w:name w:val="List Bullet"/>
    <w:basedOn w:val="Normal"/>
    <w:pPr>
      <w:numPr>
        <w:numId w:val="22"/>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basedOn w:val="DefaultParagraphFont"/>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customStyle="1" w:styleId="f1">
    <w:name w:val="f1"/>
    <w:basedOn w:val="DefaultParagraphFont"/>
    <w:rPr>
      <w:color w:val="666666"/>
    </w:rPr>
  </w:style>
  <w:style w:type="character" w:customStyle="1" w:styleId="st1">
    <w:name w:val="st1"/>
    <w:basedOn w:val="DefaultParagraphFont"/>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iCs/>
      <w:color w:val="808080" w:themeColor="text1" w:themeTint="7F"/>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basedOn w:val="DefaultParagraphFont"/>
    <w:link w:val="TOC1"/>
    <w:uiPriority w:val="39"/>
    <w:rPr>
      <w:rFonts w:ascii="Times New Roman" w:eastAsia="Times New Roman" w:hAnsi="Times New Roman" w:cs="Times New Roman"/>
      <w:sz w:val="24"/>
      <w:szCs w:val="20"/>
    </w:rPr>
  </w:style>
  <w:style w:type="character" w:customStyle="1" w:styleId="FooterCoverPageChar">
    <w:name w:val="Footer Cover Page Char"/>
    <w:basedOn w:val="TOC1Char"/>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OC1Char"/>
    <w:link w:val="HeaderCoverPage"/>
    <w:rPr>
      <w:rFonts w:ascii="Times New Roman" w:eastAsia="Times New Roman" w:hAnsi="Times New Roman" w:cs="Times New Roman"/>
      <w:sz w:val="24"/>
      <w:szCs w:val="20"/>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basedOn w:val="DefaultParagraphFont"/>
    <w:link w:val="BodyText3"/>
    <w:rPr>
      <w:rFonts w:ascii="Arial" w:eastAsia="Times New Roman" w:hAnsi="Arial" w:cs="Times New Roman"/>
      <w:sz w:val="16"/>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footer" w:uiPriority="0"/>
    <w:lsdException w:name="caption" w:uiPriority="35" w:qFormat="1"/>
    <w:lsdException w:name="footnote reference" w:uiPriority="0" w:qFormat="1"/>
    <w:lsdException w:name="List Bullet" w:uiPriority="0"/>
    <w:lsdException w:name="Title" w:semiHidden="0" w:uiPriority="10" w:unhideWhenUsed="0" w:qFormat="1"/>
    <w:lsdException w:name="Default Paragraph Font" w:uiPriority="1"/>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240" w:line="240" w:lineRule="auto"/>
      <w:jc w:val="both"/>
    </w:pPr>
    <w:rPr>
      <w:rFonts w:ascii="Times New Roman" w:eastAsia="Times New Roman" w:hAnsi="Times New Roman" w:cs="Times New Roman"/>
      <w:sz w:val="24"/>
      <w:szCs w:val="20"/>
    </w:rPr>
  </w:style>
  <w:style w:type="paragraph" w:styleId="Heading1">
    <w:name w:val="heading 1"/>
    <w:basedOn w:val="MemberStateHeader"/>
    <w:next w:val="Subtitle"/>
    <w:link w:val="Heading1Char"/>
    <w:uiPriority w:val="9"/>
    <w:qFormat/>
    <w:pPr>
      <w:keepNext/>
      <w:keepLines/>
      <w:outlineLvl w:val="0"/>
    </w:pPr>
    <w:rPr>
      <w:rFonts w:eastAsiaTheme="majorEastAsia" w:cstheme="majorBidi"/>
      <w:bCs/>
      <w:color w:val="A6A6A6" w:themeColor="background1" w:themeShade="A6"/>
      <w:szCs w:val="28"/>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uiPriority w:val="99"/>
    <w:qFormat/>
    <w:pPr>
      <w:spacing w:after="0"/>
      <w:ind w:left="357" w:hanging="357"/>
    </w:pPr>
    <w:rPr>
      <w:rFonts w:ascii="Arial" w:hAnsi="Arial"/>
      <w:sz w:val="18"/>
    </w:rPr>
  </w:style>
  <w:style w:type="character" w:customStyle="1" w:styleId="FootnoteTextChar">
    <w:name w:val="Footnote Text Char"/>
    <w:aliases w:val="Footnote Char,Fußnote Char,Fotnotstext1 Char,fn Char,Footnote Text Char2 Char Char,Footnote Text Char Char Char1 Char,Footnote Text Char1 Char Char Char Char,Footnote Text Char2 Char Char Char Char Char,footnote te Char,f Char,Ch Char"/>
    <w:basedOn w:val="DefaultParagraphFont"/>
    <w:uiPriority w:val="99"/>
    <w:rPr>
      <w:rFonts w:ascii="Arial" w:eastAsia="Times New Roman" w:hAnsi="Arial" w:cs="Times New Roman"/>
      <w:sz w:val="18"/>
      <w:szCs w:val="20"/>
    </w:rPr>
  </w:style>
  <w:style w:type="character" w:styleId="FootnoteReference">
    <w:name w:val="footnote reference"/>
    <w:aliases w:val="Footnote number,Footnote symbol,fr,o,de nota al pie,Ref,Char,SUPERS,Voetnootmarkering,Char1,Nota,(NECG) Footnote Reference, Char, Char1,Ref Char,de nota al pie Char,Footnote number Char,Footnote symbol Char,note TESI Char,Nota Char,FR"/>
    <w:qFormat/>
    <w:rPr>
      <w:vertAlign w:val="superscript"/>
    </w:rPr>
  </w:style>
  <w:style w:type="paragraph" w:customStyle="1" w:styleId="Body">
    <w:name w:val="Body"/>
    <w:basedOn w:val="Normal"/>
    <w:link w:val="BodyChar"/>
    <w:qFormat/>
    <w:pPr>
      <w:spacing w:after="120"/>
      <w:ind w:firstLine="709"/>
    </w:pPr>
    <w:rPr>
      <w:rFonts w:ascii="Arial" w:hAnsi="Arial" w:cs="Arial"/>
      <w:sz w:val="20"/>
      <w:lang w:val="en-US"/>
    </w:rPr>
  </w:style>
  <w:style w:type="character" w:customStyle="1" w:styleId="BodyChar">
    <w:name w:val="Body Char"/>
    <w:link w:val="Body"/>
    <w:rPr>
      <w:rFonts w:ascii="Arial" w:eastAsia="Times New Roman" w:hAnsi="Arial" w:cs="Arial"/>
      <w:sz w:val="20"/>
      <w:szCs w:val="20"/>
      <w:lang w:val="en-US"/>
    </w:rPr>
  </w:style>
  <w:style w:type="paragraph" w:customStyle="1" w:styleId="kop2">
    <w:name w:val="kop 2"/>
    <w:basedOn w:val="Normal"/>
    <w:next w:val="Normal"/>
    <w:link w:val="kop2Char"/>
    <w:uiPriority w:val="1"/>
    <w:unhideWhenUsed/>
    <w:qFormat/>
    <w:pPr>
      <w:keepNext/>
      <w:keepLines/>
      <w:numPr>
        <w:numId w:val="1"/>
      </w:numPr>
      <w:spacing w:after="120"/>
      <w:outlineLvl w:val="1"/>
    </w:pPr>
    <w:rPr>
      <w:rFonts w:ascii="Arial" w:eastAsia="MS Gothic" w:hAnsi="Arial" w:cs="Arial"/>
      <w:caps/>
      <w:color w:val="4F81BD"/>
      <w:kern w:val="20"/>
      <w:szCs w:val="24"/>
    </w:rPr>
  </w:style>
  <w:style w:type="paragraph" w:customStyle="1" w:styleId="kop3">
    <w:name w:val="kop 3"/>
    <w:basedOn w:val="Subtitle"/>
    <w:next w:val="Normal"/>
    <w:link w:val="kop3Char"/>
    <w:autoRedefine/>
    <w:uiPriority w:val="1"/>
    <w:unhideWhenUsed/>
    <w:qFormat/>
  </w:style>
  <w:style w:type="character" w:customStyle="1" w:styleId="kop2Char">
    <w:name w:val="kop 2 Char"/>
    <w:link w:val="kop2"/>
    <w:uiPriority w:val="1"/>
    <w:rPr>
      <w:rFonts w:ascii="Arial" w:eastAsia="MS Gothic" w:hAnsi="Arial" w:cs="Arial"/>
      <w:caps/>
      <w:color w:val="4F81BD"/>
      <w:kern w:val="20"/>
      <w:sz w:val="24"/>
      <w:szCs w:val="24"/>
    </w:rPr>
  </w:style>
  <w:style w:type="character" w:customStyle="1" w:styleId="kop3Char">
    <w:name w:val="kop 3 Char"/>
    <w:link w:val="kop3"/>
    <w:uiPriority w:val="1"/>
    <w:rPr>
      <w:rFonts w:ascii="Arial" w:eastAsia="Times New Roman" w:hAnsi="Arial" w:cs="Times New Roman"/>
      <w:color w:val="002060"/>
    </w:rPr>
  </w:style>
  <w:style w:type="paragraph" w:customStyle="1" w:styleId="Lijstje">
    <w:name w:val="Lijstje"/>
    <w:basedOn w:val="NoSpacing"/>
    <w:uiPriority w:val="1"/>
    <w:unhideWhenUsed/>
    <w:qFormat/>
    <w:locked/>
    <w:pPr>
      <w:numPr>
        <w:numId w:val="100"/>
      </w:numPr>
      <w:spacing w:after="120"/>
    </w:pPr>
    <w:rPr>
      <w:rFonts w:ascii="Verdana" w:eastAsia="Calibri" w:hAnsi="Verdana"/>
      <w:kern w:val="20"/>
      <w:sz w:val="20"/>
      <w:lang w:val="en-US"/>
    </w:rPr>
  </w:style>
  <w:style w:type="paragraph" w:customStyle="1" w:styleId="Lijstje2">
    <w:name w:val="Lijstje2"/>
    <w:basedOn w:val="ListParagraph"/>
    <w:uiPriority w:val="1"/>
    <w:unhideWhenUsed/>
    <w:qFormat/>
    <w:locked/>
    <w:pPr>
      <w:numPr>
        <w:numId w:val="4"/>
      </w:numPr>
      <w:spacing w:after="120"/>
    </w:pPr>
    <w:rPr>
      <w:rFonts w:ascii="Verdana" w:eastAsia="Calibri" w:hAnsi="Verdana"/>
      <w:kern w:val="20"/>
      <w:sz w:val="20"/>
      <w:lang w:val="nl-NL"/>
    </w:rPr>
  </w:style>
  <w:style w:type="paragraph" w:customStyle="1" w:styleId="MemberStateHeader">
    <w:name w:val="Member State Header"/>
    <w:basedOn w:val="Normal"/>
    <w:link w:val="MemberStateHeaderChar"/>
    <w:qFormat/>
    <w:pPr>
      <w:jc w:val="center"/>
    </w:pPr>
    <w:rPr>
      <w:rFonts w:ascii="Arial" w:hAnsi="Arial"/>
      <w:color w:val="BFBFBF" w:themeColor="background1" w:themeShade="BF"/>
      <w:szCs w:val="24"/>
    </w:rPr>
  </w:style>
  <w:style w:type="character" w:customStyle="1" w:styleId="MemberStateHeaderChar">
    <w:name w:val="Member State Header Char"/>
    <w:link w:val="MemberStateHeader"/>
    <w:rPr>
      <w:rFonts w:ascii="Arial" w:eastAsia="Times New Roman" w:hAnsi="Arial" w:cs="Times New Roman"/>
      <w:color w:val="BFBFBF" w:themeColor="background1" w:themeShade="BF"/>
      <w:sz w:val="24"/>
      <w:szCs w:val="24"/>
    </w:rPr>
  </w:style>
  <w:style w:type="paragraph" w:styleId="NoSpacing">
    <w:name w:val="No Spacing"/>
    <w:uiPriority w:val="1"/>
    <w:qFormat/>
    <w:pPr>
      <w:spacing w:after="0" w:line="240" w:lineRule="auto"/>
      <w:jc w:val="both"/>
    </w:pPr>
    <w:rPr>
      <w:rFonts w:ascii="Times New Roman" w:eastAsia="Times New Roman" w:hAnsi="Times New Roman" w:cs="Times New Roman"/>
      <w:sz w:val="24"/>
      <w:szCs w:val="20"/>
    </w:r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Header">
    <w:name w:val="header"/>
    <w:basedOn w:val="Normal"/>
    <w:link w:val="HeaderChar"/>
    <w:uiPriority w:val="99"/>
    <w:unhideWhenUsed/>
    <w:pPr>
      <w:tabs>
        <w:tab w:val="center" w:pos="4536"/>
        <w:tab w:val="right" w:pos="9072"/>
      </w:tabs>
      <w:spacing w:after="0"/>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Footer">
    <w:name w:val="footer"/>
    <w:basedOn w:val="Normal"/>
    <w:link w:val="FooterChar"/>
    <w:unhideWhenUsed/>
    <w:pPr>
      <w:tabs>
        <w:tab w:val="center" w:pos="4536"/>
        <w:tab w:val="right" w:pos="9072"/>
      </w:tabs>
      <w:spacing w:after="0"/>
    </w:pPr>
  </w:style>
  <w:style w:type="character" w:customStyle="1" w:styleId="FooterChar">
    <w:name w:val="Footer Char"/>
    <w:basedOn w:val="DefaultParagraphFont"/>
    <w:link w:val="Footer"/>
    <w:rPr>
      <w:rFonts w:ascii="Times New Roman" w:eastAsia="Times New Roman" w:hAnsi="Times New Roman" w:cs="Times New Roman"/>
      <w:sz w:val="24"/>
      <w:szCs w:val="20"/>
    </w:rPr>
  </w:style>
  <w:style w:type="paragraph" w:customStyle="1" w:styleId="Priorities">
    <w:name w:val="Priorities"/>
    <w:basedOn w:val="Normal"/>
    <w:link w:val="PrioritiesChar"/>
    <w:qFormat/>
    <w:pPr>
      <w:spacing w:after="200" w:line="276" w:lineRule="auto"/>
      <w:jc w:val="center"/>
    </w:pPr>
    <w:rPr>
      <w:rFonts w:ascii="Arial" w:eastAsiaTheme="minorHAnsi" w:hAnsi="Arial" w:cs="Arial"/>
      <w:b/>
      <w:color w:val="163E71"/>
      <w:sz w:val="28"/>
      <w:szCs w:val="28"/>
    </w:rPr>
  </w:style>
  <w:style w:type="character" w:customStyle="1" w:styleId="PrioritiesChar">
    <w:name w:val="Priorities Char"/>
    <w:basedOn w:val="DefaultParagraphFont"/>
    <w:link w:val="Priorities"/>
    <w:rPr>
      <w:rFonts w:ascii="Arial" w:hAnsi="Arial" w:cs="Arial"/>
      <w:b/>
      <w:color w:val="163E71"/>
      <w:sz w:val="28"/>
      <w:szCs w:val="28"/>
    </w:rPr>
  </w:style>
  <w:style w:type="paragraph" w:styleId="Subtitle">
    <w:name w:val="Subtitle"/>
    <w:basedOn w:val="Normal"/>
    <w:link w:val="SubtitleChar"/>
    <w:autoRedefine/>
    <w:qFormat/>
    <w:pPr>
      <w:numPr>
        <w:numId w:val="3"/>
      </w:numPr>
      <w:spacing w:before="120" w:after="120"/>
      <w:jc w:val="left"/>
      <w:outlineLvl w:val="1"/>
    </w:pPr>
    <w:rPr>
      <w:rFonts w:ascii="Arial" w:hAnsi="Arial"/>
      <w:color w:val="002060"/>
      <w:sz w:val="22"/>
      <w:szCs w:val="22"/>
    </w:rPr>
  </w:style>
  <w:style w:type="character" w:customStyle="1" w:styleId="SubtitleChar">
    <w:name w:val="Subtitle Char"/>
    <w:basedOn w:val="DefaultParagraphFont"/>
    <w:link w:val="Subtitle"/>
    <w:rPr>
      <w:rFonts w:ascii="Arial" w:eastAsia="Times New Roman" w:hAnsi="Arial" w:cs="Times New Roman"/>
      <w:color w:val="002060"/>
    </w:rPr>
  </w:style>
  <w:style w:type="table" w:customStyle="1" w:styleId="Style1">
    <w:name w:val="Style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affairetitle">
    <w:name w:val="affaire_title"/>
    <w:basedOn w:val="DefaultParagraphFont"/>
  </w:style>
  <w:style w:type="character" w:styleId="Hyperlink">
    <w:name w:val="Hyperlink"/>
    <w:basedOn w:val="DefaultParagraphFont"/>
    <w:uiPriority w:val="99"/>
    <w:unhideWhenUsed/>
    <w:rPr>
      <w:color w:val="0000FF" w:themeColor="hyperlink"/>
      <w:u w:val="single"/>
    </w:rPr>
  </w:style>
  <w:style w:type="table" w:customStyle="1" w:styleId="Style11">
    <w:name w:val="Style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
    <w:name w:val="Style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3">
    <w:name w:val="Style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4">
    <w:name w:val="Style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5">
    <w:name w:val="Style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6">
    <w:name w:val="Style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7">
    <w:name w:val="Style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8">
    <w:name w:val="Style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9">
    <w:name w:val="Style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0">
    <w:name w:val="Style11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1">
    <w:name w:val="Style11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table" w:customStyle="1" w:styleId="Style112">
    <w:name w:val="Style11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3">
    <w:name w:val="Style11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4">
    <w:name w:val="Style11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5">
    <w:name w:val="Style11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6">
    <w:name w:val="Style11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7">
    <w:name w:val="Style11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8">
    <w:name w:val="Style118"/>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19">
    <w:name w:val="Style119"/>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0">
    <w:name w:val="Style120"/>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1">
    <w:name w:val="Style121"/>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2">
    <w:name w:val="Style122"/>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3">
    <w:name w:val="Style123"/>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4">
    <w:name w:val="Style124"/>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5">
    <w:name w:val="Style125"/>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6">
    <w:name w:val="Style126"/>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table" w:customStyle="1" w:styleId="Style127">
    <w:name w:val="Style127"/>
    <w:basedOn w:val="TableNormal"/>
    <w:pPr>
      <w:spacing w:after="0" w:line="240" w:lineRule="auto"/>
    </w:pPr>
    <w:rPr>
      <w:rFonts w:ascii="Times New Roman" w:eastAsia="Times New Roman" w:hAnsi="Times New Roman" w:cs="Times New Roman"/>
      <w:sz w:val="20"/>
      <w:szCs w:val="20"/>
      <w:lang w:eastAsia="en-GB"/>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Arial" w:eastAsiaTheme="majorEastAsia" w:hAnsi="Arial" w:cstheme="majorBidi"/>
      <w:bCs/>
      <w:color w:val="A6A6A6" w:themeColor="background1" w:themeShade="A6"/>
      <w:sz w:val="24"/>
      <w:szCs w:val="28"/>
    </w:rPr>
  </w:style>
  <w:style w:type="paragraph" w:styleId="TOC8">
    <w:name w:val="toc 8"/>
    <w:basedOn w:val="Normal"/>
    <w:next w:val="Normal"/>
    <w:autoRedefine/>
    <w:uiPriority w:val="39"/>
    <w:semiHidden/>
    <w:unhideWhenUsed/>
    <w:pPr>
      <w:spacing w:after="100"/>
      <w:ind w:left="1680"/>
    </w:pPr>
  </w:style>
  <w:style w:type="paragraph" w:styleId="TOC1">
    <w:name w:val="toc 1"/>
    <w:basedOn w:val="Normal"/>
    <w:next w:val="Normal"/>
    <w:link w:val="TOC1Char"/>
    <w:autoRedefine/>
    <w:uiPriority w:val="39"/>
    <w:unhideWhenUsed/>
    <w:pPr>
      <w:spacing w:after="100"/>
    </w:p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c01pointnumerotealtn">
    <w:name w:val="c01pointnumerotealtn"/>
    <w:basedOn w:val="Normal"/>
    <w:pPr>
      <w:spacing w:before="100" w:beforeAutospacing="1"/>
      <w:ind w:left="567" w:hanging="539"/>
    </w:pPr>
    <w:rPr>
      <w:szCs w:val="24"/>
      <w:lang w:eastAsia="en-GB"/>
    </w:rPr>
  </w:style>
  <w:style w:type="character" w:customStyle="1" w:styleId="at25">
    <w:name w:val="a__t25"/>
    <w:basedOn w:val="DefaultParagraphFont"/>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NormalWeb">
    <w:name w:val="Normal (Web)"/>
    <w:basedOn w:val="Normal"/>
    <w:uiPriority w:val="99"/>
    <w:unhideWhenUsed/>
    <w:rPr>
      <w:szCs w:val="24"/>
    </w:rPr>
  </w:style>
  <w:style w:type="paragraph" w:customStyle="1" w:styleId="Lijstje3">
    <w:name w:val="Lijstje 3"/>
    <w:basedOn w:val="Lijstje2"/>
    <w:uiPriority w:val="1"/>
    <w:unhideWhenUsed/>
    <w:locked/>
    <w:pPr>
      <w:numPr>
        <w:numId w:val="0"/>
      </w:numPr>
      <w:tabs>
        <w:tab w:val="num" w:pos="765"/>
      </w:tabs>
      <w:spacing w:after="200"/>
      <w:ind w:left="1069" w:hanging="283"/>
    </w:pPr>
  </w:style>
  <w:style w:type="character" w:customStyle="1" w:styleId="st">
    <w:name w:val="st"/>
    <w:basedOn w:val="DefaultParagraphFont"/>
  </w:style>
  <w:style w:type="character" w:customStyle="1" w:styleId="prdnormal">
    <w:name w:val="prdnormal"/>
    <w:basedOn w:val="DefaultParagraphFont"/>
  </w:style>
  <w:style w:type="character" w:styleId="Emphasis">
    <w:name w:val="Emphasis"/>
    <w:basedOn w:val="DefaultParagraphFont"/>
    <w:uiPriority w:val="20"/>
    <w:qFormat/>
    <w:rPr>
      <w:i/>
      <w:iCs/>
    </w:rPr>
  </w:style>
  <w:style w:type="paragraph" w:styleId="ListBullet">
    <w:name w:val="List Bullet"/>
    <w:basedOn w:val="Normal"/>
    <w:pPr>
      <w:numPr>
        <w:numId w:val="22"/>
      </w:numPr>
    </w:pPr>
    <w:rPr>
      <w:rFonts w:ascii="Arial" w:hAnsi="Arial"/>
      <w:sz w:val="22"/>
    </w:rPr>
  </w:style>
  <w:style w:type="paragraph" w:styleId="Signature">
    <w:name w:val="Signature"/>
    <w:basedOn w:val="Normal"/>
    <w:link w:val="SignatureChar"/>
    <w:uiPriority w:val="99"/>
    <w:semiHidden/>
    <w:unhideWhenUsed/>
    <w:pPr>
      <w:spacing w:after="0"/>
      <w:ind w:left="4252"/>
    </w:pPr>
  </w:style>
  <w:style w:type="character" w:customStyle="1" w:styleId="SignatureChar">
    <w:name w:val="Signature Char"/>
    <w:basedOn w:val="DefaultParagraphFont"/>
    <w:link w:val="Signature"/>
    <w:uiPriority w:val="99"/>
    <w:semiHidden/>
    <w:rPr>
      <w:rFonts w:ascii="Times New Roman" w:eastAsia="Times New Roman" w:hAnsi="Times New Roman" w:cs="Times New Roman"/>
      <w:sz w:val="24"/>
      <w:szCs w:val="20"/>
    </w:r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customStyle="1" w:styleId="f1">
    <w:name w:val="f1"/>
    <w:basedOn w:val="DefaultParagraphFont"/>
    <w:rPr>
      <w:color w:val="666666"/>
    </w:rPr>
  </w:style>
  <w:style w:type="character" w:customStyle="1" w:styleId="st1">
    <w:name w:val="st1"/>
    <w:basedOn w:val="DefaultParagraphFont"/>
  </w:style>
  <w:style w:type="character" w:styleId="Strong">
    <w:name w:val="Strong"/>
    <w:basedOn w:val="DefaultParagraphFont"/>
    <w:uiPriority w:val="22"/>
    <w:qFormat/>
    <w:rPr>
      <w:b/>
      <w:bCs/>
    </w:rPr>
  </w:style>
  <w:style w:type="character" w:styleId="SubtleEmphasis">
    <w:name w:val="Subtle Emphasis"/>
    <w:basedOn w:val="DefaultParagraphFont"/>
    <w:uiPriority w:val="19"/>
    <w:qFormat/>
    <w:rPr>
      <w:i/>
      <w:iCs/>
      <w:color w:val="808080" w:themeColor="text1" w:themeTint="7F"/>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TOC1Char">
    <w:name w:val="TOC 1 Char"/>
    <w:basedOn w:val="DefaultParagraphFont"/>
    <w:link w:val="TOC1"/>
    <w:uiPriority w:val="39"/>
    <w:rPr>
      <w:rFonts w:ascii="Times New Roman" w:eastAsia="Times New Roman" w:hAnsi="Times New Roman" w:cs="Times New Roman"/>
      <w:sz w:val="24"/>
      <w:szCs w:val="20"/>
    </w:rPr>
  </w:style>
  <w:style w:type="character" w:customStyle="1" w:styleId="FooterCoverPageChar">
    <w:name w:val="Footer Cover Page Char"/>
    <w:basedOn w:val="TOC1Char"/>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TOC1Char"/>
    <w:link w:val="HeaderCoverPage"/>
    <w:rPr>
      <w:rFonts w:ascii="Times New Roman" w:eastAsia="Times New Roman" w:hAnsi="Times New Roman" w:cs="Times New Roman"/>
      <w:sz w:val="24"/>
      <w:szCs w:val="20"/>
    </w:rPr>
  </w:style>
  <w:style w:type="paragraph" w:styleId="BodyText3">
    <w:name w:val="Body Text 3"/>
    <w:basedOn w:val="Normal"/>
    <w:link w:val="BodyText3Char"/>
    <w:pPr>
      <w:spacing w:after="120"/>
    </w:pPr>
    <w:rPr>
      <w:rFonts w:ascii="Arial" w:hAnsi="Arial"/>
      <w:sz w:val="16"/>
    </w:rPr>
  </w:style>
  <w:style w:type="character" w:customStyle="1" w:styleId="BodyText3Char">
    <w:name w:val="Body Text 3 Char"/>
    <w:basedOn w:val="DefaultParagraphFont"/>
    <w:link w:val="BodyText3"/>
    <w:rPr>
      <w:rFonts w:ascii="Arial" w:eastAsia="Times New Roman" w:hAnsi="Arial" w:cs="Times New Roman"/>
      <w:sz w:val="16"/>
      <w:szCs w:val="20"/>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0"/>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9627">
      <w:bodyDiv w:val="1"/>
      <w:marLeft w:val="0"/>
      <w:marRight w:val="0"/>
      <w:marTop w:val="0"/>
      <w:marBottom w:val="0"/>
      <w:divBdr>
        <w:top w:val="none" w:sz="0" w:space="0" w:color="auto"/>
        <w:left w:val="none" w:sz="0" w:space="0" w:color="auto"/>
        <w:bottom w:val="none" w:sz="0" w:space="0" w:color="auto"/>
        <w:right w:val="none" w:sz="0" w:space="0" w:color="auto"/>
      </w:divBdr>
    </w:div>
    <w:div w:id="47269707">
      <w:bodyDiv w:val="1"/>
      <w:marLeft w:val="0"/>
      <w:marRight w:val="0"/>
      <w:marTop w:val="0"/>
      <w:marBottom w:val="0"/>
      <w:divBdr>
        <w:top w:val="none" w:sz="0" w:space="0" w:color="auto"/>
        <w:left w:val="none" w:sz="0" w:space="0" w:color="auto"/>
        <w:bottom w:val="none" w:sz="0" w:space="0" w:color="auto"/>
        <w:right w:val="none" w:sz="0" w:space="0" w:color="auto"/>
      </w:divBdr>
    </w:div>
    <w:div w:id="69667509">
      <w:bodyDiv w:val="1"/>
      <w:marLeft w:val="0"/>
      <w:marRight w:val="0"/>
      <w:marTop w:val="0"/>
      <w:marBottom w:val="0"/>
      <w:divBdr>
        <w:top w:val="none" w:sz="0" w:space="0" w:color="auto"/>
        <w:left w:val="none" w:sz="0" w:space="0" w:color="auto"/>
        <w:bottom w:val="none" w:sz="0" w:space="0" w:color="auto"/>
        <w:right w:val="none" w:sz="0" w:space="0" w:color="auto"/>
      </w:divBdr>
    </w:div>
    <w:div w:id="88742016">
      <w:bodyDiv w:val="1"/>
      <w:marLeft w:val="0"/>
      <w:marRight w:val="0"/>
      <w:marTop w:val="0"/>
      <w:marBottom w:val="0"/>
      <w:divBdr>
        <w:top w:val="none" w:sz="0" w:space="0" w:color="auto"/>
        <w:left w:val="none" w:sz="0" w:space="0" w:color="auto"/>
        <w:bottom w:val="none" w:sz="0" w:space="0" w:color="auto"/>
        <w:right w:val="none" w:sz="0" w:space="0" w:color="auto"/>
      </w:divBdr>
    </w:div>
    <w:div w:id="113908812">
      <w:bodyDiv w:val="1"/>
      <w:marLeft w:val="0"/>
      <w:marRight w:val="0"/>
      <w:marTop w:val="0"/>
      <w:marBottom w:val="0"/>
      <w:divBdr>
        <w:top w:val="none" w:sz="0" w:space="0" w:color="auto"/>
        <w:left w:val="none" w:sz="0" w:space="0" w:color="auto"/>
        <w:bottom w:val="none" w:sz="0" w:space="0" w:color="auto"/>
        <w:right w:val="none" w:sz="0" w:space="0" w:color="auto"/>
      </w:divBdr>
    </w:div>
    <w:div w:id="161971653">
      <w:bodyDiv w:val="1"/>
      <w:marLeft w:val="0"/>
      <w:marRight w:val="0"/>
      <w:marTop w:val="0"/>
      <w:marBottom w:val="0"/>
      <w:divBdr>
        <w:top w:val="none" w:sz="0" w:space="0" w:color="auto"/>
        <w:left w:val="none" w:sz="0" w:space="0" w:color="auto"/>
        <w:bottom w:val="none" w:sz="0" w:space="0" w:color="auto"/>
        <w:right w:val="none" w:sz="0" w:space="0" w:color="auto"/>
      </w:divBdr>
    </w:div>
    <w:div w:id="163594572">
      <w:bodyDiv w:val="1"/>
      <w:marLeft w:val="0"/>
      <w:marRight w:val="0"/>
      <w:marTop w:val="0"/>
      <w:marBottom w:val="0"/>
      <w:divBdr>
        <w:top w:val="none" w:sz="0" w:space="0" w:color="auto"/>
        <w:left w:val="none" w:sz="0" w:space="0" w:color="auto"/>
        <w:bottom w:val="none" w:sz="0" w:space="0" w:color="auto"/>
        <w:right w:val="none" w:sz="0" w:space="0" w:color="auto"/>
      </w:divBdr>
    </w:div>
    <w:div w:id="164444687">
      <w:bodyDiv w:val="1"/>
      <w:marLeft w:val="0"/>
      <w:marRight w:val="0"/>
      <w:marTop w:val="0"/>
      <w:marBottom w:val="0"/>
      <w:divBdr>
        <w:top w:val="none" w:sz="0" w:space="0" w:color="auto"/>
        <w:left w:val="none" w:sz="0" w:space="0" w:color="auto"/>
        <w:bottom w:val="none" w:sz="0" w:space="0" w:color="auto"/>
        <w:right w:val="none" w:sz="0" w:space="0" w:color="auto"/>
      </w:divBdr>
    </w:div>
    <w:div w:id="184952051">
      <w:bodyDiv w:val="1"/>
      <w:marLeft w:val="0"/>
      <w:marRight w:val="0"/>
      <w:marTop w:val="0"/>
      <w:marBottom w:val="0"/>
      <w:divBdr>
        <w:top w:val="none" w:sz="0" w:space="0" w:color="auto"/>
        <w:left w:val="none" w:sz="0" w:space="0" w:color="auto"/>
        <w:bottom w:val="none" w:sz="0" w:space="0" w:color="auto"/>
        <w:right w:val="none" w:sz="0" w:space="0" w:color="auto"/>
      </w:divBdr>
    </w:div>
    <w:div w:id="200363207">
      <w:bodyDiv w:val="1"/>
      <w:marLeft w:val="0"/>
      <w:marRight w:val="0"/>
      <w:marTop w:val="0"/>
      <w:marBottom w:val="0"/>
      <w:divBdr>
        <w:top w:val="none" w:sz="0" w:space="0" w:color="auto"/>
        <w:left w:val="none" w:sz="0" w:space="0" w:color="auto"/>
        <w:bottom w:val="none" w:sz="0" w:space="0" w:color="auto"/>
        <w:right w:val="none" w:sz="0" w:space="0" w:color="auto"/>
      </w:divBdr>
    </w:div>
    <w:div w:id="206990373">
      <w:bodyDiv w:val="1"/>
      <w:marLeft w:val="0"/>
      <w:marRight w:val="0"/>
      <w:marTop w:val="0"/>
      <w:marBottom w:val="0"/>
      <w:divBdr>
        <w:top w:val="none" w:sz="0" w:space="0" w:color="auto"/>
        <w:left w:val="none" w:sz="0" w:space="0" w:color="auto"/>
        <w:bottom w:val="none" w:sz="0" w:space="0" w:color="auto"/>
        <w:right w:val="none" w:sz="0" w:space="0" w:color="auto"/>
      </w:divBdr>
    </w:div>
    <w:div w:id="228544657">
      <w:bodyDiv w:val="1"/>
      <w:marLeft w:val="0"/>
      <w:marRight w:val="0"/>
      <w:marTop w:val="0"/>
      <w:marBottom w:val="0"/>
      <w:divBdr>
        <w:top w:val="none" w:sz="0" w:space="0" w:color="auto"/>
        <w:left w:val="none" w:sz="0" w:space="0" w:color="auto"/>
        <w:bottom w:val="none" w:sz="0" w:space="0" w:color="auto"/>
        <w:right w:val="none" w:sz="0" w:space="0" w:color="auto"/>
      </w:divBdr>
    </w:div>
    <w:div w:id="234777100">
      <w:bodyDiv w:val="1"/>
      <w:marLeft w:val="0"/>
      <w:marRight w:val="0"/>
      <w:marTop w:val="0"/>
      <w:marBottom w:val="0"/>
      <w:divBdr>
        <w:top w:val="none" w:sz="0" w:space="0" w:color="auto"/>
        <w:left w:val="none" w:sz="0" w:space="0" w:color="auto"/>
        <w:bottom w:val="none" w:sz="0" w:space="0" w:color="auto"/>
        <w:right w:val="none" w:sz="0" w:space="0" w:color="auto"/>
      </w:divBdr>
    </w:div>
    <w:div w:id="237784682">
      <w:bodyDiv w:val="1"/>
      <w:marLeft w:val="0"/>
      <w:marRight w:val="0"/>
      <w:marTop w:val="0"/>
      <w:marBottom w:val="0"/>
      <w:divBdr>
        <w:top w:val="none" w:sz="0" w:space="0" w:color="auto"/>
        <w:left w:val="none" w:sz="0" w:space="0" w:color="auto"/>
        <w:bottom w:val="none" w:sz="0" w:space="0" w:color="auto"/>
        <w:right w:val="none" w:sz="0" w:space="0" w:color="auto"/>
      </w:divBdr>
    </w:div>
    <w:div w:id="264927036">
      <w:bodyDiv w:val="1"/>
      <w:marLeft w:val="0"/>
      <w:marRight w:val="0"/>
      <w:marTop w:val="0"/>
      <w:marBottom w:val="0"/>
      <w:divBdr>
        <w:top w:val="none" w:sz="0" w:space="0" w:color="auto"/>
        <w:left w:val="none" w:sz="0" w:space="0" w:color="auto"/>
        <w:bottom w:val="none" w:sz="0" w:space="0" w:color="auto"/>
        <w:right w:val="none" w:sz="0" w:space="0" w:color="auto"/>
      </w:divBdr>
    </w:div>
    <w:div w:id="273756425">
      <w:bodyDiv w:val="1"/>
      <w:marLeft w:val="0"/>
      <w:marRight w:val="0"/>
      <w:marTop w:val="0"/>
      <w:marBottom w:val="0"/>
      <w:divBdr>
        <w:top w:val="none" w:sz="0" w:space="0" w:color="auto"/>
        <w:left w:val="none" w:sz="0" w:space="0" w:color="auto"/>
        <w:bottom w:val="none" w:sz="0" w:space="0" w:color="auto"/>
        <w:right w:val="none" w:sz="0" w:space="0" w:color="auto"/>
      </w:divBdr>
    </w:div>
    <w:div w:id="310133436">
      <w:bodyDiv w:val="1"/>
      <w:marLeft w:val="0"/>
      <w:marRight w:val="0"/>
      <w:marTop w:val="0"/>
      <w:marBottom w:val="0"/>
      <w:divBdr>
        <w:top w:val="none" w:sz="0" w:space="0" w:color="auto"/>
        <w:left w:val="none" w:sz="0" w:space="0" w:color="auto"/>
        <w:bottom w:val="none" w:sz="0" w:space="0" w:color="auto"/>
        <w:right w:val="none" w:sz="0" w:space="0" w:color="auto"/>
      </w:divBdr>
    </w:div>
    <w:div w:id="328026044">
      <w:bodyDiv w:val="1"/>
      <w:marLeft w:val="0"/>
      <w:marRight w:val="0"/>
      <w:marTop w:val="0"/>
      <w:marBottom w:val="0"/>
      <w:divBdr>
        <w:top w:val="none" w:sz="0" w:space="0" w:color="auto"/>
        <w:left w:val="none" w:sz="0" w:space="0" w:color="auto"/>
        <w:bottom w:val="none" w:sz="0" w:space="0" w:color="auto"/>
        <w:right w:val="none" w:sz="0" w:space="0" w:color="auto"/>
      </w:divBdr>
    </w:div>
    <w:div w:id="328605550">
      <w:bodyDiv w:val="1"/>
      <w:marLeft w:val="0"/>
      <w:marRight w:val="0"/>
      <w:marTop w:val="0"/>
      <w:marBottom w:val="0"/>
      <w:divBdr>
        <w:top w:val="none" w:sz="0" w:space="0" w:color="auto"/>
        <w:left w:val="none" w:sz="0" w:space="0" w:color="auto"/>
        <w:bottom w:val="none" w:sz="0" w:space="0" w:color="auto"/>
        <w:right w:val="none" w:sz="0" w:space="0" w:color="auto"/>
      </w:divBdr>
    </w:div>
    <w:div w:id="341393613">
      <w:bodyDiv w:val="1"/>
      <w:marLeft w:val="0"/>
      <w:marRight w:val="0"/>
      <w:marTop w:val="0"/>
      <w:marBottom w:val="0"/>
      <w:divBdr>
        <w:top w:val="none" w:sz="0" w:space="0" w:color="auto"/>
        <w:left w:val="none" w:sz="0" w:space="0" w:color="auto"/>
        <w:bottom w:val="none" w:sz="0" w:space="0" w:color="auto"/>
        <w:right w:val="none" w:sz="0" w:space="0" w:color="auto"/>
      </w:divBdr>
    </w:div>
    <w:div w:id="355620763">
      <w:bodyDiv w:val="1"/>
      <w:marLeft w:val="0"/>
      <w:marRight w:val="0"/>
      <w:marTop w:val="0"/>
      <w:marBottom w:val="0"/>
      <w:divBdr>
        <w:top w:val="none" w:sz="0" w:space="0" w:color="auto"/>
        <w:left w:val="none" w:sz="0" w:space="0" w:color="auto"/>
        <w:bottom w:val="none" w:sz="0" w:space="0" w:color="auto"/>
        <w:right w:val="none" w:sz="0" w:space="0" w:color="auto"/>
      </w:divBdr>
    </w:div>
    <w:div w:id="419958377">
      <w:bodyDiv w:val="1"/>
      <w:marLeft w:val="0"/>
      <w:marRight w:val="0"/>
      <w:marTop w:val="0"/>
      <w:marBottom w:val="0"/>
      <w:divBdr>
        <w:top w:val="none" w:sz="0" w:space="0" w:color="auto"/>
        <w:left w:val="none" w:sz="0" w:space="0" w:color="auto"/>
        <w:bottom w:val="none" w:sz="0" w:space="0" w:color="auto"/>
        <w:right w:val="none" w:sz="0" w:space="0" w:color="auto"/>
      </w:divBdr>
    </w:div>
    <w:div w:id="463699528">
      <w:bodyDiv w:val="1"/>
      <w:marLeft w:val="0"/>
      <w:marRight w:val="0"/>
      <w:marTop w:val="0"/>
      <w:marBottom w:val="0"/>
      <w:divBdr>
        <w:top w:val="none" w:sz="0" w:space="0" w:color="auto"/>
        <w:left w:val="none" w:sz="0" w:space="0" w:color="auto"/>
        <w:bottom w:val="none" w:sz="0" w:space="0" w:color="auto"/>
        <w:right w:val="none" w:sz="0" w:space="0" w:color="auto"/>
      </w:divBdr>
    </w:div>
    <w:div w:id="494304660">
      <w:bodyDiv w:val="1"/>
      <w:marLeft w:val="0"/>
      <w:marRight w:val="0"/>
      <w:marTop w:val="0"/>
      <w:marBottom w:val="0"/>
      <w:divBdr>
        <w:top w:val="none" w:sz="0" w:space="0" w:color="auto"/>
        <w:left w:val="none" w:sz="0" w:space="0" w:color="auto"/>
        <w:bottom w:val="none" w:sz="0" w:space="0" w:color="auto"/>
        <w:right w:val="none" w:sz="0" w:space="0" w:color="auto"/>
      </w:divBdr>
    </w:div>
    <w:div w:id="499347134">
      <w:bodyDiv w:val="1"/>
      <w:marLeft w:val="0"/>
      <w:marRight w:val="0"/>
      <w:marTop w:val="0"/>
      <w:marBottom w:val="0"/>
      <w:divBdr>
        <w:top w:val="none" w:sz="0" w:space="0" w:color="auto"/>
        <w:left w:val="none" w:sz="0" w:space="0" w:color="auto"/>
        <w:bottom w:val="none" w:sz="0" w:space="0" w:color="auto"/>
        <w:right w:val="none" w:sz="0" w:space="0" w:color="auto"/>
      </w:divBdr>
    </w:div>
    <w:div w:id="510291882">
      <w:bodyDiv w:val="1"/>
      <w:marLeft w:val="0"/>
      <w:marRight w:val="0"/>
      <w:marTop w:val="0"/>
      <w:marBottom w:val="0"/>
      <w:divBdr>
        <w:top w:val="none" w:sz="0" w:space="0" w:color="auto"/>
        <w:left w:val="none" w:sz="0" w:space="0" w:color="auto"/>
        <w:bottom w:val="none" w:sz="0" w:space="0" w:color="auto"/>
        <w:right w:val="none" w:sz="0" w:space="0" w:color="auto"/>
      </w:divBdr>
    </w:div>
    <w:div w:id="510342454">
      <w:bodyDiv w:val="1"/>
      <w:marLeft w:val="0"/>
      <w:marRight w:val="0"/>
      <w:marTop w:val="0"/>
      <w:marBottom w:val="0"/>
      <w:divBdr>
        <w:top w:val="none" w:sz="0" w:space="0" w:color="auto"/>
        <w:left w:val="none" w:sz="0" w:space="0" w:color="auto"/>
        <w:bottom w:val="none" w:sz="0" w:space="0" w:color="auto"/>
        <w:right w:val="none" w:sz="0" w:space="0" w:color="auto"/>
      </w:divBdr>
      <w:divsChild>
        <w:div w:id="1498425888">
          <w:marLeft w:val="0"/>
          <w:marRight w:val="0"/>
          <w:marTop w:val="0"/>
          <w:marBottom w:val="0"/>
          <w:divBdr>
            <w:top w:val="none" w:sz="0" w:space="0" w:color="auto"/>
            <w:left w:val="none" w:sz="0" w:space="0" w:color="auto"/>
            <w:bottom w:val="none" w:sz="0" w:space="0" w:color="auto"/>
            <w:right w:val="none" w:sz="0" w:space="0" w:color="auto"/>
          </w:divBdr>
          <w:divsChild>
            <w:div w:id="623267961">
              <w:marLeft w:val="0"/>
              <w:marRight w:val="0"/>
              <w:marTop w:val="0"/>
              <w:marBottom w:val="0"/>
              <w:divBdr>
                <w:top w:val="none" w:sz="0" w:space="0" w:color="auto"/>
                <w:left w:val="none" w:sz="0" w:space="0" w:color="auto"/>
                <w:bottom w:val="none" w:sz="0" w:space="0" w:color="auto"/>
                <w:right w:val="none" w:sz="0" w:space="0" w:color="auto"/>
              </w:divBdr>
              <w:divsChild>
                <w:div w:id="597252353">
                  <w:marLeft w:val="0"/>
                  <w:marRight w:val="0"/>
                  <w:marTop w:val="0"/>
                  <w:marBottom w:val="0"/>
                  <w:divBdr>
                    <w:top w:val="none" w:sz="0" w:space="0" w:color="auto"/>
                    <w:left w:val="none" w:sz="0" w:space="0" w:color="auto"/>
                    <w:bottom w:val="none" w:sz="0" w:space="0" w:color="auto"/>
                    <w:right w:val="none" w:sz="0" w:space="0" w:color="auto"/>
                  </w:divBdr>
                  <w:divsChild>
                    <w:div w:id="18179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625997">
      <w:bodyDiv w:val="1"/>
      <w:marLeft w:val="0"/>
      <w:marRight w:val="0"/>
      <w:marTop w:val="0"/>
      <w:marBottom w:val="0"/>
      <w:divBdr>
        <w:top w:val="none" w:sz="0" w:space="0" w:color="auto"/>
        <w:left w:val="none" w:sz="0" w:space="0" w:color="auto"/>
        <w:bottom w:val="none" w:sz="0" w:space="0" w:color="auto"/>
        <w:right w:val="none" w:sz="0" w:space="0" w:color="auto"/>
      </w:divBdr>
    </w:div>
    <w:div w:id="545219765">
      <w:bodyDiv w:val="1"/>
      <w:marLeft w:val="0"/>
      <w:marRight w:val="0"/>
      <w:marTop w:val="0"/>
      <w:marBottom w:val="0"/>
      <w:divBdr>
        <w:top w:val="none" w:sz="0" w:space="0" w:color="auto"/>
        <w:left w:val="none" w:sz="0" w:space="0" w:color="auto"/>
        <w:bottom w:val="none" w:sz="0" w:space="0" w:color="auto"/>
        <w:right w:val="none" w:sz="0" w:space="0" w:color="auto"/>
      </w:divBdr>
    </w:div>
    <w:div w:id="547760171">
      <w:bodyDiv w:val="1"/>
      <w:marLeft w:val="0"/>
      <w:marRight w:val="0"/>
      <w:marTop w:val="0"/>
      <w:marBottom w:val="0"/>
      <w:divBdr>
        <w:top w:val="none" w:sz="0" w:space="0" w:color="auto"/>
        <w:left w:val="none" w:sz="0" w:space="0" w:color="auto"/>
        <w:bottom w:val="none" w:sz="0" w:space="0" w:color="auto"/>
        <w:right w:val="none" w:sz="0" w:space="0" w:color="auto"/>
      </w:divBdr>
    </w:div>
    <w:div w:id="550772175">
      <w:bodyDiv w:val="1"/>
      <w:marLeft w:val="0"/>
      <w:marRight w:val="0"/>
      <w:marTop w:val="0"/>
      <w:marBottom w:val="0"/>
      <w:divBdr>
        <w:top w:val="none" w:sz="0" w:space="0" w:color="auto"/>
        <w:left w:val="none" w:sz="0" w:space="0" w:color="auto"/>
        <w:bottom w:val="none" w:sz="0" w:space="0" w:color="auto"/>
        <w:right w:val="none" w:sz="0" w:space="0" w:color="auto"/>
      </w:divBdr>
    </w:div>
    <w:div w:id="555556302">
      <w:bodyDiv w:val="1"/>
      <w:marLeft w:val="0"/>
      <w:marRight w:val="0"/>
      <w:marTop w:val="0"/>
      <w:marBottom w:val="0"/>
      <w:divBdr>
        <w:top w:val="none" w:sz="0" w:space="0" w:color="auto"/>
        <w:left w:val="none" w:sz="0" w:space="0" w:color="auto"/>
        <w:bottom w:val="none" w:sz="0" w:space="0" w:color="auto"/>
        <w:right w:val="none" w:sz="0" w:space="0" w:color="auto"/>
      </w:divBdr>
    </w:div>
    <w:div w:id="566839814">
      <w:bodyDiv w:val="1"/>
      <w:marLeft w:val="0"/>
      <w:marRight w:val="0"/>
      <w:marTop w:val="0"/>
      <w:marBottom w:val="0"/>
      <w:divBdr>
        <w:top w:val="none" w:sz="0" w:space="0" w:color="auto"/>
        <w:left w:val="none" w:sz="0" w:space="0" w:color="auto"/>
        <w:bottom w:val="none" w:sz="0" w:space="0" w:color="auto"/>
        <w:right w:val="none" w:sz="0" w:space="0" w:color="auto"/>
      </w:divBdr>
    </w:div>
    <w:div w:id="567568476">
      <w:bodyDiv w:val="1"/>
      <w:marLeft w:val="0"/>
      <w:marRight w:val="0"/>
      <w:marTop w:val="0"/>
      <w:marBottom w:val="0"/>
      <w:divBdr>
        <w:top w:val="none" w:sz="0" w:space="0" w:color="auto"/>
        <w:left w:val="none" w:sz="0" w:space="0" w:color="auto"/>
        <w:bottom w:val="none" w:sz="0" w:space="0" w:color="auto"/>
        <w:right w:val="none" w:sz="0" w:space="0" w:color="auto"/>
      </w:divBdr>
    </w:div>
    <w:div w:id="569116562">
      <w:bodyDiv w:val="1"/>
      <w:marLeft w:val="0"/>
      <w:marRight w:val="0"/>
      <w:marTop w:val="0"/>
      <w:marBottom w:val="0"/>
      <w:divBdr>
        <w:top w:val="none" w:sz="0" w:space="0" w:color="auto"/>
        <w:left w:val="none" w:sz="0" w:space="0" w:color="auto"/>
        <w:bottom w:val="none" w:sz="0" w:space="0" w:color="auto"/>
        <w:right w:val="none" w:sz="0" w:space="0" w:color="auto"/>
      </w:divBdr>
    </w:div>
    <w:div w:id="573898883">
      <w:bodyDiv w:val="1"/>
      <w:marLeft w:val="0"/>
      <w:marRight w:val="0"/>
      <w:marTop w:val="0"/>
      <w:marBottom w:val="0"/>
      <w:divBdr>
        <w:top w:val="none" w:sz="0" w:space="0" w:color="auto"/>
        <w:left w:val="none" w:sz="0" w:space="0" w:color="auto"/>
        <w:bottom w:val="none" w:sz="0" w:space="0" w:color="auto"/>
        <w:right w:val="none" w:sz="0" w:space="0" w:color="auto"/>
      </w:divBdr>
    </w:div>
    <w:div w:id="586235576">
      <w:bodyDiv w:val="1"/>
      <w:marLeft w:val="0"/>
      <w:marRight w:val="0"/>
      <w:marTop w:val="0"/>
      <w:marBottom w:val="0"/>
      <w:divBdr>
        <w:top w:val="none" w:sz="0" w:space="0" w:color="auto"/>
        <w:left w:val="none" w:sz="0" w:space="0" w:color="auto"/>
        <w:bottom w:val="none" w:sz="0" w:space="0" w:color="auto"/>
        <w:right w:val="none" w:sz="0" w:space="0" w:color="auto"/>
      </w:divBdr>
    </w:div>
    <w:div w:id="632558217">
      <w:bodyDiv w:val="1"/>
      <w:marLeft w:val="0"/>
      <w:marRight w:val="0"/>
      <w:marTop w:val="0"/>
      <w:marBottom w:val="0"/>
      <w:divBdr>
        <w:top w:val="none" w:sz="0" w:space="0" w:color="auto"/>
        <w:left w:val="none" w:sz="0" w:space="0" w:color="auto"/>
        <w:bottom w:val="none" w:sz="0" w:space="0" w:color="auto"/>
        <w:right w:val="none" w:sz="0" w:space="0" w:color="auto"/>
      </w:divBdr>
    </w:div>
    <w:div w:id="634457737">
      <w:bodyDiv w:val="1"/>
      <w:marLeft w:val="0"/>
      <w:marRight w:val="0"/>
      <w:marTop w:val="0"/>
      <w:marBottom w:val="0"/>
      <w:divBdr>
        <w:top w:val="none" w:sz="0" w:space="0" w:color="auto"/>
        <w:left w:val="none" w:sz="0" w:space="0" w:color="auto"/>
        <w:bottom w:val="none" w:sz="0" w:space="0" w:color="auto"/>
        <w:right w:val="none" w:sz="0" w:space="0" w:color="auto"/>
      </w:divBdr>
    </w:div>
    <w:div w:id="663434729">
      <w:bodyDiv w:val="1"/>
      <w:marLeft w:val="0"/>
      <w:marRight w:val="0"/>
      <w:marTop w:val="0"/>
      <w:marBottom w:val="0"/>
      <w:divBdr>
        <w:top w:val="none" w:sz="0" w:space="0" w:color="auto"/>
        <w:left w:val="none" w:sz="0" w:space="0" w:color="auto"/>
        <w:bottom w:val="none" w:sz="0" w:space="0" w:color="auto"/>
        <w:right w:val="none" w:sz="0" w:space="0" w:color="auto"/>
      </w:divBdr>
    </w:div>
    <w:div w:id="688987737">
      <w:bodyDiv w:val="1"/>
      <w:marLeft w:val="0"/>
      <w:marRight w:val="0"/>
      <w:marTop w:val="0"/>
      <w:marBottom w:val="0"/>
      <w:divBdr>
        <w:top w:val="none" w:sz="0" w:space="0" w:color="auto"/>
        <w:left w:val="none" w:sz="0" w:space="0" w:color="auto"/>
        <w:bottom w:val="none" w:sz="0" w:space="0" w:color="auto"/>
        <w:right w:val="none" w:sz="0" w:space="0" w:color="auto"/>
      </w:divBdr>
    </w:div>
    <w:div w:id="690497544">
      <w:bodyDiv w:val="1"/>
      <w:marLeft w:val="0"/>
      <w:marRight w:val="0"/>
      <w:marTop w:val="0"/>
      <w:marBottom w:val="0"/>
      <w:divBdr>
        <w:top w:val="none" w:sz="0" w:space="0" w:color="auto"/>
        <w:left w:val="none" w:sz="0" w:space="0" w:color="auto"/>
        <w:bottom w:val="none" w:sz="0" w:space="0" w:color="auto"/>
        <w:right w:val="none" w:sz="0" w:space="0" w:color="auto"/>
      </w:divBdr>
    </w:div>
    <w:div w:id="697006296">
      <w:bodyDiv w:val="1"/>
      <w:marLeft w:val="0"/>
      <w:marRight w:val="0"/>
      <w:marTop w:val="0"/>
      <w:marBottom w:val="0"/>
      <w:divBdr>
        <w:top w:val="none" w:sz="0" w:space="0" w:color="auto"/>
        <w:left w:val="none" w:sz="0" w:space="0" w:color="auto"/>
        <w:bottom w:val="none" w:sz="0" w:space="0" w:color="auto"/>
        <w:right w:val="none" w:sz="0" w:space="0" w:color="auto"/>
      </w:divBdr>
    </w:div>
    <w:div w:id="697853805">
      <w:bodyDiv w:val="1"/>
      <w:marLeft w:val="0"/>
      <w:marRight w:val="0"/>
      <w:marTop w:val="0"/>
      <w:marBottom w:val="0"/>
      <w:divBdr>
        <w:top w:val="none" w:sz="0" w:space="0" w:color="auto"/>
        <w:left w:val="none" w:sz="0" w:space="0" w:color="auto"/>
        <w:bottom w:val="none" w:sz="0" w:space="0" w:color="auto"/>
        <w:right w:val="none" w:sz="0" w:space="0" w:color="auto"/>
      </w:divBdr>
    </w:div>
    <w:div w:id="750927889">
      <w:bodyDiv w:val="1"/>
      <w:marLeft w:val="0"/>
      <w:marRight w:val="0"/>
      <w:marTop w:val="0"/>
      <w:marBottom w:val="0"/>
      <w:divBdr>
        <w:top w:val="none" w:sz="0" w:space="0" w:color="auto"/>
        <w:left w:val="none" w:sz="0" w:space="0" w:color="auto"/>
        <w:bottom w:val="none" w:sz="0" w:space="0" w:color="auto"/>
        <w:right w:val="none" w:sz="0" w:space="0" w:color="auto"/>
      </w:divBdr>
    </w:div>
    <w:div w:id="753091913">
      <w:bodyDiv w:val="1"/>
      <w:marLeft w:val="0"/>
      <w:marRight w:val="0"/>
      <w:marTop w:val="0"/>
      <w:marBottom w:val="0"/>
      <w:divBdr>
        <w:top w:val="none" w:sz="0" w:space="0" w:color="auto"/>
        <w:left w:val="none" w:sz="0" w:space="0" w:color="auto"/>
        <w:bottom w:val="none" w:sz="0" w:space="0" w:color="auto"/>
        <w:right w:val="none" w:sz="0" w:space="0" w:color="auto"/>
      </w:divBdr>
    </w:div>
    <w:div w:id="766582491">
      <w:bodyDiv w:val="1"/>
      <w:marLeft w:val="0"/>
      <w:marRight w:val="0"/>
      <w:marTop w:val="0"/>
      <w:marBottom w:val="0"/>
      <w:divBdr>
        <w:top w:val="none" w:sz="0" w:space="0" w:color="auto"/>
        <w:left w:val="none" w:sz="0" w:space="0" w:color="auto"/>
        <w:bottom w:val="none" w:sz="0" w:space="0" w:color="auto"/>
        <w:right w:val="none" w:sz="0" w:space="0" w:color="auto"/>
      </w:divBdr>
    </w:div>
    <w:div w:id="768162369">
      <w:bodyDiv w:val="1"/>
      <w:marLeft w:val="0"/>
      <w:marRight w:val="0"/>
      <w:marTop w:val="0"/>
      <w:marBottom w:val="0"/>
      <w:divBdr>
        <w:top w:val="none" w:sz="0" w:space="0" w:color="auto"/>
        <w:left w:val="none" w:sz="0" w:space="0" w:color="auto"/>
        <w:bottom w:val="none" w:sz="0" w:space="0" w:color="auto"/>
        <w:right w:val="none" w:sz="0" w:space="0" w:color="auto"/>
      </w:divBdr>
    </w:div>
    <w:div w:id="768310119">
      <w:bodyDiv w:val="1"/>
      <w:marLeft w:val="0"/>
      <w:marRight w:val="0"/>
      <w:marTop w:val="0"/>
      <w:marBottom w:val="0"/>
      <w:divBdr>
        <w:top w:val="none" w:sz="0" w:space="0" w:color="auto"/>
        <w:left w:val="none" w:sz="0" w:space="0" w:color="auto"/>
        <w:bottom w:val="none" w:sz="0" w:space="0" w:color="auto"/>
        <w:right w:val="none" w:sz="0" w:space="0" w:color="auto"/>
      </w:divBdr>
    </w:div>
    <w:div w:id="804347013">
      <w:bodyDiv w:val="1"/>
      <w:marLeft w:val="0"/>
      <w:marRight w:val="0"/>
      <w:marTop w:val="0"/>
      <w:marBottom w:val="0"/>
      <w:divBdr>
        <w:top w:val="none" w:sz="0" w:space="0" w:color="auto"/>
        <w:left w:val="none" w:sz="0" w:space="0" w:color="auto"/>
        <w:bottom w:val="none" w:sz="0" w:space="0" w:color="auto"/>
        <w:right w:val="none" w:sz="0" w:space="0" w:color="auto"/>
      </w:divBdr>
    </w:div>
    <w:div w:id="808284974">
      <w:bodyDiv w:val="1"/>
      <w:marLeft w:val="0"/>
      <w:marRight w:val="0"/>
      <w:marTop w:val="0"/>
      <w:marBottom w:val="0"/>
      <w:divBdr>
        <w:top w:val="none" w:sz="0" w:space="0" w:color="auto"/>
        <w:left w:val="none" w:sz="0" w:space="0" w:color="auto"/>
        <w:bottom w:val="none" w:sz="0" w:space="0" w:color="auto"/>
        <w:right w:val="none" w:sz="0" w:space="0" w:color="auto"/>
      </w:divBdr>
      <w:divsChild>
        <w:div w:id="80030280">
          <w:marLeft w:val="0"/>
          <w:marRight w:val="0"/>
          <w:marTop w:val="0"/>
          <w:marBottom w:val="0"/>
          <w:divBdr>
            <w:top w:val="none" w:sz="0" w:space="0" w:color="auto"/>
            <w:left w:val="none" w:sz="0" w:space="0" w:color="auto"/>
            <w:bottom w:val="none" w:sz="0" w:space="0" w:color="auto"/>
            <w:right w:val="none" w:sz="0" w:space="0" w:color="auto"/>
          </w:divBdr>
          <w:divsChild>
            <w:div w:id="805317859">
              <w:marLeft w:val="0"/>
              <w:marRight w:val="0"/>
              <w:marTop w:val="0"/>
              <w:marBottom w:val="0"/>
              <w:divBdr>
                <w:top w:val="none" w:sz="0" w:space="0" w:color="auto"/>
                <w:left w:val="none" w:sz="0" w:space="0" w:color="auto"/>
                <w:bottom w:val="none" w:sz="0" w:space="0" w:color="auto"/>
                <w:right w:val="none" w:sz="0" w:space="0" w:color="auto"/>
              </w:divBdr>
              <w:divsChild>
                <w:div w:id="1296717114">
                  <w:marLeft w:val="0"/>
                  <w:marRight w:val="0"/>
                  <w:marTop w:val="0"/>
                  <w:marBottom w:val="0"/>
                  <w:divBdr>
                    <w:top w:val="none" w:sz="0" w:space="0" w:color="auto"/>
                    <w:left w:val="none" w:sz="0" w:space="0" w:color="auto"/>
                    <w:bottom w:val="none" w:sz="0" w:space="0" w:color="auto"/>
                    <w:right w:val="none" w:sz="0" w:space="0" w:color="auto"/>
                  </w:divBdr>
                  <w:divsChild>
                    <w:div w:id="983853786">
                      <w:marLeft w:val="0"/>
                      <w:marRight w:val="0"/>
                      <w:marTop w:val="0"/>
                      <w:marBottom w:val="0"/>
                      <w:divBdr>
                        <w:top w:val="none" w:sz="0" w:space="0" w:color="auto"/>
                        <w:left w:val="none" w:sz="0" w:space="0" w:color="auto"/>
                        <w:bottom w:val="none" w:sz="0" w:space="0" w:color="auto"/>
                        <w:right w:val="none" w:sz="0" w:space="0" w:color="auto"/>
                      </w:divBdr>
                      <w:divsChild>
                        <w:div w:id="1370184208">
                          <w:marLeft w:val="0"/>
                          <w:marRight w:val="0"/>
                          <w:marTop w:val="0"/>
                          <w:marBottom w:val="0"/>
                          <w:divBdr>
                            <w:top w:val="none" w:sz="0" w:space="0" w:color="auto"/>
                            <w:left w:val="none" w:sz="0" w:space="0" w:color="auto"/>
                            <w:bottom w:val="none" w:sz="0" w:space="0" w:color="auto"/>
                            <w:right w:val="none" w:sz="0" w:space="0" w:color="auto"/>
                          </w:divBdr>
                          <w:divsChild>
                            <w:div w:id="194805491">
                              <w:marLeft w:val="0"/>
                              <w:marRight w:val="0"/>
                              <w:marTop w:val="0"/>
                              <w:marBottom w:val="0"/>
                              <w:divBdr>
                                <w:top w:val="none" w:sz="0" w:space="0" w:color="auto"/>
                                <w:left w:val="none" w:sz="0" w:space="0" w:color="auto"/>
                                <w:bottom w:val="none" w:sz="0" w:space="0" w:color="auto"/>
                                <w:right w:val="none" w:sz="0" w:space="0" w:color="auto"/>
                              </w:divBdr>
                              <w:divsChild>
                                <w:div w:id="1526169029">
                                  <w:marLeft w:val="0"/>
                                  <w:marRight w:val="0"/>
                                  <w:marTop w:val="0"/>
                                  <w:marBottom w:val="0"/>
                                  <w:divBdr>
                                    <w:top w:val="none" w:sz="0" w:space="0" w:color="auto"/>
                                    <w:left w:val="none" w:sz="0" w:space="0" w:color="auto"/>
                                    <w:bottom w:val="none" w:sz="0" w:space="0" w:color="auto"/>
                                    <w:right w:val="none" w:sz="0" w:space="0" w:color="auto"/>
                                  </w:divBdr>
                                  <w:divsChild>
                                    <w:div w:id="25174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5802271">
      <w:bodyDiv w:val="1"/>
      <w:marLeft w:val="0"/>
      <w:marRight w:val="0"/>
      <w:marTop w:val="0"/>
      <w:marBottom w:val="0"/>
      <w:divBdr>
        <w:top w:val="none" w:sz="0" w:space="0" w:color="auto"/>
        <w:left w:val="none" w:sz="0" w:space="0" w:color="auto"/>
        <w:bottom w:val="none" w:sz="0" w:space="0" w:color="auto"/>
        <w:right w:val="none" w:sz="0" w:space="0" w:color="auto"/>
      </w:divBdr>
    </w:div>
    <w:div w:id="823396326">
      <w:bodyDiv w:val="1"/>
      <w:marLeft w:val="0"/>
      <w:marRight w:val="0"/>
      <w:marTop w:val="0"/>
      <w:marBottom w:val="0"/>
      <w:divBdr>
        <w:top w:val="none" w:sz="0" w:space="0" w:color="auto"/>
        <w:left w:val="none" w:sz="0" w:space="0" w:color="auto"/>
        <w:bottom w:val="none" w:sz="0" w:space="0" w:color="auto"/>
        <w:right w:val="none" w:sz="0" w:space="0" w:color="auto"/>
      </w:divBdr>
    </w:div>
    <w:div w:id="829634639">
      <w:bodyDiv w:val="1"/>
      <w:marLeft w:val="0"/>
      <w:marRight w:val="0"/>
      <w:marTop w:val="0"/>
      <w:marBottom w:val="0"/>
      <w:divBdr>
        <w:top w:val="none" w:sz="0" w:space="0" w:color="auto"/>
        <w:left w:val="none" w:sz="0" w:space="0" w:color="auto"/>
        <w:bottom w:val="none" w:sz="0" w:space="0" w:color="auto"/>
        <w:right w:val="none" w:sz="0" w:space="0" w:color="auto"/>
      </w:divBdr>
    </w:div>
    <w:div w:id="837817263">
      <w:bodyDiv w:val="1"/>
      <w:marLeft w:val="0"/>
      <w:marRight w:val="0"/>
      <w:marTop w:val="0"/>
      <w:marBottom w:val="0"/>
      <w:divBdr>
        <w:top w:val="none" w:sz="0" w:space="0" w:color="auto"/>
        <w:left w:val="none" w:sz="0" w:space="0" w:color="auto"/>
        <w:bottom w:val="none" w:sz="0" w:space="0" w:color="auto"/>
        <w:right w:val="none" w:sz="0" w:space="0" w:color="auto"/>
      </w:divBdr>
    </w:div>
    <w:div w:id="842207614">
      <w:bodyDiv w:val="1"/>
      <w:marLeft w:val="0"/>
      <w:marRight w:val="0"/>
      <w:marTop w:val="0"/>
      <w:marBottom w:val="0"/>
      <w:divBdr>
        <w:top w:val="none" w:sz="0" w:space="0" w:color="auto"/>
        <w:left w:val="none" w:sz="0" w:space="0" w:color="auto"/>
        <w:bottom w:val="none" w:sz="0" w:space="0" w:color="auto"/>
        <w:right w:val="none" w:sz="0" w:space="0" w:color="auto"/>
      </w:divBdr>
    </w:div>
    <w:div w:id="846556232">
      <w:bodyDiv w:val="1"/>
      <w:marLeft w:val="0"/>
      <w:marRight w:val="0"/>
      <w:marTop w:val="0"/>
      <w:marBottom w:val="0"/>
      <w:divBdr>
        <w:top w:val="none" w:sz="0" w:space="0" w:color="auto"/>
        <w:left w:val="none" w:sz="0" w:space="0" w:color="auto"/>
        <w:bottom w:val="none" w:sz="0" w:space="0" w:color="auto"/>
        <w:right w:val="none" w:sz="0" w:space="0" w:color="auto"/>
      </w:divBdr>
    </w:div>
    <w:div w:id="875436434">
      <w:bodyDiv w:val="1"/>
      <w:marLeft w:val="0"/>
      <w:marRight w:val="0"/>
      <w:marTop w:val="0"/>
      <w:marBottom w:val="0"/>
      <w:divBdr>
        <w:top w:val="none" w:sz="0" w:space="0" w:color="auto"/>
        <w:left w:val="none" w:sz="0" w:space="0" w:color="auto"/>
        <w:bottom w:val="none" w:sz="0" w:space="0" w:color="auto"/>
        <w:right w:val="none" w:sz="0" w:space="0" w:color="auto"/>
      </w:divBdr>
    </w:div>
    <w:div w:id="886527721">
      <w:bodyDiv w:val="1"/>
      <w:marLeft w:val="0"/>
      <w:marRight w:val="0"/>
      <w:marTop w:val="0"/>
      <w:marBottom w:val="0"/>
      <w:divBdr>
        <w:top w:val="none" w:sz="0" w:space="0" w:color="auto"/>
        <w:left w:val="none" w:sz="0" w:space="0" w:color="auto"/>
        <w:bottom w:val="none" w:sz="0" w:space="0" w:color="auto"/>
        <w:right w:val="none" w:sz="0" w:space="0" w:color="auto"/>
      </w:divBdr>
    </w:div>
    <w:div w:id="887182147">
      <w:bodyDiv w:val="1"/>
      <w:marLeft w:val="0"/>
      <w:marRight w:val="0"/>
      <w:marTop w:val="0"/>
      <w:marBottom w:val="0"/>
      <w:divBdr>
        <w:top w:val="none" w:sz="0" w:space="0" w:color="auto"/>
        <w:left w:val="none" w:sz="0" w:space="0" w:color="auto"/>
        <w:bottom w:val="none" w:sz="0" w:space="0" w:color="auto"/>
        <w:right w:val="none" w:sz="0" w:space="0" w:color="auto"/>
      </w:divBdr>
    </w:div>
    <w:div w:id="903569429">
      <w:bodyDiv w:val="1"/>
      <w:marLeft w:val="0"/>
      <w:marRight w:val="0"/>
      <w:marTop w:val="0"/>
      <w:marBottom w:val="0"/>
      <w:divBdr>
        <w:top w:val="none" w:sz="0" w:space="0" w:color="auto"/>
        <w:left w:val="none" w:sz="0" w:space="0" w:color="auto"/>
        <w:bottom w:val="none" w:sz="0" w:space="0" w:color="auto"/>
        <w:right w:val="none" w:sz="0" w:space="0" w:color="auto"/>
      </w:divBdr>
    </w:div>
    <w:div w:id="928661816">
      <w:bodyDiv w:val="1"/>
      <w:marLeft w:val="0"/>
      <w:marRight w:val="0"/>
      <w:marTop w:val="0"/>
      <w:marBottom w:val="0"/>
      <w:divBdr>
        <w:top w:val="none" w:sz="0" w:space="0" w:color="auto"/>
        <w:left w:val="none" w:sz="0" w:space="0" w:color="auto"/>
        <w:bottom w:val="none" w:sz="0" w:space="0" w:color="auto"/>
        <w:right w:val="none" w:sz="0" w:space="0" w:color="auto"/>
      </w:divBdr>
    </w:div>
    <w:div w:id="959651925">
      <w:bodyDiv w:val="1"/>
      <w:marLeft w:val="0"/>
      <w:marRight w:val="0"/>
      <w:marTop w:val="0"/>
      <w:marBottom w:val="0"/>
      <w:divBdr>
        <w:top w:val="none" w:sz="0" w:space="0" w:color="auto"/>
        <w:left w:val="none" w:sz="0" w:space="0" w:color="auto"/>
        <w:bottom w:val="none" w:sz="0" w:space="0" w:color="auto"/>
        <w:right w:val="none" w:sz="0" w:space="0" w:color="auto"/>
      </w:divBdr>
    </w:div>
    <w:div w:id="989020368">
      <w:bodyDiv w:val="1"/>
      <w:marLeft w:val="0"/>
      <w:marRight w:val="0"/>
      <w:marTop w:val="0"/>
      <w:marBottom w:val="0"/>
      <w:divBdr>
        <w:top w:val="none" w:sz="0" w:space="0" w:color="auto"/>
        <w:left w:val="none" w:sz="0" w:space="0" w:color="auto"/>
        <w:bottom w:val="none" w:sz="0" w:space="0" w:color="auto"/>
        <w:right w:val="none" w:sz="0" w:space="0" w:color="auto"/>
      </w:divBdr>
    </w:div>
    <w:div w:id="1052265916">
      <w:bodyDiv w:val="1"/>
      <w:marLeft w:val="0"/>
      <w:marRight w:val="0"/>
      <w:marTop w:val="0"/>
      <w:marBottom w:val="0"/>
      <w:divBdr>
        <w:top w:val="none" w:sz="0" w:space="0" w:color="auto"/>
        <w:left w:val="none" w:sz="0" w:space="0" w:color="auto"/>
        <w:bottom w:val="none" w:sz="0" w:space="0" w:color="auto"/>
        <w:right w:val="none" w:sz="0" w:space="0" w:color="auto"/>
      </w:divBdr>
    </w:div>
    <w:div w:id="1069571327">
      <w:bodyDiv w:val="1"/>
      <w:marLeft w:val="0"/>
      <w:marRight w:val="0"/>
      <w:marTop w:val="0"/>
      <w:marBottom w:val="0"/>
      <w:divBdr>
        <w:top w:val="none" w:sz="0" w:space="0" w:color="auto"/>
        <w:left w:val="none" w:sz="0" w:space="0" w:color="auto"/>
        <w:bottom w:val="none" w:sz="0" w:space="0" w:color="auto"/>
        <w:right w:val="none" w:sz="0" w:space="0" w:color="auto"/>
      </w:divBdr>
    </w:div>
    <w:div w:id="1071078662">
      <w:bodyDiv w:val="1"/>
      <w:marLeft w:val="0"/>
      <w:marRight w:val="0"/>
      <w:marTop w:val="0"/>
      <w:marBottom w:val="0"/>
      <w:divBdr>
        <w:top w:val="none" w:sz="0" w:space="0" w:color="auto"/>
        <w:left w:val="none" w:sz="0" w:space="0" w:color="auto"/>
        <w:bottom w:val="none" w:sz="0" w:space="0" w:color="auto"/>
        <w:right w:val="none" w:sz="0" w:space="0" w:color="auto"/>
      </w:divBdr>
    </w:div>
    <w:div w:id="1078861928">
      <w:bodyDiv w:val="1"/>
      <w:marLeft w:val="0"/>
      <w:marRight w:val="0"/>
      <w:marTop w:val="0"/>
      <w:marBottom w:val="0"/>
      <w:divBdr>
        <w:top w:val="none" w:sz="0" w:space="0" w:color="auto"/>
        <w:left w:val="none" w:sz="0" w:space="0" w:color="auto"/>
        <w:bottom w:val="none" w:sz="0" w:space="0" w:color="auto"/>
        <w:right w:val="none" w:sz="0" w:space="0" w:color="auto"/>
      </w:divBdr>
    </w:div>
    <w:div w:id="1078940943">
      <w:bodyDiv w:val="1"/>
      <w:marLeft w:val="0"/>
      <w:marRight w:val="0"/>
      <w:marTop w:val="0"/>
      <w:marBottom w:val="0"/>
      <w:divBdr>
        <w:top w:val="none" w:sz="0" w:space="0" w:color="auto"/>
        <w:left w:val="none" w:sz="0" w:space="0" w:color="auto"/>
        <w:bottom w:val="none" w:sz="0" w:space="0" w:color="auto"/>
        <w:right w:val="none" w:sz="0" w:space="0" w:color="auto"/>
      </w:divBdr>
    </w:div>
    <w:div w:id="1107895557">
      <w:bodyDiv w:val="1"/>
      <w:marLeft w:val="0"/>
      <w:marRight w:val="0"/>
      <w:marTop w:val="0"/>
      <w:marBottom w:val="0"/>
      <w:divBdr>
        <w:top w:val="none" w:sz="0" w:space="0" w:color="auto"/>
        <w:left w:val="none" w:sz="0" w:space="0" w:color="auto"/>
        <w:bottom w:val="none" w:sz="0" w:space="0" w:color="auto"/>
        <w:right w:val="none" w:sz="0" w:space="0" w:color="auto"/>
      </w:divBdr>
    </w:div>
    <w:div w:id="1111434722">
      <w:bodyDiv w:val="1"/>
      <w:marLeft w:val="0"/>
      <w:marRight w:val="0"/>
      <w:marTop w:val="0"/>
      <w:marBottom w:val="0"/>
      <w:divBdr>
        <w:top w:val="none" w:sz="0" w:space="0" w:color="auto"/>
        <w:left w:val="none" w:sz="0" w:space="0" w:color="auto"/>
        <w:bottom w:val="none" w:sz="0" w:space="0" w:color="auto"/>
        <w:right w:val="none" w:sz="0" w:space="0" w:color="auto"/>
      </w:divBdr>
    </w:div>
    <w:div w:id="1120300153">
      <w:bodyDiv w:val="1"/>
      <w:marLeft w:val="0"/>
      <w:marRight w:val="0"/>
      <w:marTop w:val="0"/>
      <w:marBottom w:val="0"/>
      <w:divBdr>
        <w:top w:val="none" w:sz="0" w:space="0" w:color="auto"/>
        <w:left w:val="none" w:sz="0" w:space="0" w:color="auto"/>
        <w:bottom w:val="none" w:sz="0" w:space="0" w:color="auto"/>
        <w:right w:val="none" w:sz="0" w:space="0" w:color="auto"/>
      </w:divBdr>
    </w:div>
    <w:div w:id="1184318647">
      <w:bodyDiv w:val="1"/>
      <w:marLeft w:val="0"/>
      <w:marRight w:val="0"/>
      <w:marTop w:val="0"/>
      <w:marBottom w:val="0"/>
      <w:divBdr>
        <w:top w:val="none" w:sz="0" w:space="0" w:color="auto"/>
        <w:left w:val="none" w:sz="0" w:space="0" w:color="auto"/>
        <w:bottom w:val="none" w:sz="0" w:space="0" w:color="auto"/>
        <w:right w:val="none" w:sz="0" w:space="0" w:color="auto"/>
      </w:divBdr>
    </w:div>
    <w:div w:id="1187214057">
      <w:bodyDiv w:val="1"/>
      <w:marLeft w:val="0"/>
      <w:marRight w:val="0"/>
      <w:marTop w:val="0"/>
      <w:marBottom w:val="0"/>
      <w:divBdr>
        <w:top w:val="none" w:sz="0" w:space="0" w:color="auto"/>
        <w:left w:val="none" w:sz="0" w:space="0" w:color="auto"/>
        <w:bottom w:val="none" w:sz="0" w:space="0" w:color="auto"/>
        <w:right w:val="none" w:sz="0" w:space="0" w:color="auto"/>
      </w:divBdr>
    </w:div>
    <w:div w:id="1200775996">
      <w:bodyDiv w:val="1"/>
      <w:marLeft w:val="0"/>
      <w:marRight w:val="0"/>
      <w:marTop w:val="0"/>
      <w:marBottom w:val="0"/>
      <w:divBdr>
        <w:top w:val="none" w:sz="0" w:space="0" w:color="auto"/>
        <w:left w:val="none" w:sz="0" w:space="0" w:color="auto"/>
        <w:bottom w:val="none" w:sz="0" w:space="0" w:color="auto"/>
        <w:right w:val="none" w:sz="0" w:space="0" w:color="auto"/>
      </w:divBdr>
    </w:div>
    <w:div w:id="1204051377">
      <w:bodyDiv w:val="1"/>
      <w:marLeft w:val="0"/>
      <w:marRight w:val="0"/>
      <w:marTop w:val="0"/>
      <w:marBottom w:val="0"/>
      <w:divBdr>
        <w:top w:val="none" w:sz="0" w:space="0" w:color="auto"/>
        <w:left w:val="none" w:sz="0" w:space="0" w:color="auto"/>
        <w:bottom w:val="none" w:sz="0" w:space="0" w:color="auto"/>
        <w:right w:val="none" w:sz="0" w:space="0" w:color="auto"/>
      </w:divBdr>
    </w:div>
    <w:div w:id="1223563238">
      <w:bodyDiv w:val="1"/>
      <w:marLeft w:val="0"/>
      <w:marRight w:val="0"/>
      <w:marTop w:val="0"/>
      <w:marBottom w:val="0"/>
      <w:divBdr>
        <w:top w:val="none" w:sz="0" w:space="0" w:color="auto"/>
        <w:left w:val="none" w:sz="0" w:space="0" w:color="auto"/>
        <w:bottom w:val="none" w:sz="0" w:space="0" w:color="auto"/>
        <w:right w:val="none" w:sz="0" w:space="0" w:color="auto"/>
      </w:divBdr>
    </w:div>
    <w:div w:id="1224440684">
      <w:bodyDiv w:val="1"/>
      <w:marLeft w:val="0"/>
      <w:marRight w:val="0"/>
      <w:marTop w:val="0"/>
      <w:marBottom w:val="0"/>
      <w:divBdr>
        <w:top w:val="none" w:sz="0" w:space="0" w:color="auto"/>
        <w:left w:val="none" w:sz="0" w:space="0" w:color="auto"/>
        <w:bottom w:val="none" w:sz="0" w:space="0" w:color="auto"/>
        <w:right w:val="none" w:sz="0" w:space="0" w:color="auto"/>
      </w:divBdr>
    </w:div>
    <w:div w:id="1251816221">
      <w:bodyDiv w:val="1"/>
      <w:marLeft w:val="0"/>
      <w:marRight w:val="0"/>
      <w:marTop w:val="0"/>
      <w:marBottom w:val="0"/>
      <w:divBdr>
        <w:top w:val="none" w:sz="0" w:space="0" w:color="auto"/>
        <w:left w:val="none" w:sz="0" w:space="0" w:color="auto"/>
        <w:bottom w:val="none" w:sz="0" w:space="0" w:color="auto"/>
        <w:right w:val="none" w:sz="0" w:space="0" w:color="auto"/>
      </w:divBdr>
    </w:div>
    <w:div w:id="1261599143">
      <w:bodyDiv w:val="1"/>
      <w:marLeft w:val="0"/>
      <w:marRight w:val="0"/>
      <w:marTop w:val="0"/>
      <w:marBottom w:val="0"/>
      <w:divBdr>
        <w:top w:val="none" w:sz="0" w:space="0" w:color="auto"/>
        <w:left w:val="none" w:sz="0" w:space="0" w:color="auto"/>
        <w:bottom w:val="none" w:sz="0" w:space="0" w:color="auto"/>
        <w:right w:val="none" w:sz="0" w:space="0" w:color="auto"/>
      </w:divBdr>
    </w:div>
    <w:div w:id="1283076272">
      <w:bodyDiv w:val="1"/>
      <w:marLeft w:val="0"/>
      <w:marRight w:val="0"/>
      <w:marTop w:val="0"/>
      <w:marBottom w:val="0"/>
      <w:divBdr>
        <w:top w:val="none" w:sz="0" w:space="0" w:color="auto"/>
        <w:left w:val="none" w:sz="0" w:space="0" w:color="auto"/>
        <w:bottom w:val="none" w:sz="0" w:space="0" w:color="auto"/>
        <w:right w:val="none" w:sz="0" w:space="0" w:color="auto"/>
      </w:divBdr>
    </w:div>
    <w:div w:id="1286623561">
      <w:bodyDiv w:val="1"/>
      <w:marLeft w:val="0"/>
      <w:marRight w:val="0"/>
      <w:marTop w:val="0"/>
      <w:marBottom w:val="0"/>
      <w:divBdr>
        <w:top w:val="none" w:sz="0" w:space="0" w:color="auto"/>
        <w:left w:val="none" w:sz="0" w:space="0" w:color="auto"/>
        <w:bottom w:val="none" w:sz="0" w:space="0" w:color="auto"/>
        <w:right w:val="none" w:sz="0" w:space="0" w:color="auto"/>
      </w:divBdr>
    </w:div>
    <w:div w:id="1294408141">
      <w:bodyDiv w:val="1"/>
      <w:marLeft w:val="0"/>
      <w:marRight w:val="0"/>
      <w:marTop w:val="0"/>
      <w:marBottom w:val="0"/>
      <w:divBdr>
        <w:top w:val="none" w:sz="0" w:space="0" w:color="auto"/>
        <w:left w:val="none" w:sz="0" w:space="0" w:color="auto"/>
        <w:bottom w:val="none" w:sz="0" w:space="0" w:color="auto"/>
        <w:right w:val="none" w:sz="0" w:space="0" w:color="auto"/>
      </w:divBdr>
    </w:div>
    <w:div w:id="1299187652">
      <w:bodyDiv w:val="1"/>
      <w:marLeft w:val="0"/>
      <w:marRight w:val="0"/>
      <w:marTop w:val="0"/>
      <w:marBottom w:val="0"/>
      <w:divBdr>
        <w:top w:val="none" w:sz="0" w:space="0" w:color="auto"/>
        <w:left w:val="none" w:sz="0" w:space="0" w:color="auto"/>
        <w:bottom w:val="none" w:sz="0" w:space="0" w:color="auto"/>
        <w:right w:val="none" w:sz="0" w:space="0" w:color="auto"/>
      </w:divBdr>
    </w:div>
    <w:div w:id="1301224800">
      <w:bodyDiv w:val="1"/>
      <w:marLeft w:val="0"/>
      <w:marRight w:val="0"/>
      <w:marTop w:val="0"/>
      <w:marBottom w:val="0"/>
      <w:divBdr>
        <w:top w:val="none" w:sz="0" w:space="0" w:color="auto"/>
        <w:left w:val="none" w:sz="0" w:space="0" w:color="auto"/>
        <w:bottom w:val="none" w:sz="0" w:space="0" w:color="auto"/>
        <w:right w:val="none" w:sz="0" w:space="0" w:color="auto"/>
      </w:divBdr>
    </w:div>
    <w:div w:id="1330673147">
      <w:bodyDiv w:val="1"/>
      <w:marLeft w:val="0"/>
      <w:marRight w:val="0"/>
      <w:marTop w:val="0"/>
      <w:marBottom w:val="0"/>
      <w:divBdr>
        <w:top w:val="none" w:sz="0" w:space="0" w:color="auto"/>
        <w:left w:val="none" w:sz="0" w:space="0" w:color="auto"/>
        <w:bottom w:val="none" w:sz="0" w:space="0" w:color="auto"/>
        <w:right w:val="none" w:sz="0" w:space="0" w:color="auto"/>
      </w:divBdr>
    </w:div>
    <w:div w:id="1352223583">
      <w:bodyDiv w:val="1"/>
      <w:marLeft w:val="0"/>
      <w:marRight w:val="0"/>
      <w:marTop w:val="0"/>
      <w:marBottom w:val="0"/>
      <w:divBdr>
        <w:top w:val="none" w:sz="0" w:space="0" w:color="auto"/>
        <w:left w:val="none" w:sz="0" w:space="0" w:color="auto"/>
        <w:bottom w:val="none" w:sz="0" w:space="0" w:color="auto"/>
        <w:right w:val="none" w:sz="0" w:space="0" w:color="auto"/>
      </w:divBdr>
    </w:div>
    <w:div w:id="1354578312">
      <w:bodyDiv w:val="1"/>
      <w:marLeft w:val="0"/>
      <w:marRight w:val="0"/>
      <w:marTop w:val="0"/>
      <w:marBottom w:val="0"/>
      <w:divBdr>
        <w:top w:val="none" w:sz="0" w:space="0" w:color="auto"/>
        <w:left w:val="none" w:sz="0" w:space="0" w:color="auto"/>
        <w:bottom w:val="none" w:sz="0" w:space="0" w:color="auto"/>
        <w:right w:val="none" w:sz="0" w:space="0" w:color="auto"/>
      </w:divBdr>
    </w:div>
    <w:div w:id="1363701221">
      <w:bodyDiv w:val="1"/>
      <w:marLeft w:val="0"/>
      <w:marRight w:val="0"/>
      <w:marTop w:val="0"/>
      <w:marBottom w:val="0"/>
      <w:divBdr>
        <w:top w:val="none" w:sz="0" w:space="0" w:color="auto"/>
        <w:left w:val="none" w:sz="0" w:space="0" w:color="auto"/>
        <w:bottom w:val="none" w:sz="0" w:space="0" w:color="auto"/>
        <w:right w:val="none" w:sz="0" w:space="0" w:color="auto"/>
      </w:divBdr>
    </w:div>
    <w:div w:id="1371346933">
      <w:bodyDiv w:val="1"/>
      <w:marLeft w:val="0"/>
      <w:marRight w:val="0"/>
      <w:marTop w:val="0"/>
      <w:marBottom w:val="0"/>
      <w:divBdr>
        <w:top w:val="none" w:sz="0" w:space="0" w:color="auto"/>
        <w:left w:val="none" w:sz="0" w:space="0" w:color="auto"/>
        <w:bottom w:val="none" w:sz="0" w:space="0" w:color="auto"/>
        <w:right w:val="none" w:sz="0" w:space="0" w:color="auto"/>
      </w:divBdr>
    </w:div>
    <w:div w:id="1371959515">
      <w:bodyDiv w:val="1"/>
      <w:marLeft w:val="0"/>
      <w:marRight w:val="0"/>
      <w:marTop w:val="0"/>
      <w:marBottom w:val="0"/>
      <w:divBdr>
        <w:top w:val="none" w:sz="0" w:space="0" w:color="auto"/>
        <w:left w:val="none" w:sz="0" w:space="0" w:color="auto"/>
        <w:bottom w:val="none" w:sz="0" w:space="0" w:color="auto"/>
        <w:right w:val="none" w:sz="0" w:space="0" w:color="auto"/>
      </w:divBdr>
    </w:div>
    <w:div w:id="1398556831">
      <w:bodyDiv w:val="1"/>
      <w:marLeft w:val="0"/>
      <w:marRight w:val="0"/>
      <w:marTop w:val="0"/>
      <w:marBottom w:val="0"/>
      <w:divBdr>
        <w:top w:val="none" w:sz="0" w:space="0" w:color="auto"/>
        <w:left w:val="none" w:sz="0" w:space="0" w:color="auto"/>
        <w:bottom w:val="none" w:sz="0" w:space="0" w:color="auto"/>
        <w:right w:val="none" w:sz="0" w:space="0" w:color="auto"/>
      </w:divBdr>
    </w:div>
    <w:div w:id="1399552800">
      <w:bodyDiv w:val="1"/>
      <w:marLeft w:val="0"/>
      <w:marRight w:val="0"/>
      <w:marTop w:val="0"/>
      <w:marBottom w:val="0"/>
      <w:divBdr>
        <w:top w:val="none" w:sz="0" w:space="0" w:color="auto"/>
        <w:left w:val="none" w:sz="0" w:space="0" w:color="auto"/>
        <w:bottom w:val="none" w:sz="0" w:space="0" w:color="auto"/>
        <w:right w:val="none" w:sz="0" w:space="0" w:color="auto"/>
      </w:divBdr>
    </w:div>
    <w:div w:id="1408727725">
      <w:bodyDiv w:val="1"/>
      <w:marLeft w:val="0"/>
      <w:marRight w:val="0"/>
      <w:marTop w:val="0"/>
      <w:marBottom w:val="0"/>
      <w:divBdr>
        <w:top w:val="none" w:sz="0" w:space="0" w:color="auto"/>
        <w:left w:val="none" w:sz="0" w:space="0" w:color="auto"/>
        <w:bottom w:val="none" w:sz="0" w:space="0" w:color="auto"/>
        <w:right w:val="none" w:sz="0" w:space="0" w:color="auto"/>
      </w:divBdr>
    </w:div>
    <w:div w:id="1409308616">
      <w:bodyDiv w:val="1"/>
      <w:marLeft w:val="0"/>
      <w:marRight w:val="0"/>
      <w:marTop w:val="0"/>
      <w:marBottom w:val="0"/>
      <w:divBdr>
        <w:top w:val="none" w:sz="0" w:space="0" w:color="auto"/>
        <w:left w:val="none" w:sz="0" w:space="0" w:color="auto"/>
        <w:bottom w:val="none" w:sz="0" w:space="0" w:color="auto"/>
        <w:right w:val="none" w:sz="0" w:space="0" w:color="auto"/>
      </w:divBdr>
    </w:div>
    <w:div w:id="1434206895">
      <w:bodyDiv w:val="1"/>
      <w:marLeft w:val="0"/>
      <w:marRight w:val="0"/>
      <w:marTop w:val="0"/>
      <w:marBottom w:val="0"/>
      <w:divBdr>
        <w:top w:val="none" w:sz="0" w:space="0" w:color="auto"/>
        <w:left w:val="none" w:sz="0" w:space="0" w:color="auto"/>
        <w:bottom w:val="none" w:sz="0" w:space="0" w:color="auto"/>
        <w:right w:val="none" w:sz="0" w:space="0" w:color="auto"/>
      </w:divBdr>
    </w:div>
    <w:div w:id="1532719781">
      <w:bodyDiv w:val="1"/>
      <w:marLeft w:val="0"/>
      <w:marRight w:val="0"/>
      <w:marTop w:val="0"/>
      <w:marBottom w:val="0"/>
      <w:divBdr>
        <w:top w:val="none" w:sz="0" w:space="0" w:color="auto"/>
        <w:left w:val="none" w:sz="0" w:space="0" w:color="auto"/>
        <w:bottom w:val="none" w:sz="0" w:space="0" w:color="auto"/>
        <w:right w:val="none" w:sz="0" w:space="0" w:color="auto"/>
      </w:divBdr>
    </w:div>
    <w:div w:id="1550531351">
      <w:bodyDiv w:val="1"/>
      <w:marLeft w:val="0"/>
      <w:marRight w:val="0"/>
      <w:marTop w:val="0"/>
      <w:marBottom w:val="0"/>
      <w:divBdr>
        <w:top w:val="none" w:sz="0" w:space="0" w:color="auto"/>
        <w:left w:val="none" w:sz="0" w:space="0" w:color="auto"/>
        <w:bottom w:val="none" w:sz="0" w:space="0" w:color="auto"/>
        <w:right w:val="none" w:sz="0" w:space="0" w:color="auto"/>
      </w:divBdr>
    </w:div>
    <w:div w:id="1586500440">
      <w:bodyDiv w:val="1"/>
      <w:marLeft w:val="0"/>
      <w:marRight w:val="0"/>
      <w:marTop w:val="0"/>
      <w:marBottom w:val="0"/>
      <w:divBdr>
        <w:top w:val="none" w:sz="0" w:space="0" w:color="auto"/>
        <w:left w:val="none" w:sz="0" w:space="0" w:color="auto"/>
        <w:bottom w:val="none" w:sz="0" w:space="0" w:color="auto"/>
        <w:right w:val="none" w:sz="0" w:space="0" w:color="auto"/>
      </w:divBdr>
    </w:div>
    <w:div w:id="1588465380">
      <w:bodyDiv w:val="1"/>
      <w:marLeft w:val="0"/>
      <w:marRight w:val="0"/>
      <w:marTop w:val="0"/>
      <w:marBottom w:val="0"/>
      <w:divBdr>
        <w:top w:val="none" w:sz="0" w:space="0" w:color="auto"/>
        <w:left w:val="none" w:sz="0" w:space="0" w:color="auto"/>
        <w:bottom w:val="none" w:sz="0" w:space="0" w:color="auto"/>
        <w:right w:val="none" w:sz="0" w:space="0" w:color="auto"/>
      </w:divBdr>
    </w:div>
    <w:div w:id="1602254836">
      <w:bodyDiv w:val="1"/>
      <w:marLeft w:val="0"/>
      <w:marRight w:val="0"/>
      <w:marTop w:val="0"/>
      <w:marBottom w:val="0"/>
      <w:divBdr>
        <w:top w:val="none" w:sz="0" w:space="0" w:color="auto"/>
        <w:left w:val="none" w:sz="0" w:space="0" w:color="auto"/>
        <w:bottom w:val="none" w:sz="0" w:space="0" w:color="auto"/>
        <w:right w:val="none" w:sz="0" w:space="0" w:color="auto"/>
      </w:divBdr>
    </w:div>
    <w:div w:id="1628511960">
      <w:bodyDiv w:val="1"/>
      <w:marLeft w:val="0"/>
      <w:marRight w:val="0"/>
      <w:marTop w:val="0"/>
      <w:marBottom w:val="0"/>
      <w:divBdr>
        <w:top w:val="none" w:sz="0" w:space="0" w:color="auto"/>
        <w:left w:val="none" w:sz="0" w:space="0" w:color="auto"/>
        <w:bottom w:val="none" w:sz="0" w:space="0" w:color="auto"/>
        <w:right w:val="none" w:sz="0" w:space="0" w:color="auto"/>
      </w:divBdr>
    </w:div>
    <w:div w:id="1641232405">
      <w:bodyDiv w:val="1"/>
      <w:marLeft w:val="0"/>
      <w:marRight w:val="0"/>
      <w:marTop w:val="0"/>
      <w:marBottom w:val="0"/>
      <w:divBdr>
        <w:top w:val="none" w:sz="0" w:space="0" w:color="auto"/>
        <w:left w:val="none" w:sz="0" w:space="0" w:color="auto"/>
        <w:bottom w:val="none" w:sz="0" w:space="0" w:color="auto"/>
        <w:right w:val="none" w:sz="0" w:space="0" w:color="auto"/>
      </w:divBdr>
    </w:div>
    <w:div w:id="1666666153">
      <w:bodyDiv w:val="1"/>
      <w:marLeft w:val="0"/>
      <w:marRight w:val="0"/>
      <w:marTop w:val="0"/>
      <w:marBottom w:val="0"/>
      <w:divBdr>
        <w:top w:val="none" w:sz="0" w:space="0" w:color="auto"/>
        <w:left w:val="none" w:sz="0" w:space="0" w:color="auto"/>
        <w:bottom w:val="none" w:sz="0" w:space="0" w:color="auto"/>
        <w:right w:val="none" w:sz="0" w:space="0" w:color="auto"/>
      </w:divBdr>
    </w:div>
    <w:div w:id="1666979126">
      <w:bodyDiv w:val="1"/>
      <w:marLeft w:val="0"/>
      <w:marRight w:val="0"/>
      <w:marTop w:val="0"/>
      <w:marBottom w:val="0"/>
      <w:divBdr>
        <w:top w:val="none" w:sz="0" w:space="0" w:color="auto"/>
        <w:left w:val="none" w:sz="0" w:space="0" w:color="auto"/>
        <w:bottom w:val="none" w:sz="0" w:space="0" w:color="auto"/>
        <w:right w:val="none" w:sz="0" w:space="0" w:color="auto"/>
      </w:divBdr>
    </w:div>
    <w:div w:id="1676417470">
      <w:bodyDiv w:val="1"/>
      <w:marLeft w:val="0"/>
      <w:marRight w:val="0"/>
      <w:marTop w:val="0"/>
      <w:marBottom w:val="0"/>
      <w:divBdr>
        <w:top w:val="none" w:sz="0" w:space="0" w:color="auto"/>
        <w:left w:val="none" w:sz="0" w:space="0" w:color="auto"/>
        <w:bottom w:val="none" w:sz="0" w:space="0" w:color="auto"/>
        <w:right w:val="none" w:sz="0" w:space="0" w:color="auto"/>
      </w:divBdr>
    </w:div>
    <w:div w:id="1689286572">
      <w:bodyDiv w:val="1"/>
      <w:marLeft w:val="0"/>
      <w:marRight w:val="0"/>
      <w:marTop w:val="0"/>
      <w:marBottom w:val="0"/>
      <w:divBdr>
        <w:top w:val="none" w:sz="0" w:space="0" w:color="auto"/>
        <w:left w:val="none" w:sz="0" w:space="0" w:color="auto"/>
        <w:bottom w:val="none" w:sz="0" w:space="0" w:color="auto"/>
        <w:right w:val="none" w:sz="0" w:space="0" w:color="auto"/>
      </w:divBdr>
    </w:div>
    <w:div w:id="1693872957">
      <w:bodyDiv w:val="1"/>
      <w:marLeft w:val="0"/>
      <w:marRight w:val="0"/>
      <w:marTop w:val="0"/>
      <w:marBottom w:val="0"/>
      <w:divBdr>
        <w:top w:val="none" w:sz="0" w:space="0" w:color="auto"/>
        <w:left w:val="none" w:sz="0" w:space="0" w:color="auto"/>
        <w:bottom w:val="none" w:sz="0" w:space="0" w:color="auto"/>
        <w:right w:val="none" w:sz="0" w:space="0" w:color="auto"/>
      </w:divBdr>
    </w:div>
    <w:div w:id="1705712613">
      <w:bodyDiv w:val="1"/>
      <w:marLeft w:val="0"/>
      <w:marRight w:val="0"/>
      <w:marTop w:val="0"/>
      <w:marBottom w:val="0"/>
      <w:divBdr>
        <w:top w:val="none" w:sz="0" w:space="0" w:color="auto"/>
        <w:left w:val="none" w:sz="0" w:space="0" w:color="auto"/>
        <w:bottom w:val="none" w:sz="0" w:space="0" w:color="auto"/>
        <w:right w:val="none" w:sz="0" w:space="0" w:color="auto"/>
      </w:divBdr>
      <w:divsChild>
        <w:div w:id="561214638">
          <w:marLeft w:val="0"/>
          <w:marRight w:val="0"/>
          <w:marTop w:val="0"/>
          <w:marBottom w:val="0"/>
          <w:divBdr>
            <w:top w:val="none" w:sz="0" w:space="0" w:color="auto"/>
            <w:left w:val="none" w:sz="0" w:space="0" w:color="auto"/>
            <w:bottom w:val="none" w:sz="0" w:space="0" w:color="auto"/>
            <w:right w:val="none" w:sz="0" w:space="0" w:color="auto"/>
          </w:divBdr>
          <w:divsChild>
            <w:div w:id="197283386">
              <w:marLeft w:val="0"/>
              <w:marRight w:val="0"/>
              <w:marTop w:val="0"/>
              <w:marBottom w:val="0"/>
              <w:divBdr>
                <w:top w:val="none" w:sz="0" w:space="0" w:color="auto"/>
                <w:left w:val="none" w:sz="0" w:space="0" w:color="auto"/>
                <w:bottom w:val="none" w:sz="0" w:space="0" w:color="auto"/>
                <w:right w:val="none" w:sz="0" w:space="0" w:color="auto"/>
              </w:divBdr>
              <w:divsChild>
                <w:div w:id="1915628984">
                  <w:marLeft w:val="0"/>
                  <w:marRight w:val="0"/>
                  <w:marTop w:val="0"/>
                  <w:marBottom w:val="0"/>
                  <w:divBdr>
                    <w:top w:val="none" w:sz="0" w:space="0" w:color="auto"/>
                    <w:left w:val="none" w:sz="0" w:space="0" w:color="auto"/>
                    <w:bottom w:val="none" w:sz="0" w:space="0" w:color="auto"/>
                    <w:right w:val="none" w:sz="0" w:space="0" w:color="auto"/>
                  </w:divBdr>
                  <w:divsChild>
                    <w:div w:id="949313022">
                      <w:marLeft w:val="0"/>
                      <w:marRight w:val="0"/>
                      <w:marTop w:val="0"/>
                      <w:marBottom w:val="0"/>
                      <w:divBdr>
                        <w:top w:val="none" w:sz="0" w:space="0" w:color="auto"/>
                        <w:left w:val="none" w:sz="0" w:space="0" w:color="auto"/>
                        <w:bottom w:val="none" w:sz="0" w:space="0" w:color="auto"/>
                        <w:right w:val="none" w:sz="0" w:space="0" w:color="auto"/>
                      </w:divBdr>
                      <w:divsChild>
                        <w:div w:id="271323262">
                          <w:marLeft w:val="0"/>
                          <w:marRight w:val="0"/>
                          <w:marTop w:val="0"/>
                          <w:marBottom w:val="0"/>
                          <w:divBdr>
                            <w:top w:val="none" w:sz="0" w:space="0" w:color="auto"/>
                            <w:left w:val="none" w:sz="0" w:space="0" w:color="auto"/>
                            <w:bottom w:val="none" w:sz="0" w:space="0" w:color="auto"/>
                            <w:right w:val="none" w:sz="0" w:space="0" w:color="auto"/>
                          </w:divBdr>
                          <w:divsChild>
                            <w:div w:id="2129733211">
                              <w:marLeft w:val="0"/>
                              <w:marRight w:val="0"/>
                              <w:marTop w:val="0"/>
                              <w:marBottom w:val="0"/>
                              <w:divBdr>
                                <w:top w:val="none" w:sz="0" w:space="0" w:color="auto"/>
                                <w:left w:val="none" w:sz="0" w:space="0" w:color="auto"/>
                                <w:bottom w:val="none" w:sz="0" w:space="0" w:color="auto"/>
                                <w:right w:val="none" w:sz="0" w:space="0" w:color="auto"/>
                              </w:divBdr>
                              <w:divsChild>
                                <w:div w:id="1970546450">
                                  <w:marLeft w:val="0"/>
                                  <w:marRight w:val="0"/>
                                  <w:marTop w:val="0"/>
                                  <w:marBottom w:val="0"/>
                                  <w:divBdr>
                                    <w:top w:val="none" w:sz="0" w:space="0" w:color="auto"/>
                                    <w:left w:val="none" w:sz="0" w:space="0" w:color="auto"/>
                                    <w:bottom w:val="none" w:sz="0" w:space="0" w:color="auto"/>
                                    <w:right w:val="none" w:sz="0" w:space="0" w:color="auto"/>
                                  </w:divBdr>
                                  <w:divsChild>
                                    <w:div w:id="660040414">
                                      <w:marLeft w:val="0"/>
                                      <w:marRight w:val="0"/>
                                      <w:marTop w:val="0"/>
                                      <w:marBottom w:val="0"/>
                                      <w:divBdr>
                                        <w:top w:val="none" w:sz="0" w:space="0" w:color="auto"/>
                                        <w:left w:val="none" w:sz="0" w:space="0" w:color="auto"/>
                                        <w:bottom w:val="none" w:sz="0" w:space="0" w:color="auto"/>
                                        <w:right w:val="none" w:sz="0" w:space="0" w:color="auto"/>
                                      </w:divBdr>
                                      <w:divsChild>
                                        <w:div w:id="1457522362">
                                          <w:marLeft w:val="0"/>
                                          <w:marRight w:val="0"/>
                                          <w:marTop w:val="0"/>
                                          <w:marBottom w:val="0"/>
                                          <w:divBdr>
                                            <w:top w:val="none" w:sz="0" w:space="0" w:color="auto"/>
                                            <w:left w:val="none" w:sz="0" w:space="0" w:color="auto"/>
                                            <w:bottom w:val="none" w:sz="0" w:space="0" w:color="auto"/>
                                            <w:right w:val="none" w:sz="0" w:space="0" w:color="auto"/>
                                          </w:divBdr>
                                          <w:divsChild>
                                            <w:div w:id="21177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1683068">
      <w:bodyDiv w:val="1"/>
      <w:marLeft w:val="0"/>
      <w:marRight w:val="0"/>
      <w:marTop w:val="0"/>
      <w:marBottom w:val="0"/>
      <w:divBdr>
        <w:top w:val="none" w:sz="0" w:space="0" w:color="auto"/>
        <w:left w:val="none" w:sz="0" w:space="0" w:color="auto"/>
        <w:bottom w:val="none" w:sz="0" w:space="0" w:color="auto"/>
        <w:right w:val="none" w:sz="0" w:space="0" w:color="auto"/>
      </w:divBdr>
    </w:div>
    <w:div w:id="1715424259">
      <w:bodyDiv w:val="1"/>
      <w:marLeft w:val="0"/>
      <w:marRight w:val="0"/>
      <w:marTop w:val="0"/>
      <w:marBottom w:val="0"/>
      <w:divBdr>
        <w:top w:val="none" w:sz="0" w:space="0" w:color="auto"/>
        <w:left w:val="none" w:sz="0" w:space="0" w:color="auto"/>
        <w:bottom w:val="none" w:sz="0" w:space="0" w:color="auto"/>
        <w:right w:val="none" w:sz="0" w:space="0" w:color="auto"/>
      </w:divBdr>
    </w:div>
    <w:div w:id="1722561300">
      <w:bodyDiv w:val="1"/>
      <w:marLeft w:val="0"/>
      <w:marRight w:val="0"/>
      <w:marTop w:val="0"/>
      <w:marBottom w:val="0"/>
      <w:divBdr>
        <w:top w:val="none" w:sz="0" w:space="0" w:color="auto"/>
        <w:left w:val="none" w:sz="0" w:space="0" w:color="auto"/>
        <w:bottom w:val="none" w:sz="0" w:space="0" w:color="auto"/>
        <w:right w:val="none" w:sz="0" w:space="0" w:color="auto"/>
      </w:divBdr>
    </w:div>
    <w:div w:id="1731616389">
      <w:bodyDiv w:val="1"/>
      <w:marLeft w:val="0"/>
      <w:marRight w:val="0"/>
      <w:marTop w:val="0"/>
      <w:marBottom w:val="0"/>
      <w:divBdr>
        <w:top w:val="none" w:sz="0" w:space="0" w:color="auto"/>
        <w:left w:val="none" w:sz="0" w:space="0" w:color="auto"/>
        <w:bottom w:val="none" w:sz="0" w:space="0" w:color="auto"/>
        <w:right w:val="none" w:sz="0" w:space="0" w:color="auto"/>
      </w:divBdr>
    </w:div>
    <w:div w:id="1731688828">
      <w:bodyDiv w:val="1"/>
      <w:marLeft w:val="0"/>
      <w:marRight w:val="0"/>
      <w:marTop w:val="0"/>
      <w:marBottom w:val="0"/>
      <w:divBdr>
        <w:top w:val="none" w:sz="0" w:space="0" w:color="auto"/>
        <w:left w:val="none" w:sz="0" w:space="0" w:color="auto"/>
        <w:bottom w:val="none" w:sz="0" w:space="0" w:color="auto"/>
        <w:right w:val="none" w:sz="0" w:space="0" w:color="auto"/>
      </w:divBdr>
    </w:div>
    <w:div w:id="1741712457">
      <w:bodyDiv w:val="1"/>
      <w:marLeft w:val="0"/>
      <w:marRight w:val="0"/>
      <w:marTop w:val="0"/>
      <w:marBottom w:val="0"/>
      <w:divBdr>
        <w:top w:val="none" w:sz="0" w:space="0" w:color="auto"/>
        <w:left w:val="none" w:sz="0" w:space="0" w:color="auto"/>
        <w:bottom w:val="none" w:sz="0" w:space="0" w:color="auto"/>
        <w:right w:val="none" w:sz="0" w:space="0" w:color="auto"/>
      </w:divBdr>
    </w:div>
    <w:div w:id="1753812118">
      <w:bodyDiv w:val="1"/>
      <w:marLeft w:val="0"/>
      <w:marRight w:val="0"/>
      <w:marTop w:val="0"/>
      <w:marBottom w:val="0"/>
      <w:divBdr>
        <w:top w:val="none" w:sz="0" w:space="0" w:color="auto"/>
        <w:left w:val="none" w:sz="0" w:space="0" w:color="auto"/>
        <w:bottom w:val="none" w:sz="0" w:space="0" w:color="auto"/>
        <w:right w:val="none" w:sz="0" w:space="0" w:color="auto"/>
      </w:divBdr>
    </w:div>
    <w:div w:id="1754352012">
      <w:bodyDiv w:val="1"/>
      <w:marLeft w:val="0"/>
      <w:marRight w:val="0"/>
      <w:marTop w:val="0"/>
      <w:marBottom w:val="0"/>
      <w:divBdr>
        <w:top w:val="none" w:sz="0" w:space="0" w:color="auto"/>
        <w:left w:val="none" w:sz="0" w:space="0" w:color="auto"/>
        <w:bottom w:val="none" w:sz="0" w:space="0" w:color="auto"/>
        <w:right w:val="none" w:sz="0" w:space="0" w:color="auto"/>
      </w:divBdr>
    </w:div>
    <w:div w:id="1780836937">
      <w:bodyDiv w:val="1"/>
      <w:marLeft w:val="0"/>
      <w:marRight w:val="0"/>
      <w:marTop w:val="0"/>
      <w:marBottom w:val="0"/>
      <w:divBdr>
        <w:top w:val="none" w:sz="0" w:space="0" w:color="auto"/>
        <w:left w:val="none" w:sz="0" w:space="0" w:color="auto"/>
        <w:bottom w:val="none" w:sz="0" w:space="0" w:color="auto"/>
        <w:right w:val="none" w:sz="0" w:space="0" w:color="auto"/>
      </w:divBdr>
    </w:div>
    <w:div w:id="1789275532">
      <w:bodyDiv w:val="1"/>
      <w:marLeft w:val="0"/>
      <w:marRight w:val="0"/>
      <w:marTop w:val="0"/>
      <w:marBottom w:val="0"/>
      <w:divBdr>
        <w:top w:val="none" w:sz="0" w:space="0" w:color="auto"/>
        <w:left w:val="none" w:sz="0" w:space="0" w:color="auto"/>
        <w:bottom w:val="none" w:sz="0" w:space="0" w:color="auto"/>
        <w:right w:val="none" w:sz="0" w:space="0" w:color="auto"/>
      </w:divBdr>
    </w:div>
    <w:div w:id="1801724725">
      <w:bodyDiv w:val="1"/>
      <w:marLeft w:val="0"/>
      <w:marRight w:val="0"/>
      <w:marTop w:val="0"/>
      <w:marBottom w:val="0"/>
      <w:divBdr>
        <w:top w:val="none" w:sz="0" w:space="0" w:color="auto"/>
        <w:left w:val="none" w:sz="0" w:space="0" w:color="auto"/>
        <w:bottom w:val="none" w:sz="0" w:space="0" w:color="auto"/>
        <w:right w:val="none" w:sz="0" w:space="0" w:color="auto"/>
      </w:divBdr>
    </w:div>
    <w:div w:id="1804619018">
      <w:bodyDiv w:val="1"/>
      <w:marLeft w:val="0"/>
      <w:marRight w:val="0"/>
      <w:marTop w:val="0"/>
      <w:marBottom w:val="0"/>
      <w:divBdr>
        <w:top w:val="none" w:sz="0" w:space="0" w:color="auto"/>
        <w:left w:val="none" w:sz="0" w:space="0" w:color="auto"/>
        <w:bottom w:val="none" w:sz="0" w:space="0" w:color="auto"/>
        <w:right w:val="none" w:sz="0" w:space="0" w:color="auto"/>
      </w:divBdr>
    </w:div>
    <w:div w:id="1831553523">
      <w:bodyDiv w:val="1"/>
      <w:marLeft w:val="0"/>
      <w:marRight w:val="0"/>
      <w:marTop w:val="0"/>
      <w:marBottom w:val="0"/>
      <w:divBdr>
        <w:top w:val="none" w:sz="0" w:space="0" w:color="auto"/>
        <w:left w:val="none" w:sz="0" w:space="0" w:color="auto"/>
        <w:bottom w:val="none" w:sz="0" w:space="0" w:color="auto"/>
        <w:right w:val="none" w:sz="0" w:space="0" w:color="auto"/>
      </w:divBdr>
    </w:div>
    <w:div w:id="1854420313">
      <w:bodyDiv w:val="1"/>
      <w:marLeft w:val="0"/>
      <w:marRight w:val="0"/>
      <w:marTop w:val="0"/>
      <w:marBottom w:val="0"/>
      <w:divBdr>
        <w:top w:val="none" w:sz="0" w:space="0" w:color="auto"/>
        <w:left w:val="none" w:sz="0" w:space="0" w:color="auto"/>
        <w:bottom w:val="none" w:sz="0" w:space="0" w:color="auto"/>
        <w:right w:val="none" w:sz="0" w:space="0" w:color="auto"/>
      </w:divBdr>
    </w:div>
    <w:div w:id="1860193392">
      <w:bodyDiv w:val="1"/>
      <w:marLeft w:val="0"/>
      <w:marRight w:val="0"/>
      <w:marTop w:val="0"/>
      <w:marBottom w:val="0"/>
      <w:divBdr>
        <w:top w:val="none" w:sz="0" w:space="0" w:color="auto"/>
        <w:left w:val="none" w:sz="0" w:space="0" w:color="auto"/>
        <w:bottom w:val="none" w:sz="0" w:space="0" w:color="auto"/>
        <w:right w:val="none" w:sz="0" w:space="0" w:color="auto"/>
      </w:divBdr>
    </w:div>
    <w:div w:id="1861580891">
      <w:bodyDiv w:val="1"/>
      <w:marLeft w:val="0"/>
      <w:marRight w:val="0"/>
      <w:marTop w:val="0"/>
      <w:marBottom w:val="0"/>
      <w:divBdr>
        <w:top w:val="none" w:sz="0" w:space="0" w:color="auto"/>
        <w:left w:val="none" w:sz="0" w:space="0" w:color="auto"/>
        <w:bottom w:val="none" w:sz="0" w:space="0" w:color="auto"/>
        <w:right w:val="none" w:sz="0" w:space="0" w:color="auto"/>
      </w:divBdr>
    </w:div>
    <w:div w:id="1882814407">
      <w:bodyDiv w:val="1"/>
      <w:marLeft w:val="0"/>
      <w:marRight w:val="0"/>
      <w:marTop w:val="0"/>
      <w:marBottom w:val="0"/>
      <w:divBdr>
        <w:top w:val="none" w:sz="0" w:space="0" w:color="auto"/>
        <w:left w:val="none" w:sz="0" w:space="0" w:color="auto"/>
        <w:bottom w:val="none" w:sz="0" w:space="0" w:color="auto"/>
        <w:right w:val="none" w:sz="0" w:space="0" w:color="auto"/>
      </w:divBdr>
    </w:div>
    <w:div w:id="1888182311">
      <w:bodyDiv w:val="1"/>
      <w:marLeft w:val="0"/>
      <w:marRight w:val="0"/>
      <w:marTop w:val="0"/>
      <w:marBottom w:val="0"/>
      <w:divBdr>
        <w:top w:val="none" w:sz="0" w:space="0" w:color="auto"/>
        <w:left w:val="none" w:sz="0" w:space="0" w:color="auto"/>
        <w:bottom w:val="none" w:sz="0" w:space="0" w:color="auto"/>
        <w:right w:val="none" w:sz="0" w:space="0" w:color="auto"/>
      </w:divBdr>
    </w:div>
    <w:div w:id="1903372424">
      <w:bodyDiv w:val="1"/>
      <w:marLeft w:val="0"/>
      <w:marRight w:val="0"/>
      <w:marTop w:val="0"/>
      <w:marBottom w:val="0"/>
      <w:divBdr>
        <w:top w:val="none" w:sz="0" w:space="0" w:color="auto"/>
        <w:left w:val="none" w:sz="0" w:space="0" w:color="auto"/>
        <w:bottom w:val="none" w:sz="0" w:space="0" w:color="auto"/>
        <w:right w:val="none" w:sz="0" w:space="0" w:color="auto"/>
      </w:divBdr>
    </w:div>
    <w:div w:id="1915361110">
      <w:bodyDiv w:val="1"/>
      <w:marLeft w:val="0"/>
      <w:marRight w:val="0"/>
      <w:marTop w:val="0"/>
      <w:marBottom w:val="0"/>
      <w:divBdr>
        <w:top w:val="none" w:sz="0" w:space="0" w:color="auto"/>
        <w:left w:val="none" w:sz="0" w:space="0" w:color="auto"/>
        <w:bottom w:val="none" w:sz="0" w:space="0" w:color="auto"/>
        <w:right w:val="none" w:sz="0" w:space="0" w:color="auto"/>
      </w:divBdr>
    </w:div>
    <w:div w:id="1915969585">
      <w:bodyDiv w:val="1"/>
      <w:marLeft w:val="0"/>
      <w:marRight w:val="0"/>
      <w:marTop w:val="0"/>
      <w:marBottom w:val="0"/>
      <w:divBdr>
        <w:top w:val="none" w:sz="0" w:space="0" w:color="auto"/>
        <w:left w:val="none" w:sz="0" w:space="0" w:color="auto"/>
        <w:bottom w:val="none" w:sz="0" w:space="0" w:color="auto"/>
        <w:right w:val="none" w:sz="0" w:space="0" w:color="auto"/>
      </w:divBdr>
    </w:div>
    <w:div w:id="1923831100">
      <w:bodyDiv w:val="1"/>
      <w:marLeft w:val="0"/>
      <w:marRight w:val="0"/>
      <w:marTop w:val="0"/>
      <w:marBottom w:val="0"/>
      <w:divBdr>
        <w:top w:val="none" w:sz="0" w:space="0" w:color="auto"/>
        <w:left w:val="none" w:sz="0" w:space="0" w:color="auto"/>
        <w:bottom w:val="none" w:sz="0" w:space="0" w:color="auto"/>
        <w:right w:val="none" w:sz="0" w:space="0" w:color="auto"/>
      </w:divBdr>
    </w:div>
    <w:div w:id="1955483461">
      <w:bodyDiv w:val="1"/>
      <w:marLeft w:val="0"/>
      <w:marRight w:val="0"/>
      <w:marTop w:val="0"/>
      <w:marBottom w:val="0"/>
      <w:divBdr>
        <w:top w:val="none" w:sz="0" w:space="0" w:color="auto"/>
        <w:left w:val="none" w:sz="0" w:space="0" w:color="auto"/>
        <w:bottom w:val="none" w:sz="0" w:space="0" w:color="auto"/>
        <w:right w:val="none" w:sz="0" w:space="0" w:color="auto"/>
      </w:divBdr>
    </w:div>
    <w:div w:id="1983583243">
      <w:bodyDiv w:val="1"/>
      <w:marLeft w:val="0"/>
      <w:marRight w:val="0"/>
      <w:marTop w:val="0"/>
      <w:marBottom w:val="0"/>
      <w:divBdr>
        <w:top w:val="none" w:sz="0" w:space="0" w:color="auto"/>
        <w:left w:val="none" w:sz="0" w:space="0" w:color="auto"/>
        <w:bottom w:val="none" w:sz="0" w:space="0" w:color="auto"/>
        <w:right w:val="none" w:sz="0" w:space="0" w:color="auto"/>
      </w:divBdr>
    </w:div>
    <w:div w:id="1986348540">
      <w:bodyDiv w:val="1"/>
      <w:marLeft w:val="0"/>
      <w:marRight w:val="0"/>
      <w:marTop w:val="0"/>
      <w:marBottom w:val="0"/>
      <w:divBdr>
        <w:top w:val="none" w:sz="0" w:space="0" w:color="auto"/>
        <w:left w:val="none" w:sz="0" w:space="0" w:color="auto"/>
        <w:bottom w:val="none" w:sz="0" w:space="0" w:color="auto"/>
        <w:right w:val="none" w:sz="0" w:space="0" w:color="auto"/>
      </w:divBdr>
    </w:div>
    <w:div w:id="1990673315">
      <w:bodyDiv w:val="1"/>
      <w:marLeft w:val="0"/>
      <w:marRight w:val="0"/>
      <w:marTop w:val="0"/>
      <w:marBottom w:val="0"/>
      <w:divBdr>
        <w:top w:val="none" w:sz="0" w:space="0" w:color="auto"/>
        <w:left w:val="none" w:sz="0" w:space="0" w:color="auto"/>
        <w:bottom w:val="none" w:sz="0" w:space="0" w:color="auto"/>
        <w:right w:val="none" w:sz="0" w:space="0" w:color="auto"/>
      </w:divBdr>
    </w:div>
    <w:div w:id="2003661456">
      <w:bodyDiv w:val="1"/>
      <w:marLeft w:val="0"/>
      <w:marRight w:val="0"/>
      <w:marTop w:val="0"/>
      <w:marBottom w:val="0"/>
      <w:divBdr>
        <w:top w:val="none" w:sz="0" w:space="0" w:color="auto"/>
        <w:left w:val="none" w:sz="0" w:space="0" w:color="auto"/>
        <w:bottom w:val="none" w:sz="0" w:space="0" w:color="auto"/>
        <w:right w:val="none" w:sz="0" w:space="0" w:color="auto"/>
      </w:divBdr>
    </w:div>
    <w:div w:id="2018118495">
      <w:bodyDiv w:val="1"/>
      <w:marLeft w:val="0"/>
      <w:marRight w:val="0"/>
      <w:marTop w:val="0"/>
      <w:marBottom w:val="0"/>
      <w:divBdr>
        <w:top w:val="none" w:sz="0" w:space="0" w:color="auto"/>
        <w:left w:val="none" w:sz="0" w:space="0" w:color="auto"/>
        <w:bottom w:val="none" w:sz="0" w:space="0" w:color="auto"/>
        <w:right w:val="none" w:sz="0" w:space="0" w:color="auto"/>
      </w:divBdr>
    </w:div>
    <w:div w:id="2023429564">
      <w:bodyDiv w:val="1"/>
      <w:marLeft w:val="0"/>
      <w:marRight w:val="0"/>
      <w:marTop w:val="0"/>
      <w:marBottom w:val="0"/>
      <w:divBdr>
        <w:top w:val="none" w:sz="0" w:space="0" w:color="auto"/>
        <w:left w:val="none" w:sz="0" w:space="0" w:color="auto"/>
        <w:bottom w:val="none" w:sz="0" w:space="0" w:color="auto"/>
        <w:right w:val="none" w:sz="0" w:space="0" w:color="auto"/>
      </w:divBdr>
    </w:div>
    <w:div w:id="2027053037">
      <w:bodyDiv w:val="1"/>
      <w:marLeft w:val="0"/>
      <w:marRight w:val="0"/>
      <w:marTop w:val="0"/>
      <w:marBottom w:val="0"/>
      <w:divBdr>
        <w:top w:val="none" w:sz="0" w:space="0" w:color="auto"/>
        <w:left w:val="none" w:sz="0" w:space="0" w:color="auto"/>
        <w:bottom w:val="none" w:sz="0" w:space="0" w:color="auto"/>
        <w:right w:val="none" w:sz="0" w:space="0" w:color="auto"/>
      </w:divBdr>
    </w:div>
    <w:div w:id="2031057791">
      <w:bodyDiv w:val="1"/>
      <w:marLeft w:val="0"/>
      <w:marRight w:val="0"/>
      <w:marTop w:val="0"/>
      <w:marBottom w:val="0"/>
      <w:divBdr>
        <w:top w:val="none" w:sz="0" w:space="0" w:color="auto"/>
        <w:left w:val="none" w:sz="0" w:space="0" w:color="auto"/>
        <w:bottom w:val="none" w:sz="0" w:space="0" w:color="auto"/>
        <w:right w:val="none" w:sz="0" w:space="0" w:color="auto"/>
      </w:divBdr>
    </w:div>
    <w:div w:id="2032023006">
      <w:bodyDiv w:val="1"/>
      <w:marLeft w:val="0"/>
      <w:marRight w:val="0"/>
      <w:marTop w:val="0"/>
      <w:marBottom w:val="0"/>
      <w:divBdr>
        <w:top w:val="none" w:sz="0" w:space="0" w:color="auto"/>
        <w:left w:val="none" w:sz="0" w:space="0" w:color="auto"/>
        <w:bottom w:val="none" w:sz="0" w:space="0" w:color="auto"/>
        <w:right w:val="none" w:sz="0" w:space="0" w:color="auto"/>
      </w:divBdr>
    </w:div>
    <w:div w:id="2041516351">
      <w:bodyDiv w:val="1"/>
      <w:marLeft w:val="0"/>
      <w:marRight w:val="0"/>
      <w:marTop w:val="0"/>
      <w:marBottom w:val="0"/>
      <w:divBdr>
        <w:top w:val="none" w:sz="0" w:space="0" w:color="auto"/>
        <w:left w:val="none" w:sz="0" w:space="0" w:color="auto"/>
        <w:bottom w:val="none" w:sz="0" w:space="0" w:color="auto"/>
        <w:right w:val="none" w:sz="0" w:space="0" w:color="auto"/>
      </w:divBdr>
    </w:div>
    <w:div w:id="2125070544">
      <w:bodyDiv w:val="1"/>
      <w:marLeft w:val="0"/>
      <w:marRight w:val="0"/>
      <w:marTop w:val="0"/>
      <w:marBottom w:val="0"/>
      <w:divBdr>
        <w:top w:val="none" w:sz="0" w:space="0" w:color="auto"/>
        <w:left w:val="none" w:sz="0" w:space="0" w:color="auto"/>
        <w:bottom w:val="none" w:sz="0" w:space="0" w:color="auto"/>
        <w:right w:val="none" w:sz="0" w:space="0" w:color="auto"/>
      </w:divBdr>
    </w:div>
    <w:div w:id="2125154810">
      <w:bodyDiv w:val="1"/>
      <w:marLeft w:val="0"/>
      <w:marRight w:val="0"/>
      <w:marTop w:val="0"/>
      <w:marBottom w:val="0"/>
      <w:divBdr>
        <w:top w:val="none" w:sz="0" w:space="0" w:color="auto"/>
        <w:left w:val="none" w:sz="0" w:space="0" w:color="auto"/>
        <w:bottom w:val="none" w:sz="0" w:space="0" w:color="auto"/>
        <w:right w:val="none" w:sz="0" w:space="0" w:color="auto"/>
      </w:divBdr>
    </w:div>
    <w:div w:id="2136095637">
      <w:bodyDiv w:val="1"/>
      <w:marLeft w:val="0"/>
      <w:marRight w:val="0"/>
      <w:marTop w:val="0"/>
      <w:marBottom w:val="0"/>
      <w:divBdr>
        <w:top w:val="none" w:sz="0" w:space="0" w:color="auto"/>
        <w:left w:val="none" w:sz="0" w:space="0" w:color="auto"/>
        <w:bottom w:val="none" w:sz="0" w:space="0" w:color="auto"/>
        <w:right w:val="none" w:sz="0" w:space="0" w:color="auto"/>
      </w:divBdr>
    </w:div>
    <w:div w:id="2139912559">
      <w:bodyDiv w:val="1"/>
      <w:marLeft w:val="0"/>
      <w:marRight w:val="0"/>
      <w:marTop w:val="0"/>
      <w:marBottom w:val="0"/>
      <w:divBdr>
        <w:top w:val="none" w:sz="0" w:space="0" w:color="auto"/>
        <w:left w:val="none" w:sz="0" w:space="0" w:color="auto"/>
        <w:bottom w:val="none" w:sz="0" w:space="0" w:color="auto"/>
        <w:right w:val="none" w:sz="0" w:space="0" w:color="auto"/>
      </w:divBdr>
    </w:div>
    <w:div w:id="2145153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69.xml"/><Relationship Id="rId21" Type="http://schemas.openxmlformats.org/officeDocument/2006/relationships/chart" Target="charts/chart3.xml"/><Relationship Id="rId42" Type="http://schemas.openxmlformats.org/officeDocument/2006/relationships/chart" Target="charts/chart18.xml"/><Relationship Id="rId63" Type="http://schemas.openxmlformats.org/officeDocument/2006/relationships/chart" Target="charts/chart33.xml"/><Relationship Id="rId84" Type="http://schemas.openxmlformats.org/officeDocument/2006/relationships/chart" Target="charts/chart48.xml"/><Relationship Id="rId138" Type="http://schemas.openxmlformats.org/officeDocument/2006/relationships/chart" Target="charts/chart84.xml"/><Relationship Id="rId159" Type="http://schemas.openxmlformats.org/officeDocument/2006/relationships/footer" Target="footer25.xml"/><Relationship Id="rId170" Type="http://schemas.openxmlformats.org/officeDocument/2006/relationships/chart" Target="charts/chart104.xml"/><Relationship Id="rId191" Type="http://schemas.openxmlformats.org/officeDocument/2006/relationships/chart" Target="charts/chart118.xml"/><Relationship Id="rId205" Type="http://schemas.openxmlformats.org/officeDocument/2006/relationships/chart" Target="charts/chart126.xml"/><Relationship Id="rId226" Type="http://schemas.openxmlformats.org/officeDocument/2006/relationships/chart" Target="charts/chart141.xml"/><Relationship Id="rId247" Type="http://schemas.openxmlformats.org/officeDocument/2006/relationships/chart" Target="charts/chart156.xml"/><Relationship Id="rId107" Type="http://schemas.openxmlformats.org/officeDocument/2006/relationships/header" Target="header18.xml"/><Relationship Id="rId268" Type="http://schemas.openxmlformats.org/officeDocument/2006/relationships/footer" Target="footer43.xml"/><Relationship Id="rId11" Type="http://schemas.openxmlformats.org/officeDocument/2006/relationships/endnotes" Target="endnotes.xml"/><Relationship Id="rId32" Type="http://schemas.openxmlformats.org/officeDocument/2006/relationships/header" Target="header5.xml"/><Relationship Id="rId53" Type="http://schemas.openxmlformats.org/officeDocument/2006/relationships/header" Target="header9.xml"/><Relationship Id="rId74" Type="http://schemas.openxmlformats.org/officeDocument/2006/relationships/chart" Target="charts/chart38.xml"/><Relationship Id="rId128" Type="http://schemas.openxmlformats.org/officeDocument/2006/relationships/chart" Target="charts/chart74.xml"/><Relationship Id="rId149" Type="http://schemas.openxmlformats.org/officeDocument/2006/relationships/chart" Target="charts/chart89.xml"/><Relationship Id="rId5" Type="http://schemas.openxmlformats.org/officeDocument/2006/relationships/numbering" Target="numbering.xml"/><Relationship Id="rId95" Type="http://schemas.openxmlformats.org/officeDocument/2006/relationships/chart" Target="charts/chart53.xml"/><Relationship Id="rId160" Type="http://schemas.openxmlformats.org/officeDocument/2006/relationships/footer" Target="footer26.xml"/><Relationship Id="rId181" Type="http://schemas.openxmlformats.org/officeDocument/2006/relationships/footer" Target="footer30.xml"/><Relationship Id="rId216" Type="http://schemas.openxmlformats.org/officeDocument/2006/relationships/header" Target="header36.xml"/><Relationship Id="rId237" Type="http://schemas.openxmlformats.org/officeDocument/2006/relationships/chart" Target="charts/chart146.xml"/><Relationship Id="rId258" Type="http://schemas.openxmlformats.org/officeDocument/2006/relationships/chart" Target="charts/chart161.xml"/><Relationship Id="rId279" Type="http://schemas.openxmlformats.org/officeDocument/2006/relationships/theme" Target="theme/theme1.xml"/><Relationship Id="rId22" Type="http://schemas.openxmlformats.org/officeDocument/2006/relationships/chart" Target="charts/chart4.xml"/><Relationship Id="rId43" Type="http://schemas.openxmlformats.org/officeDocument/2006/relationships/chart" Target="charts/chart19.xml"/><Relationship Id="rId64" Type="http://schemas.openxmlformats.org/officeDocument/2006/relationships/chart" Target="charts/chart34.xml"/><Relationship Id="rId118" Type="http://schemas.openxmlformats.org/officeDocument/2006/relationships/chart" Target="charts/chart70.xml"/><Relationship Id="rId139" Type="http://schemas.openxmlformats.org/officeDocument/2006/relationships/header" Target="header22.xml"/><Relationship Id="rId85" Type="http://schemas.openxmlformats.org/officeDocument/2006/relationships/header" Target="header13.xml"/><Relationship Id="rId150" Type="http://schemas.openxmlformats.org/officeDocument/2006/relationships/chart" Target="charts/chart90.xml"/><Relationship Id="rId171" Type="http://schemas.openxmlformats.org/officeDocument/2006/relationships/chart" Target="charts/chart105.xml"/><Relationship Id="rId192" Type="http://schemas.openxmlformats.org/officeDocument/2006/relationships/chart" Target="charts/chart119.xml"/><Relationship Id="rId206" Type="http://schemas.openxmlformats.org/officeDocument/2006/relationships/chart" Target="charts/chart127.xml"/><Relationship Id="rId227" Type="http://schemas.openxmlformats.org/officeDocument/2006/relationships/chart" Target="charts/chart142.xml"/><Relationship Id="rId248" Type="http://schemas.openxmlformats.org/officeDocument/2006/relationships/header" Target="header40.xml"/><Relationship Id="rId269" Type="http://schemas.openxmlformats.org/officeDocument/2006/relationships/footer" Target="footer44.xml"/><Relationship Id="rId12" Type="http://schemas.openxmlformats.org/officeDocument/2006/relationships/image" Target="media/image1.emf"/><Relationship Id="rId33" Type="http://schemas.openxmlformats.org/officeDocument/2006/relationships/footer" Target="footer4.xml"/><Relationship Id="rId108" Type="http://schemas.openxmlformats.org/officeDocument/2006/relationships/footer" Target="footer18.xml"/><Relationship Id="rId129" Type="http://schemas.openxmlformats.org/officeDocument/2006/relationships/chart" Target="charts/chart75.xml"/><Relationship Id="rId54" Type="http://schemas.openxmlformats.org/officeDocument/2006/relationships/footer" Target="footer9.xml"/><Relationship Id="rId75" Type="http://schemas.openxmlformats.org/officeDocument/2006/relationships/chart" Target="charts/chart39.xml"/><Relationship Id="rId96" Type="http://schemas.openxmlformats.org/officeDocument/2006/relationships/chart" Target="charts/chart54.xml"/><Relationship Id="rId140" Type="http://schemas.openxmlformats.org/officeDocument/2006/relationships/header" Target="header23.xml"/><Relationship Id="rId161" Type="http://schemas.openxmlformats.org/officeDocument/2006/relationships/header" Target="header27.xml"/><Relationship Id="rId182" Type="http://schemas.openxmlformats.org/officeDocument/2006/relationships/chart" Target="charts/chart109.xml"/><Relationship Id="rId217" Type="http://schemas.openxmlformats.org/officeDocument/2006/relationships/footer" Target="footer36.xml"/><Relationship Id="rId6" Type="http://schemas.openxmlformats.org/officeDocument/2006/relationships/styles" Target="styles.xml"/><Relationship Id="rId238" Type="http://schemas.openxmlformats.org/officeDocument/2006/relationships/chart" Target="charts/chart147.xml"/><Relationship Id="rId259" Type="http://schemas.openxmlformats.org/officeDocument/2006/relationships/chart" Target="charts/chart162.xml"/><Relationship Id="rId23" Type="http://schemas.openxmlformats.org/officeDocument/2006/relationships/chart" Target="charts/chart5.xml"/><Relationship Id="rId119" Type="http://schemas.openxmlformats.org/officeDocument/2006/relationships/chart" Target="charts/chart71.xml"/><Relationship Id="rId270" Type="http://schemas.openxmlformats.org/officeDocument/2006/relationships/header" Target="header45.xml"/><Relationship Id="rId44" Type="http://schemas.openxmlformats.org/officeDocument/2006/relationships/chart" Target="charts/chart20.xml"/><Relationship Id="rId65" Type="http://schemas.openxmlformats.org/officeDocument/2006/relationships/chart" Target="charts/chart35.xml"/><Relationship Id="rId86" Type="http://schemas.openxmlformats.org/officeDocument/2006/relationships/header" Target="header14.xml"/><Relationship Id="rId130" Type="http://schemas.openxmlformats.org/officeDocument/2006/relationships/chart" Target="charts/chart76.xml"/><Relationship Id="rId151" Type="http://schemas.openxmlformats.org/officeDocument/2006/relationships/chart" Target="charts/chart91.xml"/><Relationship Id="rId172" Type="http://schemas.openxmlformats.org/officeDocument/2006/relationships/chart" Target="charts/chart106.xml"/><Relationship Id="rId193" Type="http://schemas.openxmlformats.org/officeDocument/2006/relationships/chart" Target="charts/chart120.xml"/><Relationship Id="rId202" Type="http://schemas.openxmlformats.org/officeDocument/2006/relationships/chart" Target="charts/chart123.xml"/><Relationship Id="rId207" Type="http://schemas.openxmlformats.org/officeDocument/2006/relationships/chart" Target="charts/chart128.xml"/><Relationship Id="rId223" Type="http://schemas.openxmlformats.org/officeDocument/2006/relationships/chart" Target="charts/chart138.xml"/><Relationship Id="rId228" Type="http://schemas.openxmlformats.org/officeDocument/2006/relationships/chart" Target="charts/chart143.xml"/><Relationship Id="rId244" Type="http://schemas.openxmlformats.org/officeDocument/2006/relationships/chart" Target="charts/chart153.xml"/><Relationship Id="rId249" Type="http://schemas.openxmlformats.org/officeDocument/2006/relationships/header" Target="header41.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chart" Target="charts/chart15.xml"/><Relationship Id="rId109" Type="http://schemas.openxmlformats.org/officeDocument/2006/relationships/chart" Target="charts/chart61.xml"/><Relationship Id="rId260" Type="http://schemas.openxmlformats.org/officeDocument/2006/relationships/chart" Target="charts/chart163.xml"/><Relationship Id="rId265" Type="http://schemas.openxmlformats.org/officeDocument/2006/relationships/chart" Target="charts/chart168.xml"/><Relationship Id="rId34" Type="http://schemas.openxmlformats.org/officeDocument/2006/relationships/footer" Target="footer5.xml"/><Relationship Id="rId50" Type="http://schemas.openxmlformats.org/officeDocument/2006/relationships/header" Target="header8.xml"/><Relationship Id="rId55" Type="http://schemas.openxmlformats.org/officeDocument/2006/relationships/chart" Target="charts/chart25.xml"/><Relationship Id="rId76" Type="http://schemas.openxmlformats.org/officeDocument/2006/relationships/chart" Target="charts/chart40.xml"/><Relationship Id="rId97" Type="http://schemas.openxmlformats.org/officeDocument/2006/relationships/chart" Target="charts/chart55.xml"/><Relationship Id="rId104" Type="http://schemas.openxmlformats.org/officeDocument/2006/relationships/header" Target="header17.xml"/><Relationship Id="rId120" Type="http://schemas.openxmlformats.org/officeDocument/2006/relationships/chart" Target="charts/chart72.xml"/><Relationship Id="rId125" Type="http://schemas.openxmlformats.org/officeDocument/2006/relationships/header" Target="header21.xml"/><Relationship Id="rId141" Type="http://schemas.openxmlformats.org/officeDocument/2006/relationships/footer" Target="footer22.xml"/><Relationship Id="rId146" Type="http://schemas.openxmlformats.org/officeDocument/2006/relationships/chart" Target="charts/chart86.xml"/><Relationship Id="rId167" Type="http://schemas.openxmlformats.org/officeDocument/2006/relationships/chart" Target="charts/chart101.xml"/><Relationship Id="rId188" Type="http://schemas.openxmlformats.org/officeDocument/2006/relationships/chart" Target="charts/chart115.xml"/><Relationship Id="rId7" Type="http://schemas.microsoft.com/office/2007/relationships/stylesWithEffects" Target="stylesWithEffects.xml"/><Relationship Id="rId71" Type="http://schemas.openxmlformats.org/officeDocument/2006/relationships/header" Target="header12.xml"/><Relationship Id="rId92" Type="http://schemas.openxmlformats.org/officeDocument/2006/relationships/chart" Target="charts/chart50.xml"/><Relationship Id="rId162" Type="http://schemas.openxmlformats.org/officeDocument/2006/relationships/footer" Target="footer27.xml"/><Relationship Id="rId183" Type="http://schemas.openxmlformats.org/officeDocument/2006/relationships/chart" Target="charts/chart110.xml"/><Relationship Id="rId213" Type="http://schemas.openxmlformats.org/officeDocument/2006/relationships/header" Target="header35.xml"/><Relationship Id="rId218" Type="http://schemas.openxmlformats.org/officeDocument/2006/relationships/chart" Target="charts/chart133.xml"/><Relationship Id="rId234" Type="http://schemas.openxmlformats.org/officeDocument/2006/relationships/header" Target="header39.xml"/><Relationship Id="rId239" Type="http://schemas.openxmlformats.org/officeDocument/2006/relationships/chart" Target="charts/chart148.xml"/><Relationship Id="rId2" Type="http://schemas.openxmlformats.org/officeDocument/2006/relationships/customXml" Target="../customXml/item2.xml"/><Relationship Id="rId29" Type="http://schemas.openxmlformats.org/officeDocument/2006/relationships/chart" Target="charts/chart11.xml"/><Relationship Id="rId250" Type="http://schemas.openxmlformats.org/officeDocument/2006/relationships/footer" Target="footer40.xml"/><Relationship Id="rId255" Type="http://schemas.openxmlformats.org/officeDocument/2006/relationships/chart" Target="charts/chart158.xml"/><Relationship Id="rId271" Type="http://schemas.openxmlformats.org/officeDocument/2006/relationships/footer" Target="footer45.xml"/><Relationship Id="rId276" Type="http://schemas.openxmlformats.org/officeDocument/2006/relationships/header" Target="header48.xml"/><Relationship Id="rId24" Type="http://schemas.openxmlformats.org/officeDocument/2006/relationships/chart" Target="charts/chart6.xml"/><Relationship Id="rId40" Type="http://schemas.openxmlformats.org/officeDocument/2006/relationships/chart" Target="charts/chart16.xml"/><Relationship Id="rId45" Type="http://schemas.openxmlformats.org/officeDocument/2006/relationships/chart" Target="charts/chart21.xml"/><Relationship Id="rId66" Type="http://schemas.openxmlformats.org/officeDocument/2006/relationships/chart" Target="charts/chart36.xml"/><Relationship Id="rId87" Type="http://schemas.openxmlformats.org/officeDocument/2006/relationships/footer" Target="footer13.xml"/><Relationship Id="rId110" Type="http://schemas.openxmlformats.org/officeDocument/2006/relationships/chart" Target="charts/chart62.xml"/><Relationship Id="rId115" Type="http://schemas.openxmlformats.org/officeDocument/2006/relationships/chart" Target="charts/chart67.xml"/><Relationship Id="rId131" Type="http://schemas.openxmlformats.org/officeDocument/2006/relationships/chart" Target="charts/chart77.xml"/><Relationship Id="rId136" Type="http://schemas.openxmlformats.org/officeDocument/2006/relationships/chart" Target="charts/chart82.xml"/><Relationship Id="rId157" Type="http://schemas.openxmlformats.org/officeDocument/2006/relationships/header" Target="header25.xml"/><Relationship Id="rId178" Type="http://schemas.openxmlformats.org/officeDocument/2006/relationships/footer" Target="footer28.xml"/><Relationship Id="rId61" Type="http://schemas.openxmlformats.org/officeDocument/2006/relationships/chart" Target="charts/chart31.xml"/><Relationship Id="rId82" Type="http://schemas.openxmlformats.org/officeDocument/2006/relationships/chart" Target="charts/chart46.xml"/><Relationship Id="rId152" Type="http://schemas.openxmlformats.org/officeDocument/2006/relationships/chart" Target="charts/chart92.xml"/><Relationship Id="rId173" Type="http://schemas.openxmlformats.org/officeDocument/2006/relationships/chart" Target="charts/chart107.xml"/><Relationship Id="rId194" Type="http://schemas.openxmlformats.org/officeDocument/2006/relationships/header" Target="header31.xml"/><Relationship Id="rId199" Type="http://schemas.openxmlformats.org/officeDocument/2006/relationships/footer" Target="footer33.xml"/><Relationship Id="rId203" Type="http://schemas.openxmlformats.org/officeDocument/2006/relationships/chart" Target="charts/chart124.xml"/><Relationship Id="rId208" Type="http://schemas.openxmlformats.org/officeDocument/2006/relationships/chart" Target="charts/chart129.xml"/><Relationship Id="rId229" Type="http://schemas.openxmlformats.org/officeDocument/2006/relationships/chart" Target="charts/chart144.xml"/><Relationship Id="rId19" Type="http://schemas.openxmlformats.org/officeDocument/2006/relationships/chart" Target="charts/chart1.xml"/><Relationship Id="rId224" Type="http://schemas.openxmlformats.org/officeDocument/2006/relationships/chart" Target="charts/chart139.xml"/><Relationship Id="rId240" Type="http://schemas.openxmlformats.org/officeDocument/2006/relationships/chart" Target="charts/chart149.xml"/><Relationship Id="rId245" Type="http://schemas.openxmlformats.org/officeDocument/2006/relationships/chart" Target="charts/chart154.xml"/><Relationship Id="rId261" Type="http://schemas.openxmlformats.org/officeDocument/2006/relationships/chart" Target="charts/chart164.xml"/><Relationship Id="rId266" Type="http://schemas.openxmlformats.org/officeDocument/2006/relationships/header" Target="header43.xml"/><Relationship Id="rId14" Type="http://schemas.openxmlformats.org/officeDocument/2006/relationships/header" Target="header2.xml"/><Relationship Id="rId30" Type="http://schemas.openxmlformats.org/officeDocument/2006/relationships/chart" Target="charts/chart12.xml"/><Relationship Id="rId35" Type="http://schemas.openxmlformats.org/officeDocument/2006/relationships/header" Target="header6.xml"/><Relationship Id="rId56" Type="http://schemas.openxmlformats.org/officeDocument/2006/relationships/chart" Target="charts/chart26.xml"/><Relationship Id="rId77" Type="http://schemas.openxmlformats.org/officeDocument/2006/relationships/chart" Target="charts/chart41.xml"/><Relationship Id="rId100" Type="http://schemas.openxmlformats.org/officeDocument/2006/relationships/chart" Target="charts/chart58.xml"/><Relationship Id="rId105" Type="http://schemas.openxmlformats.org/officeDocument/2006/relationships/footer" Target="footer16.xml"/><Relationship Id="rId126" Type="http://schemas.openxmlformats.org/officeDocument/2006/relationships/footer" Target="footer21.xml"/><Relationship Id="rId147" Type="http://schemas.openxmlformats.org/officeDocument/2006/relationships/chart" Target="charts/chart87.xml"/><Relationship Id="rId168" Type="http://schemas.openxmlformats.org/officeDocument/2006/relationships/chart" Target="charts/chart102.xml"/><Relationship Id="rId8" Type="http://schemas.openxmlformats.org/officeDocument/2006/relationships/settings" Target="settings.xml"/><Relationship Id="rId51" Type="http://schemas.openxmlformats.org/officeDocument/2006/relationships/footer" Target="footer7.xml"/><Relationship Id="rId72" Type="http://schemas.openxmlformats.org/officeDocument/2006/relationships/footer" Target="footer12.xml"/><Relationship Id="rId93" Type="http://schemas.openxmlformats.org/officeDocument/2006/relationships/chart" Target="charts/chart51.xml"/><Relationship Id="rId98" Type="http://schemas.openxmlformats.org/officeDocument/2006/relationships/chart" Target="charts/chart56.xml"/><Relationship Id="rId121" Type="http://schemas.openxmlformats.org/officeDocument/2006/relationships/header" Target="header19.xml"/><Relationship Id="rId142" Type="http://schemas.openxmlformats.org/officeDocument/2006/relationships/footer" Target="footer23.xml"/><Relationship Id="rId163" Type="http://schemas.openxmlformats.org/officeDocument/2006/relationships/chart" Target="charts/chart97.xml"/><Relationship Id="rId184" Type="http://schemas.openxmlformats.org/officeDocument/2006/relationships/chart" Target="charts/chart111.xml"/><Relationship Id="rId189" Type="http://schemas.openxmlformats.org/officeDocument/2006/relationships/chart" Target="charts/chart116.xml"/><Relationship Id="rId219" Type="http://schemas.openxmlformats.org/officeDocument/2006/relationships/chart" Target="charts/chart134.xml"/><Relationship Id="rId3" Type="http://schemas.openxmlformats.org/officeDocument/2006/relationships/customXml" Target="../customXml/item3.xml"/><Relationship Id="rId214" Type="http://schemas.openxmlformats.org/officeDocument/2006/relationships/footer" Target="footer34.xml"/><Relationship Id="rId230" Type="http://schemas.openxmlformats.org/officeDocument/2006/relationships/header" Target="header37.xml"/><Relationship Id="rId235" Type="http://schemas.openxmlformats.org/officeDocument/2006/relationships/footer" Target="footer39.xml"/><Relationship Id="rId251" Type="http://schemas.openxmlformats.org/officeDocument/2006/relationships/footer" Target="footer41.xml"/><Relationship Id="rId256" Type="http://schemas.openxmlformats.org/officeDocument/2006/relationships/chart" Target="charts/chart159.xml"/><Relationship Id="rId277" Type="http://schemas.openxmlformats.org/officeDocument/2006/relationships/footer" Target="footer48.xml"/><Relationship Id="rId25" Type="http://schemas.openxmlformats.org/officeDocument/2006/relationships/chart" Target="charts/chart7.xml"/><Relationship Id="rId46" Type="http://schemas.openxmlformats.org/officeDocument/2006/relationships/chart" Target="charts/chart22.xml"/><Relationship Id="rId67" Type="http://schemas.openxmlformats.org/officeDocument/2006/relationships/header" Target="header10.xml"/><Relationship Id="rId116" Type="http://schemas.openxmlformats.org/officeDocument/2006/relationships/chart" Target="charts/chart68.xml"/><Relationship Id="rId137" Type="http://schemas.openxmlformats.org/officeDocument/2006/relationships/chart" Target="charts/chart83.xml"/><Relationship Id="rId158" Type="http://schemas.openxmlformats.org/officeDocument/2006/relationships/header" Target="header26.xml"/><Relationship Id="rId272" Type="http://schemas.openxmlformats.org/officeDocument/2006/relationships/header" Target="header46.xml"/><Relationship Id="rId20" Type="http://schemas.openxmlformats.org/officeDocument/2006/relationships/chart" Target="charts/chart2.xml"/><Relationship Id="rId41" Type="http://schemas.openxmlformats.org/officeDocument/2006/relationships/chart" Target="charts/chart17.xml"/><Relationship Id="rId62" Type="http://schemas.openxmlformats.org/officeDocument/2006/relationships/chart" Target="charts/chart32.xml"/><Relationship Id="rId83" Type="http://schemas.openxmlformats.org/officeDocument/2006/relationships/chart" Target="charts/chart47.xml"/><Relationship Id="rId88" Type="http://schemas.openxmlformats.org/officeDocument/2006/relationships/footer" Target="footer14.xml"/><Relationship Id="rId111" Type="http://schemas.openxmlformats.org/officeDocument/2006/relationships/chart" Target="charts/chart63.xml"/><Relationship Id="rId132" Type="http://schemas.openxmlformats.org/officeDocument/2006/relationships/chart" Target="charts/chart78.xml"/><Relationship Id="rId153" Type="http://schemas.openxmlformats.org/officeDocument/2006/relationships/chart" Target="charts/chart93.xml"/><Relationship Id="rId174" Type="http://schemas.openxmlformats.org/officeDocument/2006/relationships/chart" Target="charts/chart108.xml"/><Relationship Id="rId179" Type="http://schemas.openxmlformats.org/officeDocument/2006/relationships/footer" Target="footer29.xml"/><Relationship Id="rId195" Type="http://schemas.openxmlformats.org/officeDocument/2006/relationships/header" Target="header32.xml"/><Relationship Id="rId209" Type="http://schemas.openxmlformats.org/officeDocument/2006/relationships/chart" Target="charts/chart130.xml"/><Relationship Id="rId190" Type="http://schemas.openxmlformats.org/officeDocument/2006/relationships/chart" Target="charts/chart117.xml"/><Relationship Id="rId204" Type="http://schemas.openxmlformats.org/officeDocument/2006/relationships/chart" Target="charts/chart125.xml"/><Relationship Id="rId220" Type="http://schemas.openxmlformats.org/officeDocument/2006/relationships/chart" Target="charts/chart135.xml"/><Relationship Id="rId225" Type="http://schemas.openxmlformats.org/officeDocument/2006/relationships/chart" Target="charts/chart140.xml"/><Relationship Id="rId241" Type="http://schemas.openxmlformats.org/officeDocument/2006/relationships/chart" Target="charts/chart150.xml"/><Relationship Id="rId246" Type="http://schemas.openxmlformats.org/officeDocument/2006/relationships/chart" Target="charts/chart155.xml"/><Relationship Id="rId267" Type="http://schemas.openxmlformats.org/officeDocument/2006/relationships/header" Target="header44.xml"/><Relationship Id="rId15" Type="http://schemas.openxmlformats.org/officeDocument/2006/relationships/footer" Target="footer1.xml"/><Relationship Id="rId36" Type="http://schemas.openxmlformats.org/officeDocument/2006/relationships/footer" Target="footer6.xml"/><Relationship Id="rId57" Type="http://schemas.openxmlformats.org/officeDocument/2006/relationships/chart" Target="charts/chart27.xml"/><Relationship Id="rId106" Type="http://schemas.openxmlformats.org/officeDocument/2006/relationships/footer" Target="footer17.xml"/><Relationship Id="rId127" Type="http://schemas.openxmlformats.org/officeDocument/2006/relationships/chart" Target="charts/chart73.xml"/><Relationship Id="rId262" Type="http://schemas.openxmlformats.org/officeDocument/2006/relationships/chart" Target="charts/chart165.xml"/><Relationship Id="rId10" Type="http://schemas.openxmlformats.org/officeDocument/2006/relationships/footnotes" Target="footnotes.xml"/><Relationship Id="rId31" Type="http://schemas.openxmlformats.org/officeDocument/2006/relationships/header" Target="header4.xml"/><Relationship Id="rId52" Type="http://schemas.openxmlformats.org/officeDocument/2006/relationships/footer" Target="footer8.xml"/><Relationship Id="rId73" Type="http://schemas.openxmlformats.org/officeDocument/2006/relationships/chart" Target="charts/chart37.xml"/><Relationship Id="rId78" Type="http://schemas.openxmlformats.org/officeDocument/2006/relationships/chart" Target="charts/chart42.xml"/><Relationship Id="rId94" Type="http://schemas.openxmlformats.org/officeDocument/2006/relationships/chart" Target="charts/chart52.xml"/><Relationship Id="rId99" Type="http://schemas.openxmlformats.org/officeDocument/2006/relationships/chart" Target="charts/chart57.xml"/><Relationship Id="rId101" Type="http://schemas.openxmlformats.org/officeDocument/2006/relationships/chart" Target="charts/chart59.xml"/><Relationship Id="rId122" Type="http://schemas.openxmlformats.org/officeDocument/2006/relationships/header" Target="header20.xml"/><Relationship Id="rId143" Type="http://schemas.openxmlformats.org/officeDocument/2006/relationships/header" Target="header24.xml"/><Relationship Id="rId148" Type="http://schemas.openxmlformats.org/officeDocument/2006/relationships/chart" Target="charts/chart88.xml"/><Relationship Id="rId164" Type="http://schemas.openxmlformats.org/officeDocument/2006/relationships/chart" Target="charts/chart98.xml"/><Relationship Id="rId169" Type="http://schemas.openxmlformats.org/officeDocument/2006/relationships/chart" Target="charts/chart103.xml"/><Relationship Id="rId185" Type="http://schemas.openxmlformats.org/officeDocument/2006/relationships/chart" Target="charts/chart112.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eader" Target="header30.xml"/><Relationship Id="rId210" Type="http://schemas.openxmlformats.org/officeDocument/2006/relationships/chart" Target="charts/chart131.xml"/><Relationship Id="rId215" Type="http://schemas.openxmlformats.org/officeDocument/2006/relationships/footer" Target="footer35.xml"/><Relationship Id="rId236" Type="http://schemas.openxmlformats.org/officeDocument/2006/relationships/chart" Target="charts/chart145.xml"/><Relationship Id="rId257" Type="http://schemas.openxmlformats.org/officeDocument/2006/relationships/chart" Target="charts/chart160.xml"/><Relationship Id="rId278" Type="http://schemas.openxmlformats.org/officeDocument/2006/relationships/fontTable" Target="fontTable.xml"/><Relationship Id="rId26" Type="http://schemas.openxmlformats.org/officeDocument/2006/relationships/chart" Target="charts/chart8.xml"/><Relationship Id="rId231" Type="http://schemas.openxmlformats.org/officeDocument/2006/relationships/header" Target="header38.xml"/><Relationship Id="rId252" Type="http://schemas.openxmlformats.org/officeDocument/2006/relationships/header" Target="header42.xml"/><Relationship Id="rId273" Type="http://schemas.openxmlformats.org/officeDocument/2006/relationships/header" Target="header47.xml"/><Relationship Id="rId47" Type="http://schemas.openxmlformats.org/officeDocument/2006/relationships/chart" Target="charts/chart23.xml"/><Relationship Id="rId68" Type="http://schemas.openxmlformats.org/officeDocument/2006/relationships/header" Target="header11.xml"/><Relationship Id="rId89" Type="http://schemas.openxmlformats.org/officeDocument/2006/relationships/header" Target="header15.xml"/><Relationship Id="rId112" Type="http://schemas.openxmlformats.org/officeDocument/2006/relationships/chart" Target="charts/chart64.xml"/><Relationship Id="rId133" Type="http://schemas.openxmlformats.org/officeDocument/2006/relationships/chart" Target="charts/chart79.xml"/><Relationship Id="rId154" Type="http://schemas.openxmlformats.org/officeDocument/2006/relationships/chart" Target="charts/chart94.xml"/><Relationship Id="rId175" Type="http://schemas.openxmlformats.org/officeDocument/2006/relationships/hyperlink" Target="http://ec.europa.eu/environment/air/transport/ships.htm" TargetMode="External"/><Relationship Id="rId196" Type="http://schemas.openxmlformats.org/officeDocument/2006/relationships/footer" Target="footer31.xml"/><Relationship Id="rId200" Type="http://schemas.openxmlformats.org/officeDocument/2006/relationships/chart" Target="charts/chart121.xml"/><Relationship Id="rId16" Type="http://schemas.openxmlformats.org/officeDocument/2006/relationships/footer" Target="footer2.xml"/><Relationship Id="rId221" Type="http://schemas.openxmlformats.org/officeDocument/2006/relationships/chart" Target="charts/chart136.xml"/><Relationship Id="rId242" Type="http://schemas.openxmlformats.org/officeDocument/2006/relationships/chart" Target="charts/chart151.xml"/><Relationship Id="rId263" Type="http://schemas.openxmlformats.org/officeDocument/2006/relationships/chart" Target="charts/chart166.xml"/><Relationship Id="rId37" Type="http://schemas.openxmlformats.org/officeDocument/2006/relationships/chart" Target="charts/chart13.xml"/><Relationship Id="rId58" Type="http://schemas.openxmlformats.org/officeDocument/2006/relationships/chart" Target="charts/chart28.xml"/><Relationship Id="rId79" Type="http://schemas.openxmlformats.org/officeDocument/2006/relationships/chart" Target="charts/chart43.xml"/><Relationship Id="rId102" Type="http://schemas.openxmlformats.org/officeDocument/2006/relationships/chart" Target="charts/chart60.xml"/><Relationship Id="rId123" Type="http://schemas.openxmlformats.org/officeDocument/2006/relationships/footer" Target="footer19.xml"/><Relationship Id="rId144" Type="http://schemas.openxmlformats.org/officeDocument/2006/relationships/footer" Target="footer24.xml"/><Relationship Id="rId90" Type="http://schemas.openxmlformats.org/officeDocument/2006/relationships/footer" Target="footer15.xml"/><Relationship Id="rId165" Type="http://schemas.openxmlformats.org/officeDocument/2006/relationships/chart" Target="charts/chart99.xml"/><Relationship Id="rId186" Type="http://schemas.openxmlformats.org/officeDocument/2006/relationships/chart" Target="charts/chart113.xml"/><Relationship Id="rId211" Type="http://schemas.openxmlformats.org/officeDocument/2006/relationships/chart" Target="charts/chart132.xml"/><Relationship Id="rId232" Type="http://schemas.openxmlformats.org/officeDocument/2006/relationships/footer" Target="footer37.xml"/><Relationship Id="rId253" Type="http://schemas.openxmlformats.org/officeDocument/2006/relationships/footer" Target="footer42.xml"/><Relationship Id="rId274" Type="http://schemas.openxmlformats.org/officeDocument/2006/relationships/footer" Target="footer46.xml"/><Relationship Id="rId27" Type="http://schemas.openxmlformats.org/officeDocument/2006/relationships/chart" Target="charts/chart9.xml"/><Relationship Id="rId48" Type="http://schemas.openxmlformats.org/officeDocument/2006/relationships/chart" Target="charts/chart24.xml"/><Relationship Id="rId69" Type="http://schemas.openxmlformats.org/officeDocument/2006/relationships/footer" Target="footer10.xml"/><Relationship Id="rId113" Type="http://schemas.openxmlformats.org/officeDocument/2006/relationships/chart" Target="charts/chart65.xml"/><Relationship Id="rId134" Type="http://schemas.openxmlformats.org/officeDocument/2006/relationships/chart" Target="charts/chart80.xml"/><Relationship Id="rId80" Type="http://schemas.openxmlformats.org/officeDocument/2006/relationships/chart" Target="charts/chart44.xml"/><Relationship Id="rId155" Type="http://schemas.openxmlformats.org/officeDocument/2006/relationships/chart" Target="charts/chart95.xml"/><Relationship Id="rId176" Type="http://schemas.openxmlformats.org/officeDocument/2006/relationships/header" Target="header28.xml"/><Relationship Id="rId197" Type="http://schemas.openxmlformats.org/officeDocument/2006/relationships/footer" Target="footer32.xml"/><Relationship Id="rId201" Type="http://schemas.openxmlformats.org/officeDocument/2006/relationships/chart" Target="charts/chart122.xml"/><Relationship Id="rId222" Type="http://schemas.openxmlformats.org/officeDocument/2006/relationships/chart" Target="charts/chart137.xml"/><Relationship Id="rId243" Type="http://schemas.openxmlformats.org/officeDocument/2006/relationships/chart" Target="charts/chart152.xml"/><Relationship Id="rId264" Type="http://schemas.openxmlformats.org/officeDocument/2006/relationships/chart" Target="charts/chart167.xml"/><Relationship Id="rId17" Type="http://schemas.openxmlformats.org/officeDocument/2006/relationships/header" Target="header3.xml"/><Relationship Id="rId38" Type="http://schemas.openxmlformats.org/officeDocument/2006/relationships/chart" Target="charts/chart14.xml"/><Relationship Id="rId59" Type="http://schemas.openxmlformats.org/officeDocument/2006/relationships/chart" Target="charts/chart29.xml"/><Relationship Id="rId103" Type="http://schemas.openxmlformats.org/officeDocument/2006/relationships/header" Target="header16.xml"/><Relationship Id="rId124" Type="http://schemas.openxmlformats.org/officeDocument/2006/relationships/footer" Target="footer20.xml"/><Relationship Id="rId70" Type="http://schemas.openxmlformats.org/officeDocument/2006/relationships/footer" Target="footer11.xml"/><Relationship Id="rId91" Type="http://schemas.openxmlformats.org/officeDocument/2006/relationships/chart" Target="charts/chart49.xml"/><Relationship Id="rId145" Type="http://schemas.openxmlformats.org/officeDocument/2006/relationships/chart" Target="charts/chart85.xml"/><Relationship Id="rId166" Type="http://schemas.openxmlformats.org/officeDocument/2006/relationships/chart" Target="charts/chart100.xml"/><Relationship Id="rId187" Type="http://schemas.openxmlformats.org/officeDocument/2006/relationships/chart" Target="charts/chart114.xml"/><Relationship Id="rId1" Type="http://schemas.openxmlformats.org/officeDocument/2006/relationships/customXml" Target="../customXml/item1.xml"/><Relationship Id="rId212" Type="http://schemas.openxmlformats.org/officeDocument/2006/relationships/header" Target="header34.xml"/><Relationship Id="rId233" Type="http://schemas.openxmlformats.org/officeDocument/2006/relationships/footer" Target="footer38.xml"/><Relationship Id="rId254" Type="http://schemas.openxmlformats.org/officeDocument/2006/relationships/chart" Target="charts/chart157.xml"/><Relationship Id="rId28" Type="http://schemas.openxmlformats.org/officeDocument/2006/relationships/chart" Target="charts/chart10.xml"/><Relationship Id="rId49" Type="http://schemas.openxmlformats.org/officeDocument/2006/relationships/header" Target="header7.xml"/><Relationship Id="rId114" Type="http://schemas.openxmlformats.org/officeDocument/2006/relationships/chart" Target="charts/chart66.xml"/><Relationship Id="rId275" Type="http://schemas.openxmlformats.org/officeDocument/2006/relationships/footer" Target="footer47.xml"/><Relationship Id="rId60" Type="http://schemas.openxmlformats.org/officeDocument/2006/relationships/chart" Target="charts/chart30.xml"/><Relationship Id="rId81" Type="http://schemas.openxmlformats.org/officeDocument/2006/relationships/chart" Target="charts/chart45.xml"/><Relationship Id="rId135" Type="http://schemas.openxmlformats.org/officeDocument/2006/relationships/chart" Target="charts/chart81.xml"/><Relationship Id="rId156" Type="http://schemas.openxmlformats.org/officeDocument/2006/relationships/chart" Target="charts/chart96.xml"/><Relationship Id="rId177" Type="http://schemas.openxmlformats.org/officeDocument/2006/relationships/header" Target="header29.xml"/><Relationship Id="rId198" Type="http://schemas.openxmlformats.org/officeDocument/2006/relationships/header" Target="header33.xml"/></Relationships>
</file>

<file path=word/_rels/footnotes.xml.rels><?xml version="1.0" encoding="UTF-8" standalone="yes"?>
<Relationships xmlns="http://schemas.openxmlformats.org/package/2006/relationships"><Relationship Id="rId117" Type="http://schemas.openxmlformats.org/officeDocument/2006/relationships/hyperlink" Target="http://europa.eu/rapid/press-release_MEMO-16-2097_en.htm" TargetMode="External"/><Relationship Id="rId299" Type="http://schemas.openxmlformats.org/officeDocument/2006/relationships/hyperlink" Target="http://europa.eu/rapid/press-release_MEMO-16-3644_en.htm" TargetMode="External"/><Relationship Id="rId21" Type="http://schemas.openxmlformats.org/officeDocument/2006/relationships/hyperlink" Target="http://eur-lex.europa.eu/legal-content/EN/TXT/?qid=1490105005057&amp;uri=CELEX:32012R0748" TargetMode="External"/><Relationship Id="rId63" Type="http://schemas.openxmlformats.org/officeDocument/2006/relationships/hyperlink" Target="http://eur-lex.europa.eu/legal-content/EN/TXT/?qid=1490107048055&amp;uri=CELEX:32008L0094" TargetMode="External"/><Relationship Id="rId159" Type="http://schemas.openxmlformats.org/officeDocument/2006/relationships/hyperlink" Target="http://europa.eu/rapid/press-release_IP-16-3646_en.htm" TargetMode="External"/><Relationship Id="rId324" Type="http://schemas.openxmlformats.org/officeDocument/2006/relationships/hyperlink" Target="http://curia.europa.eu/jcms/jcms/P_192433/en/" TargetMode="External"/><Relationship Id="rId366" Type="http://schemas.openxmlformats.org/officeDocument/2006/relationships/hyperlink" Target="http://europa.eu/rapid/press-release_IP-16-1827_en.htm" TargetMode="External"/><Relationship Id="rId170" Type="http://schemas.openxmlformats.org/officeDocument/2006/relationships/hyperlink" Target="http://europa.eu/rapid/press-release_MEMO-16-2490_en.htm" TargetMode="External"/><Relationship Id="rId226" Type="http://schemas.openxmlformats.org/officeDocument/2006/relationships/hyperlink" Target="http://eur-lex.europa.eu/legal-content/EN/TXT/?qid=1490107597502&amp;uri=CELEX:32011L0092" TargetMode="External"/><Relationship Id="rId433" Type="http://schemas.openxmlformats.org/officeDocument/2006/relationships/hyperlink" Target="http://eur-lex.europa.eu/legal-content/EN/TXT/?qid=1490106438373&amp;uri=CELEX:32006L0126" TargetMode="External"/><Relationship Id="rId268" Type="http://schemas.openxmlformats.org/officeDocument/2006/relationships/hyperlink" Target="http://eur-lex.europa.eu/legal-content/EN/TXT/?qid=1490091174097&amp;uri=CELEX:32014L0023" TargetMode="External"/><Relationship Id="rId475" Type="http://schemas.openxmlformats.org/officeDocument/2006/relationships/hyperlink" Target="http://curia.europa.eu/jcms/jcms/Jo2_7052/en/?types=com.jalios.jcms.Content&amp;typesOff=generated.RecueilPublication&amp;textSearch=true&amp;catName=true&amp;searchInFiles=true&amp;langs=user&amp;text=145%2F2016&amp;opSearch=Search&amp;csrftoken=bpEBlaeuovriazel&amp;jsp=plugins%2FCuriaPlugin%2Fjsp%2Fquery.jsp" TargetMode="External"/><Relationship Id="rId32" Type="http://schemas.openxmlformats.org/officeDocument/2006/relationships/hyperlink" Target="http://eur-lex.europa.eu/legal-content/EN/TXT/?qid=1490105732936&amp;uri=CELEX:32006F0960" TargetMode="External"/><Relationship Id="rId74" Type="http://schemas.openxmlformats.org/officeDocument/2006/relationships/hyperlink" Target="http://eur-lex.europa.eu/legal-content/AUTO/?uri=CELEX:32009L0072&amp;qid=1490092822210&amp;rid=3" TargetMode="External"/><Relationship Id="rId128" Type="http://schemas.openxmlformats.org/officeDocument/2006/relationships/hyperlink" Target="http://curia.europa.eu/juris/liste.jsf?language=en&amp;jur=C,T,F&amp;num=C-22/15&amp;td=ALL" TargetMode="External"/><Relationship Id="rId335" Type="http://schemas.openxmlformats.org/officeDocument/2006/relationships/hyperlink" Target="http://europa.eu/rapid/press-release_MEMO-16-3644_en.htm" TargetMode="External"/><Relationship Id="rId377" Type="http://schemas.openxmlformats.org/officeDocument/2006/relationships/hyperlink" Target="http://eur-lex.europa.eu/legal-content/EN/TXT/?qid=1490108470573&amp;uri=CELEX:32007L0060" TargetMode="External"/><Relationship Id="rId5" Type="http://schemas.openxmlformats.org/officeDocument/2006/relationships/hyperlink" Target="http://europa.eu/rapid/press-release_MEMO-16-1823_en.htm" TargetMode="External"/><Relationship Id="rId181" Type="http://schemas.openxmlformats.org/officeDocument/2006/relationships/hyperlink" Target="http://eur-lex.europa.eu/legal-content/EN/TXT/?qid=1490108579096&amp;uri=CELEX:32000L0060" TargetMode="External"/><Relationship Id="rId237" Type="http://schemas.openxmlformats.org/officeDocument/2006/relationships/hyperlink" Target="http://curia.europa.eu/juris/document/document.jsf;jsessionid=9ea7d0f130d6cbe793675e92400baf56c3152eaf3714.e34KaxiLc3eQc40LaxqMbN4PahmOe0?text=&amp;docid=181111&amp;pageIndex=0&amp;doclang=EN&amp;mode=lst&amp;dir=&amp;occ=first&amp;part=1&amp;cid=458028" TargetMode="External"/><Relationship Id="rId402" Type="http://schemas.openxmlformats.org/officeDocument/2006/relationships/hyperlink" Target="http://eur-lex.europa.eu/legal-content/EN/TXT/?qid=1490092078175&amp;uri=CELEX:32012L0018" TargetMode="External"/><Relationship Id="rId279" Type="http://schemas.openxmlformats.org/officeDocument/2006/relationships/hyperlink" Target="http://eur-lex.europa.eu/legal-content/EN/TXT/?qid=1490091643193&amp;uri=CELEX:32004L0052" TargetMode="External"/><Relationship Id="rId444" Type="http://schemas.openxmlformats.org/officeDocument/2006/relationships/hyperlink" Target="http://curia.europa.eu/juris/liste.jsf?language=en&amp;jur=C,T,F&amp;num=C-698/15&amp;td=ALL" TargetMode="External"/><Relationship Id="rId43" Type="http://schemas.openxmlformats.org/officeDocument/2006/relationships/hyperlink" Target="http://europa.eu/rapid/press-release_MEMO-16-3125_en.htm" TargetMode="External"/><Relationship Id="rId139" Type="http://schemas.openxmlformats.org/officeDocument/2006/relationships/hyperlink" Target="http://curia.europa.eu/juris/liste.jsf?language=en&amp;jur=C,T,F&amp;num=C-452/16&amp;td=ALL" TargetMode="External"/><Relationship Id="rId290" Type="http://schemas.openxmlformats.org/officeDocument/2006/relationships/hyperlink" Target="http://curia.europa.eu/juris/liste.jsf?language=en&amp;jur=C,T,F&amp;num=C-18/15&amp;td=ALL" TargetMode="External"/><Relationship Id="rId304" Type="http://schemas.openxmlformats.org/officeDocument/2006/relationships/hyperlink" Target="http://europa.eu/rapid/press-release_MEMO-16-319_en.htm" TargetMode="External"/><Relationship Id="rId346" Type="http://schemas.openxmlformats.org/officeDocument/2006/relationships/hyperlink" Target="http://europa.eu/rapid/press-release_MEMO-16-3125_en.htm" TargetMode="External"/><Relationship Id="rId388" Type="http://schemas.openxmlformats.org/officeDocument/2006/relationships/hyperlink" Target="http://europa.eu/rapid/press-release_MEMO-16-1452_en.htm" TargetMode="External"/><Relationship Id="rId85" Type="http://schemas.openxmlformats.org/officeDocument/2006/relationships/hyperlink" Target="http://eur-lex.europa.eu/legal-content/EN/TXT/?qid=1490093311017&amp;uri=CELEX:32011L0089" TargetMode="External"/><Relationship Id="rId150" Type="http://schemas.openxmlformats.org/officeDocument/2006/relationships/hyperlink" Target="http://eur-lex.europa.eu/legal-content/EN/TXT/?qid=1490107798005&amp;uri=CELEX:32009L0073" TargetMode="External"/><Relationship Id="rId192" Type="http://schemas.openxmlformats.org/officeDocument/2006/relationships/hyperlink" Target="http://eur-lex.europa.eu/legal-content/EN/TXT/?qid=1490106280401&amp;uri=CELEX:32002L0077" TargetMode="External"/><Relationship Id="rId206" Type="http://schemas.openxmlformats.org/officeDocument/2006/relationships/hyperlink" Target="http://eur-lex.europa.eu/legal-content/EN/TXT/?qid=1456831762410&amp;uri=CELEX:32009L0012" TargetMode="External"/><Relationship Id="rId413" Type="http://schemas.openxmlformats.org/officeDocument/2006/relationships/hyperlink" Target="http://eur-lex.europa.eu/legal-content/EN/TXT/?qid=1490092335702&amp;uri=CELEX:32013L0036" TargetMode="External"/><Relationship Id="rId248" Type="http://schemas.openxmlformats.org/officeDocument/2006/relationships/hyperlink" Target="http://eur-lex.europa.eu/legal-content/EN/TXT/?qid=1490092095966&amp;uri=CELEX:32008D0616" TargetMode="External"/><Relationship Id="rId455" Type="http://schemas.openxmlformats.org/officeDocument/2006/relationships/hyperlink" Target="http://europa.eu/rapid/press-release_MEMO-16-3125_en.htm" TargetMode="External"/><Relationship Id="rId12" Type="http://schemas.openxmlformats.org/officeDocument/2006/relationships/hyperlink" Target="http://eur-lex.europa.eu/legal-content/EN/TXT/?qid=1490104712836&amp;uri=CELEX:32014L0025" TargetMode="External"/><Relationship Id="rId108" Type="http://schemas.openxmlformats.org/officeDocument/2006/relationships/hyperlink" Target="http://curia.europa.eu/juris/liste.jsf?language=en&amp;jur=C,T,F&amp;num=C-12/14&amp;td=ALL" TargetMode="External"/><Relationship Id="rId315" Type="http://schemas.openxmlformats.org/officeDocument/2006/relationships/hyperlink" Target="http://eur-lex.europa.eu/legal-content/EN/TXT/?qid=1490107568975&amp;uri=CELEX:32005R2173" TargetMode="External"/><Relationship Id="rId357" Type="http://schemas.openxmlformats.org/officeDocument/2006/relationships/hyperlink" Target="http://eur-lex.europa.eu/legal-content/EN/TXT/?qid=1490104166350&amp;uri=CELEX:32013L0014" TargetMode="External"/><Relationship Id="rId54" Type="http://schemas.openxmlformats.org/officeDocument/2006/relationships/hyperlink" Target="http://eur-lex.europa.eu/legal-content/EN/TXT/?qid=1490106573873&amp;uri=CELEX:32012L0034" TargetMode="External"/><Relationship Id="rId96" Type="http://schemas.openxmlformats.org/officeDocument/2006/relationships/hyperlink" Target="http://curia.europa.eu/juris/liste.jsf?language=en&amp;jur=C,T,F&amp;num=C-501/14&amp;td=ALL" TargetMode="External"/><Relationship Id="rId161" Type="http://schemas.openxmlformats.org/officeDocument/2006/relationships/hyperlink" Target="http://eur-lex.europa.eu/legal-content/EN/TXT/?uri=uriserv:OJ.L_.2014.094.01.0001.01.ENG" TargetMode="External"/><Relationship Id="rId217" Type="http://schemas.openxmlformats.org/officeDocument/2006/relationships/hyperlink" Target="http://europa.eu/rapid/press-release_IP-15-6225_en.htm" TargetMode="External"/><Relationship Id="rId399" Type="http://schemas.openxmlformats.org/officeDocument/2006/relationships/hyperlink" Target="http://europa.eu/rapid/press-release_MEMO-16-4211_en.htm" TargetMode="External"/><Relationship Id="rId259" Type="http://schemas.openxmlformats.org/officeDocument/2006/relationships/hyperlink" Target="http://europa.eu/rapid/press-release_MEMO-16-3644_en.htm" TargetMode="External"/><Relationship Id="rId424" Type="http://schemas.openxmlformats.org/officeDocument/2006/relationships/hyperlink" Target="http://europa.eu/rapid/press-release_MEMO-16-4211_en.htm" TargetMode="External"/><Relationship Id="rId466" Type="http://schemas.openxmlformats.org/officeDocument/2006/relationships/hyperlink" Target="http://curia.europa.eu/juris/liste.jsf?language=en&amp;jur=C,T,F&amp;num=C-304/15&amp;td=ALL" TargetMode="External"/><Relationship Id="rId23"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429%252F14&amp;td=%3BALL&amp;pcs=Oor&amp;avg=&amp;page=1&amp;mat=or&amp;jge=&amp;for=&amp;cid=819194" TargetMode="External"/><Relationship Id="rId119" Type="http://schemas.openxmlformats.org/officeDocument/2006/relationships/hyperlink" Target="http://eur-lex.europa.eu/legal-content/EN/TXT/?qid=1490092993738&amp;uri=CELEX:32014L0024" TargetMode="External"/><Relationship Id="rId270" Type="http://schemas.openxmlformats.org/officeDocument/2006/relationships/hyperlink" Target="http://eur-lex.europa.eu/legal-content/EN/TXT/?qid=1490091331997&amp;uri=CELEX:32014L0025" TargetMode="External"/><Relationship Id="rId326" Type="http://schemas.openxmlformats.org/officeDocument/2006/relationships/hyperlink" Target="http://curia.europa.eu/juris/liste.jsf?language=en&amp;jur=C,T,F&amp;num=C-288/14&amp;td=ALL" TargetMode="External"/><Relationship Id="rId65" Type="http://schemas.openxmlformats.org/officeDocument/2006/relationships/hyperlink" Target="http://eur-lex.europa.eu/legal-content/EN/TXT/?qid=1490107157332&amp;uri=CELEX:32009R1071" TargetMode="External"/><Relationship Id="rId130" Type="http://schemas.openxmlformats.org/officeDocument/2006/relationships/hyperlink" Target="http://eur-lex.europa.eu/legal-content/EN/TXT/?qid=1490093460090&amp;uri=CELEX:32013L0033" TargetMode="External"/><Relationship Id="rId368" Type="http://schemas.openxmlformats.org/officeDocument/2006/relationships/hyperlink" Target="http://eur-lex.europa.eu/legal-content/EN/TXT/?qid=1456924770791&amp;uri=CELEX:32012R0748" TargetMode="External"/><Relationship Id="rId172" Type="http://schemas.openxmlformats.org/officeDocument/2006/relationships/hyperlink" Target="http://eur-lex.europa.eu/legal-content/EN/TXT/?qid=1490090124187&amp;uri=CELEX:32004L0018" TargetMode="External"/><Relationship Id="rId228" Type="http://schemas.openxmlformats.org/officeDocument/2006/relationships/hyperlink" Target="http://eur-lex.europa.eu/legal-content/EN/TXT/?qid=1490107722250&amp;uri=CELEX:32012L0019" TargetMode="External"/><Relationship Id="rId435" Type="http://schemas.openxmlformats.org/officeDocument/2006/relationships/hyperlink" Target="http://eur-lex.europa.eu/legal-content/EN/TXT/?uri=uriserv:OJ.L_.2014.094.01.0001.01.ENG" TargetMode="External"/><Relationship Id="rId477" Type="http://schemas.openxmlformats.org/officeDocument/2006/relationships/hyperlink" Target="http://curia.europa.eu/juris/liste.jsf?pro=&amp;nat=or&amp;oqp=&amp;dates=&amp;lg=&amp;language=en&amp;jur=C%2CT%2CF&amp;cit=none%252CC%252CCJ%252CR%252C2008E%252C%252C%252C%252C%252C%252C%252C%252C%252C%252Ctrue%252Cfalse%252Cfalse&amp;num=C-316%252F15&amp;td=%3BALL&amp;pcs=Oor&amp;avg=&amp;page=1&amp;mat=or&amp;jge=&amp;for=&amp;cid=916527" TargetMode="External"/><Relationship Id="rId13" Type="http://schemas.openxmlformats.org/officeDocument/2006/relationships/hyperlink" Target="http://europa.eu/rapid/press-release_MEMO-16-1823_en.htm" TargetMode="External"/><Relationship Id="rId109" Type="http://schemas.openxmlformats.org/officeDocument/2006/relationships/hyperlink" Target="http://eur-lex.europa.eu/legal-content/EN/TXT/?qid=1490092203030&amp;uri=CELEX:32013L0030" TargetMode="External"/><Relationship Id="rId260" Type="http://schemas.openxmlformats.org/officeDocument/2006/relationships/hyperlink" Target="http://eur-lex.europa.eu/legal-content/EN/TXT/?qid=1490090491383&amp;uri=CELEX:32009L0018" TargetMode="External"/><Relationship Id="rId281" Type="http://schemas.openxmlformats.org/officeDocument/2006/relationships/hyperlink" Target="http://curia.europa.eu/juris/liste.jsf?language=en&amp;jur=C,T,F&amp;num=C-557/14&amp;td=ALL" TargetMode="External"/><Relationship Id="rId316" Type="http://schemas.openxmlformats.org/officeDocument/2006/relationships/hyperlink" Target="http://eur-lex.europa.eu/legal-content/en/TXT/?uri=CELEX%3A32003L0088" TargetMode="External"/><Relationship Id="rId337" Type="http://schemas.openxmlformats.org/officeDocument/2006/relationships/hyperlink" Target="http://eur-lex.europa.eu/legal-content/EN/TXT/?qid=1490101747973&amp;uri=CELEX:32014L0059" TargetMode="External"/><Relationship Id="rId34" Type="http://schemas.openxmlformats.org/officeDocument/2006/relationships/hyperlink" Target="http://europa.eu/rapid/press-release_MEMO-16-3644_en.htm" TargetMode="External"/><Relationship Id="rId55" Type="http://schemas.openxmlformats.org/officeDocument/2006/relationships/hyperlink" Target="http://curia.europa.eu/juris/liste.jsf?language=EN&amp;num=C-489/16" TargetMode="External"/><Relationship Id="rId76" Type="http://schemas.openxmlformats.org/officeDocument/2006/relationships/hyperlink" Target="http://europa.eu/rapid/press-release_IP-16-1827_en.htm" TargetMode="External"/><Relationship Id="rId97" Type="http://schemas.openxmlformats.org/officeDocument/2006/relationships/hyperlink" Target="http://eur-lex.europa.eu/legal-content/AUTO/?uri=CELEX:32006R1013&amp;qid=1490093960656&amp;rid=1" TargetMode="External"/><Relationship Id="rId120" Type="http://schemas.openxmlformats.org/officeDocument/2006/relationships/hyperlink" Target="http://eur-lex.europa.eu/legal-content/EN/TXT/?qid=1490092924378&amp;uri=CELEX:32014L0025" TargetMode="External"/><Relationship Id="rId141" Type="http://schemas.openxmlformats.org/officeDocument/2006/relationships/hyperlink" Target="http://curia.europa.eu/juris/liste.jsf?language=en&amp;jur=C,T,F&amp;num=C-145/15%20C-477/16&amp;td=ALL" TargetMode="External"/><Relationship Id="rId358" Type="http://schemas.openxmlformats.org/officeDocument/2006/relationships/hyperlink" Target="http://eur-lex.europa.eu/legal-content/EN/TXT/?qid=1490104191780&amp;uri=CELEX:32006L0126" TargetMode="External"/><Relationship Id="rId379" Type="http://schemas.openxmlformats.org/officeDocument/2006/relationships/hyperlink" Target="http://eur-lex.europa.eu/legal-content/EN/TXT/?qid=1490108542778&amp;uri=CELEX:32014L0059" TargetMode="External"/><Relationship Id="rId7" Type="http://schemas.openxmlformats.org/officeDocument/2006/relationships/hyperlink" Target="http://eur-lex.europa.eu/legal-content/EN/TXT/?qid=1456927136179&amp;uri=CELEX:32006L0123" TargetMode="External"/><Relationship Id="rId162" Type="http://schemas.openxmlformats.org/officeDocument/2006/relationships/hyperlink" Target="http://eur-lex.europa.eu/legal-content/EN/TXT/?qid=1490107870422&amp;uri=CELEX:32014L0024" TargetMode="External"/><Relationship Id="rId183" Type="http://schemas.openxmlformats.org/officeDocument/2006/relationships/hyperlink" Target="http://curia.europa.eu/juris/liste.jsf?language=en&amp;jur=C,T,F&amp;num=C-191/15&amp;td=ALL" TargetMode="External"/><Relationship Id="rId218" Type="http://schemas.openxmlformats.org/officeDocument/2006/relationships/hyperlink" Target="http://curia.europa.eu/juris/liste.jsf?language=en&amp;jur=C,T,F&amp;num=C-526/16&amp;td=ALL" TargetMode="External"/><Relationship Id="rId239" Type="http://schemas.openxmlformats.org/officeDocument/2006/relationships/hyperlink" Target="http://curia.europa.eu/juris/liste.jsf?language=en&amp;jur=C,T,F&amp;num=C-23/16&amp;td=ALL" TargetMode="External"/><Relationship Id="rId390" Type="http://schemas.openxmlformats.org/officeDocument/2006/relationships/hyperlink" Target="http://eur-lex.europa.eu/legal-content/EN/TXT/?qid=1490091842546&amp;uri=CELEX:32014L0017" TargetMode="External"/><Relationship Id="rId404" Type="http://schemas.openxmlformats.org/officeDocument/2006/relationships/hyperlink" Target="http://eur-lex.europa.eu/legal-content/EN/TXT/?qid=1490092106190&amp;uri=CELEX:32003L0004" TargetMode="External"/><Relationship Id="rId425" Type="http://schemas.openxmlformats.org/officeDocument/2006/relationships/hyperlink" Target="http://eur-lex.europa.eu/legal-content/EN/TXT/?qid=1490106272291&amp;uri=CELEX:32008L0098" TargetMode="External"/><Relationship Id="rId446" Type="http://schemas.openxmlformats.org/officeDocument/2006/relationships/hyperlink" Target="http://curia.europa.eu/juris/liste.jsf?language=en&amp;jur=C,T,F&amp;num=C-452/16&amp;td=ALL" TargetMode="External"/><Relationship Id="rId467" Type="http://schemas.openxmlformats.org/officeDocument/2006/relationships/hyperlink" Target="http://eur-lex.europa.eu/legal-content/EN/TXT/?qid=1487858969972&amp;uri=CELEX:32004R0883" TargetMode="External"/><Relationship Id="rId250" Type="http://schemas.openxmlformats.org/officeDocument/2006/relationships/hyperlink" Target="http://eur-lex.europa.eu/legal-content/EN/TXT/?qid=1490089443424&amp;uri=CELEX:31992L0043" TargetMode="External"/><Relationship Id="rId271" Type="http://schemas.openxmlformats.org/officeDocument/2006/relationships/hyperlink" Target="http://europa.eu/rapid/press-release_MEMO-16-4211_en.htm" TargetMode="External"/><Relationship Id="rId292" Type="http://schemas.openxmlformats.org/officeDocument/2006/relationships/hyperlink" Target="http://eur-lex.europa.eu/legal-content/EN/TXT/?qid=1490106373927&amp;uri=CELEX:32008L0098" TargetMode="External"/><Relationship Id="rId306" Type="http://schemas.openxmlformats.org/officeDocument/2006/relationships/hyperlink" Target="http://eur-lex.europa.eu/legal-content/EN/TXT/?qid=1490106665244&amp;uri=CELEX:32014L0024" TargetMode="External"/><Relationship Id="rId24" Type="http://schemas.openxmlformats.org/officeDocument/2006/relationships/hyperlink" Target="http://curia.europa.eu/juris/liste.jsf?language=en&amp;jur=C,T,F&amp;num=C-477/16&amp;td=ALL" TargetMode="External"/><Relationship Id="rId45" Type="http://schemas.openxmlformats.org/officeDocument/2006/relationships/hyperlink" Target="http://europa.eu/rapid/press-release_IP-15-5829_en.htm" TargetMode="External"/><Relationship Id="rId66" Type="http://schemas.openxmlformats.org/officeDocument/2006/relationships/hyperlink" Target="http://curia.europa.eu/juris/liste.jsf?language=en&amp;jur=C,T,F&amp;num=C-152/16&amp;td=ALL" TargetMode="External"/><Relationship Id="rId87" Type="http://schemas.openxmlformats.org/officeDocument/2006/relationships/hyperlink" Target="http://eur-lex.europa.eu/legal-content/EN/TXT/?qid=1490092011564&amp;uri=CELEX:32004L0052" TargetMode="External"/><Relationship Id="rId110" Type="http://schemas.openxmlformats.org/officeDocument/2006/relationships/hyperlink" Target="http://europa.eu/rapid/press-release_MEMO-16-319_en.htm" TargetMode="External"/><Relationship Id="rId131" Type="http://schemas.openxmlformats.org/officeDocument/2006/relationships/hyperlink" Target="http://eur-lex.europa.eu/legal-content/EN/TXT/?qid=1490093500512&amp;uri=CELEX:32008L0115" TargetMode="External"/><Relationship Id="rId327" Type="http://schemas.openxmlformats.org/officeDocument/2006/relationships/hyperlink" Target="http://eur-lex.europa.eu/legal-content/EN/TXT/?qid=1490101570865&amp;uri=CELEX:32014L0040" TargetMode="External"/><Relationship Id="rId348" Type="http://schemas.openxmlformats.org/officeDocument/2006/relationships/hyperlink" Target="http://europa.eu/rapid/press-release_IP-15-4671_en.htm" TargetMode="External"/><Relationship Id="rId369" Type="http://schemas.openxmlformats.org/officeDocument/2006/relationships/hyperlink" Target="http://eur-lex.europa.eu/legal-content/EN/TXT/?qid=1456831717066&amp;uri=CELEX:32014R1321" TargetMode="External"/><Relationship Id="rId152" Type="http://schemas.openxmlformats.org/officeDocument/2006/relationships/hyperlink" Target="http://europa.eu/rapid/press-release_MEMO-16-3125_en.htm" TargetMode="External"/><Relationship Id="rId173" Type="http://schemas.openxmlformats.org/officeDocument/2006/relationships/hyperlink" Target="http://curia.europa.eu/juris/liste.jsf?language=en&amp;jur=C,T,F&amp;num=C-187/16&amp;td=ALL" TargetMode="External"/><Relationship Id="rId194" Type="http://schemas.openxmlformats.org/officeDocument/2006/relationships/hyperlink" Target="http://eur-lex.europa.eu/legal-content/EN/TXT/?qid=1490106367116&amp;uri=CELEX:32012L0018" TargetMode="External"/><Relationship Id="rId208" Type="http://schemas.openxmlformats.org/officeDocument/2006/relationships/hyperlink" Target="http://eur-lex.europa.eu/legal-content/EN/TXT/?qid=1456927136179&amp;uri=CELEX:32006L0123" TargetMode="External"/><Relationship Id="rId229" Type="http://schemas.openxmlformats.org/officeDocument/2006/relationships/hyperlink" Target="http://eur-lex.europa.eu/legal-content/EN/TXT/?qid=1490107760966&amp;uri=CELEX:32006L0126" TargetMode="External"/><Relationship Id="rId380" Type="http://schemas.openxmlformats.org/officeDocument/2006/relationships/hyperlink" Target="http://eur-lex.europa.eu/legal-content/EN/TXT/?qid=1490108603343&amp;uri=CELEX:32014L0049" TargetMode="External"/><Relationship Id="rId415" Type="http://schemas.openxmlformats.org/officeDocument/2006/relationships/hyperlink" Target="http://eur-lex.europa.eu/legal-content/EN/TXT/?qid=1490092389702&amp;uri=CELEX:32006L0126" TargetMode="External"/><Relationship Id="rId436" Type="http://schemas.openxmlformats.org/officeDocument/2006/relationships/hyperlink" Target="http://eur-lex.europa.eu/legal-content/EN/TXT/?qid=1490106463738&amp;uri=CELEX:32014L0024" TargetMode="External"/><Relationship Id="rId457" Type="http://schemas.openxmlformats.org/officeDocument/2006/relationships/hyperlink" Target="http://eur-lex.europa.eu/legal-content/EN/TXT/?qid=1490104779507&amp;uri=CELEX:32007R0715" TargetMode="External"/><Relationship Id="rId240" Type="http://schemas.openxmlformats.org/officeDocument/2006/relationships/hyperlink" Target="http://curia.europa.eu/juris/liste.jsf?language=en&amp;jur=C,T,F&amp;num=C-119/15&amp;td=ALL" TargetMode="External"/><Relationship Id="rId261" Type="http://schemas.openxmlformats.org/officeDocument/2006/relationships/hyperlink" Target="http://eur-lex.europa.eu/legal-content/EN/TXT/?qid=1490090573463&amp;uri=CELEX:32009L0016" TargetMode="External"/><Relationship Id="rId478" Type="http://schemas.openxmlformats.org/officeDocument/2006/relationships/hyperlink" Target="http://curia.europa.eu/jcms/jcms/p1_242447/en/" TargetMode="External"/><Relationship Id="rId14" Type="http://schemas.openxmlformats.org/officeDocument/2006/relationships/hyperlink" Target="http://eur-lex.europa.eu/legal-content/EN/TXT/?qid=1490104740669&amp;uri=CELEX:32007L0046" TargetMode="External"/><Relationship Id="rId35" Type="http://schemas.openxmlformats.org/officeDocument/2006/relationships/hyperlink" Target="http://eur-lex.europa.eu/legal-content/EN/TXT/?uri=uriserv:OJ.L_.2014.094.01.0001.01.ENG" TargetMode="External"/><Relationship Id="rId56" Type="http://schemas.openxmlformats.org/officeDocument/2006/relationships/hyperlink" Target="http://europa.eu/rapid/press-release_IP-16-2494_EN.htm" TargetMode="External"/><Relationship Id="rId77" Type="http://schemas.openxmlformats.org/officeDocument/2006/relationships/hyperlink" Target="http://europa.eu/rapid/press-release_MEMO-16-1823_en.htm" TargetMode="External"/><Relationship Id="rId100" Type="http://schemas.openxmlformats.org/officeDocument/2006/relationships/hyperlink" Target="http://eur-lex.europa.eu/legal-content/EN/TXT/?qid=1490091285368&amp;uri=CELEX:32014L0024" TargetMode="External"/><Relationship Id="rId282" Type="http://schemas.openxmlformats.org/officeDocument/2006/relationships/hyperlink" Target="http://curia.europa.eu/jcms/jcms/p1_213732/en/" TargetMode="External"/><Relationship Id="rId317" Type="http://schemas.openxmlformats.org/officeDocument/2006/relationships/hyperlink" Target="http://eur-lex.europa.eu/legal-content/EN/TXT/?qid=1490106975449&amp;uri=CELEX:32014L0049" TargetMode="External"/><Relationship Id="rId338" Type="http://schemas.openxmlformats.org/officeDocument/2006/relationships/hyperlink" Target="http://europa.eu/rapid/press-release_MEMO-16-1452_en.htm" TargetMode="External"/><Relationship Id="rId359" Type="http://schemas.openxmlformats.org/officeDocument/2006/relationships/hyperlink" Target="http://eur-lex.europa.eu/legal-content/EN/TXT/?qid=1490104220941&amp;uri=CELEX:32000L0035" TargetMode="External"/><Relationship Id="rId8" Type="http://schemas.openxmlformats.org/officeDocument/2006/relationships/hyperlink" Target="http://europa.eu/rapid/press-release_IP-16-3646_en.htm" TargetMode="External"/><Relationship Id="rId98" Type="http://schemas.openxmlformats.org/officeDocument/2006/relationships/hyperlink" Target="http://curia.europa.eu/juris/liste.jsf?language=en&amp;jur=C,T,F&amp;num=C-69/15&amp;td=ALL" TargetMode="External"/><Relationship Id="rId121" Type="http://schemas.openxmlformats.org/officeDocument/2006/relationships/hyperlink" Target="http://europa.eu/rapid/press-release_MEMO-16-1823_en.htm" TargetMode="External"/><Relationship Id="rId142" Type="http://schemas.openxmlformats.org/officeDocument/2006/relationships/hyperlink" Target="http://curia.europa.eu/juris/liste.jsf?language=en&amp;jur=C,T,F&amp;num=C-146/15&amp;td=ALL" TargetMode="External"/><Relationship Id="rId163" Type="http://schemas.openxmlformats.org/officeDocument/2006/relationships/hyperlink" Target="http://eur-lex.europa.eu/legal-content/EN/TXT/?uri=OJ%3AJOL_2014_094_R_0243_01" TargetMode="External"/><Relationship Id="rId184" Type="http://schemas.openxmlformats.org/officeDocument/2006/relationships/hyperlink" Target="http://curia.europa.eu/juris/liste.jsf?language=en&amp;jur=C,T,F&amp;num=C-453/14&amp;td=ALL" TargetMode="External"/><Relationship Id="rId219" Type="http://schemas.openxmlformats.org/officeDocument/2006/relationships/hyperlink" Target="http://europa.eu/rapid/press-release_IP-16-1454_en.htm" TargetMode="External"/><Relationship Id="rId370" Type="http://schemas.openxmlformats.org/officeDocument/2006/relationships/hyperlink" Target="http://eur-lex.europa.eu/legal-content/EN/TXT/?qid=1490108233324&amp;uri=CELEX:31991L0676" TargetMode="External"/><Relationship Id="rId391" Type="http://schemas.openxmlformats.org/officeDocument/2006/relationships/hyperlink" Target="http://europa.eu/rapid/press-release_MEMO-16-3644_en.htm" TargetMode="External"/><Relationship Id="rId405" Type="http://schemas.openxmlformats.org/officeDocument/2006/relationships/hyperlink" Target="http://europa.eu/rapid/press-release_MEMO-16-2490_en.htm" TargetMode="External"/><Relationship Id="rId426" Type="http://schemas.openxmlformats.org/officeDocument/2006/relationships/hyperlink" Target="http://eur-lex.europa.eu/legal-content/EN/TXT/?qid=1490106351330&amp;uri=CELEX:32000L0060" TargetMode="External"/><Relationship Id="rId447" Type="http://schemas.openxmlformats.org/officeDocument/2006/relationships/hyperlink" Target="http://curia.europa.eu/juris/liste.jsf?language=en&amp;jur=C,T,F&amp;num=C-252/14,%20PMT&amp;td=ALL" TargetMode="External"/><Relationship Id="rId230" Type="http://schemas.openxmlformats.org/officeDocument/2006/relationships/hyperlink" Target="http://europa.eu/rapid/press-release_MEMO-15-6223_en.htm" TargetMode="External"/><Relationship Id="rId251" Type="http://schemas.openxmlformats.org/officeDocument/2006/relationships/hyperlink" Target="http://europa.eu/rapid/press-release_MEMO-16-1823_en.htm" TargetMode="External"/><Relationship Id="rId468" Type="http://schemas.openxmlformats.org/officeDocument/2006/relationships/hyperlink" Target="http://curia.europa.eu/juris/liste.jsf?language=en&amp;jur=C,T,F&amp;num=C-308/14&amp;td=ALL" TargetMode="External"/><Relationship Id="rId25" Type="http://schemas.openxmlformats.org/officeDocument/2006/relationships/hyperlink" Target="http://eur-lex.europa.eu/legal-content/EN/TXT/?qid=1490105496844&amp;uri=CELEX:32014L0040" TargetMode="External"/><Relationship Id="rId46" Type="http://schemas.openxmlformats.org/officeDocument/2006/relationships/hyperlink" Target="http://europa.eu/rapid/press-release_MEMO-15-5826_en.htm" TargetMode="External"/><Relationship Id="rId67" Type="http://schemas.openxmlformats.org/officeDocument/2006/relationships/hyperlink" Target="http://curia.europa.eu/juris/liste.jsf?pro=&amp;nat=or&amp;oqp=&amp;dates=&amp;lg=&amp;language=en&amp;jur=C%2CT%2CF&amp;cit=none%252CC%252CCJ%252CR%252C2008E%252C%252C%252C%252C%252C%252C%252C%252C%252C%252Ctrue%252Cfalse%252Cfalse&amp;num=C-238%252F15&amp;td=%3BALL&amp;pcs=Oor&amp;avg=&amp;page=1&amp;mat=or&amp;jge=&amp;for=&amp;cid=711669" TargetMode="External"/><Relationship Id="rId272" Type="http://schemas.openxmlformats.org/officeDocument/2006/relationships/hyperlink" Target="http://eur-lex.europa.eu/legal-content/EN/TXT/?qid=1490091368265&amp;uri=CELEX:32013L0055" TargetMode="External"/><Relationship Id="rId293" Type="http://schemas.openxmlformats.org/officeDocument/2006/relationships/hyperlink" Target="http://europa.eu/rapid/press-release_MEMO-16-1823_en.htm" TargetMode="External"/><Relationship Id="rId307" Type="http://schemas.openxmlformats.org/officeDocument/2006/relationships/hyperlink" Target="http://eur-lex.europa.eu/legal-content/EN/TXT/?qid=1490106697114&amp;uri=CELEX:32014L0025" TargetMode="External"/><Relationship Id="rId328" Type="http://schemas.openxmlformats.org/officeDocument/2006/relationships/hyperlink" Target="http://europa.eu/rapid/press-release_MEMO-16-4211_en.htm" TargetMode="External"/><Relationship Id="rId349" Type="http://schemas.openxmlformats.org/officeDocument/2006/relationships/hyperlink" Target="http://eur-lex.europa.eu/legal-content/EN/TXT/?qid=1490102129899&amp;uri=CELEX:32000L0043" TargetMode="External"/><Relationship Id="rId88" Type="http://schemas.openxmlformats.org/officeDocument/2006/relationships/hyperlink" Target="http://eur-lex.europa.eu/legal-content/EN/TXT/?qid=1456927136179&amp;uri=CELEX:32006L0123" TargetMode="External"/><Relationship Id="rId111" Type="http://schemas.openxmlformats.org/officeDocument/2006/relationships/hyperlink" Target="http://eur-lex.europa.eu/legal-content/EN/TXT/?qid=1490092437509&amp;uri=CELEX:32013L0036" TargetMode="External"/><Relationship Id="rId132" Type="http://schemas.openxmlformats.org/officeDocument/2006/relationships/hyperlink" Target="http://curia.europa.eu/juris/liste.jsf?language=en&amp;jur=C,T,F&amp;num=C-601/15&amp;td=ALL" TargetMode="External"/><Relationship Id="rId153" Type="http://schemas.openxmlformats.org/officeDocument/2006/relationships/hyperlink" Target="http://eur-lex.europa.eu/legal-content/EN/TXT/?qid=1490107832835&amp;uri=CELEX:31992L0083" TargetMode="External"/><Relationship Id="rId174" Type="http://schemas.openxmlformats.org/officeDocument/2006/relationships/hyperlink" Target="http://europa.eu/rapid/press-release_IP-15-6226_EN.htm" TargetMode="External"/><Relationship Id="rId195" Type="http://schemas.openxmlformats.org/officeDocument/2006/relationships/hyperlink" Target="http://europa.eu/rapid/press-release_MEMO-16-1452_en.htm" TargetMode="External"/><Relationship Id="rId209" Type="http://schemas.openxmlformats.org/officeDocument/2006/relationships/hyperlink" Target="http://europa.eu/rapid/press-release_IP-16-323_en.htm" TargetMode="External"/><Relationship Id="rId360" Type="http://schemas.openxmlformats.org/officeDocument/2006/relationships/hyperlink" Target="http://curia.europa.eu/juris/liste.jsf?language=en&amp;jur=C,T,F&amp;num=C-256/15&amp;td=ALL" TargetMode="External"/><Relationship Id="rId381" Type="http://schemas.openxmlformats.org/officeDocument/2006/relationships/hyperlink" Target="http://eur-lex.europa.eu/legal-content/EN/TXT/?qid=1490108648774&amp;uri=CELEX:32006L0126" TargetMode="External"/><Relationship Id="rId416" Type="http://schemas.openxmlformats.org/officeDocument/2006/relationships/hyperlink" Target="http://europa.eu/rapid/press-release_IP-15-6229_en.htm" TargetMode="External"/><Relationship Id="rId220" Type="http://schemas.openxmlformats.org/officeDocument/2006/relationships/hyperlink" Target="http://curia.europa.eu/juris/liste.jsf?language=en&amp;jur=C,T,F&amp;num=C-23/16&amp;td=ALL" TargetMode="External"/><Relationship Id="rId241" Type="http://schemas.openxmlformats.org/officeDocument/2006/relationships/hyperlink" Target="http://eur-lex.europa.eu/legal-content/EN/TXT/?qid=1490108397737&amp;uri=CELEX:32002L0022" TargetMode="External"/><Relationship Id="rId437" Type="http://schemas.openxmlformats.org/officeDocument/2006/relationships/hyperlink" Target="http://eur-lex.europa.eu/legal-content/EN/TXT/?qid=1490106494241&amp;uri=CELEX:32014L0025" TargetMode="External"/><Relationship Id="rId458" Type="http://schemas.openxmlformats.org/officeDocument/2006/relationships/hyperlink" Target="http://europa.eu/rapid/press-release_IP-16-4214_en.htm" TargetMode="External"/><Relationship Id="rId479" Type="http://schemas.openxmlformats.org/officeDocument/2006/relationships/hyperlink" Target="http://curia.europa.eu/juris/liste.jsf?pro=&amp;nat=or&amp;oqp=&amp;dates=&amp;lg=&amp;language=en&amp;jur=C%2CT%2CF&amp;cit=none%252CC%252CCJ%252CR%252C2008E%252C%252C%252C%252C%252C%252C%252C%252C%252C%252Ctrue%252Cfalse%252Cfalse&amp;num=C-592%252F14&amp;td=%3BALL&amp;pcs=Oor&amp;avg=&amp;page=1&amp;mat=or&amp;jge=&amp;for=&amp;cid=916527" TargetMode="External"/><Relationship Id="rId15" Type="http://schemas.openxmlformats.org/officeDocument/2006/relationships/hyperlink" Target="http://eur-lex.europa.eu/legal-content/EN/TXT/?qid=1490104779507&amp;uri=CELEX:32007R0715" TargetMode="External"/><Relationship Id="rId36" Type="http://schemas.openxmlformats.org/officeDocument/2006/relationships/hyperlink" Target="http://eur-lex.europa.eu/legal-content/EN/TXT/?qid=1490105959872&amp;uri=CELEX:32014L0024" TargetMode="External"/><Relationship Id="rId57" Type="http://schemas.openxmlformats.org/officeDocument/2006/relationships/hyperlink" Target="http://eur-lex.europa.eu/legal-content/EN/TXT/?qid=1490106605435&amp;uri=CELEX:32012L0018" TargetMode="External"/><Relationship Id="rId262" Type="http://schemas.openxmlformats.org/officeDocument/2006/relationships/hyperlink" Target="http://eur-lex.europa.eu/legal-content/EN/TXT/?qid=1490090636504&amp;uri=CELEX:32009L0021" TargetMode="External"/><Relationship Id="rId283" Type="http://schemas.openxmlformats.org/officeDocument/2006/relationships/hyperlink" Target="http://eur-lex.europa.eu/legal-content/EN/TXT/?qid=1490109345270&amp;uri=CELEX:31991L0271" TargetMode="External"/><Relationship Id="rId318" Type="http://schemas.openxmlformats.org/officeDocument/2006/relationships/hyperlink" Target="http://eur-lex.europa.eu/legal-content/EN/TXT/?qid=1490107043320&amp;uri=CELEX:32004L0039" TargetMode="External"/><Relationship Id="rId339" Type="http://schemas.openxmlformats.org/officeDocument/2006/relationships/hyperlink" Target="http://eur-lex.europa.eu/legal-content/EN/TXT/?qid=1456924770791&amp;uri=CELEX:32012R0748" TargetMode="External"/><Relationship Id="rId78" Type="http://schemas.openxmlformats.org/officeDocument/2006/relationships/hyperlink" Target="http://eur-lex.europa.eu/legal-content/EN/TXT/?uri=celex:32006L0123" TargetMode="External"/><Relationship Id="rId99" Type="http://schemas.openxmlformats.org/officeDocument/2006/relationships/hyperlink" Target="http://eur-lex.europa.eu/legal-content/EN/TXT/?qid=1490090755954&amp;uri=CELEX:32014L0023" TargetMode="External"/><Relationship Id="rId101" Type="http://schemas.openxmlformats.org/officeDocument/2006/relationships/hyperlink" Target="http://eur-lex.europa.eu/legal-content/EN/TXT/?qid=1490091500287&amp;uri=CELEX:32014L0025" TargetMode="External"/><Relationship Id="rId122" Type="http://schemas.openxmlformats.org/officeDocument/2006/relationships/hyperlink" Target="http://eur-lex.europa.eu/legal-content/EN/TXT/?qid=1490093032409&amp;uri=CELEX:32013L0055" TargetMode="External"/><Relationship Id="rId143" Type="http://schemas.openxmlformats.org/officeDocument/2006/relationships/hyperlink" Target="http://curia.europa.eu/jcms/upload/docs/application/pdf/2016-03/cp160031en.pdf" TargetMode="External"/><Relationship Id="rId164" Type="http://schemas.openxmlformats.org/officeDocument/2006/relationships/hyperlink" Target="http://europa.eu/rapid/press-release_MEMO-16-1823_en.htm" TargetMode="External"/><Relationship Id="rId185" Type="http://schemas.openxmlformats.org/officeDocument/2006/relationships/hyperlink" Target="http://eur-lex.europa.eu/legal-content/EN/TXT/?qid=1490108605780&amp;uri=CELEX:31985L0337" TargetMode="External"/><Relationship Id="rId350" Type="http://schemas.openxmlformats.org/officeDocument/2006/relationships/hyperlink" Target="http://eur-lex.europa.eu/legal-content/EN/TXT/?qid=1490102174242&amp;uri=CELEX:32004L0113" TargetMode="External"/><Relationship Id="rId371" Type="http://schemas.openxmlformats.org/officeDocument/2006/relationships/hyperlink" Target="http://europa.eu/rapid/press-release_MEMO-16-3125_en.htm" TargetMode="External"/><Relationship Id="rId406" Type="http://schemas.openxmlformats.org/officeDocument/2006/relationships/hyperlink" Target="http://eur-lex.europa.eu/legal-content/EN/TXT/?qid=1490092131952&amp;uri=CELEX:32013L0055" TargetMode="External"/><Relationship Id="rId9" Type="http://schemas.openxmlformats.org/officeDocument/2006/relationships/hyperlink" Target="http://europa.eu/rapid/press-release_MEMO-16-3644_en.htm" TargetMode="External"/><Relationship Id="rId210" Type="http://schemas.openxmlformats.org/officeDocument/2006/relationships/hyperlink" Target="http://europa.eu/rapid/press-release_MEMO-16-319_en.htm" TargetMode="External"/><Relationship Id="rId392" Type="http://schemas.openxmlformats.org/officeDocument/2006/relationships/hyperlink" Target="http://eur-lex.europa.eu/legal-content/EN/TXT/?qid=1456831762410&amp;uri=CELEX:32009L0012" TargetMode="External"/><Relationship Id="rId427" Type="http://schemas.openxmlformats.org/officeDocument/2006/relationships/hyperlink" Target="http://eur-lex.europa.eu/legal-content/EN/TXT/?qid=1490106385928&amp;uri=CELEX:32014L0017" TargetMode="External"/><Relationship Id="rId448" Type="http://schemas.openxmlformats.org/officeDocument/2006/relationships/hyperlink" Target="http://eur-lex.europa.eu/legal-content/EN/TXT/?qid=1490106411874&amp;uri=CELEX:32013L0030" TargetMode="External"/><Relationship Id="rId469" Type="http://schemas.openxmlformats.org/officeDocument/2006/relationships/hyperlink" Target="http://curia.europa.eu/juris/liste.jsf?language=en&amp;jur=C,T,F&amp;num=C-165/14&amp;td=ALL" TargetMode="External"/><Relationship Id="rId26" Type="http://schemas.openxmlformats.org/officeDocument/2006/relationships/hyperlink" Target="http://europa.eu/rapid/press-release_MEMO-16-4211_en.htm" TargetMode="External"/><Relationship Id="rId231" Type="http://schemas.openxmlformats.org/officeDocument/2006/relationships/hyperlink" Target="http://eur-lex.europa.eu/legal-content/EN/TXT/?qid=1490107805365&amp;uri=CELEX:32004L0052" TargetMode="External"/><Relationship Id="rId252" Type="http://schemas.openxmlformats.org/officeDocument/2006/relationships/hyperlink" Target="http://eur-lex.europa.eu/legal-content/EN/TXT/?qid=1490089723978&amp;uri=CELEX:32013L0030" TargetMode="External"/><Relationship Id="rId273" Type="http://schemas.openxmlformats.org/officeDocument/2006/relationships/hyperlink" Target="http://europa.eu/rapid/press-release_MEMO-16-3125_en.htm" TargetMode="External"/><Relationship Id="rId294" Type="http://schemas.openxmlformats.org/officeDocument/2006/relationships/hyperlink" Target="http://eur-lex.europa.eu/legal-content/EN/TXT/?qid=1490106411874&amp;uri=CELEX:32013L0030" TargetMode="External"/><Relationship Id="rId308" Type="http://schemas.openxmlformats.org/officeDocument/2006/relationships/hyperlink" Target="http://europa.eu/rapid/press-release_MEMO-16-1823_en.htm" TargetMode="External"/><Relationship Id="rId329" Type="http://schemas.openxmlformats.org/officeDocument/2006/relationships/hyperlink" Target="http://europa.eu/rapid/press-release_MEMO-16-1452_en.htm" TargetMode="External"/><Relationship Id="rId480" Type="http://schemas.openxmlformats.org/officeDocument/2006/relationships/hyperlink" Target="http://curia.europa.eu/jcms/jcms/p1_228699/en/" TargetMode="External"/><Relationship Id="rId47" Type="http://schemas.openxmlformats.org/officeDocument/2006/relationships/hyperlink" Target="http://eur-lex.europa.eu/legal-content/EN/TXT/?qid=1490106207188&amp;uri=CELEX:32014L0027" TargetMode="External"/><Relationship Id="rId68" Type="http://schemas.openxmlformats.org/officeDocument/2006/relationships/hyperlink" Target="http://curia.europa.eu/juris/liste.jsf?pro=&amp;nat=or&amp;oqp=&amp;dates=&amp;lg=&amp;language=en&amp;jur=C%2CT%2CF&amp;cit=none%252CC%252CCJ%252CR%252C2008E%252C%252C%252C%252C%252C%252C%252C%252C%252C%252Ctrue%252Cfalse%252Cfalse&amp;num=C-300%252F15&amp;td=%3BALL&amp;pcs=Oor&amp;avg=&amp;page=1&amp;mat=or&amp;jge=&amp;for=&amp;cid=834044" TargetMode="External"/><Relationship Id="rId89" Type="http://schemas.openxmlformats.org/officeDocument/2006/relationships/hyperlink" Target="http://curia.europa.eu/juris/liste.jsf?language=en&amp;jur=C,T,F&amp;num=C-179/14&amp;td=ALL" TargetMode="External"/><Relationship Id="rId112" Type="http://schemas.openxmlformats.org/officeDocument/2006/relationships/hyperlink" Target="http://europa.eu/rapid/press-release_MEMO-16-1452_en.htm" TargetMode="External"/><Relationship Id="rId133" Type="http://schemas.openxmlformats.org/officeDocument/2006/relationships/hyperlink" Target="http://curia.europa.eu/juris/liste.jsf?language=en&amp;jur=C,T,F&amp;num=C-160/15&amp;td=ALL" TargetMode="External"/><Relationship Id="rId154" Type="http://schemas.openxmlformats.org/officeDocument/2006/relationships/hyperlink" Target="http://eur-lex.europa.eu/legal-content/EN/TXT/?uri=celex:32006L0112" TargetMode="External"/><Relationship Id="rId175" Type="http://schemas.openxmlformats.org/officeDocument/2006/relationships/hyperlink" Target="http://eur-lex.europa.eu/legal-content/EN/TXT/?qid=1490108418651&amp;uri=CELEX:32010L0075" TargetMode="External"/><Relationship Id="rId340" Type="http://schemas.openxmlformats.org/officeDocument/2006/relationships/hyperlink" Target="http://eur-lex.europa.eu/legal-content/EN/TXT/?qid=1456831717066&amp;uri=CELEX:32014R1321" TargetMode="External"/><Relationship Id="rId361" Type="http://schemas.openxmlformats.org/officeDocument/2006/relationships/hyperlink" Target="http://eur-lex.europa.eu/legal-content/EN/TXT/?qid=1490107976947&amp;uri=CELEX:32002L0049" TargetMode="External"/><Relationship Id="rId196" Type="http://schemas.openxmlformats.org/officeDocument/2006/relationships/hyperlink" Target="http://eur-lex.europa.eu/legal-content/EN/TXT/?qid=1490106405789&amp;uri=CELEX:32012L0027" TargetMode="External"/><Relationship Id="rId200" Type="http://schemas.openxmlformats.org/officeDocument/2006/relationships/hyperlink" Target="http://eur-lex.europa.eu/legal-content/EN/TXT/?qid=1490106490696&amp;uri=CELEX:32009L0028" TargetMode="External"/><Relationship Id="rId382" Type="http://schemas.openxmlformats.org/officeDocument/2006/relationships/hyperlink" Target="http://eur-lex.europa.eu/legal-content/EN/TXT/?qid=1490108692512&amp;uri=CELEX:32008L0057" TargetMode="External"/><Relationship Id="rId417" Type="http://schemas.openxmlformats.org/officeDocument/2006/relationships/hyperlink" Target="http://europa.eu/rapid/press-release_MEMO-15-6223_en.htm" TargetMode="External"/><Relationship Id="rId438" Type="http://schemas.openxmlformats.org/officeDocument/2006/relationships/hyperlink" Target="http://europa.eu/rapid/press-release_MEMO-16-1823_en.htm" TargetMode="External"/><Relationship Id="rId459" Type="http://schemas.openxmlformats.org/officeDocument/2006/relationships/hyperlink" Target="http://eur-lex.europa.eu/legal-content/EN/TXT/?qid=1490108413760&amp;uri=CELEX:31992L0043" TargetMode="External"/><Relationship Id="rId16" Type="http://schemas.openxmlformats.org/officeDocument/2006/relationships/hyperlink" Target="http://europa.eu/rapid/press-release_IP-16-4214_en.htm" TargetMode="External"/><Relationship Id="rId221" Type="http://schemas.openxmlformats.org/officeDocument/2006/relationships/hyperlink" Target="http://europa.eu/rapid/press-release_IP-15-6012_en.htm" TargetMode="External"/><Relationship Id="rId242" Type="http://schemas.openxmlformats.org/officeDocument/2006/relationships/hyperlink" Target="http://curia.europa.eu/juris/liste.jsf?language=en&amp;jur=C,T,F&amp;num=C-397/14&amp;td=ALL" TargetMode="External"/><Relationship Id="rId263" Type="http://schemas.openxmlformats.org/officeDocument/2006/relationships/hyperlink" Target="http://europa.eu/rapid/press-release_MEMO-16-3125_en.htm" TargetMode="External"/><Relationship Id="rId284" Type="http://schemas.openxmlformats.org/officeDocument/2006/relationships/hyperlink" Target="http://curia.europa.eu/juris/liste.jsf?language=en&amp;jur=C,T,F&amp;num=C-398/14&amp;td=ALL" TargetMode="External"/><Relationship Id="rId319" Type="http://schemas.openxmlformats.org/officeDocument/2006/relationships/hyperlink" Target="http://eur-lex.europa.eu/legal-content/EN/TXT/?qid=1490107081217&amp;uri=CELEX:32007R1370" TargetMode="External"/><Relationship Id="rId470" Type="http://schemas.openxmlformats.org/officeDocument/2006/relationships/hyperlink" Target="http://curia.europa.eu/juris/liste.jsf?language=en&amp;jur=C,T,F&amp;num=C-304/14&amp;td=ALL" TargetMode="External"/><Relationship Id="rId37" Type="http://schemas.openxmlformats.org/officeDocument/2006/relationships/hyperlink" Target="http://eur-lex.europa.eu/legal-content/EN/TXT/?qid=1490105991644&amp;uri=CELEX:32014L0025" TargetMode="External"/><Relationship Id="rId58" Type="http://schemas.openxmlformats.org/officeDocument/2006/relationships/hyperlink" Target="http://eur-lex.europa.eu/legal-content/EN/TXT/?qid=1490106646829&amp;uri=CELEX:32013L0036" TargetMode="External"/><Relationship Id="rId79" Type="http://schemas.openxmlformats.org/officeDocument/2006/relationships/hyperlink" Target="http://europa.eu/rapid/press-release_IP-16-3646_en.htm" TargetMode="External"/><Relationship Id="rId102" Type="http://schemas.openxmlformats.org/officeDocument/2006/relationships/hyperlink" Target="http://europa.eu/rapid/press-release_MEMO-16-1823_en.htm" TargetMode="External"/><Relationship Id="rId123" Type="http://schemas.openxmlformats.org/officeDocument/2006/relationships/hyperlink" Target="http://europa.eu/rapid/press-release_MEMO-16-3125_en.htm" TargetMode="External"/><Relationship Id="rId144" Type="http://schemas.openxmlformats.org/officeDocument/2006/relationships/hyperlink" Target="http://curia.europa.eu/juris/liste.jsf?language=en&amp;jur=C,T,F&amp;num=C-442/14&amp;td=ALL" TargetMode="External"/><Relationship Id="rId330" Type="http://schemas.openxmlformats.org/officeDocument/2006/relationships/hyperlink" Target="http://eur-lex.europa.eu/legal-content/EN/TXT/?qid=1490101610606&amp;uri=CELEX:32002L0049" TargetMode="External"/><Relationship Id="rId90" Type="http://schemas.openxmlformats.org/officeDocument/2006/relationships/hyperlink" Target="http://curia.europa.eu/juris/liste.jsf?language=en&amp;jur=C,T,F&amp;num=C-695/15&amp;td=ALL" TargetMode="External"/><Relationship Id="rId165" Type="http://schemas.openxmlformats.org/officeDocument/2006/relationships/hyperlink" Target="http://eur-lex.europa.eu/legal-content/EN/TXT/?qid=1490107952020&amp;uri=CELEX:32013L0055" TargetMode="External"/><Relationship Id="rId186" Type="http://schemas.openxmlformats.org/officeDocument/2006/relationships/hyperlink" Target="http://eur-lex.europa.eu/legal-content/EN/TXT/?qid=1490108635889&amp;uri=CELEX:31997L0011" TargetMode="External"/><Relationship Id="rId351" Type="http://schemas.openxmlformats.org/officeDocument/2006/relationships/hyperlink" Target="http://eur-lex.europa.eu/legal-content/EN/TXT/?qid=1490104255323&amp;uri=CELEX:32006L0054" TargetMode="External"/><Relationship Id="rId372" Type="http://schemas.openxmlformats.org/officeDocument/2006/relationships/hyperlink" Target="http://eur-lex.europa.eu/legal-content/EN/TXT/?uri=celex:31992L0013" TargetMode="External"/><Relationship Id="rId393" Type="http://schemas.openxmlformats.org/officeDocument/2006/relationships/hyperlink" Target="http://eur-lex.europa.eu/legal-content/EN/TXT/?qid=1490091878293&amp;uri=CELEX:32014L0111" TargetMode="External"/><Relationship Id="rId407" Type="http://schemas.openxmlformats.org/officeDocument/2006/relationships/hyperlink" Target="http://europa.eu/rapid/press-release_MEMO-16-3125_en.htm" TargetMode="External"/><Relationship Id="rId428" Type="http://schemas.openxmlformats.org/officeDocument/2006/relationships/hyperlink" Target="http://europa.eu/rapid/press-release_MEMO-16-3644_en.htm" TargetMode="External"/><Relationship Id="rId449" Type="http://schemas.openxmlformats.org/officeDocument/2006/relationships/hyperlink" Target="http://europa.eu/rapid/press-release_MEMO-16-319_en.htm" TargetMode="External"/><Relationship Id="rId211" Type="http://schemas.openxmlformats.org/officeDocument/2006/relationships/hyperlink" Target="http://eur-lex.europa.eu/legal-content/EN/TXT/?uri=uriserv:OJ.L_.2014.094.01.0001.01.ENG" TargetMode="External"/><Relationship Id="rId232" Type="http://schemas.openxmlformats.org/officeDocument/2006/relationships/hyperlink" Target="http://eur-lex.europa.eu/legal-content/EN/TXT/?qid=1490107835130&amp;uri=CELEX:32012L0034" TargetMode="External"/><Relationship Id="rId253" Type="http://schemas.openxmlformats.org/officeDocument/2006/relationships/hyperlink" Target="http://europa.eu/rapid/press-release_MEMO-16-319_en.htm" TargetMode="External"/><Relationship Id="rId274" Type="http://schemas.openxmlformats.org/officeDocument/2006/relationships/hyperlink" Target="http://eur-lex.europa.eu/legal-content/EN/TXT/?qid=1456333138556&amp;uri=CELEX:32008L0120" TargetMode="External"/><Relationship Id="rId295" Type="http://schemas.openxmlformats.org/officeDocument/2006/relationships/hyperlink" Target="http://europa.eu/rapid/press-release_MEMO-16-319_en.htm" TargetMode="External"/><Relationship Id="rId309" Type="http://schemas.openxmlformats.org/officeDocument/2006/relationships/hyperlink" Target="http://eur-lex.europa.eu/legal-content/EN/TXT/?qid=1490106782976&amp;uri=CELEX:32012L0033" TargetMode="External"/><Relationship Id="rId460" Type="http://schemas.openxmlformats.org/officeDocument/2006/relationships/hyperlink" Target="http://eur-lex.europa.eu/legal-content/EN/TXT/?qid=1490105515716&amp;uri=CELEX:32012L0018" TargetMode="External"/><Relationship Id="rId27" Type="http://schemas.openxmlformats.org/officeDocument/2006/relationships/hyperlink" Target="http://eur-lex.europa.eu/legal-content/EN/TXT/?qid=1490105534204&amp;uri=CELEX:32014L0017" TargetMode="External"/><Relationship Id="rId48" Type="http://schemas.openxmlformats.org/officeDocument/2006/relationships/hyperlink" Target="http://eur-lex.europa.eu/legal-content/EN/TXT/?qid=1490106418853&amp;uri=CELEX:32008R1272" TargetMode="External"/><Relationship Id="rId69" Type="http://schemas.openxmlformats.org/officeDocument/2006/relationships/hyperlink" Target="http://europa.eu/rapid/press-release_MEMO-16-1823_en.htm" TargetMode="External"/><Relationship Id="rId113" Type="http://schemas.openxmlformats.org/officeDocument/2006/relationships/hyperlink" Target="http://europa.eu/rapid/press-release_MEMO-16-3125_en.htm" TargetMode="External"/><Relationship Id="rId134" Type="http://schemas.openxmlformats.org/officeDocument/2006/relationships/hyperlink" Target="http://eur-lex.europa.eu/legal-content/EN/TXT/?qid=1490093606125&amp;uri=CELEX:32006L0115" TargetMode="External"/><Relationship Id="rId320" Type="http://schemas.openxmlformats.org/officeDocument/2006/relationships/hyperlink" Target="http://eur-lex.europa.eu/legal-content/EN/TXT/?qid=1490107125701&amp;uri=CELEX:32006L0021" TargetMode="External"/><Relationship Id="rId80" Type="http://schemas.openxmlformats.org/officeDocument/2006/relationships/hyperlink" Target="http://europa.eu/rapid/press-release_MEMO-16-3644_en.htm" TargetMode="External"/><Relationship Id="rId155" Type="http://schemas.openxmlformats.org/officeDocument/2006/relationships/hyperlink" Target="http://europa.eu/rapid/press-release_MEMO-16-2490_en.htm" TargetMode="External"/><Relationship Id="rId176" Type="http://schemas.openxmlformats.org/officeDocument/2006/relationships/hyperlink" Target="http://eur-lex.europa.eu/legal-content/EN/TXT/?qid=1490108471089&amp;uri=CELEX:32006L0126" TargetMode="External"/><Relationship Id="rId197" Type="http://schemas.openxmlformats.org/officeDocument/2006/relationships/hyperlink" Target="http://eur-lex.europa.eu/legal-content/EN/TXT/?qid=1490106444101&amp;uri=CELEX:32013L0030" TargetMode="External"/><Relationship Id="rId341" Type="http://schemas.openxmlformats.org/officeDocument/2006/relationships/hyperlink" Target="http://eur-lex.europa.eu/legal-content/EN/TXT/?uri=uriserv:OJ.L_.2014.094.01.0001.01.ENG" TargetMode="External"/><Relationship Id="rId362" Type="http://schemas.openxmlformats.org/officeDocument/2006/relationships/hyperlink" Target="http://eur-lex.europa.eu/legal-content/EN/TXT/?qid=1490108020164&amp;uri=CELEX:32010R0995" TargetMode="External"/><Relationship Id="rId383" Type="http://schemas.openxmlformats.org/officeDocument/2006/relationships/hyperlink" Target="http://eur-lex.europa.eu/legal-content/EN/TXT/?qid=1490108767710&amp;uri=CELEX:32008L0048" TargetMode="External"/><Relationship Id="rId418" Type="http://schemas.openxmlformats.org/officeDocument/2006/relationships/hyperlink" Target="http://eur-lex.europa.eu/legal-content/EN/TXT/?qid=1490092421491&amp;uri=CELEX:32009R1071" TargetMode="External"/><Relationship Id="rId439" Type="http://schemas.openxmlformats.org/officeDocument/2006/relationships/hyperlink" Target="http://eur-lex.europa.eu/legal-content/EN/TXT/?qid=1490106602360&amp;uri=CELEX:32013L0036" TargetMode="External"/><Relationship Id="rId201" Type="http://schemas.openxmlformats.org/officeDocument/2006/relationships/hyperlink" Target="http://europa.eu/rapid/press-release_MEMO-16-1823_en.htm" TargetMode="External"/><Relationship Id="rId222" Type="http://schemas.openxmlformats.org/officeDocument/2006/relationships/hyperlink" Target="http://curia.europa.eu/juris/liste.jsf?language=en&amp;jur=C,T,F&amp;num=C-530/16&amp;td=ALL" TargetMode="External"/><Relationship Id="rId243" Type="http://schemas.openxmlformats.org/officeDocument/2006/relationships/hyperlink" Target="http://eur-lex.europa.eu/legal-content/EN/TXT/?qid=1490108428793&amp;uri=CELEX:32002L0021" TargetMode="External"/><Relationship Id="rId264" Type="http://schemas.openxmlformats.org/officeDocument/2006/relationships/hyperlink" Target="http://eur-lex.europa.eu/legal-content/EN/TXT/?qid=1490090937248&amp;uri=CELEX:32009L0015" TargetMode="External"/><Relationship Id="rId285" Type="http://schemas.openxmlformats.org/officeDocument/2006/relationships/hyperlink" Target="http://eur-lex.europa.eu/legal-content/EN/TXT/?qid=1490092293495&amp;uri=CELEX:31993R0095" TargetMode="External"/><Relationship Id="rId450" Type="http://schemas.openxmlformats.org/officeDocument/2006/relationships/hyperlink" Target="http://europa.eu/rapid/press-release_MEMO-16-1452_en.htm" TargetMode="External"/><Relationship Id="rId471" Type="http://schemas.openxmlformats.org/officeDocument/2006/relationships/hyperlink" Target="http://curia.europa.eu/jcms/jcms/Jo2_7052/en/?types=com.jalios.jcms.Content&amp;typesOff=generated.RecueilPublication&amp;textSearch=true&amp;catName=true&amp;searchInFiles=true&amp;langs=user&amp;text=95%2F2016&amp;opSearch=Search&amp;csrftoken=bpEBlaeuovriazel&amp;jsp=plugins%2FCuriaPlugin%2Fjsp%2Fquery.jsp" TargetMode="External"/><Relationship Id="rId17" Type="http://schemas.openxmlformats.org/officeDocument/2006/relationships/hyperlink" Target="http://eur-lex.europa.eu/legal-content/EN/TXT/?qid=1490104862843&amp;uri=CELEX:32012L0018" TargetMode="External"/><Relationship Id="rId38" Type="http://schemas.openxmlformats.org/officeDocument/2006/relationships/hyperlink" Target="http://europa.eu/rapid/press-release_MEMO-16-1823_en.htm" TargetMode="External"/><Relationship Id="rId59" Type="http://schemas.openxmlformats.org/officeDocument/2006/relationships/hyperlink" Target="http://eur-lex.europa.eu/legal-content/EN/TXT/?qid=1490106671496&amp;uri=CELEX:32014L0059" TargetMode="External"/><Relationship Id="rId103" Type="http://schemas.openxmlformats.org/officeDocument/2006/relationships/hyperlink" Target="http://eur-lex.europa.eu/legal-content/EN/TXT/?qid=1490091553640&amp;uri=CELEX:32013L0055" TargetMode="External"/><Relationship Id="rId124" Type="http://schemas.openxmlformats.org/officeDocument/2006/relationships/hyperlink" Target="http://eur-lex.europa.eu/legal-content/EN/TXT/?qid=1490093157000&amp;uri=CELEX:32014L0049" TargetMode="External"/><Relationship Id="rId310" Type="http://schemas.openxmlformats.org/officeDocument/2006/relationships/hyperlink" Target="http://curia.europa.eu/juris/liste.jsf?language=en&amp;jur=C,T,F&amp;num=C-62/16&amp;td=ALL" TargetMode="External"/><Relationship Id="rId70" Type="http://schemas.openxmlformats.org/officeDocument/2006/relationships/hyperlink" Target="http://eur-lex.europa.eu/legal-content/AUTO/?uri=CELEX:32008L0050&amp;qid=1490091416248&amp;rid=1" TargetMode="External"/><Relationship Id="rId91" Type="http://schemas.openxmlformats.org/officeDocument/2006/relationships/hyperlink" Target="http://curia.europa.eu/juris/liste.jsf?language=en&amp;jur=C,T,F&amp;num=C-695/15&amp;td=ALL" TargetMode="External"/><Relationship Id="rId145" Type="http://schemas.openxmlformats.org/officeDocument/2006/relationships/hyperlink" Target="http://curia.europa.eu/jcms/upload/docs/application/pdf/2016-11/cp160128en.pdf" TargetMode="External"/><Relationship Id="rId166" Type="http://schemas.openxmlformats.org/officeDocument/2006/relationships/hyperlink" Target="http://europa.eu/rapid/press-release_MEMO-16-3125_en.htm" TargetMode="External"/><Relationship Id="rId187" Type="http://schemas.openxmlformats.org/officeDocument/2006/relationships/hyperlink" Target="http://curia.europa.eu/juris/liste.jsf?language=en&amp;jur=C,T,F&amp;num=C-348/15&amp;td=ALL" TargetMode="External"/><Relationship Id="rId331" Type="http://schemas.openxmlformats.org/officeDocument/2006/relationships/hyperlink" Target="http://eur-lex.europa.eu/legal-content/EN/TXT/?qid=1490101645999&amp;uri=CELEX:32012L0027" TargetMode="External"/><Relationship Id="rId352" Type="http://schemas.openxmlformats.org/officeDocument/2006/relationships/hyperlink" Target="http://eur-lex.europa.eu/legal-content/EN/TXT/?qid=1490104046459&amp;uri=CELEX:32013L0040" TargetMode="External"/><Relationship Id="rId373" Type="http://schemas.openxmlformats.org/officeDocument/2006/relationships/hyperlink" Target="http://europa.eu/rapid/press-release_MEMO-16-3125_en.htm" TargetMode="External"/><Relationship Id="rId394" Type="http://schemas.openxmlformats.org/officeDocument/2006/relationships/hyperlink" Target="http://europa.eu/rapid/press-release_MEMO-16-4211_en.htm" TargetMode="External"/><Relationship Id="rId408" Type="http://schemas.openxmlformats.org/officeDocument/2006/relationships/hyperlink" Target="http://eur-lex.europa.eu/legal-content/EN/TXT/?qid=1490092266379&amp;uri=CELEX:32006L0126" TargetMode="External"/><Relationship Id="rId429" Type="http://schemas.openxmlformats.org/officeDocument/2006/relationships/hyperlink" Target="http://europa.eu/rapid/press-release_MEMO-16-4211_en.htm" TargetMode="External"/><Relationship Id="rId1" Type="http://schemas.openxmlformats.org/officeDocument/2006/relationships/hyperlink" Target="http://eur-lex.europa.eu/legal-content/EN/TXT/?qid=1490104465560&amp;uri=CELEX:32006F0960" TargetMode="External"/><Relationship Id="rId212" Type="http://schemas.openxmlformats.org/officeDocument/2006/relationships/hyperlink" Target="http://eur-lex.europa.eu/legal-content/EN/TXT/?qid=1490106569283&amp;uri=CELEX:32014L0024" TargetMode="External"/><Relationship Id="rId233" Type="http://schemas.openxmlformats.org/officeDocument/2006/relationships/hyperlink" Target="http://eur-lex.europa.eu/legal-content/EN/TXT/?qid=1490107867413&amp;uri=CELEX:32013L0014" TargetMode="External"/><Relationship Id="rId254" Type="http://schemas.openxmlformats.org/officeDocument/2006/relationships/hyperlink" Target="http://eur-lex.europa.eu/legal-content/EN/TXT/?qid=1490089826640&amp;uri=CELEX:32009L0028" TargetMode="External"/><Relationship Id="rId440" Type="http://schemas.openxmlformats.org/officeDocument/2006/relationships/hyperlink" Target="http://eur-lex.europa.eu/legal-content/EN/TXT/?qid=1490106634906&amp;uri=CELEX:32013R0604" TargetMode="External"/><Relationship Id="rId28" Type="http://schemas.openxmlformats.org/officeDocument/2006/relationships/hyperlink" Target="http://europa.eu/rapid/press-release_MEMO-16-3644_en.htm" TargetMode="External"/><Relationship Id="rId49" Type="http://schemas.openxmlformats.org/officeDocument/2006/relationships/hyperlink" Target="http://curia.europa.eu/juris/liste.jsf?pro=&amp;nat=or&amp;oqp=&amp;dates=&amp;lg=&amp;language=en&amp;jur=C%2CT%2CF&amp;cit=none%252CC%252CCJ%252CR%252C2008E%252C%252C%252C%252C%252C%252C%252C%252C%252C%252Ctrue%252Cfalse%252Cfalse&amp;num=C-511%252F16&amp;td=%3BALL&amp;pcs=Oor&amp;avg=&amp;page=1&amp;mat=or&amp;jge=&amp;for=&amp;cid=829620" TargetMode="External"/><Relationship Id="rId114" Type="http://schemas.openxmlformats.org/officeDocument/2006/relationships/hyperlink" Target="http://eur-lex.europa.eu/legal-content/EN/TXT/?qid=1490092535650&amp;uri=CELEX:32003L0059" TargetMode="External"/><Relationship Id="rId275" Type="http://schemas.openxmlformats.org/officeDocument/2006/relationships/hyperlink" Target="http://eur-lex.europa.eu/legal-content/EN/TXT/?qid=1490091506266&amp;uri=CELEX:31999L0031" TargetMode="External"/><Relationship Id="rId296" Type="http://schemas.openxmlformats.org/officeDocument/2006/relationships/hyperlink" Target="http://europa.eu/rapid/press-release_MEMO-16-1452_en.htm" TargetMode="External"/><Relationship Id="rId300" Type="http://schemas.openxmlformats.org/officeDocument/2006/relationships/hyperlink" Target="http://eur-lex.europa.eu/legal-content/EN/TXT/?qid=1490106584864&amp;uri=CELEX:32013L0050" TargetMode="External"/><Relationship Id="rId461" Type="http://schemas.openxmlformats.org/officeDocument/2006/relationships/hyperlink" Target="http://eur-lex.europa.eu/legal-content/EN/TXT/?qid=1490104109980&amp;uri=CELEX:32010L0075" TargetMode="External"/><Relationship Id="rId60" Type="http://schemas.openxmlformats.org/officeDocument/2006/relationships/hyperlink" Target="http://eur-lex.europa.eu/legal-content/EN/TXT/?qid=1490106706986&amp;uri=CELEX:32014L0049" TargetMode="External"/><Relationship Id="rId81" Type="http://schemas.openxmlformats.org/officeDocument/2006/relationships/hyperlink" Target="http://eur-lex.europa.eu/legal-content/AUTO/?uri=CELEX:32010R0995&amp;qid=1490091236904&amp;rid=1" TargetMode="External"/><Relationship Id="rId135" Type="http://schemas.openxmlformats.org/officeDocument/2006/relationships/hyperlink" Target="http://curia.europa.eu/juris/liste.jsf?language=en&amp;jur=C,T,F&amp;num=C-174/15&amp;td=ALL" TargetMode="External"/><Relationship Id="rId156" Type="http://schemas.openxmlformats.org/officeDocument/2006/relationships/hyperlink" Target="http://eur-lex.europa.eu/legal-content/EN/TXT/?qid=1456927136179&amp;uri=CELEX:32006L0123" TargetMode="External"/><Relationship Id="rId177" Type="http://schemas.openxmlformats.org/officeDocument/2006/relationships/hyperlink" Target="http://europa.eu/rapid/press-release_IP-15-6229_en.htm" TargetMode="External"/><Relationship Id="rId198" Type="http://schemas.openxmlformats.org/officeDocument/2006/relationships/hyperlink" Target="http://europa.eu/rapid/press-release_MEMO-16-3125_en.htm" TargetMode="External"/><Relationship Id="rId321" Type="http://schemas.openxmlformats.org/officeDocument/2006/relationships/hyperlink" Target="http://curia.europa.eu/juris/liste.jsf?language=en&amp;jur=C,T,F&amp;num=C-104/15&amp;td=ALL" TargetMode="External"/><Relationship Id="rId342" Type="http://schemas.openxmlformats.org/officeDocument/2006/relationships/hyperlink" Target="http://eur-lex.europa.eu/legal-content/EN/TXT/?qid=1490101781979&amp;uri=CELEX:32014L0024" TargetMode="External"/><Relationship Id="rId363" Type="http://schemas.openxmlformats.org/officeDocument/2006/relationships/hyperlink" Target="http://eur-lex.europa.eu/legal-content/EN/TXT/?qid=1490108047858&amp;uri=CELEX:32013L0036" TargetMode="External"/><Relationship Id="rId384" Type="http://schemas.openxmlformats.org/officeDocument/2006/relationships/hyperlink" Target="http://curia.europa.eu/juris/liste.jsf?language=en&amp;jur=C,T,F&amp;num=C-42/15&amp;td=ALL" TargetMode="External"/><Relationship Id="rId419" Type="http://schemas.openxmlformats.org/officeDocument/2006/relationships/hyperlink" Target="http://eur-lex.europa.eu/legal-content/EN/TXT/?qid=1490092446695&amp;uri=CELEX:32009R1072" TargetMode="External"/><Relationship Id="rId202" Type="http://schemas.openxmlformats.org/officeDocument/2006/relationships/hyperlink" Target="http://europa.eu/rapid/press-release_MEMO-16-1452_en.htm" TargetMode="External"/><Relationship Id="rId223" Type="http://schemas.openxmlformats.org/officeDocument/2006/relationships/hyperlink" Target="http://europa.eu/rapid/press-release_IP-16-324_en.htm" TargetMode="External"/><Relationship Id="rId244" Type="http://schemas.openxmlformats.org/officeDocument/2006/relationships/hyperlink" Target="http://curia.europa.eu/juris/liste.jsf?language=en&amp;jur=C,T,F&amp;num=C-231/15&amp;td=ALL" TargetMode="External"/><Relationship Id="rId430" Type="http://schemas.openxmlformats.org/officeDocument/2006/relationships/hyperlink" Target="http://europa.eu/rapid/press-release_MEMO-16-3125_en.htm" TargetMode="External"/><Relationship Id="rId18" Type="http://schemas.openxmlformats.org/officeDocument/2006/relationships/hyperlink" Target="http://eur-lex.europa.eu/legal-content/EN/TXT/?qid=1490104899914&amp;uri=CELEX:32013L0036" TargetMode="External"/><Relationship Id="rId39" Type="http://schemas.openxmlformats.org/officeDocument/2006/relationships/hyperlink" Target="http://eur-lex.europa.eu/legal-content/EN/TXT/?qid=1490106031898&amp;uri=CELEX:32007L0046" TargetMode="External"/><Relationship Id="rId265" Type="http://schemas.openxmlformats.org/officeDocument/2006/relationships/hyperlink" Target="http://europa.eu/rapid/press-release_MEMO-16-2490_en.htm" TargetMode="External"/><Relationship Id="rId286" Type="http://schemas.openxmlformats.org/officeDocument/2006/relationships/hyperlink" Target="http://curia.europa.eu/juris/liste.jsf?language=en&amp;jur=C,T,F&amp;num=C-205/14&amp;td=ALL" TargetMode="External"/><Relationship Id="rId451" Type="http://schemas.openxmlformats.org/officeDocument/2006/relationships/hyperlink" Target="http://europa.eu/rapid/press-release_MEMO-16-3644_en.htm" TargetMode="External"/><Relationship Id="rId472" Type="http://schemas.openxmlformats.org/officeDocument/2006/relationships/hyperlink" Target="http://eur-lex.europa.eu/legal-content/EN/TXT/?qid=1490106657265&amp;uri=CELEX:32002L0058" TargetMode="External"/><Relationship Id="rId50" Type="http://schemas.openxmlformats.org/officeDocument/2006/relationships/hyperlink" Target="http://europa.eu/rapid/press-release_IP-16-2599_EN.htm" TargetMode="External"/><Relationship Id="rId104" Type="http://schemas.openxmlformats.org/officeDocument/2006/relationships/hyperlink" Target="http://europa.eu/rapid/press-release_MEMO-16-3125_en.htm" TargetMode="External"/><Relationship Id="rId125" Type="http://schemas.openxmlformats.org/officeDocument/2006/relationships/hyperlink" Target="http://eur-lex.europa.eu/legal-content/EN/TXT/?qid=1490093324305&amp;uri=CELEX:32006L0112" TargetMode="External"/><Relationship Id="rId146" Type="http://schemas.openxmlformats.org/officeDocument/2006/relationships/hyperlink" Target="http://eur-lex.europa.eu/legal-content/EN/TXT/?qid=1490087934692&amp;uri=CELEX:32008L0050" TargetMode="External"/><Relationship Id="rId167" Type="http://schemas.openxmlformats.org/officeDocument/2006/relationships/hyperlink" Target="http://eur-lex.europa.eu/legal-content/EN/TXT/?qid=1490107992146&amp;uri=CELEX:32013L0036" TargetMode="External"/><Relationship Id="rId188" Type="http://schemas.openxmlformats.org/officeDocument/2006/relationships/hyperlink" Target="http://eur-lex.europa.eu/legal-content/EN/TXT/?qid=1490108664819&amp;uri=CELEX:31997L0067" TargetMode="External"/><Relationship Id="rId311" Type="http://schemas.openxmlformats.org/officeDocument/2006/relationships/hyperlink" Target="http://europa.eu/rapid/press-release_IP-15-6008_en.htm" TargetMode="External"/><Relationship Id="rId332" Type="http://schemas.openxmlformats.org/officeDocument/2006/relationships/hyperlink" Target="http://europa.eu/rapid/press-release_MEMO-16-3644_en.htm" TargetMode="External"/><Relationship Id="rId353" Type="http://schemas.openxmlformats.org/officeDocument/2006/relationships/hyperlink" Target="http://europa.eu/rapid/press-release_MEMO-16-4211_en.htm" TargetMode="External"/><Relationship Id="rId374" Type="http://schemas.openxmlformats.org/officeDocument/2006/relationships/hyperlink" Target="http://curia.europa.eu/juris/liste.jsf?language=en&amp;jur=C,T,F&amp;num=C-626/16&amp;td=ALL" TargetMode="External"/><Relationship Id="rId395" Type="http://schemas.openxmlformats.org/officeDocument/2006/relationships/hyperlink" Target="http://eur-lex.europa.eu/legal-content/EN/TXT/?qid=1490091911314&amp;uri=CELEX:32014L0089" TargetMode="External"/><Relationship Id="rId409" Type="http://schemas.openxmlformats.org/officeDocument/2006/relationships/hyperlink" Target="http://europa.eu/rapid/press-release_IP-15-6229_en.htm" TargetMode="External"/><Relationship Id="rId71" Type="http://schemas.openxmlformats.org/officeDocument/2006/relationships/hyperlink" Target="https://polinet.ec.europa.eu/infr/Annual%20report/ISC/2002/49/EC" TargetMode="External"/><Relationship Id="rId92" Type="http://schemas.openxmlformats.org/officeDocument/2006/relationships/hyperlink" Target="http://curia.europa.eu/juris/liste.jsf?language=en&amp;jur=C,T,F&amp;num=C-287/14&amp;td=ALL" TargetMode="External"/><Relationship Id="rId213" Type="http://schemas.openxmlformats.org/officeDocument/2006/relationships/hyperlink" Target="http://eur-lex.europa.eu/legal-content/EN/TXT/?qid=1490106611919&amp;uri=CELEX:32014L0025" TargetMode="External"/><Relationship Id="rId234" Type="http://schemas.openxmlformats.org/officeDocument/2006/relationships/hyperlink" Target="http://eur-lex.europa.eu/legal-content/EN/TXT/?qid=1490107900316&amp;uri=CELEX:32011L0089" TargetMode="External"/><Relationship Id="rId420" Type="http://schemas.openxmlformats.org/officeDocument/2006/relationships/hyperlink" Target="http://curia.europa.eu/juris/liste.jsf?language=en&amp;jur=C,T,F&amp;num=C-314/14&amp;td=ALL" TargetMode="External"/><Relationship Id="rId2" Type="http://schemas.openxmlformats.org/officeDocument/2006/relationships/hyperlink" Target="http://eur-lex.europa.eu/legal-content/EN/TXT/?qid=1490104513150&amp;uri=CELEX:32010L0064" TargetMode="External"/><Relationship Id="rId29" Type="http://schemas.openxmlformats.org/officeDocument/2006/relationships/hyperlink" Target="http://eur-lex.europa.eu/legal-content/EN/TXT/?qid=1490105571465&amp;uri=CELEX:32013R0098" TargetMode="External"/><Relationship Id="rId255" Type="http://schemas.openxmlformats.org/officeDocument/2006/relationships/hyperlink" Target="http://europa.eu/rapid/press-release_MEMO-16-1452_en.htm" TargetMode="External"/><Relationship Id="rId276" Type="http://schemas.openxmlformats.org/officeDocument/2006/relationships/hyperlink" Target="http://eur-lex.europa.eu/legal-content/EN/TXT/?qid=1490091543969&amp;uri=CELEX:32013L0036" TargetMode="External"/><Relationship Id="rId297" Type="http://schemas.openxmlformats.org/officeDocument/2006/relationships/hyperlink" Target="http://europa.eu/rapid/press-release_MEMO-16-3644_en.htm" TargetMode="External"/><Relationship Id="rId441" Type="http://schemas.openxmlformats.org/officeDocument/2006/relationships/hyperlink" Target="http://curia.europa.eu/juris/liste.jsf?language=en&amp;jur=C,T,F&amp;num=C-155/15&amp;td=ALL" TargetMode="External"/><Relationship Id="rId462" Type="http://schemas.openxmlformats.org/officeDocument/2006/relationships/hyperlink" Target="http://eur-lex.europa.eu/legal-content/EN/TXT/?qid=1490106602360&amp;uri=CELEX:32013L0036" TargetMode="External"/><Relationship Id="rId40" Type="http://schemas.openxmlformats.org/officeDocument/2006/relationships/hyperlink" Target="http://eur-lex.europa.eu/legal-content/EN/TXT/?qid=1490106062460&amp;uri=CELEX:32007R0715" TargetMode="External"/><Relationship Id="rId115" Type="http://schemas.openxmlformats.org/officeDocument/2006/relationships/hyperlink" Target="http://eur-lex.europa.eu/legal-content/EN/TXT/?qid=1490092567881&amp;uri=CELEX:31992L0043" TargetMode="External"/><Relationship Id="rId136" Type="http://schemas.openxmlformats.org/officeDocument/2006/relationships/hyperlink" Target="http://curia.europa.eu/jcms/upload/docs/application/pdf/2015-10/cp150123en.pdf" TargetMode="External"/><Relationship Id="rId157" Type="http://schemas.openxmlformats.org/officeDocument/2006/relationships/hyperlink" Target="http://europa.eu/rapid/press-release_IP-16-323_en.htm" TargetMode="External"/><Relationship Id="rId178" Type="http://schemas.openxmlformats.org/officeDocument/2006/relationships/hyperlink" Target="http://europa.eu/rapid/press-release_MEMO-15-6223_en.htm" TargetMode="External"/><Relationship Id="rId301" Type="http://schemas.openxmlformats.org/officeDocument/2006/relationships/hyperlink" Target="http://europa.eu/rapid/press-release_MEMO-16-3644_en.htm" TargetMode="External"/><Relationship Id="rId322" Type="http://schemas.openxmlformats.org/officeDocument/2006/relationships/hyperlink" Target="http://curia.europa.eu/juris/liste.jsf?num=C-404/15" TargetMode="External"/><Relationship Id="rId343" Type="http://schemas.openxmlformats.org/officeDocument/2006/relationships/hyperlink" Target="http://eur-lex.europa.eu/legal-content/EN/TXT/?qid=1490101826220&amp;uri=CELEX:32014L0025" TargetMode="External"/><Relationship Id="rId364" Type="http://schemas.openxmlformats.org/officeDocument/2006/relationships/hyperlink" Target="http://europa.eu/rapid/press-release_MEMO-16-1452_en.htm" TargetMode="External"/><Relationship Id="rId61" Type="http://schemas.openxmlformats.org/officeDocument/2006/relationships/hyperlink" Target="http://eur-lex.europa.eu/legal-content/EN/TXT/?qid=1490106868658&amp;uri=CELEX:32013L0014" TargetMode="External"/><Relationship Id="rId82" Type="http://schemas.openxmlformats.org/officeDocument/2006/relationships/hyperlink" Target="http://eur-lex.europa.eu/legal-content/AUTO/?uri=CELEX:32005R2173&amp;qid=1490091341752&amp;rid=2" TargetMode="External"/><Relationship Id="rId199" Type="http://schemas.openxmlformats.org/officeDocument/2006/relationships/hyperlink" Target="http://europa.eu/rapid/press-release_MEMO-16-3644_en.htm" TargetMode="External"/><Relationship Id="rId203" Type="http://schemas.openxmlformats.org/officeDocument/2006/relationships/hyperlink" Target="http://eur-lex.europa.eu/legal-content/EN/TXT/?qid=1490106534752&amp;uri=CELEX:32014L0017" TargetMode="External"/><Relationship Id="rId385" Type="http://schemas.openxmlformats.org/officeDocument/2006/relationships/hyperlink" Target="http://curia.europa.eu/jcms/upload/docs/application/pdf/2016-11/cp160119en.pdf" TargetMode="External"/><Relationship Id="rId19" Type="http://schemas.openxmlformats.org/officeDocument/2006/relationships/hyperlink" Target="http://eur-lex.europa.eu/legal-content/EN/TXT/?qid=1490104933731&amp;uri=CELEX:32014L0059" TargetMode="External"/><Relationship Id="rId224" Type="http://schemas.openxmlformats.org/officeDocument/2006/relationships/hyperlink" Target="http://europa.eu/rapid/press-release_MEMO-16-319_en.htm" TargetMode="External"/><Relationship Id="rId245" Type="http://schemas.openxmlformats.org/officeDocument/2006/relationships/hyperlink" Target="http://eur-lex.europa.eu/legal-content/EN/TXT/?qid=1490108541130&amp;uri=CELEX:32015L1535" TargetMode="External"/><Relationship Id="rId266" Type="http://schemas.openxmlformats.org/officeDocument/2006/relationships/hyperlink" Target="http://eur-lex.europa.eu/legal-content/EN/TXT/?qid=1490091138341&amp;uri=CELEX:32006L0126" TargetMode="External"/><Relationship Id="rId287" Type="http://schemas.openxmlformats.org/officeDocument/2006/relationships/hyperlink" Target="http://eur-lex.europa.eu/legal-content/EN/TXT/?qid=1490092336698&amp;uri=CELEX:32009R1071" TargetMode="External"/><Relationship Id="rId410" Type="http://schemas.openxmlformats.org/officeDocument/2006/relationships/hyperlink" Target="http://europa.eu/rapid/press-release_MEMO-15-6223_en.htm" TargetMode="External"/><Relationship Id="rId431" Type="http://schemas.openxmlformats.org/officeDocument/2006/relationships/hyperlink" Target="http://eur-lex.europa.eu/legal-content/EN/TXT/?qid=1456831762410&amp;uri=CELEX:32009L0012" TargetMode="External"/><Relationship Id="rId452" Type="http://schemas.openxmlformats.org/officeDocument/2006/relationships/hyperlink" Target="http://europa.eu/rapid/press-release_IP-16-2101_en.htm" TargetMode="External"/><Relationship Id="rId473" Type="http://schemas.openxmlformats.org/officeDocument/2006/relationships/hyperlink" Target="http://curia.europa.eu/juris/liste.jsf?language=en&amp;jur=C,T,F&amp;num=C-203/15&amp;td=ALL" TargetMode="External"/><Relationship Id="rId30" Type="http://schemas.openxmlformats.org/officeDocument/2006/relationships/hyperlink" Target="http://europa.eu/rapid/press-release_MEMO-16-3125_en.htm" TargetMode="External"/><Relationship Id="rId105" Type="http://schemas.openxmlformats.org/officeDocument/2006/relationships/hyperlink" Target="http://eur-lex.europa.eu/legal-content/EN/TXT/?qid=1490091746130&amp;uri=CELEX:32013L0036" TargetMode="External"/><Relationship Id="rId126" Type="http://schemas.openxmlformats.org/officeDocument/2006/relationships/hyperlink" Target="http://eur-lex.europa.eu/legal-content/EN/TXT/?qid=1490093363611&amp;uri=CELEX:32004L0038" TargetMode="External"/><Relationship Id="rId147" Type="http://schemas.openxmlformats.org/officeDocument/2006/relationships/hyperlink" Target="http://eur-lex.europa.eu/legal-content/EN/TXT/?qid=1490088571447&amp;uri=CELEX:32013L0039" TargetMode="External"/><Relationship Id="rId168" Type="http://schemas.openxmlformats.org/officeDocument/2006/relationships/hyperlink" Target="http://eur-lex.europa.eu/legal-content/EN/TXT/?qid=1490108061869&amp;uri=CELEX:32014L0059" TargetMode="External"/><Relationship Id="rId312" Type="http://schemas.openxmlformats.org/officeDocument/2006/relationships/hyperlink" Target="http://eur-lex.europa.eu/legal-content/EN/TXT/?qid=1490106817256&amp;uri=CELEX:32011L0092" TargetMode="External"/><Relationship Id="rId333" Type="http://schemas.openxmlformats.org/officeDocument/2006/relationships/hyperlink" Target="http://europa.eu/rapid/press-release_MEMO-16-4211_en.htm" TargetMode="External"/><Relationship Id="rId354" Type="http://schemas.openxmlformats.org/officeDocument/2006/relationships/hyperlink" Target="http://eur-lex.europa.eu/legal-content/EN/TXT/?qid=1490104080814&amp;uri=CELEX:32008L0098" TargetMode="External"/><Relationship Id="rId51" Type="http://schemas.openxmlformats.org/officeDocument/2006/relationships/hyperlink" Target="http://eur-lex.europa.eu/legal-content/EN/TXT/?qid=1490106514140&amp;uri=CELEX:52014AP0027" TargetMode="External"/><Relationship Id="rId72" Type="http://schemas.openxmlformats.org/officeDocument/2006/relationships/hyperlink" Target="http://eur-lex.europa.eu/legal-content/AUTO/?uri=CELEX:31998L0083&amp;qid=1490092755736&amp;rid=3" TargetMode="External"/><Relationship Id="rId93" Type="http://schemas.openxmlformats.org/officeDocument/2006/relationships/hyperlink" Target="http://eur-lex.europa.eu/legal-content/AUTO/?uri=CELEX:31992R2913&amp;qid=1490093599871&amp;rid=1" TargetMode="External"/><Relationship Id="rId189" Type="http://schemas.openxmlformats.org/officeDocument/2006/relationships/hyperlink" Target="http://curia.europa.eu/juris/liste.jsf?language=en&amp;jur=C,T,F&amp;num=C-2/15&amp;td=ALL" TargetMode="External"/><Relationship Id="rId375" Type="http://schemas.openxmlformats.org/officeDocument/2006/relationships/hyperlink" Target="http://europa.eu/rapid/press-release_IP-16-2099_en.htm" TargetMode="External"/><Relationship Id="rId396" Type="http://schemas.openxmlformats.org/officeDocument/2006/relationships/hyperlink" Target="http://eur-lex.europa.eu/legal-content/EN/TXT/?qid=1490091956859&amp;uri=CELEX:32014L0023" TargetMode="External"/><Relationship Id="rId3" Type="http://schemas.openxmlformats.org/officeDocument/2006/relationships/hyperlink" Target="http://europa.eu/rapid/press-release_MEMO-16-3644_en.htm" TargetMode="External"/><Relationship Id="rId214" Type="http://schemas.openxmlformats.org/officeDocument/2006/relationships/hyperlink" Target="http://europa.eu/rapid/press-release_MEMO-16-1823_en.htm" TargetMode="External"/><Relationship Id="rId235" Type="http://schemas.openxmlformats.org/officeDocument/2006/relationships/hyperlink" Target="http://eur-lex.europa.eu/legal-content/EN/TXT/?qid=1490107934674&amp;uri=CELEX:32005L0014" TargetMode="External"/><Relationship Id="rId256" Type="http://schemas.openxmlformats.org/officeDocument/2006/relationships/hyperlink" Target="http://eur-lex.europa.eu/legal-content/EN/TXT/?qid=1490090281119&amp;uri=CELEX:32014L0017" TargetMode="External"/><Relationship Id="rId277" Type="http://schemas.openxmlformats.org/officeDocument/2006/relationships/hyperlink" Target="http://eur-lex.europa.eu/legal-content/EN/TXT/?qid=1490091578190&amp;uri=CELEX:32014L0059" TargetMode="External"/><Relationship Id="rId298" Type="http://schemas.openxmlformats.org/officeDocument/2006/relationships/hyperlink" Target="http://eur-lex.europa.eu/legal-content/EN/TXT/?qid=1490106557091&amp;uri=CELEX:32009L0119" TargetMode="External"/><Relationship Id="rId400" Type="http://schemas.openxmlformats.org/officeDocument/2006/relationships/hyperlink" Target="http://eur-lex.europa.eu/legal-content/EN/TXT/?qid=1490092050310&amp;uri=CELEX:32009L0147" TargetMode="External"/><Relationship Id="rId421" Type="http://schemas.openxmlformats.org/officeDocument/2006/relationships/hyperlink" Target="http://eur-lex.europa.eu/legal-content/EN/TXT/?qid=1487856283165&amp;uri=CELEX:32008R0110" TargetMode="External"/><Relationship Id="rId442" Type="http://schemas.openxmlformats.org/officeDocument/2006/relationships/hyperlink" Target="http://eur-lex.europa.eu/legal-content/EN/TXT/?qid=1490106657265&amp;uri=CELEX:32002L0058" TargetMode="External"/><Relationship Id="rId463" Type="http://schemas.openxmlformats.org/officeDocument/2006/relationships/hyperlink" Target="http://eur-lex.europa.eu/legal-content/EN/TXT/?qid=1490107900316&amp;uri=CELEX:32011L0089" TargetMode="External"/><Relationship Id="rId116" Type="http://schemas.openxmlformats.org/officeDocument/2006/relationships/hyperlink" Target="http://eur-lex.europa.eu/legal-content/EN/TXT/?qid=1490092787426&amp;uri=CELEX:32006L0126" TargetMode="External"/><Relationship Id="rId137" Type="http://schemas.openxmlformats.org/officeDocument/2006/relationships/hyperlink" Target="http://eur-lex.europa.eu/legal-content/EN/TXT/?qid=1490093803559&amp;uri=CELEX:32013R0604" TargetMode="External"/><Relationship Id="rId158" Type="http://schemas.openxmlformats.org/officeDocument/2006/relationships/hyperlink" Target="http://europa.eu/rapid/press-release_MEMO-16-319_en.htm" TargetMode="External"/><Relationship Id="rId302" Type="http://schemas.openxmlformats.org/officeDocument/2006/relationships/hyperlink" Target="http://europa.eu/rapid/press-release_MEMO-16-3125_en.htm" TargetMode="External"/><Relationship Id="rId323" Type="http://schemas.openxmlformats.org/officeDocument/2006/relationships/hyperlink" Target="http://curia.europa.eu/juris/liste.jsf?language=en&amp;num=C-659/15%20PPU" TargetMode="External"/><Relationship Id="rId344" Type="http://schemas.openxmlformats.org/officeDocument/2006/relationships/hyperlink" Target="http://europa.eu/rapid/press-release_MEMO-16-1823_en.htm" TargetMode="External"/><Relationship Id="rId20" Type="http://schemas.openxmlformats.org/officeDocument/2006/relationships/hyperlink" Target="http://eur-lex.europa.eu/legal-content/EN/TXT/?qid=1490104969776&amp;uri=CELEX:32004L0049" TargetMode="External"/><Relationship Id="rId41" Type="http://schemas.openxmlformats.org/officeDocument/2006/relationships/hyperlink" Target="http://europa.eu/rapid/press-release_IP-16-4214_en.htm" TargetMode="External"/><Relationship Id="rId62" Type="http://schemas.openxmlformats.org/officeDocument/2006/relationships/hyperlink" Target="http://eur-lex.europa.eu/legal-content/EN/TXT/?qid=1490106973111&amp;uri=CELEX:32011L0089" TargetMode="External"/><Relationship Id="rId83" Type="http://schemas.openxmlformats.org/officeDocument/2006/relationships/hyperlink" Target="http://eur-lex.europa.eu/legal-content/EN/TXT/?qid=1490093042494&amp;uri=CELEX:32014L0059" TargetMode="External"/><Relationship Id="rId179" Type="http://schemas.openxmlformats.org/officeDocument/2006/relationships/hyperlink" Target="http://eur-lex.europa.eu/legal-content/EN/TXT/?qid=1490108539063&amp;uri=CELEX:32009R1071" TargetMode="External"/><Relationship Id="rId365" Type="http://schemas.openxmlformats.org/officeDocument/2006/relationships/hyperlink" Target="http://europa.eu/rapid/press-release_MEMO-16-3125_en.htm" TargetMode="External"/><Relationship Id="rId386" Type="http://schemas.openxmlformats.org/officeDocument/2006/relationships/hyperlink" Target="http://curia.europa.eu/juris/liste.jsf?language=en&amp;jur=C,T,F&amp;num=C-243/15&amp;td=ALL" TargetMode="External"/><Relationship Id="rId190" Type="http://schemas.openxmlformats.org/officeDocument/2006/relationships/hyperlink" Target="http://eur-lex.europa.eu/legal-content/EN/TXT/?qid=1490106184924&amp;uri=CELEX:32002L0020" TargetMode="External"/><Relationship Id="rId204" Type="http://schemas.openxmlformats.org/officeDocument/2006/relationships/hyperlink" Target="http://europa.eu/rapid/press-release_MEMO-16-3644_en.htm" TargetMode="External"/><Relationship Id="rId225" Type="http://schemas.openxmlformats.org/officeDocument/2006/relationships/hyperlink" Target="http://eur-lex.europa.eu/legal-content/EN/TXT/?qid=1490107555125&amp;uri=CELEX:32002L0098" TargetMode="External"/><Relationship Id="rId246" Type="http://schemas.openxmlformats.org/officeDocument/2006/relationships/hyperlink" Target="http://curia.europa.eu/juris/liste.jsf?language=en&amp;jur=C,T,F&amp;num=C-303/15&amp;td=ALL" TargetMode="External"/><Relationship Id="rId267" Type="http://schemas.openxmlformats.org/officeDocument/2006/relationships/hyperlink" Target="http://europa.eu/rapid/press-release_MEMO-16-2097_en.htm" TargetMode="External"/><Relationship Id="rId288" Type="http://schemas.openxmlformats.org/officeDocument/2006/relationships/hyperlink" Target="http://curia.europa.eu/juris/liste.jsf?language=en&amp;jur=C,T,F&amp;num=C-583/15&amp;td=ALL" TargetMode="External"/><Relationship Id="rId411" Type="http://schemas.openxmlformats.org/officeDocument/2006/relationships/hyperlink" Target="http://eur-lex.europa.eu/legal-content/EN/TXT/?qid=1456333138556&amp;uri=CELEX:32008L0120" TargetMode="External"/><Relationship Id="rId432" Type="http://schemas.openxmlformats.org/officeDocument/2006/relationships/hyperlink" Target="http://europa.eu/rapid/press-release_MEMO-16-319_en.htm" TargetMode="External"/><Relationship Id="rId453" Type="http://schemas.openxmlformats.org/officeDocument/2006/relationships/hyperlink" Target="http://europa.eu/rapid/press-release_IP-16-1456_en.htm" TargetMode="External"/><Relationship Id="rId474" Type="http://schemas.openxmlformats.org/officeDocument/2006/relationships/hyperlink" Target="http://curia.europa.eu/juris/liste.jsf?language=en&amp;jur=C,T,F&amp;num=C-698/15&amp;td=ALL" TargetMode="External"/><Relationship Id="rId106" Type="http://schemas.openxmlformats.org/officeDocument/2006/relationships/hyperlink" Target="http://eur-lex.europa.eu/legal-content/EN/TXT/?qid=1490091818495&amp;uri=CELEX:32014L0059" TargetMode="External"/><Relationship Id="rId127" Type="http://schemas.openxmlformats.org/officeDocument/2006/relationships/hyperlink" Target="http://curia.europa.eu/juris/liste.jsf?language=en&amp;jur=C,T,F&amp;num=C-233/14&amp;td=ALL" TargetMode="External"/><Relationship Id="rId313" Type="http://schemas.openxmlformats.org/officeDocument/2006/relationships/hyperlink" Target="http://eur-lex.europa.eu/legal-content/EN/TXT/?qid=1490106931898&amp;uri=CELEX:32012L0018" TargetMode="External"/><Relationship Id="rId10" Type="http://schemas.openxmlformats.org/officeDocument/2006/relationships/hyperlink" Target="http://eur-lex.europa.eu/legal-content/EN/TXT/?uri=uriserv:OJ.L_.2014.094.01.0001.01.ENG" TargetMode="External"/><Relationship Id="rId31" Type="http://schemas.openxmlformats.org/officeDocument/2006/relationships/hyperlink" Target="http://eur-lex.europa.eu/legal-content/EN/TXT/?qid=1490105614171&amp;uri=CELEX:32011L0096" TargetMode="External"/><Relationship Id="rId52" Type="http://schemas.openxmlformats.org/officeDocument/2006/relationships/hyperlink" Target="http://curia.europa.eu/juris/liste.jsf?pro=&amp;nat=or&amp;oqp=&amp;dates=&amp;lg=&amp;language=en&amp;jur=C%2CT%2CF&amp;cit=none%252CC%252CCJ%252CR%252C2008E%252C%252C%252C%252C%252C%252C%252C%252C%252C%252Ctrue%252Cfalse%252Cfalse&amp;num=C-511%252F16&amp;td=%3BALL&amp;pcs=Oor&amp;avg=&amp;page=1&amp;mat=or&amp;jge=&amp;for=&amp;cid=829620" TargetMode="External"/><Relationship Id="rId73" Type="http://schemas.openxmlformats.org/officeDocument/2006/relationships/hyperlink" Target="http://eur-lex.europa.eu/legal-content/AUTO/?uri=CELEX:32009L0072&amp;qid=1490092678899&amp;rid=1" TargetMode="External"/><Relationship Id="rId94" Type="http://schemas.openxmlformats.org/officeDocument/2006/relationships/hyperlink" Target="http://curia.europa.eu/juris/liste.jsf?language=en&amp;jur=C,T,F&amp;num=C-291/15&amp;td=ALL" TargetMode="External"/><Relationship Id="rId148" Type="http://schemas.openxmlformats.org/officeDocument/2006/relationships/hyperlink" Target="http://europa.eu/rapid/press-release_MEMO-16-2097_en.htm" TargetMode="External"/><Relationship Id="rId169" Type="http://schemas.openxmlformats.org/officeDocument/2006/relationships/hyperlink" Target="http://eur-lex.europa.eu/legal-content/EN/TXT/?qid=1490108100627&amp;uri=CELEX:32006L0112" TargetMode="External"/><Relationship Id="rId334" Type="http://schemas.openxmlformats.org/officeDocument/2006/relationships/hyperlink" Target="http://eur-lex.europa.eu/legal-content/EN/TXT/?qid=1490101717337&amp;uri=CELEX:32014L0017" TargetMode="External"/><Relationship Id="rId355" Type="http://schemas.openxmlformats.org/officeDocument/2006/relationships/hyperlink" Target="http://eur-lex.europa.eu/legal-content/EN/TXT/?qid=1490104109980&amp;uri=CELEX:32010L0075" TargetMode="External"/><Relationship Id="rId376" Type="http://schemas.openxmlformats.org/officeDocument/2006/relationships/hyperlink" Target="http://eur-lex.europa.eu/legal-content/EN/TXT/?qid=1490108413760&amp;uri=CELEX:31992L0043" TargetMode="External"/><Relationship Id="rId397" Type="http://schemas.openxmlformats.org/officeDocument/2006/relationships/hyperlink" Target="http://eur-lex.europa.eu/legal-content/EN/TXT/?qid=1490091991033&amp;uri=CELEX:32014L0024" TargetMode="External"/><Relationship Id="rId4" Type="http://schemas.openxmlformats.org/officeDocument/2006/relationships/hyperlink" Target="http://europa.eu/rapid/press-release_IP-16-1827_en.htm" TargetMode="External"/><Relationship Id="rId180" Type="http://schemas.openxmlformats.org/officeDocument/2006/relationships/hyperlink" Target="http://curia.europa.eu/juris/liste.jsf?language=en&amp;jur=C,T,F&amp;num=C-1/15&amp;td=ALL" TargetMode="External"/><Relationship Id="rId215" Type="http://schemas.openxmlformats.org/officeDocument/2006/relationships/hyperlink" Target="http://eur-lex.europa.eu/legal-content/EN/TXT/?qid=1490106645737&amp;uri=CELEX:32008L0050" TargetMode="External"/><Relationship Id="rId236" Type="http://schemas.openxmlformats.org/officeDocument/2006/relationships/hyperlink" Target="http://eur-lex.europa.eu/legal-content/EN/TXT/?qid=1490108253930&amp;uri=CELEX:32000L0060" TargetMode="External"/><Relationship Id="rId257" Type="http://schemas.openxmlformats.org/officeDocument/2006/relationships/hyperlink" Target="http://europa.eu/rapid/press-release_MEMO-16-3644_en.htm" TargetMode="External"/><Relationship Id="rId278" Type="http://schemas.openxmlformats.org/officeDocument/2006/relationships/hyperlink" Target="http://eur-lex.europa.eu/legal-content/EN/TXT/?qid=1490091612674&amp;uri=CELEX:32013L0014" TargetMode="External"/><Relationship Id="rId401" Type="http://schemas.openxmlformats.org/officeDocument/2006/relationships/hyperlink" Target="http://europa.eu/rapid/press-release_MEMO-16-4211_en.htm" TargetMode="External"/><Relationship Id="rId422" Type="http://schemas.openxmlformats.org/officeDocument/2006/relationships/hyperlink" Target="http://curia.europa.eu/juris/liste.jsf?pro=&amp;nat=or&amp;oqp=&amp;dates=&amp;lg=&amp;language=en&amp;jur=C%2CT%2CF&amp;cit=none%252CC%252CCJ%252CR%252C2008E%252C%252C%252C%252C%252C%252C%252C%252C%252C%252Ctrue%252Cfalse%252Cfalse&amp;num=C-75%252F15&amp;td=%3BALL&amp;pcs=Oor&amp;avg=&amp;page=1&amp;mat=or&amp;jge=&amp;for=&amp;cid=700811" TargetMode="External"/><Relationship Id="rId443" Type="http://schemas.openxmlformats.org/officeDocument/2006/relationships/hyperlink" Target="http://curia.europa.eu/juris/liste.jsf?language=en&amp;jur=C,T,F&amp;num=C-203/15&amp;td=ALL" TargetMode="External"/><Relationship Id="rId464" Type="http://schemas.openxmlformats.org/officeDocument/2006/relationships/hyperlink" Target="http://eur-lex.europa.eu/legal-content/EN/TXT/?qid=1490104166350&amp;uri=CELEX:32013L0014" TargetMode="External"/><Relationship Id="rId303" Type="http://schemas.openxmlformats.org/officeDocument/2006/relationships/hyperlink" Target="http://eur-lex.europa.eu/legal-content/EN/TXT/?qid=1490106616428&amp;uri=CELEX:32012L0034" TargetMode="External"/><Relationship Id="rId42" Type="http://schemas.openxmlformats.org/officeDocument/2006/relationships/hyperlink" Target="http://eur-lex.europa.eu/legal-content/EN/TXT/?qid=1490106090805&amp;uri=CELEX:32013L0055" TargetMode="External"/><Relationship Id="rId84" Type="http://schemas.openxmlformats.org/officeDocument/2006/relationships/hyperlink" Target="http://eur-lex.europa.eu/legal-content/EN/TXT/?qid=1490093140440&amp;uri=CELEX:32013L0014" TargetMode="External"/><Relationship Id="rId138" Type="http://schemas.openxmlformats.org/officeDocument/2006/relationships/hyperlink" Target="http://curia.europa.eu/juris/liste.jsf?language=en&amp;jur=C,T,F&amp;num=C-63/15&amp;td=ALL" TargetMode="External"/><Relationship Id="rId345" Type="http://schemas.openxmlformats.org/officeDocument/2006/relationships/hyperlink" Target="http://eur-lex.europa.eu/legal-content/EN/TXT/?qid=1490101852109&amp;uri=CELEX:32013L0055" TargetMode="External"/><Relationship Id="rId387" Type="http://schemas.openxmlformats.org/officeDocument/2006/relationships/hyperlink" Target="http://eur-lex.europa.eu/legal-content/EN/TXT/?qid=1456331676616&amp;uri=CELEX:32011L0024" TargetMode="External"/><Relationship Id="rId191" Type="http://schemas.openxmlformats.org/officeDocument/2006/relationships/hyperlink" Target="http://eur-lex.europa.eu/legal-content/EN/TXT/?qid=1490106234322&amp;uri=CELEX:32002L0021" TargetMode="External"/><Relationship Id="rId205" Type="http://schemas.openxmlformats.org/officeDocument/2006/relationships/hyperlink" Target="http://europa.eu/rapid/press-release_MEMO-16-4211_en.htm" TargetMode="External"/><Relationship Id="rId247" Type="http://schemas.openxmlformats.org/officeDocument/2006/relationships/hyperlink" Target="http://eur-lex.europa.eu/legal-content/EN/TXT/?qid=1490092057893&amp;uri=CELEX:32008D0615" TargetMode="External"/><Relationship Id="rId412" Type="http://schemas.openxmlformats.org/officeDocument/2006/relationships/hyperlink" Target="http://eur-lex.europa.eu/legal-content/EN/TXT/?qid=1490092311774&amp;uri=CELEX:32000L0060" TargetMode="External"/><Relationship Id="rId107" Type="http://schemas.openxmlformats.org/officeDocument/2006/relationships/hyperlink" Target="http://eur-lex.europa.eu/legal-content/EN/TXT/?qid=1490091975813&amp;uri=CELEX:32006L0126" TargetMode="External"/><Relationship Id="rId289" Type="http://schemas.openxmlformats.org/officeDocument/2006/relationships/hyperlink" Target="http://curia.europa.eu/juris/liste.jsf?language=en&amp;jur=C,T,F&amp;num=C-200/15&amp;td=ALL" TargetMode="External"/><Relationship Id="rId454" Type="http://schemas.openxmlformats.org/officeDocument/2006/relationships/hyperlink" Target="http://eur-lex.europa.eu/legal-content/EN/TXT/?qid=1490101852109&amp;uri=CELEX:32013L0055" TargetMode="External"/><Relationship Id="rId11" Type="http://schemas.openxmlformats.org/officeDocument/2006/relationships/hyperlink" Target="http://eur-lex.europa.eu/legal-content/EN/TXT/?qid=1490104655841&amp;uri=CELEX:32014L0024" TargetMode="External"/><Relationship Id="rId53" Type="http://schemas.openxmlformats.org/officeDocument/2006/relationships/hyperlink" Target="http://europa.eu/rapid/press-release_IP-16-2599_EN.htm" TargetMode="External"/><Relationship Id="rId149" Type="http://schemas.openxmlformats.org/officeDocument/2006/relationships/hyperlink" Target="http://eur-lex.europa.eu/legal-content/EN/TXT/?qid=1490107772940&amp;uri=CELEX:32009L0072" TargetMode="External"/><Relationship Id="rId314" Type="http://schemas.openxmlformats.org/officeDocument/2006/relationships/hyperlink" Target="http://eur-lex.europa.eu/legal-content/EN/TXT/?qid=1490107531274&amp;uri=CELEX:32010R0995" TargetMode="External"/><Relationship Id="rId356" Type="http://schemas.openxmlformats.org/officeDocument/2006/relationships/hyperlink" Target="http://eur-lex.europa.eu/legal-content/EN/TXT/?qid=1490104139416&amp;uri=CELEX:32012L0018" TargetMode="External"/><Relationship Id="rId398" Type="http://schemas.openxmlformats.org/officeDocument/2006/relationships/hyperlink" Target="http://eur-lex.europa.eu/legal-content/EN/TXT/?qid=1490092020661&amp;uri=CELEX:32014L0025" TargetMode="External"/><Relationship Id="rId95" Type="http://schemas.openxmlformats.org/officeDocument/2006/relationships/hyperlink" Target="http://eur-lex.europa.eu/legal-content/EN/TXT/?qid=1490168435631&amp;uri=CELEX:31985R3821" TargetMode="External"/><Relationship Id="rId160" Type="http://schemas.openxmlformats.org/officeDocument/2006/relationships/hyperlink" Target="http://europa.eu/rapid/press-release_MEMO-16-3644_en.htm" TargetMode="External"/><Relationship Id="rId216" Type="http://schemas.openxmlformats.org/officeDocument/2006/relationships/hyperlink" Target="http://curia.europa.eu/juris/liste.jsf?language=en&amp;jur=C,T,F&amp;num=C-336/16&amp;td=ALL" TargetMode="External"/><Relationship Id="rId423" Type="http://schemas.openxmlformats.org/officeDocument/2006/relationships/hyperlink" Target="http://eur-lex.europa.eu/legal-content/EN/TXT/?qid=1490106211061&amp;uri=CELEX:32014L0040" TargetMode="External"/><Relationship Id="rId258" Type="http://schemas.openxmlformats.org/officeDocument/2006/relationships/hyperlink" Target="http://eur-lex.europa.eu/legal-content/EN/TXT/?qid=1490090393649&amp;uri=CELEX:32013L0050" TargetMode="External"/><Relationship Id="rId465" Type="http://schemas.openxmlformats.org/officeDocument/2006/relationships/hyperlink" Target="http://eur-lex.europa.eu/legal-content/EN/TXT/?qid=1490119955649&amp;uri=CELEX:32001L0080" TargetMode="External"/><Relationship Id="rId22" Type="http://schemas.openxmlformats.org/officeDocument/2006/relationships/hyperlink" Target="http://eur-lex.europa.eu/legal-content/EN/TXT/?qid=1490105118602&amp;uri=CELEX:32014R1321" TargetMode="External"/><Relationship Id="rId64" Type="http://schemas.openxmlformats.org/officeDocument/2006/relationships/hyperlink" Target="http://eur-lex.europa.eu/legal-content/EN/TXT/?qid=1490107106412&amp;uri=CELEX:32011L0096" TargetMode="External"/><Relationship Id="rId118" Type="http://schemas.openxmlformats.org/officeDocument/2006/relationships/hyperlink" Target="http://eur-lex.europa.eu/legal-content/EN/TXT/?uri=uriserv:OJ.L_.2014.094.01.0001.01.ENG" TargetMode="External"/><Relationship Id="rId325" Type="http://schemas.openxmlformats.org/officeDocument/2006/relationships/hyperlink" Target="http://curia.europa.eu/juris/liste.jsf?language=en&amp;jur=C,T,F&amp;num=C-200/14&amp;td=ALL" TargetMode="External"/><Relationship Id="rId367" Type="http://schemas.openxmlformats.org/officeDocument/2006/relationships/hyperlink" Target="http://europa.eu/rapid/press-release_MEMO-16-1823_en.htm" TargetMode="External"/><Relationship Id="rId171" Type="http://schemas.openxmlformats.org/officeDocument/2006/relationships/hyperlink" Target="http://eur-lex.europa.eu/legal-content/EN/TXT/?qid=1490090291281&amp;uri=CELEX:31992L0050" TargetMode="External"/><Relationship Id="rId227" Type="http://schemas.openxmlformats.org/officeDocument/2006/relationships/hyperlink" Target="http://eur-lex.europa.eu/legal-content/EN/TXT/?qid=1490107673482&amp;uri=CELEX:31992R0043" TargetMode="External"/><Relationship Id="rId269" Type="http://schemas.openxmlformats.org/officeDocument/2006/relationships/hyperlink" Target="http://eur-lex.europa.eu/legal-content/EN/TXT/?qid=1490091207995&amp;uri=CELEX:32014L0024" TargetMode="External"/><Relationship Id="rId434" Type="http://schemas.openxmlformats.org/officeDocument/2006/relationships/hyperlink" Target="http://europa.eu/rapid/press-release_MEMO-16-2097_en.htm" TargetMode="External"/><Relationship Id="rId476" Type="http://schemas.openxmlformats.org/officeDocument/2006/relationships/hyperlink" Target="http://eur-lex.europa.eu/legal-content/EN/TXT/?qid=1490120203859&amp;uri=CELEX:32006L0123" TargetMode="External"/><Relationship Id="rId33" Type="http://schemas.openxmlformats.org/officeDocument/2006/relationships/hyperlink" Target="http://eur-lex.europa.eu/legal-content/EN/TXT/?qid=1490105916481&amp;uri=CELEX:32010R1177" TargetMode="External"/><Relationship Id="rId129" Type="http://schemas.openxmlformats.org/officeDocument/2006/relationships/hyperlink" Target="http://europa.eu/rapid/press-release_IP-14-1040_en.htm" TargetMode="External"/><Relationship Id="rId280" Type="http://schemas.openxmlformats.org/officeDocument/2006/relationships/hyperlink" Target="http://eur-lex.europa.eu/legal-content/EN/TXT/?qid=1490109345270&amp;uri=CELEX:31991L0271" TargetMode="External"/><Relationship Id="rId336" Type="http://schemas.openxmlformats.org/officeDocument/2006/relationships/hyperlink" Target="http://europa.eu/rapid/press-release_MEMO-16-4211_en.htm" TargetMode="External"/><Relationship Id="rId75" Type="http://schemas.openxmlformats.org/officeDocument/2006/relationships/hyperlink" Target="http://europa.eu/rapid/press-release_MEMO-16-4211_en.htm" TargetMode="External"/><Relationship Id="rId140" Type="http://schemas.openxmlformats.org/officeDocument/2006/relationships/hyperlink" Target="http://curia.europa.eu/juris/liste.jsf?language=en&amp;jur=C,T,F&amp;num=C-255/15&amp;td=ALL" TargetMode="External"/><Relationship Id="rId182" Type="http://schemas.openxmlformats.org/officeDocument/2006/relationships/hyperlink" Target="http://curia.europa.eu/juris/liste.jsf?language=en&amp;jur=C,T,F&amp;num=C-346/14&amp;td=ALL" TargetMode="External"/><Relationship Id="rId378" Type="http://schemas.openxmlformats.org/officeDocument/2006/relationships/hyperlink" Target="http://eur-lex.europa.eu/legal-content/EN/TXT/?qid=1490108502523&amp;uri=CELEX:32013L0036" TargetMode="External"/><Relationship Id="rId403" Type="http://schemas.openxmlformats.org/officeDocument/2006/relationships/hyperlink" Target="http://europa.eu/rapid/press-release_MEMO-16-3644_en.htm" TargetMode="External"/><Relationship Id="rId6" Type="http://schemas.openxmlformats.org/officeDocument/2006/relationships/hyperlink" Target="http://eur-lex.europa.eu/legal-content/EN/TXT/?qid=1490104618301&amp;uri=CELEX:32014L0089" TargetMode="External"/><Relationship Id="rId238" Type="http://schemas.openxmlformats.org/officeDocument/2006/relationships/hyperlink" Target="http://eur-lex.europa.eu/legal-content/EN/TXT/?qid=1490108340953&amp;uri=CELEX:32009R1071" TargetMode="External"/><Relationship Id="rId445" Type="http://schemas.openxmlformats.org/officeDocument/2006/relationships/hyperlink" Target="http://curia.europa.eu/jcms/jcms/Jo2_7052/en/?types=com.jalios.jcms.Content&amp;typesOff=generated.RecueilPublication&amp;textSearch=true&amp;catName=true&amp;searchInFiles=true&amp;langs=user&amp;text=145%2F2016&amp;opSearch=Search&amp;csrftoken=bpEBlaeuovriazel&amp;jsp=plugins%2FCuriaPlugin%2Fjsp%2Fquery.jsp" TargetMode="External"/><Relationship Id="rId291" Type="http://schemas.openxmlformats.org/officeDocument/2006/relationships/hyperlink" Target="http://eur-lex.europa.eu/legal-content/EN/TXT/?qid=1490106332071&amp;uri=CELEX:32013R0098" TargetMode="External"/><Relationship Id="rId305" Type="http://schemas.openxmlformats.org/officeDocument/2006/relationships/hyperlink" Target="http://eur-lex.europa.eu/legal-content/EN/TXT/?uri=uriserv:OJ.L_.2014.094.01.0001.01.ENG" TargetMode="External"/><Relationship Id="rId347" Type="http://schemas.openxmlformats.org/officeDocument/2006/relationships/hyperlink" Target="http://curia.europa.eu/juris/liste.jsf?language=en&amp;jur=C,T,F&amp;num=C-153/16&amp;td=ALL" TargetMode="External"/><Relationship Id="rId44" Type="http://schemas.openxmlformats.org/officeDocument/2006/relationships/hyperlink" Target="http://curia.europa.eu/juris/liste.jsf?pro=&amp;lgrec=en&amp;nat=or&amp;oqp=&amp;dates=&amp;lg=&amp;language=en&amp;jur=C%2CT%2CF&amp;cit=none%252CC%252CCJ%252CR%252C2008E%252C%252C%252C%252C%252C%252C%252C%252C%252C%252Ctrue%252Cfalse%252Cfalse&amp;num=C-152%252F16&amp;td=%3BALL&amp;pcs=Oor&amp;avg=&amp;page=1&amp;mat=or&amp;jge=&amp;for=&amp;cid=819194" TargetMode="External"/><Relationship Id="rId86" Type="http://schemas.openxmlformats.org/officeDocument/2006/relationships/hyperlink" Target="http://eur-lex.europa.eu/legal-content/EN/TXT/?qid=1490093375244&amp;uri=CELEX:32009R1071" TargetMode="External"/><Relationship Id="rId151" Type="http://schemas.openxmlformats.org/officeDocument/2006/relationships/hyperlink" Target="http://europa.eu/rapid/press-release_MEMO-16-319_en.htm" TargetMode="External"/><Relationship Id="rId389" Type="http://schemas.openxmlformats.org/officeDocument/2006/relationships/hyperlink" Target="http://eur-lex.europa.eu/legal-content/EN/TXT/?qid=1490091659263&amp;uri=CELEX:32008L0098" TargetMode="External"/><Relationship Id="rId193" Type="http://schemas.openxmlformats.org/officeDocument/2006/relationships/hyperlink" Target="http://eur-lex.europa.eu/legal-content/EN/TXT/?qid=1490106328297&amp;uri=CELEX:32008L0050" TargetMode="External"/><Relationship Id="rId207" Type="http://schemas.openxmlformats.org/officeDocument/2006/relationships/hyperlink" Target="http://europa.eu/rapid/press-release_MEMO-16-319_en.htm" TargetMode="External"/><Relationship Id="rId249" Type="http://schemas.openxmlformats.org/officeDocument/2006/relationships/hyperlink" Target="http://europa.eu/rapid/press-release_MEMO-16-3125_en.htm" TargetMode="External"/><Relationship Id="rId414" Type="http://schemas.openxmlformats.org/officeDocument/2006/relationships/hyperlink" Target="http://eur-lex.europa.eu/legal-content/EN/TXT/?qid=1490092363947&amp;uri=CELEX:32014L0059" TargetMode="External"/><Relationship Id="rId456" Type="http://schemas.openxmlformats.org/officeDocument/2006/relationships/hyperlink" Target="http://eur-lex.europa.eu/legal-content/EN/TXT/?qid=1490104740669&amp;uri=CELEX:32007L0046"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7.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98.xml"/></Relationships>
</file>

<file path=word/charts/_rels/chart102.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1.xlsx"/><Relationship Id="rId1" Type="http://schemas.openxmlformats.org/officeDocument/2006/relationships/themeOverride" Target="../theme/themeOverride99.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0.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1.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2.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3.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4.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5.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6.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7.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08.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09.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0.xml"/></Relationships>
</file>

<file path=word/charts/_rels/chart114.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3.xlsx"/><Relationship Id="rId1" Type="http://schemas.openxmlformats.org/officeDocument/2006/relationships/themeOverride" Target="../theme/themeOverride111.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2.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3.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4.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5.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7.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18.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19.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0.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1.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2.xml"/></Relationships>
</file>

<file path=word/charts/_rels/chart126.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5.xlsx"/><Relationship Id="rId1" Type="http://schemas.openxmlformats.org/officeDocument/2006/relationships/themeOverride" Target="../theme/themeOverride123.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4.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5.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6.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27.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28.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29.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0.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1.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132.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133.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134.xml"/></Relationships>
</file>

<file path=word/charts/_rels/chart138.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Worksheet137.xlsx"/><Relationship Id="rId1" Type="http://schemas.openxmlformats.org/officeDocument/2006/relationships/themeOverride" Target="../theme/themeOverride135.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136.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137.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138.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139.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140.xml"/></Relationships>
</file>

<file path=word/charts/_rels/chart144.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141.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44.xlsx"/><Relationship Id="rId1" Type="http://schemas.openxmlformats.org/officeDocument/2006/relationships/themeOverride" Target="../theme/themeOverride142.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143.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146.xlsx"/><Relationship Id="rId1" Type="http://schemas.openxmlformats.org/officeDocument/2006/relationships/themeOverride" Target="../theme/themeOverride144.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Excel_Worksheet147.xlsx"/><Relationship Id="rId1" Type="http://schemas.openxmlformats.org/officeDocument/2006/relationships/themeOverride" Target="../theme/themeOverride145.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Excel_Worksheet148.xlsx"/><Relationship Id="rId1" Type="http://schemas.openxmlformats.org/officeDocument/2006/relationships/themeOverride" Target="../theme/themeOverride146.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5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Worksheet149.xlsx"/><Relationship Id="rId1" Type="http://schemas.openxmlformats.org/officeDocument/2006/relationships/themeOverride" Target="../theme/themeOverride147.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Excel_Worksheet150.xlsx"/><Relationship Id="rId1" Type="http://schemas.openxmlformats.org/officeDocument/2006/relationships/themeOverride" Target="../theme/themeOverride148.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Excel_Worksheet151.xlsx"/><Relationship Id="rId1" Type="http://schemas.openxmlformats.org/officeDocument/2006/relationships/themeOverride" Target="../theme/themeOverride149.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152.xlsx"/><Relationship Id="rId1" Type="http://schemas.openxmlformats.org/officeDocument/2006/relationships/themeOverride" Target="../theme/themeOverride150.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153.xlsx"/><Relationship Id="rId1" Type="http://schemas.openxmlformats.org/officeDocument/2006/relationships/themeOverride" Target="../theme/themeOverride151.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154.xlsx"/><Relationship Id="rId1" Type="http://schemas.openxmlformats.org/officeDocument/2006/relationships/themeOverride" Target="../theme/themeOverride152.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155.xlsx"/><Relationship Id="rId1" Type="http://schemas.openxmlformats.org/officeDocument/2006/relationships/themeOverride" Target="../theme/themeOverride153.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Excel_Worksheet156.xlsx"/><Relationship Id="rId1" Type="http://schemas.openxmlformats.org/officeDocument/2006/relationships/themeOverride" Target="../theme/themeOverride154.xml"/></Relationships>
</file>

<file path=word/charts/_rels/chart158.xml.rels><?xml version="1.0" encoding="UTF-8" standalone="yes"?>
<Relationships xmlns="http://schemas.openxmlformats.org/package/2006/relationships"><Relationship Id="rId1" Type="http://schemas.openxmlformats.org/officeDocument/2006/relationships/themeOverride" Target="../theme/themeOverride155.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Excel_Worksheet157.xlsx"/><Relationship Id="rId1" Type="http://schemas.openxmlformats.org/officeDocument/2006/relationships/themeOverride" Target="../theme/themeOverride156.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Excel_Worksheet158.xlsx"/><Relationship Id="rId1" Type="http://schemas.openxmlformats.org/officeDocument/2006/relationships/themeOverride" Target="../theme/themeOverride157.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Excel_Worksheet159.xlsx"/><Relationship Id="rId1" Type="http://schemas.openxmlformats.org/officeDocument/2006/relationships/themeOverride" Target="../theme/themeOverride158.xml"/></Relationships>
</file>

<file path=word/charts/_rels/chart162.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Worksheet160.xlsx"/><Relationship Id="rId1" Type="http://schemas.openxmlformats.org/officeDocument/2006/relationships/themeOverride" Target="../theme/themeOverride159.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Microsoft_Excel_Worksheet161.xlsx"/><Relationship Id="rId1" Type="http://schemas.openxmlformats.org/officeDocument/2006/relationships/themeOverride" Target="../theme/themeOverride160.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Excel_Worksheet162.xlsx"/><Relationship Id="rId1" Type="http://schemas.openxmlformats.org/officeDocument/2006/relationships/themeOverride" Target="../theme/themeOverride161.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Microsoft_Excel_Worksheet163.xlsx"/><Relationship Id="rId1" Type="http://schemas.openxmlformats.org/officeDocument/2006/relationships/themeOverride" Target="../theme/themeOverride162.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Microsoft_Excel_Worksheet164.xlsx"/><Relationship Id="rId1" Type="http://schemas.openxmlformats.org/officeDocument/2006/relationships/themeOverride" Target="../theme/themeOverride163.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Excel_Worksheet165.xlsx"/><Relationship Id="rId1" Type="http://schemas.openxmlformats.org/officeDocument/2006/relationships/themeOverride" Target="../theme/themeOverride164.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Microsoft_Excel_Worksheet166.xlsx"/><Relationship Id="rId1" Type="http://schemas.openxmlformats.org/officeDocument/2006/relationships/themeOverride" Target="../theme/themeOverride165.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66.xlsx"/><Relationship Id="rId1" Type="http://schemas.openxmlformats.org/officeDocument/2006/relationships/themeOverride" Target="../theme/themeOverride65.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6.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7.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68.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69.xml"/></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0.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1.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2.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3.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4.xml"/></Relationships>
</file>

<file path=word/charts/_rels/chart7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78.xlsx"/><Relationship Id="rId1" Type="http://schemas.openxmlformats.org/officeDocument/2006/relationships/themeOverride" Target="../theme/themeOverride75.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77.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78.xml"/></Relationships>
</file>

<file path=word/charts/_rels/chart82.xml.rels><?xml version="1.0" encoding="UTF-8" standalone="yes"?>
<Relationships xmlns="http://schemas.openxmlformats.org/package/2006/relationships"><Relationship Id="rId1" Type="http://schemas.openxmlformats.org/officeDocument/2006/relationships/themeOverride" Target="../theme/themeOverride79.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0.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1.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2.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3.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4.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5.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6.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89.xlsx"/><Relationship Id="rId1" Type="http://schemas.openxmlformats.org/officeDocument/2006/relationships/themeOverride" Target="../theme/themeOverride87.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88.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89.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0.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1.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2.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3.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4.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5.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5000676912058203E-2"/>
                  <c:y val="6.885679025221185E-2"/>
                </c:manualLayout>
              </c:layout>
              <c:dLblPos val="r"/>
              <c:showLegendKey val="0"/>
              <c:showVal val="1"/>
              <c:showCatName val="0"/>
              <c:showSerName val="0"/>
              <c:showPercent val="0"/>
              <c:showBubbleSize val="0"/>
            </c:dLbl>
            <c:dLbl>
              <c:idx val="3"/>
              <c:layout>
                <c:manualLayout>
                  <c:x val="-4.2227505618311359E-2"/>
                  <c:y val="-6.9117432442293167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36</c:v>
                </c:pt>
                <c:pt idx="1">
                  <c:v>28</c:v>
                </c:pt>
                <c:pt idx="2">
                  <c:v>33</c:v>
                </c:pt>
                <c:pt idx="3">
                  <c:v>37</c:v>
                </c:pt>
                <c:pt idx="4">
                  <c:v>30</c:v>
                </c:pt>
              </c:numCache>
            </c:numRef>
          </c:val>
          <c:smooth val="0"/>
        </c:ser>
        <c:dLbls>
          <c:showLegendKey val="0"/>
          <c:showVal val="1"/>
          <c:showCatName val="0"/>
          <c:showSerName val="0"/>
          <c:showPercent val="0"/>
          <c:showBubbleSize val="0"/>
        </c:dLbls>
        <c:marker val="1"/>
        <c:smooth val="0"/>
        <c:axId val="32028160"/>
        <c:axId val="32043392"/>
      </c:lineChart>
      <c:catAx>
        <c:axId val="32028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32043392"/>
        <c:crosses val="autoZero"/>
        <c:auto val="1"/>
        <c:lblAlgn val="ctr"/>
        <c:lblOffset val="100"/>
        <c:noMultiLvlLbl val="0"/>
      </c:catAx>
      <c:valAx>
        <c:axId val="32043392"/>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2028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271887187146531E-2"/>
                  <c:y val="7.2278907258779154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15</c:v>
                </c:pt>
                <c:pt idx="1">
                  <c:v>14</c:v>
                </c:pt>
                <c:pt idx="2">
                  <c:v>10</c:v>
                </c:pt>
                <c:pt idx="3">
                  <c:v>16</c:v>
                </c:pt>
                <c:pt idx="4">
                  <c:v>35</c:v>
                </c:pt>
              </c:numCache>
            </c:numRef>
          </c:val>
          <c:smooth val="0"/>
        </c:ser>
        <c:dLbls>
          <c:showLegendKey val="0"/>
          <c:showVal val="1"/>
          <c:showCatName val="0"/>
          <c:showSerName val="0"/>
          <c:showPercent val="0"/>
          <c:showBubbleSize val="0"/>
        </c:dLbls>
        <c:marker val="1"/>
        <c:smooth val="0"/>
        <c:axId val="91628672"/>
        <c:axId val="91680768"/>
      </c:lineChart>
      <c:catAx>
        <c:axId val="916286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1680768"/>
        <c:crosses val="autoZero"/>
        <c:auto val="1"/>
        <c:lblAlgn val="ctr"/>
        <c:lblOffset val="100"/>
        <c:noMultiLvlLbl val="0"/>
      </c:catAx>
      <c:valAx>
        <c:axId val="91680768"/>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1628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96265560165973E-2"/>
          <c:y val="6.2411347517730496E-2"/>
          <c:w val="0.93909191583610185"/>
          <c:h val="0.813038548752834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0184642617347251E-2"/>
                  <c:y val="8.0618047744031945E-2"/>
                </c:manualLayout>
              </c:layout>
              <c:dLblPos val="r"/>
              <c:showLegendKey val="0"/>
              <c:showVal val="1"/>
              <c:showCatName val="0"/>
              <c:showSerName val="0"/>
              <c:showPercent val="0"/>
              <c:showBubbleSize val="0"/>
            </c:dLbl>
            <c:dLbl>
              <c:idx val="3"/>
              <c:layout>
                <c:manualLayout>
                  <c:x val="-5.3207811232898215E-2"/>
                  <c:y val="5.9032799471494632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51</c:v>
                </c:pt>
                <c:pt idx="1">
                  <c:v>57</c:v>
                </c:pt>
                <c:pt idx="2">
                  <c:v>50</c:v>
                </c:pt>
                <c:pt idx="3">
                  <c:v>53</c:v>
                </c:pt>
                <c:pt idx="4">
                  <c:v>43</c:v>
                </c:pt>
              </c:numCache>
            </c:numRef>
          </c:val>
          <c:smooth val="0"/>
        </c:ser>
        <c:dLbls>
          <c:showLegendKey val="0"/>
          <c:showVal val="0"/>
          <c:showCatName val="0"/>
          <c:showSerName val="0"/>
          <c:showPercent val="0"/>
          <c:showBubbleSize val="0"/>
        </c:dLbls>
        <c:marker val="1"/>
        <c:smooth val="0"/>
        <c:axId val="101198464"/>
        <c:axId val="101204352"/>
      </c:lineChart>
      <c:catAx>
        <c:axId val="101198464"/>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204352"/>
        <c:crosses val="autoZero"/>
        <c:auto val="1"/>
        <c:lblAlgn val="ctr"/>
        <c:lblOffset val="100"/>
        <c:noMultiLvlLbl val="0"/>
      </c:catAx>
      <c:valAx>
        <c:axId val="101204352"/>
        <c:scaling>
          <c:orientation val="minMax"/>
          <c:min val="2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101198464"/>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24 EU Pilot files opened against Romania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44B3D"/>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E75113"/>
              </a:solidFill>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A20000"/>
              </a:solidFill>
              <a:scene3d>
                <a:camera prst="orthographicFront"/>
                <a:lightRig rig="threePt" dir="t"/>
              </a:scene3d>
              <a:sp3d>
                <a:bevelT w="63500" h="25400"/>
              </a:sp3d>
            </c:spPr>
          </c:dPt>
          <c:dLbls>
            <c:dLbl>
              <c:idx val="0"/>
              <c:layout>
                <c:manualLayout>
                  <c:x val="1.6472190564995166E-2"/>
                  <c:y val="3.5502688688304203E-2"/>
                </c:manualLayout>
              </c:layout>
              <c:dLblPos val="bestFit"/>
              <c:showLegendKey val="1"/>
              <c:showVal val="1"/>
              <c:showCatName val="1"/>
              <c:showSerName val="0"/>
              <c:showPercent val="0"/>
              <c:showBubbleSize val="0"/>
              <c:separator>
</c:separator>
            </c:dLbl>
            <c:dLbl>
              <c:idx val="1"/>
              <c:layout>
                <c:manualLayout>
                  <c:x val="-5.2085275935902751E-2"/>
                  <c:y val="2.5370894949106972E-2"/>
                </c:manualLayout>
              </c:layout>
              <c:dLblPos val="bestFit"/>
              <c:showLegendKey val="1"/>
              <c:showVal val="1"/>
              <c:showCatName val="1"/>
              <c:showSerName val="0"/>
              <c:showPercent val="0"/>
              <c:showBubbleSize val="0"/>
              <c:separator>
</c:separator>
            </c:dLbl>
            <c:dLbl>
              <c:idx val="2"/>
              <c:layout>
                <c:manualLayout>
                  <c:x val="8.2204465395772901E-3"/>
                  <c:y val="-0.11172660201011458"/>
                </c:manualLayout>
              </c:layout>
              <c:dLblPos val="bestFit"/>
              <c:showLegendKey val="1"/>
              <c:showVal val="1"/>
              <c:showCatName val="1"/>
              <c:showSerName val="0"/>
              <c:showPercent val="0"/>
              <c:showBubbleSize val="0"/>
              <c:separator>
</c:separator>
            </c:dLbl>
            <c:dLbl>
              <c:idx val="3"/>
              <c:layout>
                <c:manualLayout>
                  <c:x val="5.7567732076253625E-2"/>
                  <c:y val="-1.1042826963702707E-3"/>
                </c:manualLayout>
              </c:layout>
              <c:dLblPos val="bestFit"/>
              <c:showLegendKey val="1"/>
              <c:showVal val="1"/>
              <c:showCatName val="1"/>
              <c:showSerName val="0"/>
              <c:showPercent val="0"/>
              <c:showBubbleSize val="0"/>
              <c:separator>
</c:separator>
            </c:dLbl>
            <c:dLbl>
              <c:idx val="4"/>
              <c:layout>
                <c:manualLayout>
                  <c:x val="8.4978070175438597E-2"/>
                  <c:y val="0"/>
                </c:manualLayout>
              </c:layout>
              <c:dLblPos val="bestFit"/>
              <c:showLegendKey val="1"/>
              <c:showVal val="1"/>
              <c:showCatName val="1"/>
              <c:showSerName val="0"/>
              <c:showPercent val="0"/>
              <c:showBubbleSize val="0"/>
              <c:separator>
</c:separator>
            </c:dLbl>
            <c:dLbl>
              <c:idx val="5"/>
              <c:layout>
                <c:manualLayout>
                  <c:x val="1.6447368421052631E-2"/>
                  <c:y val="9.3156105424536533E-17"/>
                </c:manualLayout>
              </c:layout>
              <c:dLblPos val="bestFit"/>
              <c:showLegendKey val="1"/>
              <c:showVal val="1"/>
              <c:showCatName val="1"/>
              <c:showSerName val="0"/>
              <c:showPercent val="0"/>
              <c:showBubbleSize val="0"/>
              <c:separator>
</c:separator>
            </c:dLbl>
            <c:dLbl>
              <c:idx val="6"/>
              <c:layout>
                <c:manualLayout>
                  <c:x val="0"/>
                  <c:y val="-4.573170731707317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Blad1!$A$3:$A$9</c:f>
              <c:strCache>
                <c:ptCount val="7"/>
                <c:pt idx="0">
                  <c:v>Environment</c:v>
                </c:pt>
                <c:pt idx="1">
                  <c:v>Internal market, industry, entrepreneurship and SMEs</c:v>
                </c:pt>
                <c:pt idx="2">
                  <c:v>Agriculture and rural development</c:v>
                </c:pt>
                <c:pt idx="3">
                  <c:v>Financial stability, financial services and capital markets union</c:v>
                </c:pt>
                <c:pt idx="4">
                  <c:v>Energy</c:v>
                </c:pt>
                <c:pt idx="5">
                  <c:v>Martitime affairs and fisheries</c:v>
                </c:pt>
                <c:pt idx="6">
                  <c:v>Taxation and customs</c:v>
                </c:pt>
              </c:strCache>
              <c:extLst>
                <c:ext xmlns:c15="http://schemas.microsoft.com/office/drawing/2012/chart" uri="{02D57815-91ED-43cb-92C2-25804820EDAC}">
                  <c15:fullRef>
                    <c15:sqref>Blad1!$A$2:$A$6</c15:sqref>
                  </c15:fullRef>
                </c:ext>
              </c:extLst>
            </c:strRef>
          </c:cat>
          <c:val>
            <c:numRef>
              <c:f>Blad1!$B$3:$B$9</c:f>
              <c:numCache>
                <c:formatCode>General</c:formatCode>
                <c:ptCount val="7"/>
                <c:pt idx="0">
                  <c:v>7</c:v>
                </c:pt>
                <c:pt idx="1">
                  <c:v>3</c:v>
                </c:pt>
                <c:pt idx="2">
                  <c:v>2</c:v>
                </c:pt>
                <c:pt idx="3">
                  <c:v>2</c:v>
                </c:pt>
                <c:pt idx="4">
                  <c:v>2</c:v>
                </c:pt>
                <c:pt idx="5">
                  <c:v>2</c:v>
                </c:pt>
                <c:pt idx="6">
                  <c:v>2</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04714364947311E-2"/>
          <c:y val="4.5977011494252873E-2"/>
          <c:w val="0.93899057127010543"/>
          <c:h val="0.62713186713729752"/>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220743205768164E-2"/>
                  <c:y val="6.0172413793103445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77</c:v>
                </c:pt>
                <c:pt idx="1">
                  <c:v>77</c:v>
                </c:pt>
                <c:pt idx="2">
                  <c:v>76</c:v>
                </c:pt>
                <c:pt idx="3">
                  <c:v>80</c:v>
                </c:pt>
                <c:pt idx="4">
                  <c:v>79</c:v>
                </c:pt>
              </c:numCache>
            </c:numRef>
          </c:val>
          <c:smooth val="0"/>
        </c:ser>
        <c:ser>
          <c:idx val="1"/>
          <c:order val="1"/>
          <c:tx>
            <c:strRef>
              <c:f>Blad1!$C$2</c:f>
              <c:strCache>
                <c:ptCount val="1"/>
                <c:pt idx="0">
                  <c:v>Column1</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1321344"/>
        <c:axId val="101327232"/>
      </c:lineChart>
      <c:catAx>
        <c:axId val="1013213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327232"/>
        <c:crosses val="autoZero"/>
        <c:auto val="1"/>
        <c:lblAlgn val="ctr"/>
        <c:lblOffset val="100"/>
        <c:noMultiLvlLbl val="0"/>
      </c:catAx>
      <c:valAx>
        <c:axId val="101327232"/>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321344"/>
        <c:crosses val="autoZero"/>
        <c:crossBetween val="between"/>
      </c:valAx>
      <c:spPr>
        <a:noFill/>
        <a:ln>
          <a:noFill/>
        </a:ln>
        <a:effectLst/>
      </c:spPr>
    </c:plotArea>
    <c:legend>
      <c:legendPos val="b"/>
      <c:legendEntry>
        <c:idx val="0"/>
        <c:delete val="1"/>
      </c:legendEntry>
      <c:layout>
        <c:manualLayout>
          <c:xMode val="edge"/>
          <c:yMode val="edge"/>
          <c:x val="4.4772492040824341E-2"/>
          <c:y val="0.76430310435333515"/>
          <c:w val="0.88826947953329416"/>
          <c:h val="0.23019413521585666"/>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Romania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863338006210125E-2"/>
                  <c:y val="-4.3531468531468533E-2"/>
                </c:manualLayout>
              </c:layout>
              <c:dLblPos val="r"/>
              <c:showLegendKey val="0"/>
              <c:showVal val="1"/>
              <c:showCatName val="0"/>
              <c:showSerName val="0"/>
              <c:showPercent val="0"/>
              <c:showBubbleSize val="0"/>
            </c:dLbl>
            <c:dLbl>
              <c:idx val="3"/>
              <c:layout>
                <c:manualLayout>
                  <c:x val="-5.2863338006210125E-2"/>
                  <c:y val="8.4673659673659626E-2"/>
                </c:manualLayout>
              </c:layout>
              <c:dLblPos val="r"/>
              <c:showLegendKey val="0"/>
              <c:showVal val="1"/>
              <c:showCatName val="0"/>
              <c:showSerName val="0"/>
              <c:showPercent val="0"/>
              <c:showBubbleSize val="0"/>
            </c:dLbl>
            <c:dLbl>
              <c:idx val="4"/>
              <c:layout>
                <c:manualLayout>
                  <c:x val="-4.7317026303492431E-2"/>
                  <c:y val="-6.1013986013986013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0.69</c:v>
                </c:pt>
                <c:pt idx="1">
                  <c:v>0.72</c:v>
                </c:pt>
                <c:pt idx="2">
                  <c:v>0.79</c:v>
                </c:pt>
                <c:pt idx="3">
                  <c:v>0.68</c:v>
                </c:pt>
                <c:pt idx="4">
                  <c:v>0.74</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3"/>
              <c:layout>
                <c:manualLayout>
                  <c:x val="-5.2863338006210125E-2"/>
                  <c:y val="-4.3881118881118883E-2"/>
                </c:manualLayout>
              </c:layout>
              <c:dLblPos val="r"/>
              <c:showLegendKey val="0"/>
              <c:showVal val="1"/>
              <c:showCatName val="0"/>
              <c:showSerName val="0"/>
              <c:showPercent val="0"/>
              <c:showBubbleSize val="0"/>
            </c:dLbl>
            <c:dLbl>
              <c:idx val="4"/>
              <c:layout>
                <c:manualLayout>
                  <c:x val="-4.7317026303492431E-2"/>
                  <c:y val="7.84965034965035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1808384"/>
        <c:axId val="101826560"/>
      </c:lineChart>
      <c:catAx>
        <c:axId val="101808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826560"/>
        <c:crosses val="autoZero"/>
        <c:auto val="1"/>
        <c:lblAlgn val="ctr"/>
        <c:lblOffset val="100"/>
        <c:noMultiLvlLbl val="0"/>
      </c:catAx>
      <c:valAx>
        <c:axId val="101826560"/>
        <c:scaling>
          <c:orientation val="minMax"/>
          <c:min val="0.4"/>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1808384"/>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2177260954963408E-2"/>
                  <c:y val="6.2344591794446749E-2"/>
                </c:manualLayout>
              </c:layout>
              <c:dLblPos val="r"/>
              <c:showLegendKey val="0"/>
              <c:showVal val="1"/>
              <c:showCatName val="0"/>
              <c:showSerName val="0"/>
              <c:showPercent val="0"/>
              <c:showBubbleSize val="0"/>
            </c:dLbl>
            <c:dLbl>
              <c:idx val="2"/>
              <c:layout>
                <c:manualLayout>
                  <c:x val="-3.0987858719646801E-2"/>
                  <c:y val="-6.8667547313164795E-2"/>
                </c:manualLayout>
              </c:layout>
              <c:dLblPos val="r"/>
              <c:showLegendKey val="0"/>
              <c:showVal val="1"/>
              <c:showCatName val="0"/>
              <c:showSerName val="0"/>
              <c:showPercent val="0"/>
              <c:showBubbleSize val="0"/>
            </c:dLbl>
            <c:dLbl>
              <c:idx val="3"/>
              <c:layout>
                <c:manualLayout>
                  <c:x val="-4.2025386313465786E-2"/>
                  <c:y val="5.7428943914905377E-2"/>
                </c:manualLayout>
              </c:layout>
              <c:dLblPos val="r"/>
              <c:showLegendKey val="0"/>
              <c:showVal val="1"/>
              <c:showCatName val="0"/>
              <c:showSerName val="0"/>
              <c:showPercent val="0"/>
              <c:showBubbleSize val="0"/>
            </c:dLbl>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44</c:v>
                </c:pt>
                <c:pt idx="1">
                  <c:v>47</c:v>
                </c:pt>
                <c:pt idx="2">
                  <c:v>68</c:v>
                </c:pt>
                <c:pt idx="3">
                  <c:v>50</c:v>
                </c:pt>
                <c:pt idx="4">
                  <c:v>57</c:v>
                </c:pt>
              </c:numCache>
            </c:numRef>
          </c:val>
          <c:smooth val="0"/>
        </c:ser>
        <c:dLbls>
          <c:showLegendKey val="0"/>
          <c:showVal val="0"/>
          <c:showCatName val="0"/>
          <c:showSerName val="0"/>
          <c:showPercent val="0"/>
          <c:showBubbleSize val="0"/>
        </c:dLbls>
        <c:marker val="1"/>
        <c:smooth val="0"/>
        <c:axId val="101609472"/>
        <c:axId val="101611008"/>
      </c:lineChart>
      <c:catAx>
        <c:axId val="101609472"/>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611008"/>
        <c:crosses val="autoZero"/>
        <c:auto val="1"/>
        <c:lblAlgn val="ctr"/>
        <c:lblOffset val="100"/>
        <c:noMultiLvlLbl val="0"/>
      </c:catAx>
      <c:valAx>
        <c:axId val="101611008"/>
        <c:scaling>
          <c:orientation val="minMax"/>
          <c:min val="35"/>
        </c:scaling>
        <c:delete val="1"/>
        <c:axPos val="l"/>
        <c:majorGridlines>
          <c:spPr>
            <a:ln w="9533" cap="flat" cmpd="sng" algn="ctr">
              <a:solidFill>
                <a:schemeClr val="tx1">
                  <a:lumMod val="15000"/>
                  <a:lumOff val="85000"/>
                </a:schemeClr>
              </a:solidFill>
              <a:round/>
            </a:ln>
            <a:effectLst/>
          </c:spPr>
        </c:majorGridlines>
        <c:numFmt formatCode="General" sourceLinked="1"/>
        <c:majorTickMark val="out"/>
        <c:minorTickMark val="none"/>
        <c:tickLblPos val="nextTo"/>
        <c:crossAx val="101609472"/>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36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7706883977273222E-2"/>
                  <c:y val="0.17140140269351578"/>
                </c:manualLayout>
              </c:layout>
              <c:dLblPos val="bestFit"/>
              <c:showLegendKey val="1"/>
              <c:showVal val="1"/>
              <c:showCatName val="1"/>
              <c:showSerName val="0"/>
              <c:showPercent val="0"/>
              <c:showBubbleSize val="0"/>
              <c:separator>
</c:separator>
            </c:dLbl>
            <c:dLbl>
              <c:idx val="2"/>
              <c:layout>
                <c:manualLayout>
                  <c:x val="0"/>
                  <c:y val="-2.7322404371584699E-2"/>
                </c:manualLayout>
              </c:layout>
              <c:dLblPos val="bestFit"/>
              <c:showLegendKey val="1"/>
              <c:showVal val="1"/>
              <c:showCatName val="1"/>
              <c:showSerName val="0"/>
              <c:showPercent val="0"/>
              <c:showBubbleSize val="0"/>
              <c:separator>
</c:separator>
            </c:dLbl>
            <c:dLbl>
              <c:idx val="3"/>
              <c:layout>
                <c:manualLayout>
                  <c:x val="1.2047506124962333E-2"/>
                  <c:y val="-3.963254593175853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1.9412090959511925E-2"/>
                  <c:y val="0"/>
                </c:manualLayout>
              </c:layout>
              <c:dLblPos val="bestFit"/>
              <c:showLegendKey val="1"/>
              <c:showVal val="1"/>
              <c:showCatName val="1"/>
              <c:showSerName val="0"/>
              <c:showPercent val="0"/>
              <c:showBubbleSize val="0"/>
              <c:separator>
</c:separator>
            </c:dLbl>
            <c:dLbl>
              <c:idx val="5"/>
              <c:layout>
                <c:manualLayout>
                  <c:x val="3.6051026067665005E-2"/>
                  <c:y val="-0.16393442622950818"/>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Financial stability, financial services and capital markets union</c:v>
                </c:pt>
                <c:pt idx="3">
                  <c:v>Environment</c:v>
                </c:pt>
                <c:pt idx="4">
                  <c:v>Health and food safety</c:v>
                </c:pt>
                <c:pt idx="5">
                  <c:v>Other</c:v>
                </c:pt>
              </c:strCache>
            </c:strRef>
          </c:cat>
          <c:val>
            <c:numRef>
              <c:f>Blad1!$B$2:$B$7</c:f>
              <c:numCache>
                <c:formatCode>General</c:formatCode>
                <c:ptCount val="6"/>
                <c:pt idx="0">
                  <c:v>0</c:v>
                </c:pt>
                <c:pt idx="1">
                  <c:v>10</c:v>
                </c:pt>
                <c:pt idx="2">
                  <c:v>7</c:v>
                </c:pt>
                <c:pt idx="3">
                  <c:v>4</c:v>
                </c:pt>
                <c:pt idx="4">
                  <c:v>4</c:v>
                </c:pt>
                <c:pt idx="5">
                  <c:v>11</c:v>
                </c:pt>
              </c:numCache>
            </c:numRef>
          </c:val>
          <c:extLst/>
        </c:ser>
        <c:dLbls>
          <c:showLegendKey val="0"/>
          <c:showVal val="0"/>
          <c:showCatName val="1"/>
          <c:showSerName val="0"/>
          <c:showPercent val="0"/>
          <c:showBubbleSize val="0"/>
          <c:showLeaderLines val="0"/>
        </c:dLbls>
        <c:firstSliceAng val="33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13</c:v>
                </c:pt>
                <c:pt idx="1">
                  <c:v>20</c:v>
                </c:pt>
                <c:pt idx="2">
                  <c:v>34</c:v>
                </c:pt>
                <c:pt idx="3">
                  <c:v>24</c:v>
                </c:pt>
                <c:pt idx="4">
                  <c:v>38</c:v>
                </c:pt>
              </c:numCache>
            </c:numRef>
          </c:val>
          <c:smooth val="0"/>
        </c:ser>
        <c:dLbls>
          <c:dLblPos val="t"/>
          <c:showLegendKey val="0"/>
          <c:showVal val="1"/>
          <c:showCatName val="0"/>
          <c:showSerName val="0"/>
          <c:showPercent val="0"/>
          <c:showBubbleSize val="0"/>
        </c:dLbls>
        <c:marker val="1"/>
        <c:smooth val="0"/>
        <c:axId val="101724928"/>
        <c:axId val="101727616"/>
      </c:lineChart>
      <c:catAx>
        <c:axId val="101724928"/>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727616"/>
        <c:crosses val="autoZero"/>
        <c:auto val="1"/>
        <c:lblAlgn val="ctr"/>
        <c:lblOffset val="100"/>
        <c:noMultiLvlLbl val="0"/>
      </c:catAx>
      <c:valAx>
        <c:axId val="101727616"/>
        <c:scaling>
          <c:orientation val="minMax"/>
        </c:scaling>
        <c:delete val="1"/>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crossAx val="101724928"/>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137320044296774E-2"/>
                  <c:y val="-0.10820987654320977"/>
                </c:manualLayout>
              </c:layout>
              <c:dLblPos val="r"/>
              <c:showLegendKey val="0"/>
              <c:showVal val="1"/>
              <c:showCatName val="0"/>
              <c:showSerName val="0"/>
              <c:showPercent val="0"/>
              <c:showBubbleSize val="0"/>
            </c:dLbl>
            <c:dLbl>
              <c:idx val="1"/>
              <c:layout>
                <c:manualLayout>
                  <c:x val="-4.2127328299110263E-2"/>
                  <c:y val="-7.1172839506172855E-2"/>
                </c:manualLayout>
              </c:layout>
              <c:dLblPos val="r"/>
              <c:showLegendKey val="0"/>
              <c:showVal val="1"/>
              <c:showCatName val="0"/>
              <c:showSerName val="0"/>
              <c:showPercent val="0"/>
              <c:showBubbleSize val="0"/>
            </c:dLbl>
            <c:dLbl>
              <c:idx val="2"/>
              <c:layout>
                <c:manualLayout>
                  <c:x val="-4.2137320044296787E-2"/>
                  <c:y val="-8.3518518518518506E-2"/>
                </c:manualLayout>
              </c:layout>
              <c:dLblPos val="r"/>
              <c:showLegendKey val="0"/>
              <c:showVal val="1"/>
              <c:showCatName val="0"/>
              <c:showSerName val="0"/>
              <c:showPercent val="0"/>
              <c:showBubbleSize val="0"/>
            </c:dLbl>
            <c:dLbl>
              <c:idx val="3"/>
              <c:layout>
                <c:manualLayout>
                  <c:x val="-4.2127328299110263E-2"/>
                  <c:y val="-7.734567901234568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15</c:v>
                </c:pt>
                <c:pt idx="1">
                  <c:v>21</c:v>
                </c:pt>
                <c:pt idx="2">
                  <c:v>37</c:v>
                </c:pt>
                <c:pt idx="3">
                  <c:v>22</c:v>
                </c:pt>
                <c:pt idx="4">
                  <c:v>35</c:v>
                </c:pt>
              </c:numCache>
            </c:numRef>
          </c:val>
          <c:smooth val="0"/>
        </c:ser>
        <c:dLbls>
          <c:showLegendKey val="0"/>
          <c:showVal val="1"/>
          <c:showCatName val="0"/>
          <c:showSerName val="0"/>
          <c:showPercent val="0"/>
          <c:showBubbleSize val="0"/>
        </c:dLbls>
        <c:marker val="1"/>
        <c:smooth val="0"/>
        <c:axId val="101746944"/>
        <c:axId val="102130816"/>
      </c:lineChart>
      <c:catAx>
        <c:axId val="101746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130816"/>
        <c:crosses val="autoZero"/>
        <c:auto val="1"/>
        <c:lblAlgn val="ctr"/>
        <c:lblOffset val="100"/>
        <c:noMultiLvlLbl val="0"/>
      </c:catAx>
      <c:valAx>
        <c:axId val="102130816"/>
        <c:scaling>
          <c:orientation val="minMax"/>
          <c:min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1746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35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7DFF"/>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2.7613554119688528E-3"/>
                  <c:y val="0.15196078431372548"/>
                </c:manualLayout>
              </c:layout>
              <c:dLblPos val="bestFit"/>
              <c:showLegendKey val="1"/>
              <c:showVal val="1"/>
              <c:showCatName val="1"/>
              <c:showSerName val="0"/>
              <c:showPercent val="0"/>
              <c:showBubbleSize val="0"/>
              <c:separator>
</c:separator>
            </c:dLbl>
            <c:dLbl>
              <c:idx val="1"/>
              <c:layout>
                <c:manualLayout>
                  <c:x val="2.7674593001456214E-3"/>
                  <c:y val="-5.3921568627450983E-2"/>
                </c:manualLayout>
              </c:layout>
              <c:dLblPos val="bestFit"/>
              <c:showLegendKey val="1"/>
              <c:showVal val="1"/>
              <c:showCatName val="1"/>
              <c:showSerName val="0"/>
              <c:showPercent val="0"/>
              <c:showBubbleSize val="0"/>
              <c:separator>
</c:separator>
            </c:dLbl>
            <c:dLbl>
              <c:idx val="2"/>
              <c:layout>
                <c:manualLayout>
                  <c:x val="6.1067875236525668E-2"/>
                  <c:y val="0"/>
                </c:manualLayout>
              </c:layout>
              <c:dLblPos val="bestFit"/>
              <c:showLegendKey val="1"/>
              <c:showVal val="1"/>
              <c:showCatName val="1"/>
              <c:showSerName val="0"/>
              <c:showPercent val="0"/>
              <c:showBubbleSize val="0"/>
              <c:separator>
</c:separator>
            </c:dLbl>
            <c:dLbl>
              <c:idx val="3"/>
              <c:layout>
                <c:manualLayout>
                  <c:x val="-5.5370985603543747E-3"/>
                  <c:y val="0"/>
                </c:manualLayout>
              </c:layout>
              <c:dLblPos val="bestFit"/>
              <c:showLegendKey val="1"/>
              <c:showVal val="1"/>
              <c:showCatName val="1"/>
              <c:showSerName val="0"/>
              <c:showPercent val="0"/>
              <c:showBubbleSize val="0"/>
              <c:separator>
</c:separator>
            </c:dLbl>
            <c:dLbl>
              <c:idx val="4"/>
              <c:layout>
                <c:manualLayout>
                  <c:x val="1.3842528404879623E-2"/>
                  <c:y val="-0.14215686274509801"/>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Internal market, industry, entrepreneurship and SMEs</c:v>
                </c:pt>
                <c:pt idx="1">
                  <c:v>Financial stability, financial services and capital markets union</c:v>
                </c:pt>
                <c:pt idx="2">
                  <c:v>Environment</c:v>
                </c:pt>
                <c:pt idx="3">
                  <c:v>Health and food safety</c:v>
                </c:pt>
                <c:pt idx="4">
                  <c:v>Other</c:v>
                </c:pt>
              </c:strCache>
            </c:strRef>
          </c:cat>
          <c:val>
            <c:numRef>
              <c:f>Blad1!$B$4:$B$8</c:f>
              <c:numCache>
                <c:formatCode>General</c:formatCode>
                <c:ptCount val="5"/>
                <c:pt idx="0">
                  <c:v>10</c:v>
                </c:pt>
                <c:pt idx="1">
                  <c:v>7</c:v>
                </c:pt>
                <c:pt idx="2">
                  <c:v>4</c:v>
                </c:pt>
                <c:pt idx="3">
                  <c:v>4</c:v>
                </c:pt>
                <c:pt idx="4">
                  <c:v>10</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3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35</c:v>
                </c:pt>
                <c:pt idx="1">
                  <c:v>35</c:v>
                </c:pt>
                <c:pt idx="2">
                  <c:v>37</c:v>
                </c:pt>
                <c:pt idx="3">
                  <c:v>49</c:v>
                </c:pt>
                <c:pt idx="4">
                  <c:v>37</c:v>
                </c:pt>
              </c:numCache>
            </c:numRef>
          </c:val>
          <c:smooth val="0"/>
        </c:ser>
        <c:dLbls>
          <c:showLegendKey val="0"/>
          <c:showVal val="1"/>
          <c:showCatName val="0"/>
          <c:showSerName val="0"/>
          <c:showPercent val="0"/>
          <c:showBubbleSize val="0"/>
        </c:dLbls>
        <c:marker val="1"/>
        <c:smooth val="0"/>
        <c:axId val="102064512"/>
        <c:axId val="102067200"/>
      </c:lineChart>
      <c:catAx>
        <c:axId val="102064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067200"/>
        <c:crosses val="autoZero"/>
        <c:auto val="1"/>
        <c:lblAlgn val="ctr"/>
        <c:lblOffset val="100"/>
        <c:noMultiLvlLbl val="0"/>
      </c:catAx>
      <c:valAx>
        <c:axId val="1020672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06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179263781711149E-2"/>
                  <c:y val="5.084268003477047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10</c:v>
                </c:pt>
                <c:pt idx="1">
                  <c:v>14</c:v>
                </c:pt>
                <c:pt idx="2">
                  <c:v>13</c:v>
                </c:pt>
                <c:pt idx="3">
                  <c:v>16</c:v>
                </c:pt>
                <c:pt idx="4">
                  <c:v>29</c:v>
                </c:pt>
              </c:numCache>
            </c:numRef>
          </c:val>
          <c:smooth val="0"/>
        </c:ser>
        <c:dLbls>
          <c:showLegendKey val="0"/>
          <c:showVal val="1"/>
          <c:showCatName val="0"/>
          <c:showSerName val="0"/>
          <c:showPercent val="0"/>
          <c:showBubbleSize val="0"/>
        </c:dLbls>
        <c:marker val="1"/>
        <c:smooth val="0"/>
        <c:axId val="91696128"/>
        <c:axId val="91707264"/>
      </c:lineChart>
      <c:catAx>
        <c:axId val="916961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1707264"/>
        <c:crosses val="autoZero"/>
        <c:auto val="1"/>
        <c:lblAlgn val="ctr"/>
        <c:lblOffset val="100"/>
        <c:noMultiLvlLbl val="0"/>
      </c:catAx>
      <c:valAx>
        <c:axId val="91707264"/>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16961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37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4.1247628699877859E-2"/>
                  <c:y val="8.9324954254535224E-2"/>
                </c:manualLayout>
              </c:layout>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r>
                      <a:rPr lang="en-US" sz="900"/>
                      <a:t>Taxation and customs union
17</a:t>
                    </a:r>
                    <a:endParaRPr lang="en-US"/>
                  </a:p>
                </c:rich>
              </c:tx>
              <c:spPr>
                <a:noFill/>
                <a:ln>
                  <a:noFill/>
                </a:ln>
                <a:effectLst/>
              </c:spPr>
              <c:dLblPos val="bestFit"/>
              <c:showLegendKey val="1"/>
              <c:showVal val="1"/>
              <c:showCatName val="1"/>
              <c:showSerName val="0"/>
              <c:showPercent val="0"/>
              <c:showBubbleSize val="0"/>
              <c:separator>
</c:separator>
            </c:dLbl>
            <c:dLbl>
              <c:idx val="1"/>
              <c:layout>
                <c:manualLayout>
                  <c:x val="-1.65016501650165E-2"/>
                  <c:y val="-6.832840689866448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3.0279012153183821E-2"/>
                  <c:y val="-5.783385909568865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1001100110010952E-2"/>
                  <c:y val="-0.27339642481598314"/>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Taxation and customs</c:v>
                </c:pt>
                <c:pt idx="1">
                  <c:v>Justice and consumers</c:v>
                </c:pt>
                <c:pt idx="2">
                  <c:v>Employment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8</c:v>
                </c:pt>
                <c:pt idx="1">
                  <c:v>7</c:v>
                </c:pt>
                <c:pt idx="2">
                  <c:v>5</c:v>
                </c:pt>
                <c:pt idx="3">
                  <c:v>17</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3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37</c:v>
                </c:pt>
                <c:pt idx="1">
                  <c:v>37</c:v>
                </c:pt>
                <c:pt idx="2">
                  <c:v>36</c:v>
                </c:pt>
                <c:pt idx="3">
                  <c:v>26</c:v>
                </c:pt>
                <c:pt idx="4">
                  <c:v>20</c:v>
                </c:pt>
              </c:numCache>
            </c:numRef>
          </c:val>
          <c:smooth val="0"/>
        </c:ser>
        <c:dLbls>
          <c:showLegendKey val="0"/>
          <c:showVal val="0"/>
          <c:showCatName val="0"/>
          <c:showSerName val="0"/>
          <c:showPercent val="0"/>
          <c:showBubbleSize val="0"/>
        </c:dLbls>
        <c:marker val="1"/>
        <c:smooth val="0"/>
        <c:axId val="102204928"/>
        <c:axId val="102206464"/>
      </c:lineChart>
      <c:catAx>
        <c:axId val="1022049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206464"/>
        <c:crosses val="autoZero"/>
        <c:auto val="1"/>
        <c:lblAlgn val="ctr"/>
        <c:lblOffset val="100"/>
        <c:noMultiLvlLbl val="0"/>
      </c:catAx>
      <c:valAx>
        <c:axId val="102206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204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33</c:v>
                </c:pt>
                <c:pt idx="1">
                  <c:v>42</c:v>
                </c:pt>
                <c:pt idx="2">
                  <c:v>37</c:v>
                </c:pt>
                <c:pt idx="3">
                  <c:v>36</c:v>
                </c:pt>
                <c:pt idx="4">
                  <c:v>27</c:v>
                </c:pt>
              </c:numCache>
            </c:numRef>
          </c:val>
          <c:smooth val="0"/>
        </c:ser>
        <c:dLbls>
          <c:showLegendKey val="0"/>
          <c:showVal val="0"/>
          <c:showCatName val="0"/>
          <c:showSerName val="0"/>
          <c:showPercent val="0"/>
          <c:showBubbleSize val="0"/>
        </c:dLbls>
        <c:marker val="1"/>
        <c:smooth val="0"/>
        <c:axId val="102218368"/>
        <c:axId val="102248832"/>
      </c:lineChart>
      <c:catAx>
        <c:axId val="1022183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248832"/>
        <c:crosses val="autoZero"/>
        <c:auto val="1"/>
        <c:lblAlgn val="ctr"/>
        <c:lblOffset val="100"/>
        <c:noMultiLvlLbl val="0"/>
      </c:catAx>
      <c:valAx>
        <c:axId val="10224883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218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20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Slovenia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1.0967286572731039E-2"/>
                  <c:y val="2.0227978362460791E-2"/>
                </c:manualLayout>
              </c:layout>
              <c:dLblPos val="bestFit"/>
              <c:showLegendKey val="1"/>
              <c:showVal val="1"/>
              <c:showCatName val="1"/>
              <c:showSerName val="0"/>
              <c:showPercent val="0"/>
              <c:showBubbleSize val="0"/>
              <c:separator>
</c:separator>
            </c:dLbl>
            <c:dLbl>
              <c:idx val="1"/>
              <c:layout>
                <c:manualLayout>
                  <c:x val="-3.2896679444674677E-2"/>
                  <c:y val="5.0777799116573846E-2"/>
                </c:manualLayout>
              </c:layout>
              <c:dLblPos val="bestFit"/>
              <c:showLegendKey val="1"/>
              <c:showVal val="1"/>
              <c:showCatName val="1"/>
              <c:showSerName val="0"/>
              <c:showPercent val="0"/>
              <c:showBubbleSize val="0"/>
              <c:separator>
</c:separator>
            </c:dLbl>
            <c:dLbl>
              <c:idx val="2"/>
              <c:layout>
                <c:manualLayout>
                  <c:x val="-1.3709378021826219E-2"/>
                  <c:y val="-5.5832293067025161E-2"/>
                </c:manualLayout>
              </c:layout>
              <c:dLblPos val="bestFit"/>
              <c:showLegendKey val="1"/>
              <c:showVal val="1"/>
              <c:showCatName val="1"/>
              <c:showSerName val="0"/>
              <c:showPercent val="0"/>
              <c:showBubbleSize val="0"/>
              <c:separator>
</c:separator>
            </c:dLbl>
            <c:dLbl>
              <c:idx val="3"/>
              <c:layout>
                <c:manualLayout>
                  <c:x val="0.29057211804116589"/>
                  <c:y val="-7.2242494078484001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Blad1!$A$3:$A$6</c:f>
              <c:strCache>
                <c:ptCount val="4"/>
                <c:pt idx="0">
                  <c:v>Environment</c:v>
                </c:pt>
                <c:pt idx="1">
                  <c:v>Mobility and transport</c:v>
                </c:pt>
                <c:pt idx="2">
                  <c:v>Taxation and customs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6</c:v>
                </c:pt>
                <c:pt idx="1">
                  <c:v>3</c:v>
                </c:pt>
                <c:pt idx="2">
                  <c:v>3</c:v>
                </c:pt>
                <c:pt idx="3">
                  <c:v>8</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4905869324473977E-2"/>
                  <c:y val="-6.8630952380952376E-2"/>
                </c:manualLayout>
              </c:layout>
              <c:dLblPos val="r"/>
              <c:showLegendKey val="0"/>
              <c:showVal val="1"/>
              <c:showCatName val="0"/>
              <c:showSerName val="0"/>
              <c:showPercent val="0"/>
              <c:showBubbleSize val="0"/>
            </c:dLbl>
            <c:dLbl>
              <c:idx val="4"/>
              <c:layout>
                <c:manualLayout>
                  <c:x val="-4.2137320044296787E-2"/>
                  <c:y val="-5.6726190476190479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64</c:v>
                </c:pt>
                <c:pt idx="1">
                  <c:v>66</c:v>
                </c:pt>
                <c:pt idx="2">
                  <c:v>64</c:v>
                </c:pt>
                <c:pt idx="3">
                  <c:v>72</c:v>
                </c:pt>
                <c:pt idx="4">
                  <c:v>65</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2365056"/>
        <c:axId val="102366592"/>
      </c:lineChart>
      <c:catAx>
        <c:axId val="1023650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366592"/>
        <c:crosses val="autoZero"/>
        <c:auto val="1"/>
        <c:lblAlgn val="ctr"/>
        <c:lblOffset val="100"/>
        <c:noMultiLvlLbl val="0"/>
      </c:catAx>
      <c:valAx>
        <c:axId val="102366592"/>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365056"/>
        <c:crosses val="autoZero"/>
        <c:crossBetween val="between"/>
      </c:valAx>
      <c:spPr>
        <a:noFill/>
        <a:ln>
          <a:noFill/>
        </a:ln>
        <a:effectLst/>
      </c:spPr>
    </c:plotArea>
    <c:legend>
      <c:legendPos val="b"/>
      <c:legendEntry>
        <c:idx val="0"/>
        <c:delete val="1"/>
      </c:legendEntry>
      <c:layout>
        <c:manualLayout>
          <c:xMode val="edge"/>
          <c:yMode val="edge"/>
          <c:x val="5.5865154028662524E-2"/>
          <c:y val="0.80675177464947589"/>
          <c:w val="0.88826947953329416"/>
          <c:h val="0.19324803149606301"/>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21801344599367E-2"/>
          <c:y val="5.1769147668422638E-2"/>
          <c:w val="0.93909191583610185"/>
          <c:h val="0.7336036076227016"/>
        </c:manualLayout>
      </c:layout>
      <c:lineChart>
        <c:grouping val="standard"/>
        <c:varyColors val="0"/>
        <c:ser>
          <c:idx val="0"/>
          <c:order val="0"/>
          <c:tx>
            <c:strRef>
              <c:f>Blad1!$B$2</c:f>
              <c:strCache>
                <c:ptCount val="1"/>
                <c:pt idx="0">
                  <c:v>Slovenia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1068311228538293E-2"/>
                  <c:y val="6.3701084814823075E-2"/>
                </c:manualLayout>
              </c:layout>
              <c:dLblPos val="r"/>
              <c:showLegendKey val="0"/>
              <c:showVal val="1"/>
              <c:showCatName val="0"/>
              <c:showSerName val="0"/>
              <c:showPercent val="0"/>
              <c:showBubbleSize val="0"/>
            </c:dLbl>
            <c:dLbl>
              <c:idx val="1"/>
              <c:layout>
                <c:manualLayout>
                  <c:x val="-5.5544074432556392E-2"/>
                  <c:y val="-4.4995278564683661E-2"/>
                </c:manualLayout>
              </c:layout>
              <c:dLblPos val="r"/>
              <c:showLegendKey val="0"/>
              <c:showVal val="1"/>
              <c:showCatName val="0"/>
              <c:showSerName val="0"/>
              <c:showPercent val="0"/>
              <c:showBubbleSize val="0"/>
            </c:dLbl>
            <c:dLbl>
              <c:idx val="2"/>
              <c:layout>
                <c:manualLayout>
                  <c:x val="-5.1786913263749006E-2"/>
                  <c:y val="-4.2474701285568767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5.5544074432556392E-2"/>
                  <c:y val="4.4711992445703494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0.61</c:v>
                </c:pt>
                <c:pt idx="1">
                  <c:v>0.82</c:v>
                </c:pt>
                <c:pt idx="2">
                  <c:v>0.81</c:v>
                </c:pt>
                <c:pt idx="3">
                  <c:v>0.85</c:v>
                </c:pt>
                <c:pt idx="4">
                  <c:v>0.71</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4"/>
              <c:layout>
                <c:manualLayout>
                  <c:x val="-3.8932778751493272E-2"/>
                  <c:y val="-3.9990557129367325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2499840"/>
        <c:axId val="102501376"/>
      </c:lineChart>
      <c:catAx>
        <c:axId val="1024998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501376"/>
        <c:crosses val="autoZero"/>
        <c:auto val="1"/>
        <c:lblAlgn val="ctr"/>
        <c:lblOffset val="100"/>
        <c:noMultiLvlLbl val="0"/>
      </c:catAx>
      <c:valAx>
        <c:axId val="102501376"/>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2499840"/>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432940068537942E-2"/>
                  <c:y val="6.610015332241885E-2"/>
                </c:manualLayout>
              </c:layout>
              <c:dLblPos val="r"/>
              <c:showLegendKey val="0"/>
              <c:showVal val="1"/>
              <c:showCatName val="0"/>
              <c:showSerName val="0"/>
              <c:showPercent val="0"/>
              <c:showBubbleSize val="0"/>
            </c:dLbl>
            <c:dLbl>
              <c:idx val="2"/>
              <c:layout>
                <c:manualLayout>
                  <c:x val="-3.9368770764119598E-2"/>
                  <c:y val="6.1126734158230223E-2"/>
                </c:manualLayout>
              </c:layout>
              <c:dLblPos val="r"/>
              <c:showLegendKey val="0"/>
              <c:showVal val="1"/>
              <c:showCatName val="0"/>
              <c:showSerName val="0"/>
              <c:showPercent val="0"/>
              <c:showBubbleSize val="0"/>
            </c:dLbl>
            <c:dLbl>
              <c:idx val="3"/>
              <c:layout>
                <c:manualLayout>
                  <c:x val="-4.2127292228006381E-2"/>
                  <c:y val="6.4817939424238635E-2"/>
                </c:manualLayout>
              </c:layout>
              <c:dLblPos val="r"/>
              <c:showLegendKey val="0"/>
              <c:showVal val="1"/>
              <c:showCatName val="0"/>
              <c:showSerName val="0"/>
              <c:showPercent val="0"/>
              <c:showBubbleSize val="0"/>
            </c:dLbl>
            <c:dLbl>
              <c:idx val="4"/>
              <c:layout>
                <c:manualLayout>
                  <c:x val="-4.2127328299110166E-2"/>
                  <c:y val="-6.7457268740452964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39</c:v>
                </c:pt>
                <c:pt idx="1">
                  <c:v>47</c:v>
                </c:pt>
                <c:pt idx="2">
                  <c:v>47</c:v>
                </c:pt>
                <c:pt idx="3">
                  <c:v>47</c:v>
                </c:pt>
                <c:pt idx="4">
                  <c:v>53</c:v>
                </c:pt>
              </c:numCache>
            </c:numRef>
          </c:val>
          <c:smooth val="0"/>
        </c:ser>
        <c:dLbls>
          <c:showLegendKey val="0"/>
          <c:showVal val="1"/>
          <c:showCatName val="0"/>
          <c:showSerName val="0"/>
          <c:showPercent val="0"/>
          <c:showBubbleSize val="0"/>
        </c:dLbls>
        <c:marker val="1"/>
        <c:smooth val="0"/>
        <c:axId val="102553472"/>
        <c:axId val="102564608"/>
      </c:lineChart>
      <c:catAx>
        <c:axId val="1025534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564608"/>
        <c:crosses val="autoZero"/>
        <c:auto val="1"/>
        <c:lblAlgn val="ctr"/>
        <c:lblOffset val="100"/>
        <c:noMultiLvlLbl val="0"/>
      </c:catAx>
      <c:valAx>
        <c:axId val="102564608"/>
        <c:scaling>
          <c:orientation val="minMax"/>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5534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37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2194417877465816E-2"/>
                  <c:y val="0.16047244094488189"/>
                </c:manualLayout>
              </c:layout>
              <c:dLblPos val="bestFit"/>
              <c:showLegendKey val="1"/>
              <c:showVal val="1"/>
              <c:showCatName val="1"/>
              <c:showSerName val="0"/>
              <c:showPercent val="0"/>
              <c:showBubbleSize val="0"/>
              <c:separator>
</c:separator>
            </c:dLbl>
            <c:dLbl>
              <c:idx val="2"/>
              <c:layout>
                <c:manualLayout>
                  <c:x val="-3.6051026067665005E-2"/>
                  <c:y val="0"/>
                </c:manualLayout>
              </c:layout>
              <c:dLblPos val="bestFit"/>
              <c:showLegendKey val="1"/>
              <c:showVal val="1"/>
              <c:showCatName val="1"/>
              <c:showSerName val="0"/>
              <c:showPercent val="0"/>
              <c:showBubbleSize val="0"/>
              <c:separator>
</c:separator>
            </c:dLbl>
            <c:dLbl>
              <c:idx val="3"/>
              <c:layout>
                <c:manualLayout>
                  <c:x val="-1.2911114895995737E-2"/>
                  <c:y val="3.975259240135972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5.546311702717693E-3"/>
                  <c:y val="1.092896174863398E-2"/>
                </c:manualLayout>
              </c:layout>
              <c:dLblPos val="bestFit"/>
              <c:showLegendKey val="1"/>
              <c:showVal val="1"/>
              <c:showCatName val="1"/>
              <c:showSerName val="0"/>
              <c:showPercent val="0"/>
              <c:showBubbleSize val="0"/>
              <c:separator>
</c:separator>
            </c:dLbl>
            <c:dLbl>
              <c:idx val="5"/>
              <c:layout>
                <c:manualLayout>
                  <c:x val="-3.8824181919023849E-2"/>
                  <c:y val="-0.18579234972677597"/>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Environment</c:v>
                </c:pt>
                <c:pt idx="3">
                  <c:v>Financial stability, financial services and capital markets union</c:v>
                </c:pt>
                <c:pt idx="4">
                  <c:v>Health and food safety</c:v>
                </c:pt>
                <c:pt idx="5">
                  <c:v>Other</c:v>
                </c:pt>
              </c:strCache>
            </c:strRef>
          </c:cat>
          <c:val>
            <c:numRef>
              <c:f>Blad1!$B$2:$B$7</c:f>
              <c:numCache>
                <c:formatCode>General</c:formatCode>
                <c:ptCount val="6"/>
                <c:pt idx="0">
                  <c:v>0</c:v>
                </c:pt>
                <c:pt idx="1">
                  <c:v>8</c:v>
                </c:pt>
                <c:pt idx="2">
                  <c:v>6</c:v>
                </c:pt>
                <c:pt idx="3">
                  <c:v>5</c:v>
                </c:pt>
                <c:pt idx="4">
                  <c:v>5</c:v>
                </c:pt>
                <c:pt idx="5">
                  <c:v>13</c:v>
                </c:pt>
              </c:numCache>
            </c:numRef>
          </c:val>
          <c:extLst/>
        </c:ser>
        <c:ser>
          <c:idx val="1"/>
          <c:order val="1"/>
          <c:tx>
            <c:strRef>
              <c:f>Blad1!$C$1</c:f>
              <c:strCache>
                <c:ptCount val="1"/>
                <c:pt idx="0">
                  <c:v>Column1</c:v>
                </c:pt>
              </c:strCache>
            </c:strRef>
          </c:tx>
          <c:cat>
            <c:strRef>
              <c:f>Blad1!$A$2:$A$7</c:f>
              <c:strCache>
                <c:ptCount val="6"/>
                <c:pt idx="0">
                  <c:v>Policy Area</c:v>
                </c:pt>
                <c:pt idx="1">
                  <c:v>Internal market, industry, entrepreneurship and SMEs</c:v>
                </c:pt>
                <c:pt idx="2">
                  <c:v>Environment</c:v>
                </c:pt>
                <c:pt idx="3">
                  <c:v>Financial stability, financial services and capital markets union</c:v>
                </c:pt>
                <c:pt idx="4">
                  <c:v>Health and food safety</c:v>
                </c:pt>
                <c:pt idx="5">
                  <c:v>Other</c:v>
                </c:pt>
              </c:strCache>
            </c:strRef>
          </c:cat>
          <c:val>
            <c:numRef>
              <c:f>Blad1!$C$2:$C$7</c:f>
              <c:numCache>
                <c:formatCode>General</c:formatCode>
                <c:ptCount val="6"/>
              </c:numCache>
            </c:numRef>
          </c:val>
        </c:ser>
        <c:dLbls>
          <c:showLegendKey val="0"/>
          <c:showVal val="0"/>
          <c:showCatName val="1"/>
          <c:showSerName val="0"/>
          <c:showPercent val="0"/>
          <c:showBubbleSize val="0"/>
          <c:showLeaderLines val="0"/>
        </c:dLbls>
        <c:firstSliceAng val="28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531698638341349E-2"/>
                  <c:y val="7.8260141978896927E-2"/>
                </c:manualLayout>
              </c:layout>
              <c:dLblPos val="r"/>
              <c:showLegendKey val="0"/>
              <c:showVal val="1"/>
              <c:showCatName val="0"/>
              <c:showSerName val="0"/>
              <c:showPercent val="0"/>
              <c:showBubbleSize val="0"/>
            </c:dLbl>
            <c:spPr>
              <a:noFill/>
              <a:ln>
                <a:noFill/>
              </a:ln>
              <a:effectLst/>
            </c:spPr>
            <c:txPr>
              <a:bodyPr rot="0" vert="horz"/>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19</c:v>
                </c:pt>
                <c:pt idx="1">
                  <c:v>26</c:v>
                </c:pt>
                <c:pt idx="2">
                  <c:v>26</c:v>
                </c:pt>
                <c:pt idx="3">
                  <c:v>30</c:v>
                </c:pt>
                <c:pt idx="4">
                  <c:v>36</c:v>
                </c:pt>
              </c:numCache>
            </c:numRef>
          </c:val>
          <c:smooth val="0"/>
        </c:ser>
        <c:dLbls>
          <c:showLegendKey val="0"/>
          <c:showVal val="1"/>
          <c:showCatName val="0"/>
          <c:showSerName val="0"/>
          <c:showPercent val="0"/>
          <c:showBubbleSize val="0"/>
        </c:dLbls>
        <c:marker val="1"/>
        <c:smooth val="0"/>
        <c:axId val="102955648"/>
        <c:axId val="102954112"/>
      </c:lineChart>
      <c:catAx>
        <c:axId val="102955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102954112"/>
        <c:crosses val="autoZero"/>
        <c:auto val="1"/>
        <c:lblAlgn val="ctr"/>
        <c:lblOffset val="100"/>
        <c:noMultiLvlLbl val="0"/>
      </c:catAx>
      <c:valAx>
        <c:axId val="102954112"/>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9556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328119219996831E-2"/>
                  <c:y val="7.826014197889683E-2"/>
                </c:manualLayout>
              </c:layout>
              <c:dLblPos val="r"/>
              <c:showLegendKey val="0"/>
              <c:showVal val="1"/>
              <c:showCatName val="0"/>
              <c:showSerName val="0"/>
              <c:showPercent val="0"/>
              <c:showBubbleSize val="0"/>
            </c:dLbl>
            <c:spPr>
              <a:noFill/>
              <a:ln>
                <a:noFill/>
              </a:ln>
              <a:effectLst/>
            </c:spPr>
            <c:txPr>
              <a:bodyPr rot="0" vert="horz"/>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16</c:v>
                </c:pt>
                <c:pt idx="1">
                  <c:v>27</c:v>
                </c:pt>
                <c:pt idx="2">
                  <c:v>29</c:v>
                </c:pt>
                <c:pt idx="3">
                  <c:v>29</c:v>
                </c:pt>
                <c:pt idx="4">
                  <c:v>33</c:v>
                </c:pt>
              </c:numCache>
            </c:numRef>
          </c:val>
          <c:smooth val="0"/>
        </c:ser>
        <c:dLbls>
          <c:showLegendKey val="0"/>
          <c:showVal val="1"/>
          <c:showCatName val="0"/>
          <c:showSerName val="0"/>
          <c:showPercent val="0"/>
          <c:showBubbleSize val="0"/>
        </c:dLbls>
        <c:marker val="1"/>
        <c:smooth val="0"/>
        <c:axId val="102783616"/>
        <c:axId val="102786560"/>
      </c:lineChart>
      <c:catAx>
        <c:axId val="102783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102786560"/>
        <c:crosses val="autoZero"/>
        <c:auto val="1"/>
        <c:lblAlgn val="ctr"/>
        <c:lblOffset val="100"/>
        <c:noMultiLvlLbl val="0"/>
      </c:catAx>
      <c:valAx>
        <c:axId val="10278656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78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29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1.9376575021145613E-2"/>
                  <c:y val="0.13235294117647056"/>
                </c:manualLayout>
              </c:layout>
              <c:dLblPos val="bestFit"/>
              <c:showLegendKey val="1"/>
              <c:showVal val="1"/>
              <c:showCatName val="1"/>
              <c:showSerName val="0"/>
              <c:showPercent val="0"/>
              <c:showBubbleSize val="0"/>
              <c:separator>
</c:separator>
            </c:dLbl>
            <c:dLbl>
              <c:idx val="1"/>
              <c:layout>
                <c:manualLayout>
                  <c:x val="-3.3222591362126248E-2"/>
                  <c:y val="0.11274471205805156"/>
                </c:manualLayout>
              </c:layout>
              <c:dLblPos val="bestFit"/>
              <c:showLegendKey val="1"/>
              <c:showVal val="1"/>
              <c:showCatName val="1"/>
              <c:showSerName val="0"/>
              <c:showPercent val="0"/>
              <c:showBubbleSize val="0"/>
              <c:separator>
</c:separator>
            </c:dLbl>
            <c:dLbl>
              <c:idx val="2"/>
              <c:layout>
                <c:manualLayout>
                  <c:x val="-2.6087582075496377E-3"/>
                  <c:y val="-3.8598116411919099E-7"/>
                </c:manualLayout>
              </c:layout>
              <c:dLblPos val="bestFit"/>
              <c:showLegendKey val="1"/>
              <c:showVal val="1"/>
              <c:showCatName val="1"/>
              <c:showSerName val="0"/>
              <c:showPercent val="0"/>
              <c:showBubbleSize val="0"/>
              <c:separator>
</c:separator>
            </c:dLbl>
            <c:dLbl>
              <c:idx val="3"/>
              <c:layout>
                <c:manualLayout>
                  <c:x val="-0.15503875968992245"/>
                  <c:y val="-0.1617647058823530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4"/>
                <c:pt idx="0">
                  <c:v>Internal market, industry, entrepreneurship and SMEs</c:v>
                </c:pt>
                <c:pt idx="1">
                  <c:v>Financial stability, financial services and capital markets union</c:v>
                </c:pt>
                <c:pt idx="2">
                  <c:v>Health and food safety</c:v>
                </c:pt>
                <c:pt idx="3">
                  <c:v>Other</c:v>
                </c:pt>
              </c:strCache>
            </c:strRef>
          </c:cat>
          <c:val>
            <c:numRef>
              <c:f>Blad1!$B$4:$B$8</c:f>
              <c:numCache>
                <c:formatCode>General</c:formatCode>
                <c:ptCount val="5"/>
                <c:pt idx="0">
                  <c:v>9</c:v>
                </c:pt>
                <c:pt idx="1">
                  <c:v>5</c:v>
                </c:pt>
                <c:pt idx="2">
                  <c:v>3</c:v>
                </c:pt>
                <c:pt idx="3">
                  <c:v>12</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33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Slovenia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0.11351379042735937"/>
                  <c:y val="0.15686274509803921"/>
                </c:manualLayout>
              </c:layout>
              <c:dLblPos val="bestFit"/>
              <c:showLegendKey val="1"/>
              <c:showVal val="1"/>
              <c:showCatName val="1"/>
              <c:showSerName val="0"/>
              <c:showPercent val="0"/>
              <c:showBubbleSize val="0"/>
              <c:separator>
</c:separator>
            </c:dLbl>
            <c:dLbl>
              <c:idx val="1"/>
              <c:layout>
                <c:manualLayout>
                  <c:x val="0"/>
                  <c:y val="3.4313725490196081E-2"/>
                </c:manualLayout>
              </c:layout>
              <c:dLblPos val="bestFit"/>
              <c:showLegendKey val="1"/>
              <c:showVal val="1"/>
              <c:showCatName val="1"/>
              <c:showSerName val="0"/>
              <c:showPercent val="0"/>
              <c:showBubbleSize val="0"/>
              <c:separator>
</c:separator>
            </c:dLbl>
            <c:dLbl>
              <c:idx val="2"/>
              <c:layout>
                <c:manualLayout>
                  <c:x val="4.4457015547475172E-2"/>
                  <c:y val="0"/>
                </c:manualLayout>
              </c:layout>
              <c:dLblPos val="bestFit"/>
              <c:showLegendKey val="1"/>
              <c:showVal val="1"/>
              <c:showCatName val="1"/>
              <c:showSerName val="0"/>
              <c:showPercent val="0"/>
              <c:showBubbleSize val="0"/>
              <c:separator>
</c:separator>
            </c:dLbl>
            <c:dLbl>
              <c:idx val="3"/>
              <c:layout>
                <c:manualLayout>
                  <c:x val="0.14396456256921372"/>
                  <c:y val="0"/>
                </c:manualLayout>
              </c:layout>
              <c:dLblPos val="bestFit"/>
              <c:showLegendKey val="1"/>
              <c:showVal val="1"/>
              <c:showCatName val="1"/>
              <c:showSerName val="0"/>
              <c:showPercent val="0"/>
              <c:showBubbleSize val="0"/>
              <c:separator>
</c:separator>
            </c:dLbl>
            <c:dLbl>
              <c:idx val="4"/>
              <c:layout>
                <c:manualLayout>
                  <c:x val="1.1074197120708749E-2"/>
                  <c:y val="-2.9411764705882443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Blad1!$A$4:$A$9</c:f>
              <c:strCache>
                <c:ptCount val="6"/>
                <c:pt idx="0">
                  <c:v>Internal market, industry, entrepreneurship and SMEs</c:v>
                </c:pt>
                <c:pt idx="1">
                  <c:v>Health and food safety</c:v>
                </c:pt>
                <c:pt idx="2">
                  <c:v>Financial stability, financial services and capital markets union</c:v>
                </c:pt>
                <c:pt idx="3">
                  <c:v>Environment</c:v>
                </c:pt>
                <c:pt idx="4">
                  <c:v>Mobility and transport</c:v>
                </c:pt>
                <c:pt idx="5">
                  <c:v>Other</c:v>
                </c:pt>
              </c:strCache>
            </c:strRef>
          </c:cat>
          <c:val>
            <c:numRef>
              <c:f>Blad1!$B$4:$B$9</c:f>
              <c:numCache>
                <c:formatCode>General</c:formatCode>
                <c:ptCount val="6"/>
                <c:pt idx="0">
                  <c:v>8</c:v>
                </c:pt>
                <c:pt idx="1">
                  <c:v>5</c:v>
                </c:pt>
                <c:pt idx="2">
                  <c:v>5</c:v>
                </c:pt>
                <c:pt idx="3">
                  <c:v>4</c:v>
                </c:pt>
                <c:pt idx="4">
                  <c:v>4</c:v>
                </c:pt>
                <c:pt idx="5">
                  <c:v>7</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2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55</c:v>
                </c:pt>
                <c:pt idx="1">
                  <c:v>47</c:v>
                </c:pt>
                <c:pt idx="2">
                  <c:v>46</c:v>
                </c:pt>
                <c:pt idx="3">
                  <c:v>40</c:v>
                </c:pt>
                <c:pt idx="4">
                  <c:v>36</c:v>
                </c:pt>
              </c:numCache>
            </c:numRef>
          </c:val>
          <c:smooth val="0"/>
        </c:ser>
        <c:dLbls>
          <c:showLegendKey val="0"/>
          <c:showVal val="0"/>
          <c:showCatName val="0"/>
          <c:showSerName val="0"/>
          <c:showPercent val="0"/>
          <c:showBubbleSize val="0"/>
        </c:dLbls>
        <c:marker val="1"/>
        <c:smooth val="0"/>
        <c:axId val="103421824"/>
        <c:axId val="103423360"/>
      </c:lineChart>
      <c:catAx>
        <c:axId val="103421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423360"/>
        <c:crosses val="autoZero"/>
        <c:auto val="1"/>
        <c:lblAlgn val="ctr"/>
        <c:lblOffset val="100"/>
        <c:noMultiLvlLbl val="0"/>
      </c:catAx>
      <c:valAx>
        <c:axId val="103423360"/>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421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36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1.1007596822674394E-2"/>
                  <c:y val="8.4067330700381693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8.2508250825082501E-3"/>
                  <c:y val="-9.4616110683325469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9.6285612813249835E-2"/>
                  <c:y val="0"/>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3.5753575357535754E-2"/>
                  <c:y val="-0.20504731861198738"/>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Environment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9</c:v>
                </c:pt>
                <c:pt idx="1">
                  <c:v>7</c:v>
                </c:pt>
                <c:pt idx="2">
                  <c:v>5</c:v>
                </c:pt>
                <c:pt idx="3">
                  <c:v>15</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39</c:v>
                </c:pt>
                <c:pt idx="1">
                  <c:v>32</c:v>
                </c:pt>
                <c:pt idx="2">
                  <c:v>32</c:v>
                </c:pt>
                <c:pt idx="3">
                  <c:v>26</c:v>
                </c:pt>
                <c:pt idx="4">
                  <c:v>23</c:v>
                </c:pt>
              </c:numCache>
            </c:numRef>
          </c:val>
          <c:smooth val="0"/>
        </c:ser>
        <c:dLbls>
          <c:showLegendKey val="0"/>
          <c:showVal val="0"/>
          <c:showCatName val="0"/>
          <c:showSerName val="0"/>
          <c:showPercent val="0"/>
          <c:showBubbleSize val="0"/>
        </c:dLbls>
        <c:marker val="1"/>
        <c:smooth val="0"/>
        <c:axId val="103560704"/>
        <c:axId val="103562240"/>
      </c:lineChart>
      <c:catAx>
        <c:axId val="1035607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562240"/>
        <c:crosses val="autoZero"/>
        <c:auto val="1"/>
        <c:lblAlgn val="ctr"/>
        <c:lblOffset val="100"/>
        <c:noMultiLvlLbl val="0"/>
      </c:catAx>
      <c:valAx>
        <c:axId val="103562240"/>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56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33</c:v>
                </c:pt>
                <c:pt idx="1">
                  <c:v>33</c:v>
                </c:pt>
                <c:pt idx="2">
                  <c:v>39</c:v>
                </c:pt>
                <c:pt idx="3">
                  <c:v>36</c:v>
                </c:pt>
                <c:pt idx="4">
                  <c:v>34</c:v>
                </c:pt>
              </c:numCache>
            </c:numRef>
          </c:val>
          <c:smooth val="0"/>
        </c:ser>
        <c:dLbls>
          <c:showLegendKey val="0"/>
          <c:showVal val="0"/>
          <c:showCatName val="0"/>
          <c:showSerName val="0"/>
          <c:showPercent val="0"/>
          <c:showBubbleSize val="0"/>
        </c:dLbls>
        <c:marker val="1"/>
        <c:smooth val="0"/>
        <c:axId val="103611008"/>
        <c:axId val="103088512"/>
      </c:lineChart>
      <c:catAx>
        <c:axId val="103611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088512"/>
        <c:crosses val="autoZero"/>
        <c:auto val="1"/>
        <c:lblAlgn val="ctr"/>
        <c:lblOffset val="100"/>
        <c:noMultiLvlLbl val="0"/>
      </c:catAx>
      <c:valAx>
        <c:axId val="103088512"/>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611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Slovakia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8.2247634341759916E-3"/>
                  <c:y val="7.0917354842839772E-2"/>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8.2256176823577339E-3"/>
                  <c:y val="2.0289857387864589E-2"/>
                </c:manualLayout>
              </c:layout>
              <c:dLblPos val="bestFit"/>
              <c:showLegendKey val="1"/>
              <c:showVal val="1"/>
              <c:showCatName val="1"/>
              <c:showSerName val="0"/>
              <c:showPercent val="0"/>
              <c:showBubbleSize val="0"/>
              <c:separator>
</c:separator>
            </c:dLbl>
            <c:dLbl>
              <c:idx val="2"/>
              <c:layout>
                <c:manualLayout>
                  <c:x val="-1.3709362803929558E-2"/>
                  <c:y val="-3.5507250428763029E-2"/>
                </c:manualLayout>
              </c:layout>
              <c:dLblPos val="bestFit"/>
              <c:showLegendKey val="1"/>
              <c:showVal val="1"/>
              <c:showCatName val="1"/>
              <c:showSerName val="0"/>
              <c:showPercent val="0"/>
              <c:showBubbleSize val="0"/>
              <c:separator>
</c:separator>
            </c:dLbl>
            <c:dLbl>
              <c:idx val="3"/>
              <c:layout>
                <c:manualLayout>
                  <c:x val="8.2256176823577339E-3"/>
                  <c:y val="-3.6673219237269232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Blad1!$A$3:$A$8</c:f>
              <c:strCache>
                <c:ptCount val="6"/>
                <c:pt idx="0">
                  <c:v>Internal market, industry, entrepreneurship and SMEs</c:v>
                </c:pt>
                <c:pt idx="1">
                  <c:v>Energy</c:v>
                </c:pt>
                <c:pt idx="2">
                  <c:v>Environment</c:v>
                </c:pt>
                <c:pt idx="3">
                  <c:v>Justice and consumers</c:v>
                </c:pt>
                <c:pt idx="4">
                  <c:v>Mobility and transport</c:v>
                </c:pt>
                <c:pt idx="5">
                  <c:v>Other</c:v>
                </c:pt>
              </c:strCache>
              <c:extLst>
                <c:ext xmlns:c15="http://schemas.microsoft.com/office/drawing/2012/chart" uri="{02D57815-91ED-43cb-92C2-25804820EDAC}">
                  <c15:fullRef>
                    <c15:sqref>Blad1!$A$2:$A$6</c15:sqref>
                  </c15:fullRef>
                </c:ext>
              </c:extLst>
            </c:strRef>
          </c:cat>
          <c:val>
            <c:numRef>
              <c:f>Blad1!$B$3:$B$8</c:f>
              <c:numCache>
                <c:formatCode>General</c:formatCode>
                <c:ptCount val="6"/>
                <c:pt idx="0">
                  <c:v>5</c:v>
                </c:pt>
                <c:pt idx="1">
                  <c:v>3</c:v>
                </c:pt>
                <c:pt idx="2">
                  <c:v>3</c:v>
                </c:pt>
                <c:pt idx="3">
                  <c:v>3</c:v>
                </c:pt>
                <c:pt idx="4">
                  <c:v>3</c:v>
                </c:pt>
                <c:pt idx="5">
                  <c:v>6</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51</c:v>
                </c:pt>
                <c:pt idx="1">
                  <c:v>55</c:v>
                </c:pt>
                <c:pt idx="2">
                  <c:v>55</c:v>
                </c:pt>
                <c:pt idx="3">
                  <c:v>57</c:v>
                </c:pt>
                <c:pt idx="4">
                  <c:v>61</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3217792"/>
        <c:axId val="103219584"/>
      </c:lineChart>
      <c:catAx>
        <c:axId val="1032177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219584"/>
        <c:crosses val="autoZero"/>
        <c:auto val="1"/>
        <c:lblAlgn val="ctr"/>
        <c:lblOffset val="100"/>
        <c:noMultiLvlLbl val="0"/>
      </c:catAx>
      <c:valAx>
        <c:axId val="103219584"/>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217792"/>
        <c:crosses val="autoZero"/>
        <c:crossBetween val="between"/>
      </c:valAx>
      <c:spPr>
        <a:noFill/>
        <a:ln>
          <a:noFill/>
        </a:ln>
        <a:effectLst/>
      </c:spPr>
    </c:plotArea>
    <c:legend>
      <c:legendPos val="b"/>
      <c:legendEntry>
        <c:idx val="0"/>
        <c:delete val="1"/>
      </c:legendEntry>
      <c:layout>
        <c:manualLayout>
          <c:xMode val="edge"/>
          <c:yMode val="edge"/>
          <c:x val="5.5865154028662524E-2"/>
          <c:y val="0.79832451419489991"/>
          <c:w val="0.88826947953329416"/>
          <c:h val="0.20167537047559778"/>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Slovakia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8189851268591426E-2"/>
                  <c:y val="-5.9905302534857562E-2"/>
                </c:manualLayout>
              </c:layout>
              <c:dLblPos val="r"/>
              <c:showLegendKey val="0"/>
              <c:showVal val="1"/>
              <c:showCatName val="0"/>
              <c:showSerName val="0"/>
              <c:showPercent val="0"/>
              <c:showBubbleSize val="0"/>
            </c:dLbl>
            <c:dLbl>
              <c:idx val="4"/>
              <c:layout>
                <c:manualLayout>
                  <c:x val="-5.5729221347331583E-2"/>
                  <c:y val="6.9047619047619052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0.54</c:v>
                </c:pt>
                <c:pt idx="1">
                  <c:v>0.61</c:v>
                </c:pt>
                <c:pt idx="2">
                  <c:v>0.7</c:v>
                </c:pt>
                <c:pt idx="3">
                  <c:v>0.76</c:v>
                </c:pt>
                <c:pt idx="4">
                  <c:v>0.6</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3"/>
              <c:layout>
                <c:manualLayout>
                  <c:x val="-5.0173665791776026E-2"/>
                  <c:y val="0.10260243632336656"/>
                </c:manualLayout>
              </c:layout>
              <c:dLblPos val="r"/>
              <c:showLegendKey val="0"/>
              <c:showVal val="1"/>
              <c:showCatName val="0"/>
              <c:showSerName val="0"/>
              <c:showPercent val="0"/>
              <c:showBubbleSize val="0"/>
            </c:dLbl>
            <c:dLbl>
              <c:idx val="4"/>
              <c:layout>
                <c:manualLayout>
                  <c:x val="-4.7395888013998251E-2"/>
                  <c:y val="6.3842746400885914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3295232"/>
        <c:axId val="103305216"/>
      </c:lineChart>
      <c:catAx>
        <c:axId val="103295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305216"/>
        <c:crosses val="autoZero"/>
        <c:auto val="1"/>
        <c:lblAlgn val="ctr"/>
        <c:lblOffset val="100"/>
        <c:noMultiLvlLbl val="0"/>
      </c:catAx>
      <c:valAx>
        <c:axId val="103305216"/>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3295232"/>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516564401021779E-2"/>
                  <c:y val="-5.9585979171958292E-2"/>
                </c:manualLayout>
              </c:layout>
              <c:dLblPos val="r"/>
              <c:showLegendKey val="0"/>
              <c:showVal val="1"/>
              <c:showCatName val="0"/>
              <c:showSerName val="0"/>
              <c:showPercent val="0"/>
              <c:showBubbleSize val="0"/>
            </c:dLbl>
            <c:dLbl>
              <c:idx val="3"/>
              <c:layout>
                <c:manualLayout>
                  <c:x val="-3.963210702341137E-2"/>
                  <c:y val="-5.661290322580644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33</c:v>
                </c:pt>
                <c:pt idx="1">
                  <c:v>38</c:v>
                </c:pt>
                <c:pt idx="2">
                  <c:v>37</c:v>
                </c:pt>
                <c:pt idx="3">
                  <c:v>46</c:v>
                </c:pt>
                <c:pt idx="4">
                  <c:v>41</c:v>
                </c:pt>
              </c:numCache>
            </c:numRef>
          </c:val>
          <c:smooth val="0"/>
        </c:ser>
        <c:dLbls>
          <c:showLegendKey val="0"/>
          <c:showVal val="1"/>
          <c:showCatName val="0"/>
          <c:showSerName val="0"/>
          <c:showPercent val="0"/>
          <c:showBubbleSize val="0"/>
        </c:dLbls>
        <c:marker val="1"/>
        <c:smooth val="0"/>
        <c:axId val="103316096"/>
        <c:axId val="103347712"/>
      </c:lineChart>
      <c:catAx>
        <c:axId val="103316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347712"/>
        <c:crosses val="autoZero"/>
        <c:auto val="1"/>
        <c:lblAlgn val="ctr"/>
        <c:lblOffset val="100"/>
        <c:noMultiLvlLbl val="0"/>
      </c:catAx>
      <c:valAx>
        <c:axId val="103347712"/>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316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4967573728824664E-2"/>
                  <c:y val="7.3040746955810851E-2"/>
                </c:manualLayout>
              </c:layout>
              <c:dLblPos val="bestFit"/>
              <c:showLegendKey val="1"/>
              <c:showVal val="1"/>
              <c:showCatName val="1"/>
              <c:showSerName val="0"/>
              <c:showPercent val="0"/>
              <c:showBubbleSize val="0"/>
              <c:separator>
</c:separator>
            </c:dLbl>
            <c:dLbl>
              <c:idx val="2"/>
              <c:layout>
                <c:manualLayout>
                  <c:x val="-2.4958402662229616E-2"/>
                  <c:y val="6.5573770491803282E-2"/>
                </c:manualLayout>
              </c:layout>
              <c:dLblPos val="bestFit"/>
              <c:showLegendKey val="1"/>
              <c:showVal val="1"/>
              <c:showCatName val="1"/>
              <c:showSerName val="0"/>
              <c:showPercent val="0"/>
              <c:showBubbleSize val="0"/>
              <c:separator>
</c:separator>
            </c:dLbl>
            <c:dLbl>
              <c:idx val="3"/>
              <c:layout>
                <c:manualLayout>
                  <c:x val="-4.5914289831907448E-3"/>
                  <c:y val="3.9752592401359664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2.7731558513588465E-3"/>
                  <c:y val="-2.0620885504066089E-2"/>
                </c:manualLayout>
              </c:layout>
              <c:dLblPos val="bestFit"/>
              <c:showLegendKey val="1"/>
              <c:showVal val="1"/>
              <c:showCatName val="1"/>
              <c:showSerName val="0"/>
              <c:showPercent val="0"/>
              <c:showBubbleSize val="0"/>
              <c:separator>
</c:separator>
            </c:dLbl>
            <c:dLbl>
              <c:idx val="5"/>
              <c:layout>
                <c:manualLayout>
                  <c:x val="-3.6051026067665005E-2"/>
                  <c:y val="-0.28415300546448097"/>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Environment</c:v>
                </c:pt>
                <c:pt idx="2">
                  <c:v>Health and food safety</c:v>
                </c:pt>
                <c:pt idx="3">
                  <c:v>Migration and home affairs</c:v>
                </c:pt>
                <c:pt idx="4">
                  <c:v>Justice and consumers</c:v>
                </c:pt>
                <c:pt idx="5">
                  <c:v>Other</c:v>
                </c:pt>
              </c:strCache>
            </c:strRef>
          </c:cat>
          <c:val>
            <c:numRef>
              <c:f>Blad1!$B$2:$B$7</c:f>
              <c:numCache>
                <c:formatCode>General</c:formatCode>
                <c:ptCount val="6"/>
                <c:pt idx="0">
                  <c:v>0</c:v>
                </c:pt>
                <c:pt idx="1">
                  <c:v>4</c:v>
                </c:pt>
                <c:pt idx="2">
                  <c:v>3</c:v>
                </c:pt>
                <c:pt idx="3">
                  <c:v>2</c:v>
                </c:pt>
                <c:pt idx="4">
                  <c:v>2</c:v>
                </c:pt>
                <c:pt idx="5">
                  <c:v>8</c:v>
                </c:pt>
              </c:numCache>
            </c:numRef>
          </c:val>
          <c:extLst/>
        </c:ser>
        <c:dLbls>
          <c:showLegendKey val="0"/>
          <c:showVal val="0"/>
          <c:showCatName val="1"/>
          <c:showSerName val="0"/>
          <c:showPercent val="0"/>
          <c:showBubbleSize val="0"/>
          <c:showLeaderLines val="0"/>
        </c:dLbls>
        <c:firstSliceAng val="30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4831398562741848E-2"/>
                  <c:y val="-7.2511574074074089E-2"/>
                </c:manualLayout>
              </c:layout>
              <c:dLblPos val="r"/>
              <c:showLegendKey val="0"/>
              <c:showVal val="1"/>
              <c:showCatName val="0"/>
              <c:showSerName val="0"/>
              <c:showPercent val="0"/>
              <c:showBubbleSize val="0"/>
            </c:dLbl>
            <c:dLbl>
              <c:idx val="3"/>
              <c:layout>
                <c:manualLayout>
                  <c:x val="-4.2067440574903261E-2"/>
                  <c:y val="-7.251157407407406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20</c:v>
                </c:pt>
                <c:pt idx="1">
                  <c:v>16</c:v>
                </c:pt>
                <c:pt idx="2">
                  <c:v>58</c:v>
                </c:pt>
                <c:pt idx="3">
                  <c:v>45</c:v>
                </c:pt>
                <c:pt idx="4">
                  <c:v>20</c:v>
                </c:pt>
              </c:numCache>
            </c:numRef>
          </c:val>
          <c:smooth val="0"/>
        </c:ser>
        <c:dLbls>
          <c:showLegendKey val="0"/>
          <c:showVal val="1"/>
          <c:showCatName val="0"/>
          <c:showSerName val="0"/>
          <c:showPercent val="0"/>
          <c:showBubbleSize val="0"/>
        </c:dLbls>
        <c:marker val="1"/>
        <c:smooth val="0"/>
        <c:axId val="91976064"/>
        <c:axId val="91978752"/>
      </c:lineChart>
      <c:catAx>
        <c:axId val="91976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1978752"/>
        <c:crosses val="autoZero"/>
        <c:auto val="1"/>
        <c:lblAlgn val="ctr"/>
        <c:lblOffset val="100"/>
        <c:noMultiLvlLbl val="0"/>
      </c:catAx>
      <c:valAx>
        <c:axId val="91978752"/>
        <c:scaling>
          <c:orientation val="minMax"/>
          <c:max val="65"/>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1976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732652220125374E-2"/>
                  <c:y val="5.889550968291126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8</c:v>
                </c:pt>
                <c:pt idx="1">
                  <c:v>11</c:v>
                </c:pt>
                <c:pt idx="2">
                  <c:v>8</c:v>
                </c:pt>
                <c:pt idx="3">
                  <c:v>15</c:v>
                </c:pt>
                <c:pt idx="4">
                  <c:v>16</c:v>
                </c:pt>
              </c:numCache>
            </c:numRef>
          </c:val>
          <c:smooth val="0"/>
        </c:ser>
        <c:dLbls>
          <c:showLegendKey val="0"/>
          <c:showVal val="1"/>
          <c:showCatName val="0"/>
          <c:showSerName val="0"/>
          <c:showPercent val="0"/>
          <c:showBubbleSize val="0"/>
        </c:dLbls>
        <c:marker val="1"/>
        <c:smooth val="0"/>
        <c:axId val="103994112"/>
        <c:axId val="103996800"/>
      </c:lineChart>
      <c:catAx>
        <c:axId val="103994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996800"/>
        <c:crosses val="autoZero"/>
        <c:auto val="1"/>
        <c:lblAlgn val="ctr"/>
        <c:lblOffset val="100"/>
        <c:noMultiLvlLbl val="0"/>
      </c:catAx>
      <c:valAx>
        <c:axId val="1039968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994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1977831283486255E-2"/>
                  <c:y val="6.452614031354178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7</c:v>
                </c:pt>
                <c:pt idx="1">
                  <c:v>15</c:v>
                </c:pt>
                <c:pt idx="2">
                  <c:v>12</c:v>
                </c:pt>
                <c:pt idx="3">
                  <c:v>15</c:v>
                </c:pt>
                <c:pt idx="4">
                  <c:v>15</c:v>
                </c:pt>
              </c:numCache>
            </c:numRef>
          </c:val>
          <c:smooth val="0"/>
        </c:ser>
        <c:dLbls>
          <c:showLegendKey val="0"/>
          <c:showVal val="1"/>
          <c:showCatName val="0"/>
          <c:showSerName val="0"/>
          <c:showPercent val="0"/>
          <c:showBubbleSize val="0"/>
        </c:dLbls>
        <c:marker val="1"/>
        <c:smooth val="0"/>
        <c:axId val="103733504"/>
        <c:axId val="103748736"/>
      </c:lineChart>
      <c:catAx>
        <c:axId val="1037335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748736"/>
        <c:crosses val="autoZero"/>
        <c:auto val="1"/>
        <c:lblAlgn val="ctr"/>
        <c:lblOffset val="100"/>
        <c:noMultiLvlLbl val="0"/>
      </c:catAx>
      <c:valAx>
        <c:axId val="103748736"/>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733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15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Slovakia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4.9830617103094672E-2"/>
                  <c:y val="4.9019607843137254E-2"/>
                </c:manualLayout>
              </c:layout>
              <c:dLblPos val="bestFit"/>
              <c:showLegendKey val="1"/>
              <c:showVal val="1"/>
              <c:showCatName val="1"/>
              <c:showSerName val="0"/>
              <c:showPercent val="0"/>
              <c:showBubbleSize val="0"/>
              <c:separator>
</c:separator>
            </c:dLbl>
            <c:dLbl>
              <c:idx val="1"/>
              <c:layout>
                <c:manualLayout>
                  <c:x val="5.5499603247268509E-3"/>
                  <c:y val="-4.9019607843137254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8.4654389131591113E-3"/>
                  <c:y val="0"/>
                </c:manualLayout>
              </c:layout>
              <c:dLblPos val="bestFit"/>
              <c:showLegendKey val="1"/>
              <c:showVal val="1"/>
              <c:showCatName val="1"/>
              <c:showSerName val="0"/>
              <c:showPercent val="0"/>
              <c:showBubbleSize val="0"/>
              <c:separator>
</c:separator>
            </c:dLbl>
            <c:dLbl>
              <c:idx val="3"/>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Blad1!$A$4:$A$7</c:f>
              <c:strCache>
                <c:ptCount val="4"/>
                <c:pt idx="0">
                  <c:v>Health and food safety</c:v>
                </c:pt>
                <c:pt idx="1">
                  <c:v>Migration and home affairs</c:v>
                </c:pt>
                <c:pt idx="2">
                  <c:v>Justice and consumers</c:v>
                </c:pt>
                <c:pt idx="3">
                  <c:v>Other</c:v>
                </c:pt>
              </c:strCache>
            </c:strRef>
          </c:cat>
          <c:val>
            <c:numRef>
              <c:f>Blad1!$B$4:$B$7</c:f>
              <c:numCache>
                <c:formatCode>General</c:formatCode>
                <c:ptCount val="4"/>
                <c:pt idx="0">
                  <c:v>3</c:v>
                </c:pt>
                <c:pt idx="1">
                  <c:v>2</c:v>
                </c:pt>
                <c:pt idx="2">
                  <c:v>2</c:v>
                </c:pt>
                <c:pt idx="3">
                  <c:v>8</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7753743760399335E-2"/>
                  <c:y val="-7.039072039072039E-2"/>
                </c:manualLayout>
              </c:layout>
              <c:dLblPos val="r"/>
              <c:showLegendKey val="0"/>
              <c:showVal val="1"/>
              <c:showCatName val="0"/>
              <c:showSerName val="0"/>
              <c:showPercent val="0"/>
              <c:showBubbleSize val="0"/>
            </c:dLbl>
            <c:dLbl>
              <c:idx val="2"/>
              <c:layout>
                <c:manualLayout>
                  <c:x val="-4.220743205768164E-2"/>
                  <c:y val="-7.039072039072039E-2"/>
                </c:manualLayout>
              </c:layout>
              <c:dLblPos val="r"/>
              <c:showLegendKey val="0"/>
              <c:showVal val="1"/>
              <c:showCatName val="0"/>
              <c:showSerName val="0"/>
              <c:showPercent val="0"/>
              <c:showBubbleSize val="0"/>
            </c:dLbl>
            <c:dLbl>
              <c:idx val="3"/>
              <c:layout>
                <c:manualLayout>
                  <c:x val="-4.7753743760399335E-2"/>
                  <c:y val="5.7814407814407817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34</c:v>
                </c:pt>
                <c:pt idx="1">
                  <c:v>66</c:v>
                </c:pt>
                <c:pt idx="2">
                  <c:v>72</c:v>
                </c:pt>
                <c:pt idx="3">
                  <c:v>34</c:v>
                </c:pt>
                <c:pt idx="4">
                  <c:v>43</c:v>
                </c:pt>
              </c:numCache>
            </c:numRef>
          </c:val>
          <c:smooth val="0"/>
        </c:ser>
        <c:dLbls>
          <c:showLegendKey val="0"/>
          <c:showVal val="1"/>
          <c:showCatName val="0"/>
          <c:showSerName val="0"/>
          <c:showPercent val="0"/>
          <c:showBubbleSize val="0"/>
        </c:dLbls>
        <c:marker val="1"/>
        <c:smooth val="0"/>
        <c:axId val="103936384"/>
        <c:axId val="103939072"/>
      </c:lineChart>
      <c:catAx>
        <c:axId val="103936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3939072"/>
        <c:crosses val="autoZero"/>
        <c:auto val="1"/>
        <c:lblAlgn val="ctr"/>
        <c:lblOffset val="100"/>
        <c:noMultiLvlLbl val="0"/>
      </c:catAx>
      <c:valAx>
        <c:axId val="103939072"/>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3936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43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olidFill>
              <a:srgbClr val="000099"/>
            </a:solidFill>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5.4897222005665137E-3"/>
                  <c:y val="7.87264959387962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2.2001983662933221E-2"/>
                  <c:y val="-5.7813159790357435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8.5232539001931645E-2"/>
                  <c:y val="-4.1398610662626162E-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0"/>
                  <c:y val="-0.12618296529968451"/>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Taxation and customs</c:v>
                </c:pt>
                <c:pt idx="2">
                  <c:v>Employment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13</c:v>
                </c:pt>
                <c:pt idx="1">
                  <c:v>8</c:v>
                </c:pt>
                <c:pt idx="2">
                  <c:v>6</c:v>
                </c:pt>
                <c:pt idx="3">
                  <c:v>16</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75113061116118E-2"/>
          <c:y val="6.5476190476190479E-2"/>
          <c:w val="0.93917850933361724"/>
          <c:h val="0.7948022122234720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077413088288468E-2"/>
                  <c:y val="-8.0535714285714294E-2"/>
                </c:manualLayout>
              </c:layout>
              <c:dLblPos val="r"/>
              <c:showLegendKey val="0"/>
              <c:showVal val="1"/>
              <c:showCatName val="0"/>
              <c:showSerName val="0"/>
              <c:showPercent val="0"/>
              <c:showBubbleSize val="0"/>
            </c:dLbl>
            <c:dLbl>
              <c:idx val="2"/>
              <c:layout>
                <c:manualLayout>
                  <c:x val="-4.4841409749154487E-2"/>
                  <c:y val="6.8273809523809528E-2"/>
                </c:manualLayout>
              </c:layout>
              <c:dLblPos val="r"/>
              <c:showLegendKey val="0"/>
              <c:showVal val="1"/>
              <c:showCatName val="0"/>
              <c:showSerName val="0"/>
              <c:showPercent val="0"/>
              <c:showBubbleSize val="0"/>
            </c:dLbl>
            <c:dLbl>
              <c:idx val="4"/>
              <c:layout>
                <c:manualLayout>
                  <c:x val="-8.8999447208402433E-3"/>
                  <c:y val="2.065476190476190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34</c:v>
                </c:pt>
                <c:pt idx="1">
                  <c:v>38</c:v>
                </c:pt>
                <c:pt idx="2">
                  <c:v>21</c:v>
                </c:pt>
                <c:pt idx="3">
                  <c:v>21</c:v>
                </c:pt>
                <c:pt idx="4">
                  <c:v>10</c:v>
                </c:pt>
              </c:numCache>
            </c:numRef>
          </c:val>
          <c:smooth val="0"/>
        </c:ser>
        <c:dLbls>
          <c:showLegendKey val="0"/>
          <c:showVal val="1"/>
          <c:showCatName val="0"/>
          <c:showSerName val="0"/>
          <c:showPercent val="0"/>
          <c:showBubbleSize val="0"/>
        </c:dLbls>
        <c:marker val="1"/>
        <c:smooth val="0"/>
        <c:axId val="104210432"/>
        <c:axId val="104213120"/>
      </c:lineChart>
      <c:catAx>
        <c:axId val="1042104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213120"/>
        <c:crosses val="autoZero"/>
        <c:auto val="1"/>
        <c:lblAlgn val="ctr"/>
        <c:lblOffset val="100"/>
        <c:noMultiLvlLbl val="0"/>
      </c:catAx>
      <c:valAx>
        <c:axId val="10421312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210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175113061116118E-2"/>
          <c:y val="6.5476190476190479E-2"/>
          <c:w val="0.93917850933361724"/>
          <c:h val="0.7948022122234720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841409749154487E-2"/>
                  <c:y val="8.017810273715785E-2"/>
                </c:manualLayout>
              </c:layout>
              <c:dLblPos val="r"/>
              <c:showLegendKey val="0"/>
              <c:showVal val="1"/>
              <c:showCatName val="0"/>
              <c:showSerName val="0"/>
              <c:showPercent val="0"/>
              <c:showBubbleSize val="0"/>
            </c:dLbl>
            <c:dLbl>
              <c:idx val="2"/>
              <c:layout>
                <c:manualLayout>
                  <c:x val="-4.4841409749154487E-2"/>
                  <c:y val="6.8273809523809528E-2"/>
                </c:manualLayout>
              </c:layout>
              <c:dLblPos val="r"/>
              <c:showLegendKey val="0"/>
              <c:showVal val="1"/>
              <c:showCatName val="0"/>
              <c:showSerName val="0"/>
              <c:showPercent val="0"/>
              <c:showBubbleSize val="0"/>
            </c:dLbl>
            <c:dLbl>
              <c:idx val="4"/>
              <c:layout>
                <c:manualLayout>
                  <c:x val="-8.8999447208402433E-3"/>
                  <c:y val="2.065476190476190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28</c:v>
                </c:pt>
                <c:pt idx="1">
                  <c:v>25</c:v>
                </c:pt>
                <c:pt idx="2">
                  <c:v>25</c:v>
                </c:pt>
                <c:pt idx="3">
                  <c:v>30</c:v>
                </c:pt>
                <c:pt idx="4">
                  <c:v>22</c:v>
                </c:pt>
              </c:numCache>
            </c:numRef>
          </c:val>
          <c:smooth val="0"/>
        </c:ser>
        <c:dLbls>
          <c:showLegendKey val="0"/>
          <c:showVal val="1"/>
          <c:showCatName val="0"/>
          <c:showSerName val="0"/>
          <c:showPercent val="0"/>
          <c:showBubbleSize val="0"/>
        </c:dLbls>
        <c:marker val="1"/>
        <c:smooth val="0"/>
        <c:axId val="104252544"/>
        <c:axId val="104345600"/>
      </c:lineChart>
      <c:catAx>
        <c:axId val="104252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345600"/>
        <c:crosses val="autoZero"/>
        <c:auto val="1"/>
        <c:lblAlgn val="ctr"/>
        <c:lblOffset val="100"/>
        <c:noMultiLvlLbl val="0"/>
      </c:catAx>
      <c:valAx>
        <c:axId val="10434560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2525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10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Finland</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A20000"/>
              </a:solidFill>
              <a:scene3d>
                <a:camera prst="orthographicFront"/>
                <a:lightRig rig="threePt" dir="t"/>
              </a:scene3d>
              <a:sp3d>
                <a:bevelT w="63500" h="25400"/>
              </a:sp3d>
            </c:spPr>
          </c:dPt>
          <c:dPt>
            <c:idx val="6"/>
            <c:bubble3D val="0"/>
            <c:spPr>
              <a:solidFill>
                <a:srgbClr val="E75113"/>
              </a:solidFill>
              <a:scene3d>
                <a:camera prst="orthographicFront"/>
                <a:lightRig rig="threePt" dir="t"/>
              </a:scene3d>
              <a:sp3d>
                <a:bevelT w="63500" h="25400"/>
              </a:sp3d>
            </c:spPr>
          </c:dPt>
          <c:dLbls>
            <c:dLbl>
              <c:idx val="0"/>
              <c:layout>
                <c:manualLayout>
                  <c:x val="1.919118662798729E-2"/>
                  <c:y val="-0.1728614525318482"/>
                </c:manualLayout>
              </c:layout>
              <c:dLblPos val="bestFit"/>
              <c:showLegendKey val="1"/>
              <c:showVal val="1"/>
              <c:showCatName val="1"/>
              <c:showSerName val="0"/>
              <c:showPercent val="0"/>
              <c:showBubbleSize val="0"/>
              <c:separator>
</c:separator>
            </c:dLbl>
            <c:dLbl>
              <c:idx val="1"/>
              <c:layout>
                <c:manualLayout>
                  <c:x val="-9.8686368973615143E-2"/>
                  <c:y val="8.1265603994622626E-2"/>
                </c:manualLayout>
              </c:layout>
              <c:dLblPos val="bestFit"/>
              <c:showLegendKey val="1"/>
              <c:showVal val="1"/>
              <c:showCatName val="1"/>
              <c:showSerName val="0"/>
              <c:showPercent val="0"/>
              <c:showBubbleSize val="0"/>
              <c:separator>
</c:separator>
            </c:dLbl>
            <c:dLbl>
              <c:idx val="2"/>
              <c:layout>
                <c:manualLayout>
                  <c:x val="-2.1933062232352536E-2"/>
                  <c:y val="2.54681198386787E-2"/>
                </c:manualLayout>
              </c:layout>
              <c:dLblPos val="bestFit"/>
              <c:showLegendKey val="1"/>
              <c:showVal val="1"/>
              <c:showCatName val="1"/>
              <c:showSerName val="0"/>
              <c:showPercent val="0"/>
              <c:showBubbleSize val="0"/>
              <c:separator>
</c:separator>
            </c:dLbl>
            <c:dLbl>
              <c:idx val="3"/>
              <c:layout>
                <c:manualLayout>
                  <c:x val="-1.0962969678132338E-2"/>
                  <c:y val="1.9220920555662296E-2"/>
                </c:manualLayout>
              </c:layout>
              <c:dLblPos val="bestFit"/>
              <c:showLegendKey val="1"/>
              <c:showVal val="1"/>
              <c:showCatName val="1"/>
              <c:showSerName val="0"/>
              <c:showPercent val="0"/>
              <c:showBubbleSize val="0"/>
              <c:separator>
</c:separator>
            </c:dLbl>
            <c:dLbl>
              <c:idx val="4"/>
              <c:layout>
                <c:manualLayout>
                  <c:x val="8.2236842105263153E-3"/>
                  <c:y val="-5.0817009154343513E-3"/>
                </c:manualLayout>
              </c:layout>
              <c:tx>
                <c:rich>
                  <a:bodyPr/>
                  <a:lstStyle/>
                  <a:p>
                    <a:r>
                      <a:rPr lang="en-US" sz="850"/>
                      <a:t>Mobility and transport
3</a:t>
                    </a:r>
                    <a:endParaRPr lang="en-US"/>
                  </a:p>
                </c:rich>
              </c:tx>
              <c:dLblPos val="bestFit"/>
              <c:showLegendKey val="1"/>
              <c:showVal val="1"/>
              <c:showCatName val="1"/>
              <c:showSerName val="0"/>
              <c:showPercent val="0"/>
              <c:showBubbleSize val="0"/>
              <c:separator>
</c:separator>
            </c:dLbl>
            <c:dLbl>
              <c:idx val="5"/>
              <c:layout>
                <c:manualLayout>
                  <c:x val="2.7412280701754384E-3"/>
                  <c:y val="5.08130081300813E-3"/>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Blad1!$A$3:$A$9</c:f>
              <c:strCache>
                <c:ptCount val="7"/>
                <c:pt idx="0">
                  <c:v>Environment </c:v>
                </c:pt>
                <c:pt idx="1">
                  <c:v>Mobility and transport</c:v>
                </c:pt>
                <c:pt idx="2">
                  <c:v>Economic and financial affairs</c:v>
                </c:pt>
                <c:pt idx="3">
                  <c:v>Internal market, industry, entrepreneurship and SMEs</c:v>
                </c:pt>
                <c:pt idx="4">
                  <c:v>Employment</c:v>
                </c:pt>
                <c:pt idx="5">
                  <c:v>Legal service</c:v>
                </c:pt>
                <c:pt idx="6">
                  <c:v>Energy</c:v>
                </c:pt>
              </c:strCache>
              <c:extLst>
                <c:ext xmlns:c15="http://schemas.microsoft.com/office/drawing/2012/chart" uri="{02D57815-91ED-43cb-92C2-25804820EDAC}">
                  <c15:fullRef>
                    <c15:sqref>Blad1!$A$2:$A$6</c15:sqref>
                  </c15:fullRef>
                </c:ext>
              </c:extLst>
            </c:strRef>
          </c:cat>
          <c:val>
            <c:numRef>
              <c:f>Blad1!$B$3:$B$9</c:f>
              <c:numCache>
                <c:formatCode>General</c:formatCode>
                <c:ptCount val="7"/>
                <c:pt idx="0">
                  <c:v>3</c:v>
                </c:pt>
                <c:pt idx="1">
                  <c:v>2</c:v>
                </c:pt>
                <c:pt idx="2">
                  <c:v>1</c:v>
                </c:pt>
                <c:pt idx="3">
                  <c:v>1</c:v>
                </c:pt>
                <c:pt idx="4">
                  <c:v>1</c:v>
                </c:pt>
                <c:pt idx="5">
                  <c:v>1</c:v>
                </c:pt>
                <c:pt idx="6">
                  <c:v>1</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1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3"/>
              <c:layout>
                <c:manualLayout>
                  <c:x val="-4.220743205768164E-2"/>
                  <c:y val="-6.7426900584795321E-2"/>
                </c:manualLayout>
              </c:layout>
              <c:dLblPos val="r"/>
              <c:showLegendKey val="0"/>
              <c:showVal val="1"/>
              <c:showCatName val="0"/>
              <c:showSerName val="0"/>
              <c:showPercent val="0"/>
              <c:showBubbleSize val="0"/>
            </c:dLbl>
            <c:dLbl>
              <c:idx val="4"/>
              <c:layout>
                <c:manualLayout>
                  <c:x val="-3.6661120354963946E-2"/>
                  <c:y val="-6.1578947368421053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66</c:v>
                </c:pt>
                <c:pt idx="1">
                  <c:v>65</c:v>
                </c:pt>
                <c:pt idx="2">
                  <c:v>69</c:v>
                </c:pt>
                <c:pt idx="3">
                  <c:v>81</c:v>
                </c:pt>
                <c:pt idx="4">
                  <c:v>74</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4716544"/>
        <c:axId val="104398848"/>
      </c:lineChart>
      <c:catAx>
        <c:axId val="104716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398848"/>
        <c:crosses val="autoZero"/>
        <c:auto val="1"/>
        <c:lblAlgn val="ctr"/>
        <c:lblOffset val="100"/>
        <c:noMultiLvlLbl val="0"/>
      </c:catAx>
      <c:valAx>
        <c:axId val="10439884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716544"/>
        <c:crosses val="autoZero"/>
        <c:crossBetween val="between"/>
      </c:valAx>
      <c:spPr>
        <a:noFill/>
        <a:ln>
          <a:noFill/>
        </a:ln>
        <a:effectLst/>
      </c:spPr>
    </c:plotArea>
    <c:legend>
      <c:legendPos val="b"/>
      <c:legendEntry>
        <c:idx val="0"/>
        <c:delete val="1"/>
      </c:legendEntry>
      <c:layout>
        <c:manualLayout>
          <c:xMode val="edge"/>
          <c:yMode val="edge"/>
          <c:x val="5.5865154028662524E-2"/>
          <c:y val="0.77625930004132071"/>
          <c:w val="0.88826947953329416"/>
          <c:h val="0.22374084818345072"/>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Finland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7317026303492431E-2"/>
                  <c:y val="-6.3586956521739138E-2"/>
                </c:manualLayout>
              </c:layout>
              <c:dLblPos val="r"/>
              <c:showLegendKey val="0"/>
              <c:showVal val="1"/>
              <c:showCatName val="0"/>
              <c:showSerName val="0"/>
              <c:showPercent val="0"/>
              <c:showBubbleSize val="0"/>
            </c:dLbl>
            <c:dLbl>
              <c:idx val="1"/>
              <c:layout>
                <c:manualLayout>
                  <c:x val="-5.2888479441469835E-2"/>
                  <c:y val="-6.3488393622248535E-2"/>
                </c:manualLayout>
              </c:layout>
              <c:dLblPos val="r"/>
              <c:showLegendKey val="0"/>
              <c:showVal val="1"/>
              <c:showCatName val="0"/>
              <c:showSerName val="0"/>
              <c:showPercent val="0"/>
              <c:showBubbleSize val="0"/>
            </c:dLbl>
            <c:dLbl>
              <c:idx val="2"/>
              <c:layout>
                <c:manualLayout>
                  <c:x val="-5.0116603560994143E-2"/>
                  <c:y val="6.9377876678458669E-2"/>
                </c:manualLayout>
              </c:layout>
              <c:dLblPos val="r"/>
              <c:showLegendKey val="0"/>
              <c:showVal val="1"/>
              <c:showCatName val="0"/>
              <c:showSerName val="0"/>
              <c:showPercent val="0"/>
              <c:showBubbleSize val="0"/>
            </c:dLbl>
            <c:dLbl>
              <c:idx val="3"/>
              <c:layout>
                <c:manualLayout>
                  <c:x val="-5.6513210541343714E-2"/>
                  <c:y val="7.273931403803198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0.76</c:v>
                </c:pt>
                <c:pt idx="1">
                  <c:v>0.73</c:v>
                </c:pt>
                <c:pt idx="2">
                  <c:v>0.74</c:v>
                </c:pt>
                <c:pt idx="3">
                  <c:v>0.75</c:v>
                </c:pt>
                <c:pt idx="4">
                  <c:v>0.68</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5.2863338006210125E-2"/>
                  <c:y val="7.5664251207729474E-2"/>
                </c:manualLayout>
              </c:layout>
              <c:dLblPos val="r"/>
              <c:showLegendKey val="0"/>
              <c:showVal val="1"/>
              <c:showCatName val="0"/>
              <c:showSerName val="0"/>
              <c:showPercent val="0"/>
              <c:showBubbleSize val="0"/>
            </c:dLbl>
            <c:dLbl>
              <c:idx val="1"/>
              <c:layout>
                <c:manualLayout>
                  <c:x val="-5.0114004696508507E-2"/>
                  <c:y val="6.3488393622248548E-2"/>
                </c:manualLayout>
              </c:layout>
              <c:dLblPos val="r"/>
              <c:showLegendKey val="0"/>
              <c:showVal val="1"/>
              <c:showCatName val="0"/>
              <c:showSerName val="0"/>
              <c:showPercent val="0"/>
              <c:showBubbleSize val="0"/>
            </c:dLbl>
            <c:dLbl>
              <c:idx val="2"/>
              <c:layout>
                <c:manualLayout>
                  <c:x val="-5.0104812189657656E-2"/>
                  <c:y val="-5.7293925215869741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4482688"/>
        <c:axId val="104484224"/>
      </c:lineChart>
      <c:catAx>
        <c:axId val="1044826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484224"/>
        <c:crosses val="autoZero"/>
        <c:auto val="1"/>
        <c:lblAlgn val="ctr"/>
        <c:lblOffset val="100"/>
        <c:noMultiLvlLbl val="0"/>
      </c:catAx>
      <c:valAx>
        <c:axId val="104484224"/>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4482688"/>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20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3.2996803617369612E-2"/>
                  <c:y val="0.1629316840126845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8.4414386320521811E-2"/>
                  <c:y val="-0.14719276021096733"/>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8.2768119331618206E-3"/>
                  <c:y val="3.680253690686140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Taxation and customs</c:v>
                </c:pt>
                <c:pt idx="1">
                  <c:v>Justice and consumers</c:v>
                </c:pt>
                <c:pt idx="2">
                  <c:v>Employment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8</c:v>
                </c:pt>
                <c:pt idx="1">
                  <c:v>6</c:v>
                </c:pt>
                <c:pt idx="2">
                  <c:v>4</c:v>
                </c:pt>
                <c:pt idx="3">
                  <c:v>2</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1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54567846240518E-2"/>
                  <c:y val="7.535956231822373E-2"/>
                </c:manualLayout>
              </c:layout>
              <c:dLblPos val="r"/>
              <c:showLegendKey val="0"/>
              <c:showVal val="1"/>
              <c:showCatName val="0"/>
              <c:showSerName val="0"/>
              <c:showPercent val="0"/>
              <c:showBubbleSize val="0"/>
            </c:dLbl>
            <c:dLbl>
              <c:idx val="4"/>
              <c:layout>
                <c:manualLayout>
                  <c:x val="-3.9434276206322796E-2"/>
                  <c:y val="-4.802927927927928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43</c:v>
                </c:pt>
                <c:pt idx="1">
                  <c:v>39</c:v>
                </c:pt>
                <c:pt idx="2">
                  <c:v>28</c:v>
                </c:pt>
                <c:pt idx="3">
                  <c:v>31</c:v>
                </c:pt>
                <c:pt idx="4">
                  <c:v>52</c:v>
                </c:pt>
              </c:numCache>
            </c:numRef>
          </c:val>
          <c:smooth val="0"/>
        </c:ser>
        <c:dLbls>
          <c:showLegendKey val="0"/>
          <c:showVal val="1"/>
          <c:showCatName val="0"/>
          <c:showSerName val="0"/>
          <c:showPercent val="0"/>
          <c:showBubbleSize val="0"/>
        </c:dLbls>
        <c:marker val="1"/>
        <c:smooth val="0"/>
        <c:axId val="104511744"/>
        <c:axId val="104526976"/>
      </c:lineChart>
      <c:catAx>
        <c:axId val="1045117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526976"/>
        <c:crosses val="autoZero"/>
        <c:auto val="1"/>
        <c:lblAlgn val="ctr"/>
        <c:lblOffset val="100"/>
        <c:noMultiLvlLbl val="0"/>
      </c:catAx>
      <c:valAx>
        <c:axId val="104526976"/>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5117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40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98581541699"/>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3926046265847385E-2"/>
                  <c:y val="0.149543479196248"/>
                </c:manualLayout>
              </c:layout>
              <c:dLblPos val="bestFit"/>
              <c:showLegendKey val="1"/>
              <c:showVal val="1"/>
              <c:showCatName val="1"/>
              <c:showSerName val="0"/>
              <c:showPercent val="0"/>
              <c:showBubbleSize val="0"/>
              <c:separator>
</c:separator>
            </c:dLbl>
            <c:dLbl>
              <c:idx val="2"/>
              <c:layout>
                <c:manualLayout>
                  <c:x val="-3.3277870216306155E-2"/>
                  <c:y val="9.8360655737704916E-2"/>
                </c:manualLayout>
              </c:layout>
              <c:dLblPos val="bestFit"/>
              <c:showLegendKey val="1"/>
              <c:showVal val="1"/>
              <c:showCatName val="1"/>
              <c:showSerName val="0"/>
              <c:showPercent val="0"/>
              <c:showBubbleSize val="0"/>
              <c:separator>
</c:separator>
            </c:dLbl>
            <c:dLbl>
              <c:idx val="3"/>
              <c:layout>
                <c:manualLayout>
                  <c:x val="1.2047506124962333E-2"/>
                  <c:y val="1.7894238630007313E-2"/>
                </c:manualLayout>
              </c:layout>
              <c:dLblPos val="bestFit"/>
              <c:showLegendKey val="1"/>
              <c:showVal val="1"/>
              <c:showCatName val="1"/>
              <c:showSerName val="0"/>
              <c:showPercent val="0"/>
              <c:showBubbleSize val="0"/>
              <c:separator>
</c:separator>
            </c:dLbl>
            <c:dLbl>
              <c:idx val="4"/>
              <c:dLblPos val="outEnd"/>
              <c:showLegendKey val="1"/>
              <c:showVal val="1"/>
              <c:showCatName val="1"/>
              <c:showSerName val="0"/>
              <c:showPercent val="0"/>
              <c:showBubbleSize val="0"/>
            </c:dLbl>
            <c:dLbl>
              <c:idx val="5"/>
              <c:layout>
                <c:manualLayout>
                  <c:x val="0"/>
                  <c:y val="-2.185792349726776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Financial stability, financial services and capital markets union</c:v>
                </c:pt>
                <c:pt idx="3">
                  <c:v>Health and food safety</c:v>
                </c:pt>
                <c:pt idx="4">
                  <c:v>Environment</c:v>
                </c:pt>
                <c:pt idx="5">
                  <c:v>Other</c:v>
                </c:pt>
              </c:strCache>
            </c:strRef>
          </c:cat>
          <c:val>
            <c:numRef>
              <c:f>Blad1!$B$2:$B$7</c:f>
              <c:numCache>
                <c:formatCode>General</c:formatCode>
                <c:ptCount val="6"/>
                <c:pt idx="0">
                  <c:v>0</c:v>
                </c:pt>
                <c:pt idx="1">
                  <c:v>17</c:v>
                </c:pt>
                <c:pt idx="2">
                  <c:v>5</c:v>
                </c:pt>
                <c:pt idx="3">
                  <c:v>5</c:v>
                </c:pt>
                <c:pt idx="4">
                  <c:v>4</c:v>
                </c:pt>
                <c:pt idx="5">
                  <c:v>9</c:v>
                </c:pt>
              </c:numCache>
            </c:numRef>
          </c:val>
          <c:extLst/>
        </c:ser>
        <c:dLbls>
          <c:showLegendKey val="0"/>
          <c:showVal val="0"/>
          <c:showCatName val="1"/>
          <c:showSerName val="0"/>
          <c:showPercent val="0"/>
          <c:showBubbleSize val="0"/>
          <c:showLeaderLines val="0"/>
        </c:dLbls>
        <c:firstSliceAng val="243"/>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2947658402203855E-2"/>
                  <c:y val="8.444193601673916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21</c:v>
                </c:pt>
                <c:pt idx="1">
                  <c:v>17</c:v>
                </c:pt>
                <c:pt idx="2">
                  <c:v>9</c:v>
                </c:pt>
                <c:pt idx="3">
                  <c:v>15</c:v>
                </c:pt>
                <c:pt idx="4">
                  <c:v>39</c:v>
                </c:pt>
              </c:numCache>
            </c:numRef>
          </c:val>
          <c:smooth val="0"/>
        </c:ser>
        <c:dLbls>
          <c:showLegendKey val="0"/>
          <c:showVal val="1"/>
          <c:showCatName val="0"/>
          <c:showSerName val="0"/>
          <c:showPercent val="0"/>
          <c:showBubbleSize val="0"/>
        </c:dLbls>
        <c:marker val="1"/>
        <c:smooth val="0"/>
        <c:axId val="104726912"/>
        <c:axId val="104729600"/>
      </c:lineChart>
      <c:catAx>
        <c:axId val="104726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729600"/>
        <c:crosses val="autoZero"/>
        <c:auto val="1"/>
        <c:lblAlgn val="ctr"/>
        <c:lblOffset val="100"/>
        <c:noMultiLvlLbl val="0"/>
      </c:catAx>
      <c:valAx>
        <c:axId val="104729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72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0192837465564737E-2"/>
                  <c:y val="6.1131912706715856E-2"/>
                </c:manualLayout>
              </c:layout>
              <c:dLblPos val="r"/>
              <c:showLegendKey val="0"/>
              <c:showVal val="1"/>
              <c:showCatName val="0"/>
              <c:showSerName val="0"/>
              <c:showPercent val="0"/>
              <c:showBubbleSize val="0"/>
            </c:dLbl>
            <c:dLbl>
              <c:idx val="4"/>
              <c:layout>
                <c:manualLayout>
                  <c:x val="-3.9173553719008262E-2"/>
                  <c:y val="-6.719114219114219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21</c:v>
                </c:pt>
                <c:pt idx="1">
                  <c:v>17</c:v>
                </c:pt>
                <c:pt idx="2">
                  <c:v>17</c:v>
                </c:pt>
                <c:pt idx="3">
                  <c:v>18</c:v>
                </c:pt>
                <c:pt idx="4">
                  <c:v>36</c:v>
                </c:pt>
              </c:numCache>
            </c:numRef>
          </c:val>
          <c:smooth val="0"/>
        </c:ser>
        <c:dLbls>
          <c:showLegendKey val="0"/>
          <c:showVal val="1"/>
          <c:showCatName val="0"/>
          <c:showSerName val="0"/>
          <c:showPercent val="0"/>
          <c:showBubbleSize val="0"/>
        </c:dLbls>
        <c:marker val="1"/>
        <c:smooth val="0"/>
        <c:axId val="104867712"/>
        <c:axId val="104874752"/>
      </c:lineChart>
      <c:catAx>
        <c:axId val="1048677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4874752"/>
        <c:crosses val="autoZero"/>
        <c:auto val="1"/>
        <c:lblAlgn val="ctr"/>
        <c:lblOffset val="100"/>
        <c:noMultiLvlLbl val="0"/>
      </c:catAx>
      <c:valAx>
        <c:axId val="1048747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4867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36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Finland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95C154"/>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layout>
                <c:manualLayout>
                  <c:x val="-6.6448016672334562E-2"/>
                  <c:y val="-8.2701295402590802E-2"/>
                </c:manualLayout>
              </c:layout>
              <c:dLblPos val="bestFit"/>
              <c:showLegendKey val="1"/>
              <c:showVal val="1"/>
              <c:showCatName val="1"/>
              <c:showSerName val="0"/>
              <c:showPercent val="0"/>
              <c:showBubbleSize val="0"/>
              <c:separator>
</c:separator>
            </c:dLbl>
            <c:dLbl>
              <c:idx val="1"/>
              <c:layout>
                <c:manualLayout>
                  <c:x val="-2.8208683216923466E-3"/>
                  <c:y val="0.17931673863347727"/>
                </c:manualLayout>
              </c:layout>
              <c:dLblPos val="bestFit"/>
              <c:showLegendKey val="1"/>
              <c:showVal val="1"/>
              <c:showCatName val="1"/>
              <c:showSerName val="0"/>
              <c:showPercent val="0"/>
              <c:showBubbleSize val="0"/>
              <c:separator>
</c:separator>
            </c:dLbl>
            <c:dLbl>
              <c:idx val="2"/>
              <c:layout>
                <c:manualLayout>
                  <c:x val="3.2198882116479623E-2"/>
                  <c:y val="7.5426720853441709E-2"/>
                </c:manualLayout>
              </c:layout>
              <c:dLblPos val="bestFit"/>
              <c:showLegendKey val="1"/>
              <c:showVal val="1"/>
              <c:showCatName val="1"/>
              <c:showSerName val="0"/>
              <c:showPercent val="0"/>
              <c:showBubbleSize val="0"/>
              <c:separator>
</c:separator>
            </c:dLbl>
            <c:dLbl>
              <c:idx val="3"/>
              <c:layout>
                <c:manualLayout>
                  <c:x val="1.9389000793505463E-2"/>
                  <c:y val="9.8039962746592161E-3"/>
                </c:manualLayout>
              </c:layout>
              <c:dLblPos val="bestFit"/>
              <c:showLegendKey val="1"/>
              <c:showVal val="1"/>
              <c:showCatName val="1"/>
              <c:showSerName val="0"/>
              <c:showPercent val="0"/>
              <c:showBubbleSize val="0"/>
              <c:separator>
</c:separator>
            </c:dLbl>
            <c:dLbl>
              <c:idx val="4"/>
              <c:layout>
                <c:manualLayout>
                  <c:x val="2.7624453920004188E-3"/>
                  <c:y val="6.8627064999228035E-2"/>
                </c:manualLayout>
              </c:layout>
              <c:dLblPos val="bestFit"/>
              <c:showLegendKey val="1"/>
              <c:showVal val="1"/>
              <c:showCatName val="1"/>
              <c:showSerName val="0"/>
              <c:showPercent val="0"/>
              <c:showBubbleSize val="0"/>
              <c:separator>
</c:separator>
            </c:dLbl>
            <c:dLbl>
              <c:idx val="5"/>
              <c:layout>
                <c:manualLayout>
                  <c:x val="0"/>
                  <c:y val="0.10294117647058823"/>
                </c:manualLayout>
              </c:layout>
              <c:dLblPos val="bestFit"/>
              <c:showLegendKey val="1"/>
              <c:showVal val="1"/>
              <c:showCatName val="1"/>
              <c:showSerName val="0"/>
              <c:showPercent val="0"/>
              <c:showBubbleSize val="0"/>
              <c:separator>
</c:separator>
            </c:dLbl>
            <c:dLbl>
              <c:idx val="6"/>
              <c:layout>
                <c:manualLayout>
                  <c:x val="-2.2148394241417499E-2"/>
                  <c:y val="0.122548895097790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Blad1!$A$4:$A$10</c:f>
              <c:strCache>
                <c:ptCount val="7"/>
                <c:pt idx="0">
                  <c:v>Internal market, industry, entrepreneurship and SMEs</c:v>
                </c:pt>
                <c:pt idx="1">
                  <c:v>Financial stability, financial services and capital markets union</c:v>
                </c:pt>
                <c:pt idx="2">
                  <c:v>Health and food safety</c:v>
                </c:pt>
                <c:pt idx="3">
                  <c:v>Environment</c:v>
                </c:pt>
                <c:pt idx="4">
                  <c:v>Mobility and transport</c:v>
                </c:pt>
                <c:pt idx="5">
                  <c:v>Communication networks</c:v>
                </c:pt>
                <c:pt idx="6">
                  <c:v>Other</c:v>
                </c:pt>
              </c:strCache>
            </c:strRef>
          </c:cat>
          <c:val>
            <c:numRef>
              <c:f>Blad1!$B$4:$B$10</c:f>
              <c:numCache>
                <c:formatCode>General</c:formatCode>
                <c:ptCount val="7"/>
                <c:pt idx="0">
                  <c:v>17</c:v>
                </c:pt>
                <c:pt idx="1">
                  <c:v>5</c:v>
                </c:pt>
                <c:pt idx="2">
                  <c:v>5</c:v>
                </c:pt>
                <c:pt idx="3">
                  <c:v>2</c:v>
                </c:pt>
                <c:pt idx="4">
                  <c:v>2</c:v>
                </c:pt>
                <c:pt idx="5">
                  <c:v>2</c:v>
                </c:pt>
                <c:pt idx="6">
                  <c:v>3</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12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2.7860696517412936E-2"/>
                  <c:y val="5.4024767801857589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111</c:v>
                </c:pt>
                <c:pt idx="1">
                  <c:v>101</c:v>
                </c:pt>
                <c:pt idx="2">
                  <c:v>97</c:v>
                </c:pt>
                <c:pt idx="3">
                  <c:v>66</c:v>
                </c:pt>
                <c:pt idx="4">
                  <c:v>106</c:v>
                </c:pt>
              </c:numCache>
            </c:numRef>
          </c:val>
          <c:smooth val="0"/>
        </c:ser>
        <c:dLbls>
          <c:showLegendKey val="0"/>
          <c:showVal val="0"/>
          <c:showCatName val="0"/>
          <c:showSerName val="0"/>
          <c:showPercent val="0"/>
          <c:showBubbleSize val="0"/>
        </c:dLbls>
        <c:marker val="1"/>
        <c:smooth val="0"/>
        <c:axId val="105378560"/>
        <c:axId val="105380096"/>
      </c:lineChart>
      <c:catAx>
        <c:axId val="1053785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380096"/>
        <c:crosses val="autoZero"/>
        <c:auto val="1"/>
        <c:lblAlgn val="ctr"/>
        <c:lblOffset val="100"/>
        <c:noMultiLvlLbl val="0"/>
      </c:catAx>
      <c:valAx>
        <c:axId val="105380096"/>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378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106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1.9258421905182645E-2"/>
                  <c:y val="4.7263965821307034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4.6754675467546754E-2"/>
                  <c:y val="-4.7297498695943671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7242881768491812E-3"/>
                  <c:y val="-4.2060988433228183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1001100110011026E-2"/>
                  <c:y val="3.6803364879074658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Migration and home affairs</c:v>
                </c:pt>
                <c:pt idx="2">
                  <c:v>Employment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38</c:v>
                </c:pt>
                <c:pt idx="1">
                  <c:v>22</c:v>
                </c:pt>
                <c:pt idx="2">
                  <c:v>15</c:v>
                </c:pt>
                <c:pt idx="3">
                  <c:v>31</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95E-2"/>
                  <c:y val="-6.6957026713124285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38</c:v>
                </c:pt>
                <c:pt idx="1">
                  <c:v>53</c:v>
                </c:pt>
                <c:pt idx="2">
                  <c:v>27</c:v>
                </c:pt>
                <c:pt idx="3">
                  <c:v>16</c:v>
                </c:pt>
                <c:pt idx="4">
                  <c:v>20</c:v>
                </c:pt>
              </c:numCache>
            </c:numRef>
          </c:val>
          <c:smooth val="0"/>
        </c:ser>
        <c:dLbls>
          <c:showLegendKey val="0"/>
          <c:showVal val="0"/>
          <c:showCatName val="0"/>
          <c:showSerName val="0"/>
          <c:showPercent val="0"/>
          <c:showBubbleSize val="0"/>
        </c:dLbls>
        <c:marker val="1"/>
        <c:smooth val="0"/>
        <c:axId val="102641664"/>
        <c:axId val="102643200"/>
      </c:lineChart>
      <c:catAx>
        <c:axId val="1026416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2643200"/>
        <c:crosses val="autoZero"/>
        <c:auto val="1"/>
        <c:lblAlgn val="ctr"/>
        <c:lblOffset val="100"/>
        <c:noMultiLvlLbl val="0"/>
      </c:catAx>
      <c:valAx>
        <c:axId val="1026432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2641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95E-2"/>
                  <c:y val="-6.6957026713124285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34</c:v>
                </c:pt>
                <c:pt idx="1">
                  <c:v>50</c:v>
                </c:pt>
                <c:pt idx="2">
                  <c:v>39</c:v>
                </c:pt>
                <c:pt idx="3">
                  <c:v>29</c:v>
                </c:pt>
                <c:pt idx="4">
                  <c:v>34</c:v>
                </c:pt>
              </c:numCache>
            </c:numRef>
          </c:val>
          <c:smooth val="0"/>
        </c:ser>
        <c:dLbls>
          <c:showLegendKey val="0"/>
          <c:showVal val="0"/>
          <c:showCatName val="0"/>
          <c:showSerName val="0"/>
          <c:showPercent val="0"/>
          <c:showBubbleSize val="0"/>
        </c:dLbls>
        <c:marker val="1"/>
        <c:smooth val="0"/>
        <c:axId val="105206912"/>
        <c:axId val="105208448"/>
      </c:lineChart>
      <c:catAx>
        <c:axId val="105206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208448"/>
        <c:crosses val="autoZero"/>
        <c:auto val="1"/>
        <c:lblAlgn val="ctr"/>
        <c:lblOffset val="100"/>
        <c:noMultiLvlLbl val="0"/>
      </c:catAx>
      <c:valAx>
        <c:axId val="10520844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2069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20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Sweden</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8.2262743472855358E-3"/>
                  <c:y val="-9.7224889571683788E-5"/>
                </c:manualLayout>
              </c:layout>
              <c:dLblPos val="bestFit"/>
              <c:showLegendKey val="1"/>
              <c:showVal val="1"/>
              <c:showCatName val="1"/>
              <c:showSerName val="0"/>
              <c:showPercent val="0"/>
              <c:showBubbleSize val="0"/>
              <c:separator>
</c:separator>
            </c:dLbl>
            <c:dLbl>
              <c:idx val="1"/>
              <c:layout>
                <c:manualLayout>
                  <c:x val="-8.2256268130957311E-3"/>
                  <c:y val="5.0777399014147621E-2"/>
                </c:manualLayout>
              </c:layout>
              <c:dLblPos val="bestFit"/>
              <c:showLegendKey val="1"/>
              <c:showVal val="1"/>
              <c:showCatName val="1"/>
              <c:showSerName val="0"/>
              <c:showPercent val="0"/>
              <c:showBubbleSize val="0"/>
              <c:separator>
</c:separator>
            </c:dLbl>
            <c:dLbl>
              <c:idx val="2"/>
              <c:layout>
                <c:manualLayout>
                  <c:x val="-8.2269218814753423E-3"/>
                  <c:y val="-1.5181886562960118E-2"/>
                </c:manualLayout>
              </c:layout>
              <c:dLblPos val="bestFit"/>
              <c:showLegendKey val="1"/>
              <c:showVal val="1"/>
              <c:showCatName val="1"/>
              <c:showSerName val="0"/>
              <c:showPercent val="0"/>
              <c:showBubbleSize val="0"/>
              <c:separator>
</c:separator>
            </c:dLbl>
            <c:dLbl>
              <c:idx val="3"/>
              <c:layout>
                <c:manualLayout>
                  <c:x val="0.25493615312888518"/>
                  <c:y val="-6.2079892452467832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Blad1!$A$3:$A$6</c:f>
              <c:strCache>
                <c:ptCount val="4"/>
                <c:pt idx="0">
                  <c:v>Justice and consumers</c:v>
                </c:pt>
                <c:pt idx="1">
                  <c:v>Energy</c:v>
                </c:pt>
                <c:pt idx="2">
                  <c:v>Internal market, industry, entrepreneurship and SMEs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5</c:v>
                </c:pt>
                <c:pt idx="1">
                  <c:v>4</c:v>
                </c:pt>
                <c:pt idx="2">
                  <c:v>3</c:v>
                </c:pt>
                <c:pt idx="3">
                  <c:v>8</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220743205768164E-2"/>
                  <c:y val="-5.7920792079207931E-2"/>
                </c:manualLayout>
              </c:layout>
              <c:dLblPos val="r"/>
              <c:showLegendKey val="0"/>
              <c:showVal val="1"/>
              <c:showCatName val="0"/>
              <c:showSerName val="0"/>
              <c:showPercent val="0"/>
              <c:showBubbleSize val="0"/>
            </c:dLbl>
            <c:dLbl>
              <c:idx val="2"/>
              <c:layout>
                <c:manualLayout>
                  <c:x val="-5.0496766107231604E-2"/>
                  <c:y val="6.4446090278319226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12</c:v>
                </c:pt>
                <c:pt idx="1">
                  <c:v>46</c:v>
                </c:pt>
                <c:pt idx="2">
                  <c:v>33</c:v>
                </c:pt>
                <c:pt idx="3">
                  <c:v>24</c:v>
                </c:pt>
                <c:pt idx="4">
                  <c:v>24</c:v>
                </c:pt>
              </c:numCache>
            </c:numRef>
          </c:val>
          <c:smooth val="0"/>
        </c:ser>
        <c:dLbls>
          <c:showLegendKey val="0"/>
          <c:showVal val="1"/>
          <c:showCatName val="0"/>
          <c:showSerName val="0"/>
          <c:showPercent val="0"/>
          <c:showBubbleSize val="0"/>
        </c:dLbls>
        <c:marker val="1"/>
        <c:smooth val="0"/>
        <c:axId val="92045696"/>
        <c:axId val="92048384"/>
      </c:lineChart>
      <c:catAx>
        <c:axId val="92045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2048384"/>
        <c:crosses val="autoZero"/>
        <c:auto val="1"/>
        <c:lblAlgn val="ctr"/>
        <c:lblOffset val="100"/>
        <c:noMultiLvlLbl val="0"/>
      </c:catAx>
      <c:valAx>
        <c:axId val="92048384"/>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204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6.1517165005537083E-2"/>
                  <c:y val="-4.9022346368715081E-2"/>
                </c:manualLayout>
              </c:layout>
              <c:dLblPos val="r"/>
              <c:showLegendKey val="0"/>
              <c:showVal val="1"/>
              <c:showCatName val="0"/>
              <c:showSerName val="0"/>
              <c:showPercent val="0"/>
              <c:showBubbleSize val="0"/>
            </c:dLbl>
            <c:dLbl>
              <c:idx val="1"/>
              <c:layout>
                <c:manualLayout>
                  <c:x val="-6.1517165005537097E-2"/>
                  <c:y val="-5.8333333333333334E-2"/>
                </c:manualLayout>
              </c:layout>
              <c:dLblPos val="r"/>
              <c:showLegendKey val="0"/>
              <c:showVal val="1"/>
              <c:showCatName val="0"/>
              <c:showSerName val="0"/>
              <c:showPercent val="0"/>
              <c:showBubbleSize val="0"/>
            </c:dLbl>
            <c:dLbl>
              <c:idx val="2"/>
              <c:layout>
                <c:manualLayout>
                  <c:x val="-3.7823061630218688E-2"/>
                  <c:y val="-5.3626634958382879E-2"/>
                </c:manualLayout>
              </c:layout>
              <c:dLblPos val="r"/>
              <c:showLegendKey val="0"/>
              <c:showVal val="1"/>
              <c:showCatName val="0"/>
              <c:showSerName val="0"/>
              <c:showPercent val="0"/>
              <c:showBubbleSize val="0"/>
            </c:dLbl>
            <c:dLbl>
              <c:idx val="3"/>
              <c:layout>
                <c:manualLayout>
                  <c:x val="-4.2137320044296787E-2"/>
                  <c:y val="-5.3678206425314151E-2"/>
                </c:manualLayout>
              </c:layout>
              <c:dLblPos val="r"/>
              <c:showLegendKey val="0"/>
              <c:showVal val="1"/>
              <c:showCatName val="0"/>
              <c:showSerName val="0"/>
              <c:showPercent val="0"/>
              <c:showBubbleSize val="0"/>
            </c:dLbl>
            <c:dLbl>
              <c:idx val="4"/>
              <c:layout>
                <c:manualLayout>
                  <c:x val="-3.6600221483942416E-2"/>
                  <c:y val="-3.9711359404096834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61</c:v>
                </c:pt>
                <c:pt idx="1">
                  <c:v>73</c:v>
                </c:pt>
                <c:pt idx="2">
                  <c:v>76</c:v>
                </c:pt>
                <c:pt idx="3">
                  <c:v>73</c:v>
                </c:pt>
                <c:pt idx="4">
                  <c:v>67</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5800064"/>
        <c:axId val="105801600"/>
      </c:lineChart>
      <c:catAx>
        <c:axId val="105800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801600"/>
        <c:crosses val="autoZero"/>
        <c:auto val="1"/>
        <c:lblAlgn val="ctr"/>
        <c:lblOffset val="100"/>
        <c:noMultiLvlLbl val="0"/>
      </c:catAx>
      <c:valAx>
        <c:axId val="105801600"/>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800064"/>
        <c:crosses val="autoZero"/>
        <c:crossBetween val="between"/>
      </c:valAx>
      <c:spPr>
        <a:noFill/>
        <a:ln>
          <a:noFill/>
        </a:ln>
        <a:effectLst/>
      </c:spPr>
    </c:plotArea>
    <c:legend>
      <c:legendPos val="b"/>
      <c:legendEntry>
        <c:idx val="0"/>
        <c:delete val="1"/>
      </c:legendEntry>
      <c:layout>
        <c:manualLayout>
          <c:xMode val="edge"/>
          <c:yMode val="edge"/>
          <c:x val="5.5865154028662524E-2"/>
          <c:y val="0.828303261255523"/>
          <c:w val="0.88826947953329416"/>
          <c:h val="0.17167077229871405"/>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Sweden</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00887222463665E-2"/>
                  <c:y val="-5.1593203547850658E-2"/>
                </c:manualLayout>
              </c:layout>
              <c:dLblPos val="r"/>
              <c:showLegendKey val="0"/>
              <c:showVal val="1"/>
              <c:showCatName val="0"/>
              <c:showSerName val="0"/>
              <c:showPercent val="0"/>
              <c:showBubbleSize val="0"/>
            </c:dLbl>
            <c:dLbl>
              <c:idx val="1"/>
              <c:layout>
                <c:manualLayout>
                  <c:x val="-5.500887222463665E-2"/>
                  <c:y val="-5.7006970971549588E-2"/>
                </c:manualLayout>
              </c:layout>
              <c:dLblPos val="r"/>
              <c:showLegendKey val="0"/>
              <c:showVal val="1"/>
              <c:showCatName val="0"/>
              <c:showSerName val="0"/>
              <c:showPercent val="0"/>
              <c:showBubbleSize val="0"/>
            </c:dLbl>
            <c:dLbl>
              <c:idx val="2"/>
              <c:layout>
                <c:manualLayout>
                  <c:x val="-5.7748178270479351E-2"/>
                  <c:y val="8.3680591062480825E-2"/>
                </c:manualLayout>
              </c:layout>
              <c:dLblPos val="r"/>
              <c:showLegendKey val="0"/>
              <c:showVal val="1"/>
              <c:showCatName val="0"/>
              <c:showSerName val="0"/>
              <c:showPercent val="0"/>
              <c:showBubbleSize val="0"/>
            </c:dLbl>
            <c:dLbl>
              <c:idx val="3"/>
              <c:layout>
                <c:manualLayout>
                  <c:x val="-5.6415431258772103E-2"/>
                  <c:y val="6.4611395937798799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0.77</c:v>
                </c:pt>
                <c:pt idx="1">
                  <c:v>0.76</c:v>
                </c:pt>
                <c:pt idx="2">
                  <c:v>0.71</c:v>
                </c:pt>
                <c:pt idx="3">
                  <c:v>0.69</c:v>
                </c:pt>
                <c:pt idx="4">
                  <c:v>0.88</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4.952512710306483E-2"/>
                  <c:y val="7.3248273242646336E-2"/>
                </c:manualLayout>
              </c:layout>
              <c:dLblPos val="r"/>
              <c:showLegendKey val="0"/>
              <c:showVal val="1"/>
              <c:showCatName val="0"/>
              <c:showSerName val="0"/>
              <c:showPercent val="0"/>
              <c:showBubbleSize val="0"/>
            </c:dLbl>
            <c:dLbl>
              <c:idx val="1"/>
              <c:layout>
                <c:manualLayout>
                  <c:x val="-6.5960854399778973E-2"/>
                  <c:y val="7.8625541125541126E-2"/>
                </c:manualLayout>
              </c:layout>
              <c:dLblPos val="r"/>
              <c:showLegendKey val="0"/>
              <c:showVal val="1"/>
              <c:showCatName val="0"/>
              <c:showSerName val="0"/>
              <c:showPercent val="0"/>
              <c:showBubbleSize val="0"/>
            </c:dLbl>
            <c:dLbl>
              <c:idx val="2"/>
              <c:layout>
                <c:manualLayout>
                  <c:x val="-4.6772257908550906E-2"/>
                  <c:y val="-5.1244588744588745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5722240"/>
        <c:axId val="105827328"/>
      </c:lineChart>
      <c:catAx>
        <c:axId val="105722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827328"/>
        <c:crosses val="autoZero"/>
        <c:auto val="1"/>
        <c:lblAlgn val="ctr"/>
        <c:lblOffset val="100"/>
        <c:noMultiLvlLbl val="0"/>
      </c:catAx>
      <c:valAx>
        <c:axId val="105827328"/>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5722240"/>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0433594056556882E-2"/>
                  <c:y val="7.528862813716913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36</c:v>
                </c:pt>
                <c:pt idx="1">
                  <c:v>33</c:v>
                </c:pt>
                <c:pt idx="2">
                  <c:v>33</c:v>
                </c:pt>
                <c:pt idx="3">
                  <c:v>42</c:v>
                </c:pt>
                <c:pt idx="4">
                  <c:v>50</c:v>
                </c:pt>
              </c:numCache>
            </c:numRef>
          </c:val>
          <c:smooth val="0"/>
        </c:ser>
        <c:dLbls>
          <c:showLegendKey val="0"/>
          <c:showVal val="1"/>
          <c:showCatName val="0"/>
          <c:showSerName val="0"/>
          <c:showPercent val="0"/>
          <c:showBubbleSize val="0"/>
        </c:dLbls>
        <c:marker val="1"/>
        <c:smooth val="0"/>
        <c:axId val="105865600"/>
        <c:axId val="105868288"/>
      </c:lineChart>
      <c:catAx>
        <c:axId val="105865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868288"/>
        <c:crosses val="autoZero"/>
        <c:auto val="1"/>
        <c:lblAlgn val="ctr"/>
        <c:lblOffset val="100"/>
        <c:noMultiLvlLbl val="0"/>
      </c:catAx>
      <c:valAx>
        <c:axId val="105868288"/>
        <c:scaling>
          <c:orientation val="minMax"/>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865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24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95C154"/>
              </a:solidFill>
              <a:scene3d>
                <a:camera prst="orthographicFront"/>
                <a:lightRig rig="threePt" dir="t"/>
              </a:scene3d>
              <a:sp3d>
                <a:bevelT w="63500" h="25400"/>
              </a:sp3d>
            </c:spPr>
          </c:dPt>
          <c:dPt>
            <c:idx val="6"/>
            <c:bubble3D val="0"/>
            <c:spPr>
              <a:solidFill>
                <a:srgbClr val="37ACDE"/>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3831933653883946E-2"/>
                  <c:y val="0.14093219597550305"/>
                </c:manualLayout>
              </c:layout>
              <c:dLblPos val="bestFit"/>
              <c:showLegendKey val="1"/>
              <c:showVal val="1"/>
              <c:showCatName val="1"/>
              <c:showSerName val="0"/>
              <c:showPercent val="0"/>
              <c:showBubbleSize val="0"/>
              <c:separator>
</c:separator>
            </c:dLbl>
            <c:dLbl>
              <c:idx val="2"/>
              <c:layout>
                <c:manualLayout>
                  <c:x val="-8.3194675540765387E-3"/>
                  <c:y val="-2.7777777777777776E-2"/>
                </c:manualLayout>
              </c:layout>
              <c:dLblPos val="bestFit"/>
              <c:showLegendKey val="1"/>
              <c:showVal val="1"/>
              <c:showCatName val="1"/>
              <c:showSerName val="0"/>
              <c:showPercent val="0"/>
              <c:showBubbleSize val="0"/>
              <c:separator>
</c:separator>
            </c:dLbl>
            <c:dLbl>
              <c:idx val="3"/>
              <c:layout>
                <c:manualLayout>
                  <c:x val="3.9779064638550798E-2"/>
                  <c:y val="-3.963254593175853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5.8236272878535771E-2"/>
                  <c:y val="-3.1876640419947508E-3"/>
                </c:manualLayout>
              </c:layout>
              <c:dLblPos val="bestFit"/>
              <c:showLegendKey val="1"/>
              <c:showVal val="1"/>
              <c:showCatName val="1"/>
              <c:showSerName val="0"/>
              <c:showPercent val="0"/>
              <c:showBubbleSize val="0"/>
              <c:separator>
</c:separator>
            </c:dLbl>
            <c:dLbl>
              <c:idx val="5"/>
              <c:layout>
                <c:manualLayout>
                  <c:x val="-3.8824181919023849E-2"/>
                  <c:y val="-0.1388888888888889"/>
                </c:manualLayout>
              </c:layout>
              <c:dLblPos val="bestFit"/>
              <c:showLegendKey val="1"/>
              <c:showVal val="1"/>
              <c:showCatName val="1"/>
              <c:showSerName val="0"/>
              <c:showPercent val="0"/>
              <c:showBubbleSize val="0"/>
              <c:separator>
</c:separator>
            </c:dLbl>
            <c:dLbl>
              <c:idx val="6"/>
              <c:layout>
                <c:manualLayout>
                  <c:x val="0"/>
                  <c:y val="-0.10555555555555556"/>
                </c:manualLayout>
              </c:layout>
              <c:dLblPos val="bestFit"/>
              <c:showLegendKey val="1"/>
              <c:showVal val="1"/>
              <c:showCatName val="1"/>
              <c:showSerName val="0"/>
              <c:showPercent val="0"/>
              <c:showBubbleSize val="0"/>
              <c:separator>
</c:separator>
            </c:dLbl>
            <c:dLbl>
              <c:idx val="7"/>
              <c:layout>
                <c:manualLayout>
                  <c:x val="1.1092623405435386E-2"/>
                  <c:y val="1.1111111111111112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Blad1!$A$2:$A$9</c:f>
              <c:strCache>
                <c:ptCount val="8"/>
                <c:pt idx="0">
                  <c:v>Policy Area</c:v>
                </c:pt>
                <c:pt idx="1">
                  <c:v>Internal market, industry, entrepreneurship and SMEs</c:v>
                </c:pt>
                <c:pt idx="2">
                  <c:v>Financial stability, financial services and capital markets union</c:v>
                </c:pt>
                <c:pt idx="3">
                  <c:v>Health and food safety</c:v>
                </c:pt>
                <c:pt idx="4">
                  <c:v>Mobility and transport</c:v>
                </c:pt>
                <c:pt idx="5">
                  <c:v>Communication networks</c:v>
                </c:pt>
                <c:pt idx="6">
                  <c:v>Migration and home affairs</c:v>
                </c:pt>
                <c:pt idx="7">
                  <c:v>Other</c:v>
                </c:pt>
              </c:strCache>
            </c:strRef>
          </c:cat>
          <c:val>
            <c:numRef>
              <c:f>Blad1!$B$2:$B$9</c:f>
              <c:numCache>
                <c:formatCode>General</c:formatCode>
                <c:ptCount val="8"/>
                <c:pt idx="0">
                  <c:v>0</c:v>
                </c:pt>
                <c:pt idx="1">
                  <c:v>5</c:v>
                </c:pt>
                <c:pt idx="2">
                  <c:v>5</c:v>
                </c:pt>
                <c:pt idx="3">
                  <c:v>3</c:v>
                </c:pt>
                <c:pt idx="4">
                  <c:v>2</c:v>
                </c:pt>
                <c:pt idx="5">
                  <c:v>2</c:v>
                </c:pt>
                <c:pt idx="6">
                  <c:v>2</c:v>
                </c:pt>
                <c:pt idx="7">
                  <c:v>5</c:v>
                </c:pt>
              </c:numCache>
            </c:numRef>
          </c:val>
          <c:extLst/>
        </c:ser>
        <c:dLbls>
          <c:showLegendKey val="0"/>
          <c:showVal val="0"/>
          <c:showCatName val="1"/>
          <c:showSerName val="0"/>
          <c:showPercent val="0"/>
          <c:showBubbleSize val="0"/>
          <c:showLeaderLines val="0"/>
        </c:dLbls>
        <c:firstSliceAng val="34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378576005758478E-2"/>
                  <c:y val="6.512530691728049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7</c:v>
                </c:pt>
                <c:pt idx="1">
                  <c:v>7</c:v>
                </c:pt>
                <c:pt idx="2">
                  <c:v>6</c:v>
                </c:pt>
                <c:pt idx="3">
                  <c:v>13</c:v>
                </c:pt>
                <c:pt idx="4">
                  <c:v>25</c:v>
                </c:pt>
              </c:numCache>
            </c:numRef>
          </c:val>
          <c:smooth val="0"/>
        </c:ser>
        <c:dLbls>
          <c:showLegendKey val="0"/>
          <c:showVal val="1"/>
          <c:showCatName val="0"/>
          <c:showSerName val="0"/>
          <c:showPercent val="0"/>
          <c:showBubbleSize val="0"/>
        </c:dLbls>
        <c:marker val="1"/>
        <c:smooth val="0"/>
        <c:axId val="105929728"/>
        <c:axId val="106063744"/>
      </c:lineChart>
      <c:catAx>
        <c:axId val="105929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063744"/>
        <c:crosses val="autoZero"/>
        <c:auto val="1"/>
        <c:lblAlgn val="ctr"/>
        <c:lblOffset val="100"/>
        <c:noMultiLvlLbl val="0"/>
      </c:catAx>
      <c:valAx>
        <c:axId val="1060637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59297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591508001299167E-2"/>
                  <c:y val="6.512530691728039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6</c:v>
                </c:pt>
                <c:pt idx="1">
                  <c:v>9</c:v>
                </c:pt>
                <c:pt idx="2">
                  <c:v>7</c:v>
                </c:pt>
                <c:pt idx="3">
                  <c:v>23</c:v>
                </c:pt>
                <c:pt idx="4">
                  <c:v>22</c:v>
                </c:pt>
              </c:numCache>
            </c:numRef>
          </c:val>
          <c:smooth val="0"/>
        </c:ser>
        <c:dLbls>
          <c:showLegendKey val="0"/>
          <c:showVal val="1"/>
          <c:showCatName val="0"/>
          <c:showSerName val="0"/>
          <c:showPercent val="0"/>
          <c:showBubbleSize val="0"/>
        </c:dLbls>
        <c:marker val="1"/>
        <c:smooth val="0"/>
        <c:axId val="106100992"/>
        <c:axId val="105975808"/>
      </c:lineChart>
      <c:catAx>
        <c:axId val="106100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5975808"/>
        <c:crosses val="autoZero"/>
        <c:auto val="1"/>
        <c:lblAlgn val="ctr"/>
        <c:lblOffset val="100"/>
        <c:noMultiLvlLbl val="0"/>
      </c:catAx>
      <c:valAx>
        <c:axId val="105975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10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22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Sweden</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3011321346025775"/>
          <c:y val="3.3185840707964605E-2"/>
        </c:manualLayout>
      </c:layout>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5C154"/>
              </a:solidFill>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layout>
                <c:manualLayout>
                  <c:x val="3.3147908750212195E-2"/>
                  <c:y val="0.14586984766439079"/>
                </c:manualLayout>
              </c:layout>
              <c:dLblPos val="bestFit"/>
              <c:showLegendKey val="1"/>
              <c:showVal val="1"/>
              <c:showCatName val="1"/>
              <c:showSerName val="0"/>
              <c:showPercent val="0"/>
              <c:showBubbleSize val="0"/>
              <c:separator>
</c:separator>
            </c:dLbl>
            <c:dLbl>
              <c:idx val="1"/>
              <c:layout>
                <c:manualLayout>
                  <c:x val="-1.0198134437175453E-2"/>
                  <c:y val="-1.6611295681063124E-2"/>
                </c:manualLayout>
              </c:layout>
              <c:dLblPos val="bestFit"/>
              <c:showLegendKey val="1"/>
              <c:showVal val="1"/>
              <c:showCatName val="1"/>
              <c:showSerName val="0"/>
              <c:showPercent val="0"/>
              <c:showBubbleSize val="0"/>
              <c:separator>
</c:separator>
            </c:dLbl>
            <c:dLbl>
              <c:idx val="2"/>
              <c:layout>
                <c:manualLayout>
                  <c:x val="6.921277253278664E-2"/>
                  <c:y val="-4.0878611103844576E-3"/>
                </c:manualLayout>
              </c:layout>
              <c:dLblPos val="bestFit"/>
              <c:showLegendKey val="1"/>
              <c:showVal val="1"/>
              <c:showCatName val="1"/>
              <c:showSerName val="0"/>
              <c:showPercent val="0"/>
              <c:showBubbleSize val="0"/>
              <c:separator>
</c:separator>
            </c:dLbl>
            <c:dLbl>
              <c:idx val="3"/>
              <c:layout>
                <c:manualLayout>
                  <c:x val="-2.7639579878385875E-2"/>
                  <c:y val="0"/>
                </c:manualLayout>
              </c:layout>
              <c:dLblPos val="bestFit"/>
              <c:showLegendKey val="1"/>
              <c:showVal val="1"/>
              <c:showCatName val="1"/>
              <c:showSerName val="0"/>
              <c:showPercent val="0"/>
              <c:showBubbleSize val="0"/>
              <c:separator>
</c:separator>
            </c:dLbl>
            <c:dLbl>
              <c:idx val="4"/>
              <c:layout>
                <c:manualLayout>
                  <c:x val="-1.9347705914870093E-2"/>
                  <c:y val="-0.10520487264673312"/>
                </c:manualLayout>
              </c:layout>
              <c:dLblPos val="bestFit"/>
              <c:showLegendKey val="1"/>
              <c:showVal val="1"/>
              <c:showCatName val="1"/>
              <c:showSerName val="0"/>
              <c:showPercent val="0"/>
              <c:showBubbleSize val="0"/>
              <c:separator>
</c:separator>
            </c:dLbl>
            <c:dLbl>
              <c:idx val="5"/>
              <c:layout>
                <c:manualLayout>
                  <c:x val="1.658374792703151E-2"/>
                  <c:y val="-6.090808416389807E-2"/>
                </c:manualLayout>
              </c:layout>
              <c:dLblPos val="bestFit"/>
              <c:showLegendKey val="1"/>
              <c:showVal val="1"/>
              <c:showCatName val="1"/>
              <c:showSerName val="0"/>
              <c:showPercent val="0"/>
              <c:showBubbleSize val="0"/>
              <c:separator>
</c:separator>
            </c:dLbl>
            <c:dLbl>
              <c:idx val="6"/>
              <c:layout>
                <c:manualLayout>
                  <c:x val="1.9347705914870093E-2"/>
                  <c:y val="-3.3222591362126248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Blad1!$A$4:$A$10</c:f>
              <c:strCache>
                <c:ptCount val="7"/>
                <c:pt idx="0">
                  <c:v>Internal market, industry, entrepreneurship and SMEs</c:v>
                </c:pt>
                <c:pt idx="1">
                  <c:v>Financial stability, financial services and capital markets union</c:v>
                </c:pt>
                <c:pt idx="2">
                  <c:v>Health and food safety</c:v>
                </c:pt>
                <c:pt idx="3">
                  <c:v>Communication networks</c:v>
                </c:pt>
                <c:pt idx="4">
                  <c:v>Mobility and transport</c:v>
                </c:pt>
                <c:pt idx="5">
                  <c:v>Migration and home affairs</c:v>
                </c:pt>
                <c:pt idx="6">
                  <c:v>Other</c:v>
                </c:pt>
              </c:strCache>
            </c:strRef>
          </c:cat>
          <c:val>
            <c:numRef>
              <c:f>Blad1!$B$4:$B$10</c:f>
              <c:numCache>
                <c:formatCode>General</c:formatCode>
                <c:ptCount val="7"/>
                <c:pt idx="0">
                  <c:v>5</c:v>
                </c:pt>
                <c:pt idx="1">
                  <c:v>5</c:v>
                </c:pt>
                <c:pt idx="2">
                  <c:v>3</c:v>
                </c:pt>
                <c:pt idx="3">
                  <c:v>2</c:v>
                </c:pt>
                <c:pt idx="4">
                  <c:v>2</c:v>
                </c:pt>
                <c:pt idx="5">
                  <c:v>2</c:v>
                </c:pt>
                <c:pt idx="6">
                  <c:v>3</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3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5.0102846961101573E-2"/>
                  <c:y val="7.169253603682926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197</c:v>
                </c:pt>
                <c:pt idx="1">
                  <c:v>224</c:v>
                </c:pt>
                <c:pt idx="2">
                  <c:v>187</c:v>
                </c:pt>
                <c:pt idx="3">
                  <c:v>189</c:v>
                </c:pt>
                <c:pt idx="4">
                  <c:v>150</c:v>
                </c:pt>
              </c:numCache>
            </c:numRef>
          </c:val>
          <c:smooth val="0"/>
        </c:ser>
        <c:dLbls>
          <c:showLegendKey val="0"/>
          <c:showVal val="1"/>
          <c:showCatName val="0"/>
          <c:showSerName val="0"/>
          <c:showPercent val="0"/>
          <c:showBubbleSize val="0"/>
        </c:dLbls>
        <c:marker val="1"/>
        <c:smooth val="0"/>
        <c:axId val="106207872"/>
        <c:axId val="106247680"/>
      </c:lineChart>
      <c:catAx>
        <c:axId val="1062078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247680"/>
        <c:crosses val="autoZero"/>
        <c:auto val="1"/>
        <c:lblAlgn val="ctr"/>
        <c:lblOffset val="100"/>
        <c:noMultiLvlLbl val="0"/>
      </c:catAx>
      <c:valAx>
        <c:axId val="10624768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2078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150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United Kingdom</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2.7567717401661427E-3"/>
                  <c:y val="9.984020136284226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3.8503850385038507E-2"/>
                  <c:y val="-4.7297498695943761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3.5727588506882187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Blad1!$A$3:$A$6</c:f>
              <c:strCache>
                <c:ptCount val="4"/>
                <c:pt idx="0">
                  <c:v>Justice and consumers</c:v>
                </c:pt>
                <c:pt idx="1">
                  <c:v>Employment</c:v>
                </c:pt>
                <c:pt idx="2">
                  <c:v>Taxation and customs</c:v>
                </c:pt>
                <c:pt idx="3">
                  <c:v>Other</c:v>
                </c:pt>
              </c:strCache>
            </c:strRef>
          </c:cat>
          <c:val>
            <c:numRef>
              <c:f>Blad1!$B$3:$B$6</c:f>
              <c:numCache>
                <c:formatCode>General</c:formatCode>
                <c:ptCount val="4"/>
                <c:pt idx="0">
                  <c:v>77</c:v>
                </c:pt>
                <c:pt idx="1">
                  <c:v>18</c:v>
                </c:pt>
                <c:pt idx="2">
                  <c:v>17</c:v>
                </c:pt>
                <c:pt idx="3">
                  <c:v>38</c:v>
                </c:pt>
              </c:numCache>
            </c:numRef>
          </c:val>
        </c:ser>
        <c:dLbls>
          <c:showLegendKey val="0"/>
          <c:showVal val="0"/>
          <c:showCatName val="0"/>
          <c:showSerName val="0"/>
          <c:showPercent val="0"/>
          <c:showBubbleSize val="0"/>
          <c:showLeaderLines val="0"/>
        </c:dLbls>
        <c:firstSliceAng val="31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1.1663902708678727E-2"/>
                  <c:y val="2.4833333333333332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64</c:v>
                </c:pt>
                <c:pt idx="1">
                  <c:v>60</c:v>
                </c:pt>
                <c:pt idx="2">
                  <c:v>49</c:v>
                </c:pt>
                <c:pt idx="3">
                  <c:v>33</c:v>
                </c:pt>
                <c:pt idx="4">
                  <c:v>21</c:v>
                </c:pt>
              </c:numCache>
            </c:numRef>
          </c:val>
          <c:smooth val="0"/>
        </c:ser>
        <c:dLbls>
          <c:showLegendKey val="0"/>
          <c:showVal val="0"/>
          <c:showCatName val="0"/>
          <c:showSerName val="0"/>
          <c:showPercent val="0"/>
          <c:showBubbleSize val="0"/>
        </c:dLbls>
        <c:marker val="1"/>
        <c:smooth val="0"/>
        <c:axId val="31779456"/>
        <c:axId val="106381696"/>
      </c:lineChart>
      <c:catAx>
        <c:axId val="317794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381696"/>
        <c:crosses val="autoZero"/>
        <c:auto val="1"/>
        <c:lblAlgn val="ctr"/>
        <c:lblOffset val="100"/>
        <c:noMultiLvlLbl val="0"/>
      </c:catAx>
      <c:valAx>
        <c:axId val="106381696"/>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1779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6661120354963946E-2"/>
                  <c:y val="5.7590759075907591E-2"/>
                </c:manualLayout>
              </c:layout>
              <c:dLblPos val="r"/>
              <c:showLegendKey val="0"/>
              <c:showVal val="1"/>
              <c:showCatName val="0"/>
              <c:showSerName val="0"/>
              <c:showPercent val="0"/>
              <c:showBubbleSize val="0"/>
            </c:dLbl>
            <c:dLbl>
              <c:idx val="2"/>
              <c:layout>
                <c:manualLayout>
                  <c:x val="-5.0496766107231604E-2"/>
                  <c:y val="6.4446090278319226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12</c:v>
                </c:pt>
                <c:pt idx="1">
                  <c:v>28</c:v>
                </c:pt>
                <c:pt idx="2">
                  <c:v>31</c:v>
                </c:pt>
                <c:pt idx="3">
                  <c:v>32</c:v>
                </c:pt>
                <c:pt idx="4">
                  <c:v>21</c:v>
                </c:pt>
              </c:numCache>
            </c:numRef>
          </c:val>
          <c:smooth val="0"/>
        </c:ser>
        <c:dLbls>
          <c:showLegendKey val="0"/>
          <c:showVal val="1"/>
          <c:showCatName val="0"/>
          <c:showSerName val="0"/>
          <c:showPercent val="0"/>
          <c:showBubbleSize val="0"/>
        </c:dLbls>
        <c:marker val="1"/>
        <c:smooth val="0"/>
        <c:axId val="80709120"/>
        <c:axId val="80712064"/>
      </c:lineChart>
      <c:catAx>
        <c:axId val="80709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712064"/>
        <c:crosses val="autoZero"/>
        <c:auto val="1"/>
        <c:lblAlgn val="ctr"/>
        <c:lblOffset val="100"/>
        <c:noMultiLvlLbl val="0"/>
      </c:catAx>
      <c:valAx>
        <c:axId val="80712064"/>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709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4"/>
              <c:layout>
                <c:manualLayout>
                  <c:x val="-1.1663902708678727E-2"/>
                  <c:y val="2.4833333333333332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67</c:v>
                </c:pt>
                <c:pt idx="1">
                  <c:v>89</c:v>
                </c:pt>
                <c:pt idx="2">
                  <c:v>67</c:v>
                </c:pt>
                <c:pt idx="3">
                  <c:v>57</c:v>
                </c:pt>
                <c:pt idx="4">
                  <c:v>45</c:v>
                </c:pt>
              </c:numCache>
            </c:numRef>
          </c:val>
          <c:smooth val="0"/>
        </c:ser>
        <c:dLbls>
          <c:showLegendKey val="0"/>
          <c:showVal val="0"/>
          <c:showCatName val="0"/>
          <c:showSerName val="0"/>
          <c:showPercent val="0"/>
          <c:showBubbleSize val="0"/>
        </c:dLbls>
        <c:marker val="1"/>
        <c:smooth val="0"/>
        <c:axId val="106422272"/>
        <c:axId val="106423808"/>
      </c:lineChart>
      <c:catAx>
        <c:axId val="106422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423808"/>
        <c:crosses val="autoZero"/>
        <c:auto val="1"/>
        <c:lblAlgn val="ctr"/>
        <c:lblOffset val="100"/>
        <c:noMultiLvlLbl val="0"/>
      </c:catAx>
      <c:valAx>
        <c:axId val="106423808"/>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42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21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United Kingdom</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5.756319933692499E-2"/>
                  <c:y val="6.0878384866525831E-2"/>
                </c:manualLayout>
              </c:layout>
              <c:dLblPos val="bestFit"/>
              <c:showLegendKey val="1"/>
              <c:showVal val="1"/>
              <c:showCatName val="1"/>
              <c:showSerName val="0"/>
              <c:showPercent val="0"/>
              <c:showBubbleSize val="0"/>
              <c:separator>
</c:separator>
            </c:dLbl>
            <c:dLbl>
              <c:idx val="1"/>
              <c:layout>
                <c:manualLayout>
                  <c:x val="-3.8379135585025557E-2"/>
                  <c:y val="9.1428205620638914E-2"/>
                </c:manualLayout>
              </c:layout>
              <c:dLblPos val="bestFit"/>
              <c:showLegendKey val="1"/>
              <c:showVal val="1"/>
              <c:showCatName val="1"/>
              <c:showSerName val="0"/>
              <c:showPercent val="0"/>
              <c:showBubbleSize val="0"/>
              <c:separator>
</c:separator>
            </c:dLbl>
            <c:dLbl>
              <c:idx val="2"/>
              <c:layout>
                <c:manualLayout>
                  <c:x val="-2.7444657411244645E-3"/>
                  <c:y val="-6.0913593880033291E-2"/>
                </c:manualLayout>
              </c:layout>
              <c:dLblPos val="bestFit"/>
              <c:showLegendKey val="1"/>
              <c:showVal val="1"/>
              <c:showCatName val="1"/>
              <c:showSerName val="0"/>
              <c:showPercent val="0"/>
              <c:showBubbleSize val="0"/>
              <c:separator>
</c:separator>
            </c:dLbl>
            <c:dLbl>
              <c:idx val="3"/>
              <c:layout>
                <c:manualLayout>
                  <c:x val="1.096685488327117E-2"/>
                  <c:y val="0"/>
                </c:manualLayout>
              </c:layout>
              <c:dLblPos val="bestFit"/>
              <c:showLegendKey val="1"/>
              <c:showVal val="1"/>
              <c:showCatName val="1"/>
              <c:showSerName val="0"/>
              <c:showPercent val="0"/>
              <c:showBubbleSize val="0"/>
              <c:separator>
</c:separator>
            </c:dLbl>
            <c:dLbl>
              <c:idx val="4"/>
              <c:layout>
                <c:manualLayout>
                  <c:x val="-2.1929824561403508E-2"/>
                  <c:y val="-7.621951219512195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Environment</c:v>
                </c:pt>
                <c:pt idx="1">
                  <c:v>Internal market, industry, entrepreneurship and SMEs</c:v>
                </c:pt>
                <c:pt idx="2">
                  <c:v>Mobility and transport</c:v>
                </c:pt>
                <c:pt idx="3">
                  <c:v>Taxation and customs</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4</c:v>
                </c:pt>
                <c:pt idx="1">
                  <c:v>3</c:v>
                </c:pt>
                <c:pt idx="2">
                  <c:v>3</c:v>
                </c:pt>
                <c:pt idx="3">
                  <c:v>3</c:v>
                </c:pt>
                <c:pt idx="4">
                  <c:v>8</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1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555555555555555E-2"/>
          <c:y val="5.0478514870073217E-2"/>
          <c:w val="0.93888888888888888"/>
          <c:h val="0.62764497355081672"/>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4.5055555555555557E-2"/>
                  <c:y val="-5.9092676546744785E-2"/>
                </c:manualLayout>
              </c:layout>
              <c:dLblPos val="r"/>
              <c:showLegendKey val="0"/>
              <c:showVal val="1"/>
              <c:showCatName val="0"/>
              <c:showSerName val="0"/>
              <c:showPercent val="0"/>
              <c:showBubbleSize val="0"/>
            </c:dLbl>
            <c:dLbl>
              <c:idx val="1"/>
              <c:layout>
                <c:manualLayout>
                  <c:x val="-4.2277777777777775E-2"/>
                  <c:y val="-5.909090909090909E-2"/>
                </c:manualLayout>
              </c:layout>
              <c:dLblPos val="r"/>
              <c:showLegendKey val="0"/>
              <c:showVal val="1"/>
              <c:showCatName val="0"/>
              <c:showSerName val="0"/>
              <c:showPercent val="0"/>
              <c:showBubbleSize val="0"/>
            </c:dLbl>
            <c:dLbl>
              <c:idx val="2"/>
              <c:layout>
                <c:manualLayout>
                  <c:x val="-3.6722222222222226E-2"/>
                  <c:y val="6.4388907908250595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70</c:v>
                </c:pt>
                <c:pt idx="1">
                  <c:v>72</c:v>
                </c:pt>
                <c:pt idx="2">
                  <c:v>69</c:v>
                </c:pt>
                <c:pt idx="3">
                  <c:v>83</c:v>
                </c:pt>
                <c:pt idx="4">
                  <c:v>84</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740160"/>
        <c:axId val="1762432"/>
      </c:lineChart>
      <c:catAx>
        <c:axId val="1740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762432"/>
        <c:crosses val="autoZero"/>
        <c:auto val="1"/>
        <c:lblAlgn val="ctr"/>
        <c:lblOffset val="100"/>
        <c:noMultiLvlLbl val="0"/>
      </c:catAx>
      <c:valAx>
        <c:axId val="1762432"/>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740160"/>
        <c:crosses val="autoZero"/>
        <c:crossBetween val="between"/>
      </c:valAx>
      <c:spPr>
        <a:noFill/>
        <a:ln>
          <a:noFill/>
        </a:ln>
        <a:effectLst/>
      </c:spPr>
    </c:plotArea>
    <c:legend>
      <c:legendPos val="b"/>
      <c:legendEntry>
        <c:idx val="0"/>
        <c:delete val="1"/>
      </c:legendEntry>
      <c:layout>
        <c:manualLayout>
          <c:xMode val="edge"/>
          <c:yMode val="edge"/>
          <c:x val="5.0309492563429578E-2"/>
          <c:y val="0.73511722675619262"/>
          <c:w val="0.88826947953329416"/>
          <c:h val="0.26467668040684544"/>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the United Kingdom</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729221347331583E-2"/>
                  <c:y val="6.2385384751771529E-2"/>
                </c:manualLayout>
              </c:layout>
              <c:dLblPos val="r"/>
              <c:showLegendKey val="0"/>
              <c:showVal val="1"/>
              <c:showCatName val="0"/>
              <c:showSerName val="0"/>
              <c:showPercent val="0"/>
              <c:showBubbleSize val="0"/>
            </c:dLbl>
            <c:dLbl>
              <c:idx val="2"/>
              <c:layout>
                <c:manualLayout>
                  <c:x val="-4.4618110236220469E-2"/>
                  <c:y val="-8.0249110320284686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5.5729221347331583E-2"/>
                  <c:y val="-7.4317912218268084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0.78</c:v>
                </c:pt>
                <c:pt idx="1">
                  <c:v>0.82</c:v>
                </c:pt>
                <c:pt idx="2">
                  <c:v>0.76</c:v>
                </c:pt>
                <c:pt idx="3">
                  <c:v>0.81</c:v>
                </c:pt>
                <c:pt idx="4">
                  <c:v>0.79</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4.7395888013998251E-2"/>
                  <c:y val="5.7272720264703945E-2"/>
                </c:manualLayout>
              </c:layout>
              <c:dLblPos val="r"/>
              <c:showLegendKey val="0"/>
              <c:showVal val="1"/>
              <c:showCatName val="0"/>
              <c:showSerName val="0"/>
              <c:showPercent val="0"/>
              <c:showBubbleSize val="0"/>
            </c:dLbl>
            <c:dLbl>
              <c:idx val="1"/>
              <c:layout>
                <c:manualLayout>
                  <c:x val="-4.7395888013998251E-2"/>
                  <c:y val="5.7272720264703945E-2"/>
                </c:manualLayout>
              </c:layout>
              <c:dLblPos val="r"/>
              <c:showLegendKey val="0"/>
              <c:showVal val="1"/>
              <c:showCatName val="0"/>
              <c:showSerName val="0"/>
              <c:showPercent val="0"/>
              <c:showBubbleSize val="0"/>
            </c:dLbl>
            <c:dLbl>
              <c:idx val="2"/>
              <c:layout>
                <c:manualLayout>
                  <c:x val="-4.1840332458442694E-2"/>
                  <c:y val="8.0505506206742003E-2"/>
                </c:manualLayout>
              </c:layout>
              <c:dLblPos val="r"/>
              <c:showLegendKey val="0"/>
              <c:showVal val="1"/>
              <c:showCatName val="0"/>
              <c:showSerName val="0"/>
              <c:showPercent val="0"/>
              <c:showBubbleSize val="0"/>
            </c:dLbl>
            <c:dLbl>
              <c:idx val="3"/>
              <c:layout>
                <c:manualLayout>
                  <c:x val="-3.906255468066492E-2"/>
                  <c:y val="5.1833715491227783E-2"/>
                </c:manualLayout>
              </c:layout>
              <c:dLblPos val="r"/>
              <c:showLegendKey val="0"/>
              <c:showVal val="1"/>
              <c:showCatName val="0"/>
              <c:showSerName val="0"/>
              <c:showPercent val="0"/>
              <c:showBubbleSize val="0"/>
            </c:dLbl>
            <c:dLbl>
              <c:idx val="4"/>
              <c:layout>
                <c:manualLayout>
                  <c:x val="-5.5729221347331583E-2"/>
                  <c:y val="6.8386714116251482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6695680"/>
        <c:axId val="106705664"/>
      </c:lineChart>
      <c:catAx>
        <c:axId val="106695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705664"/>
        <c:crosses val="autoZero"/>
        <c:auto val="1"/>
        <c:lblAlgn val="ctr"/>
        <c:lblOffset val="100"/>
        <c:noMultiLvlLbl val="0"/>
      </c:catAx>
      <c:valAx>
        <c:axId val="106705664"/>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6695680"/>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738587909069509E-2"/>
                  <c:y val="9.1140374694542489E-2"/>
                </c:manualLayout>
              </c:layout>
              <c:dLblPos val="r"/>
              <c:showLegendKey val="0"/>
              <c:showVal val="1"/>
              <c:showCatName val="0"/>
              <c:showSerName val="0"/>
              <c:showPercent val="0"/>
              <c:showBubbleSize val="0"/>
            </c:dLbl>
            <c:dLbl>
              <c:idx val="4"/>
              <c:layout>
                <c:manualLayout>
                  <c:x val="-4.2090707964601771E-2"/>
                  <c:y val="6.017241379310344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61</c:v>
                </c:pt>
                <c:pt idx="1">
                  <c:v>53</c:v>
                </c:pt>
                <c:pt idx="2">
                  <c:v>54</c:v>
                </c:pt>
                <c:pt idx="3">
                  <c:v>48</c:v>
                </c:pt>
                <c:pt idx="4">
                  <c:v>55</c:v>
                </c:pt>
              </c:numCache>
            </c:numRef>
          </c:val>
          <c:smooth val="0"/>
        </c:ser>
        <c:dLbls>
          <c:showLegendKey val="0"/>
          <c:showVal val="1"/>
          <c:showCatName val="0"/>
          <c:showSerName val="0"/>
          <c:showPercent val="0"/>
          <c:showBubbleSize val="0"/>
        </c:dLbls>
        <c:marker val="1"/>
        <c:smooth val="0"/>
        <c:axId val="106745216"/>
        <c:axId val="106756352"/>
      </c:lineChart>
      <c:catAx>
        <c:axId val="106745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756352"/>
        <c:crosses val="autoZero"/>
        <c:auto val="1"/>
        <c:lblAlgn val="ctr"/>
        <c:lblOffset val="100"/>
        <c:noMultiLvlLbl val="0"/>
      </c:catAx>
      <c:valAx>
        <c:axId val="106756352"/>
        <c:scaling>
          <c:orientation val="minMax"/>
          <c:min val="4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745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28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the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United Kingdom</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7.2111223201925048E-2"/>
                  <c:y val="-0.13460995654231744"/>
                </c:manualLayout>
              </c:layout>
              <c:dLblPos val="bestFit"/>
              <c:showLegendKey val="1"/>
              <c:showVal val="1"/>
              <c:showCatName val="1"/>
              <c:showSerName val="0"/>
              <c:showPercent val="0"/>
              <c:showBubbleSize val="0"/>
              <c:separator>
</c:separator>
            </c:dLbl>
            <c:dLbl>
              <c:idx val="2"/>
              <c:layout>
                <c:manualLayout>
                  <c:x val="-3.3277870216306155E-2"/>
                  <c:y val="-6.0109289617486336E-2"/>
                </c:manualLayout>
              </c:layout>
              <c:dLblPos val="bestFit"/>
              <c:showLegendKey val="1"/>
              <c:showVal val="1"/>
              <c:showCatName val="1"/>
              <c:showSerName val="0"/>
              <c:showPercent val="0"/>
              <c:showBubbleSize val="0"/>
              <c:separator>
</c:separator>
            </c:dLbl>
            <c:dLbl>
              <c:idx val="3"/>
              <c:layout>
                <c:manualLayout>
                  <c:x val="-7.3648031932780451E-3"/>
                  <c:y val="2.3359149778408847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1.1092623405435386E-2"/>
                  <c:y val="1.092896174863393E-2"/>
                </c:manualLayout>
              </c:layout>
              <c:dLblPos val="bestFit"/>
              <c:showLegendKey val="1"/>
              <c:showVal val="1"/>
              <c:showCatName val="1"/>
              <c:showSerName val="0"/>
              <c:showPercent val="0"/>
              <c:showBubbleSize val="0"/>
              <c:separator>
</c:separator>
            </c:dLbl>
            <c:dLbl>
              <c:idx val="5"/>
              <c:layout>
                <c:manualLayout>
                  <c:x val="1.3865779256794232E-2"/>
                  <c:y val="2.185792349726776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Health and food safety</c:v>
                </c:pt>
                <c:pt idx="3">
                  <c:v>Mobility and transport</c:v>
                </c:pt>
                <c:pt idx="4">
                  <c:v>Environment</c:v>
                </c:pt>
                <c:pt idx="5">
                  <c:v>Other</c:v>
                </c:pt>
              </c:strCache>
            </c:strRef>
          </c:cat>
          <c:val>
            <c:numRef>
              <c:f>Blad1!$B$2:$B$7</c:f>
              <c:numCache>
                <c:formatCode>General</c:formatCode>
                <c:ptCount val="6"/>
                <c:pt idx="0">
                  <c:v>0</c:v>
                </c:pt>
                <c:pt idx="1">
                  <c:v>15</c:v>
                </c:pt>
                <c:pt idx="2">
                  <c:v>6</c:v>
                </c:pt>
                <c:pt idx="3">
                  <c:v>2</c:v>
                </c:pt>
                <c:pt idx="4">
                  <c:v>2</c:v>
                </c:pt>
                <c:pt idx="5">
                  <c:v>3</c:v>
                </c:pt>
              </c:numCache>
            </c:numRef>
          </c:val>
          <c:extLst/>
        </c:ser>
        <c:dLbls>
          <c:showLegendKey val="0"/>
          <c:showVal val="0"/>
          <c:showCatName val="1"/>
          <c:showSerName val="0"/>
          <c:showPercent val="0"/>
          <c:showBubbleSize val="0"/>
          <c:showLeaderLines val="0"/>
        </c:dLbls>
        <c:firstSliceAng val="34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127292228006381E-2"/>
                  <c:y val="8.464096711038156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25</c:v>
                </c:pt>
                <c:pt idx="1">
                  <c:v>18</c:v>
                </c:pt>
                <c:pt idx="2">
                  <c:v>16</c:v>
                </c:pt>
                <c:pt idx="3">
                  <c:v>14</c:v>
                </c:pt>
                <c:pt idx="4">
                  <c:v>25</c:v>
                </c:pt>
              </c:numCache>
            </c:numRef>
          </c:val>
          <c:smooth val="0"/>
        </c:ser>
        <c:dLbls>
          <c:showLegendKey val="0"/>
          <c:showVal val="1"/>
          <c:showCatName val="0"/>
          <c:showSerName val="0"/>
          <c:showPercent val="0"/>
          <c:showBubbleSize val="0"/>
        </c:dLbls>
        <c:marker val="1"/>
        <c:smooth val="0"/>
        <c:axId val="106624512"/>
        <c:axId val="106631552"/>
      </c:lineChart>
      <c:catAx>
        <c:axId val="1066245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6631552"/>
        <c:crosses val="autoZero"/>
        <c:auto val="1"/>
        <c:lblAlgn val="ctr"/>
        <c:lblOffset val="100"/>
        <c:noMultiLvlLbl val="0"/>
      </c:catAx>
      <c:valAx>
        <c:axId val="106631552"/>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624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66439078836076E-2"/>
                  <c:y val="6.83543221592414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24</c:v>
                </c:pt>
                <c:pt idx="1">
                  <c:v>20</c:v>
                </c:pt>
                <c:pt idx="2">
                  <c:v>20</c:v>
                </c:pt>
                <c:pt idx="3">
                  <c:v>16</c:v>
                </c:pt>
                <c:pt idx="4">
                  <c:v>25</c:v>
                </c:pt>
              </c:numCache>
            </c:numRef>
          </c:val>
          <c:smooth val="0"/>
        </c:ser>
        <c:dLbls>
          <c:showLegendKey val="0"/>
          <c:showVal val="1"/>
          <c:showCatName val="0"/>
          <c:showSerName val="0"/>
          <c:showPercent val="0"/>
          <c:showBubbleSize val="0"/>
        </c:dLbls>
        <c:marker val="1"/>
        <c:smooth val="0"/>
        <c:axId val="106638336"/>
        <c:axId val="111286144"/>
      </c:lineChart>
      <c:catAx>
        <c:axId val="106638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11286144"/>
        <c:crosses val="autoZero"/>
        <c:auto val="1"/>
        <c:lblAlgn val="ctr"/>
        <c:lblOffset val="100"/>
        <c:noMultiLvlLbl val="0"/>
      </c:catAx>
      <c:valAx>
        <c:axId val="111286144"/>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6638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25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the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United Kingdom</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scene3d>
                <a:camera prst="orthographicFront"/>
                <a:lightRig rig="threePt" dir="t"/>
              </a:scene3d>
              <a:sp3d>
                <a:bevelT w="63500" h="25400"/>
              </a:sp3d>
            </c:spPr>
          </c:dPt>
          <c:dPt>
            <c:idx val="4"/>
            <c:bubble3D val="0"/>
            <c:spPr>
              <a:solidFill>
                <a:srgbClr val="FFD617"/>
              </a:solidFill>
              <a:scene3d>
                <a:camera prst="orthographicFront"/>
                <a:lightRig rig="threePt" dir="t"/>
              </a:scene3d>
              <a:sp3d>
                <a:bevelT w="63500" h="25400"/>
              </a:sp3d>
            </c:spPr>
          </c:dPt>
          <c:dPt>
            <c:idx val="5"/>
            <c:bubble3D val="0"/>
            <c:spPr>
              <a:solidFill>
                <a:srgbClr val="A20000"/>
              </a:solidFill>
              <a:scene3d>
                <a:camera prst="orthographicFront"/>
                <a:lightRig rig="threePt" dir="t"/>
              </a:scene3d>
              <a:sp3d>
                <a:bevelT w="63500" h="25400"/>
              </a:sp3d>
            </c:spPr>
          </c:dPt>
          <c:dPt>
            <c:idx val="6"/>
            <c:bubble3D val="0"/>
            <c:spPr>
              <a:solidFill>
                <a:srgbClr val="00A676"/>
              </a:solidFill>
              <a:scene3d>
                <a:camera prst="orthographicFront"/>
                <a:lightRig rig="threePt" dir="t"/>
              </a:scene3d>
              <a:sp3d>
                <a:bevelT w="63500" h="25400"/>
              </a:sp3d>
            </c:spPr>
          </c:dPt>
          <c:dLbls>
            <c:dLbl>
              <c:idx val="0"/>
              <c:layout>
                <c:manualLayout>
                  <c:x val="2.4920213461689381E-2"/>
                  <c:y val="-0.50280569708198242"/>
                </c:manualLayout>
              </c:layout>
              <c:dLblPos val="bestFit"/>
              <c:showLegendKey val="1"/>
              <c:showVal val="1"/>
              <c:showCatName val="1"/>
              <c:showSerName val="0"/>
              <c:showPercent val="0"/>
              <c:showBubbleSize val="0"/>
              <c:separator>
</c:separator>
            </c:dLbl>
            <c:dLbl>
              <c:idx val="1"/>
              <c:layout>
                <c:manualLayout>
                  <c:x val="-6.5153120394834368E-2"/>
                  <c:y val="6.3725490196078427E-2"/>
                </c:manualLayout>
              </c:layout>
              <c:dLblPos val="bestFit"/>
              <c:showLegendKey val="1"/>
              <c:showVal val="1"/>
              <c:showCatName val="1"/>
              <c:showSerName val="0"/>
              <c:showPercent val="0"/>
              <c:showBubbleSize val="0"/>
              <c:separator>
</c:separator>
            </c:dLbl>
            <c:dLbl>
              <c:idx val="2"/>
              <c:layout>
                <c:manualLayout>
                  <c:x val="-1.3682955328258386E-2"/>
                  <c:y val="-4.6718002161494521E-2"/>
                </c:manualLayout>
              </c:layout>
              <c:dLblPos val="bestFit"/>
              <c:showLegendKey val="1"/>
              <c:showVal val="1"/>
              <c:showCatName val="1"/>
              <c:showSerName val="0"/>
              <c:showPercent val="0"/>
              <c:showBubbleSize val="0"/>
              <c:separator>
</c:separator>
            </c:dLbl>
            <c:dLbl>
              <c:idx val="3"/>
              <c:layout>
                <c:manualLayout>
                  <c:x val="8.3056478405315621E-3"/>
                  <c:y val="-1.4705882352941176E-2"/>
                </c:manualLayout>
              </c:layout>
              <c:dLblPos val="bestFit"/>
              <c:showLegendKey val="1"/>
              <c:showVal val="1"/>
              <c:showCatName val="1"/>
              <c:showSerName val="0"/>
              <c:showPercent val="0"/>
              <c:showBubbleSize val="0"/>
              <c:separator>
</c:separator>
            </c:dLbl>
            <c:dLbl>
              <c:idx val="4"/>
              <c:layout>
                <c:manualLayout>
                  <c:x val="0"/>
                  <c:y val="2.9411764705882353E-2"/>
                </c:manualLayout>
              </c:layout>
              <c:dLblPos val="bestFit"/>
              <c:showLegendKey val="1"/>
              <c:showVal val="1"/>
              <c:showCatName val="1"/>
              <c:showSerName val="0"/>
              <c:showPercent val="0"/>
              <c:showBubbleSize val="0"/>
              <c:separator>
</c:separator>
            </c:dLbl>
            <c:dLbl>
              <c:idx val="5"/>
              <c:layout>
                <c:manualLayout>
                  <c:x val="0"/>
                  <c:y val="5.3921568627451073E-2"/>
                </c:manualLayout>
              </c:layout>
              <c:dLblPos val="bestFit"/>
              <c:showLegendKey val="1"/>
              <c:showVal val="1"/>
              <c:showCatName val="1"/>
              <c:showSerName val="0"/>
              <c:showPercent val="0"/>
              <c:showBubbleSize val="0"/>
              <c:separator>
</c:separator>
            </c:dLbl>
            <c:dLbl>
              <c:idx val="6"/>
              <c:layout>
                <c:manualLayout>
                  <c:x val="-3.5991140642303431E-2"/>
                  <c:y val="8.3333333333333329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Blad1!$A$4:$A$10</c:f>
              <c:strCache>
                <c:ptCount val="7"/>
                <c:pt idx="0">
                  <c:v>Internal market, industry, entrepreneurship and SMEs</c:v>
                </c:pt>
                <c:pt idx="1">
                  <c:v>Health and food safety</c:v>
                </c:pt>
                <c:pt idx="2">
                  <c:v>Communication networks</c:v>
                </c:pt>
                <c:pt idx="3">
                  <c:v>Mobility and transport</c:v>
                </c:pt>
                <c:pt idx="4">
                  <c:v>Employment</c:v>
                </c:pt>
                <c:pt idx="5">
                  <c:v>Taxation and customs</c:v>
                </c:pt>
                <c:pt idx="6">
                  <c:v>Environment</c:v>
                </c:pt>
              </c:strCache>
            </c:strRef>
          </c:cat>
          <c:val>
            <c:numRef>
              <c:f>Blad1!$B$4:$B$10</c:f>
              <c:numCache>
                <c:formatCode>General</c:formatCode>
                <c:ptCount val="7"/>
                <c:pt idx="0">
                  <c:v>14</c:v>
                </c:pt>
                <c:pt idx="1">
                  <c:v>6</c:v>
                </c:pt>
                <c:pt idx="2">
                  <c:v>1</c:v>
                </c:pt>
                <c:pt idx="3">
                  <c:v>1</c:v>
                </c:pt>
                <c:pt idx="4">
                  <c:v>1</c:v>
                </c:pt>
                <c:pt idx="5">
                  <c:v>1</c:v>
                </c:pt>
                <c:pt idx="6">
                  <c:v>1</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13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24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Luxembourg</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0099"/>
              </a:solidFill>
              <a:scene3d>
                <a:camera prst="orthographicFront"/>
                <a:lightRig rig="threePt" dir="t"/>
              </a:scene3d>
              <a:sp3d>
                <a:bevelT w="63500" h="25400"/>
              </a:sp3d>
            </c:spPr>
          </c:dPt>
          <c:dPt>
            <c:idx val="5"/>
            <c:bubble3D val="0"/>
            <c:spPr>
              <a:solidFill>
                <a:srgbClr val="92D050"/>
              </a:solidFill>
              <a:scene3d>
                <a:camera prst="orthographicFront"/>
                <a:lightRig rig="threePt" dir="t"/>
              </a:scene3d>
              <a:sp3d>
                <a:bevelT w="63500" h="25400"/>
              </a:sp3d>
            </c:spPr>
          </c:dPt>
          <c:dPt>
            <c:idx val="6"/>
            <c:bubble3D val="0"/>
            <c:spPr>
              <a:solidFill>
                <a:srgbClr val="FF9900"/>
              </a:solidFill>
              <a:scene3d>
                <a:camera prst="orthographicFront"/>
                <a:lightRig rig="threePt" dir="t"/>
              </a:scene3d>
              <a:sp3d>
                <a:bevelT w="63500" h="25400"/>
              </a:sp3d>
            </c:spPr>
          </c:dPt>
          <c:dLbls>
            <c:dLbl>
              <c:idx val="0"/>
              <c:layout>
                <c:manualLayout>
                  <c:x val="-3.0150918635170602E-2"/>
                  <c:y val="4.5634482427501441E-2"/>
                </c:manualLayout>
              </c:layout>
              <c:dLblPos val="bestFit"/>
              <c:showLegendKey val="1"/>
              <c:showVal val="1"/>
              <c:showCatName val="1"/>
              <c:showSerName val="0"/>
              <c:showPercent val="0"/>
              <c:showBubbleSize val="0"/>
              <c:separator>
</c:separator>
            </c:dLbl>
            <c:dLbl>
              <c:idx val="1"/>
              <c:layout>
                <c:manualLayout>
                  <c:x val="2.7392854676060231E-3"/>
                  <c:y val="3.5533496575123232E-2"/>
                </c:manualLayout>
              </c:layout>
              <c:dLblPos val="bestFit"/>
              <c:showLegendKey val="1"/>
              <c:showVal val="1"/>
              <c:showCatName val="1"/>
              <c:showSerName val="0"/>
              <c:showPercent val="0"/>
              <c:showBubbleSize val="0"/>
              <c:separator>
</c:separator>
            </c:dLbl>
            <c:dLbl>
              <c:idx val="2"/>
              <c:layout>
                <c:manualLayout>
                  <c:x val="3.01502711009809E-2"/>
                  <c:y val="-3.5507089814992641E-2"/>
                </c:manualLayout>
              </c:layout>
              <c:dLblPos val="bestFit"/>
              <c:showLegendKey val="1"/>
              <c:showVal val="1"/>
              <c:showCatName val="1"/>
              <c:showSerName val="0"/>
              <c:showPercent val="0"/>
              <c:showBubbleSize val="0"/>
              <c:separator>
</c:separator>
            </c:dLbl>
            <c:dLbl>
              <c:idx val="3"/>
              <c:layout>
                <c:manualLayout>
                  <c:x val="0.10416860926923609"/>
                  <c:y val="-1.1042826963702707E-3"/>
                </c:manualLayout>
              </c:layout>
              <c:dLblPos val="bestFit"/>
              <c:showLegendKey val="1"/>
              <c:showVal val="1"/>
              <c:showCatName val="1"/>
              <c:showSerName val="0"/>
              <c:showPercent val="0"/>
              <c:showBubbleSize val="0"/>
              <c:separator>
</c:separator>
            </c:dLbl>
            <c:dLbl>
              <c:idx val="4"/>
              <c:layout>
                <c:manualLayout>
                  <c:x val="-1.0964912280701754E-2"/>
                  <c:y val="-4.0010242622111261E-7"/>
                </c:manualLayout>
              </c:layout>
              <c:dLblPos val="bestFit"/>
              <c:showLegendKey val="1"/>
              <c:showVal val="1"/>
              <c:showCatName val="1"/>
              <c:showSerName val="0"/>
              <c:showPercent val="0"/>
              <c:showBubbleSize val="0"/>
              <c:separator>
</c:separator>
            </c:dLbl>
            <c:dLbl>
              <c:idx val="5"/>
              <c:layout>
                <c:manualLayout>
                  <c:x val="-5.4824561403508769E-3"/>
                  <c:y val="-4.0650806606491265E-2"/>
                </c:manualLayout>
              </c:layout>
              <c:dLblPos val="bestFit"/>
              <c:showLegendKey val="1"/>
              <c:showVal val="1"/>
              <c:showCatName val="1"/>
              <c:showSerName val="0"/>
              <c:showPercent val="0"/>
              <c:showBubbleSize val="0"/>
              <c:separator>
</c:separator>
            </c:dLbl>
            <c:dLbl>
              <c:idx val="6"/>
              <c:layout>
                <c:manualLayout>
                  <c:x val="-2.7412280701754384E-3"/>
                  <c:y val="2.032520325203252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Blad1!$A$3:$A$9</c:f>
              <c:strCache>
                <c:ptCount val="7"/>
                <c:pt idx="0">
                  <c:v>Other</c:v>
                </c:pt>
                <c:pt idx="1">
                  <c:v>Environment</c:v>
                </c:pt>
                <c:pt idx="2">
                  <c:v>Taxation and customs</c:v>
                </c:pt>
                <c:pt idx="3">
                  <c:v>Energy</c:v>
                </c:pt>
                <c:pt idx="4">
                  <c:v>Internal market, industry, entrepreneurship and SMEs</c:v>
                </c:pt>
                <c:pt idx="5">
                  <c:v>Climate action</c:v>
                </c:pt>
                <c:pt idx="6">
                  <c:v>Mobility and transport</c:v>
                </c:pt>
              </c:strCache>
              <c:extLst>
                <c:ext xmlns:c15="http://schemas.microsoft.com/office/drawing/2012/chart" uri="{02D57815-91ED-43cb-92C2-25804820EDAC}">
                  <c15:fullRef>
                    <c15:sqref>Blad1!$A$2:$A$6</c15:sqref>
                  </c15:fullRef>
                </c:ext>
              </c:extLst>
            </c:strRef>
          </c:cat>
          <c:val>
            <c:numRef>
              <c:f>Blad1!$B$3:$B$9</c:f>
              <c:numCache>
                <c:formatCode>General</c:formatCode>
                <c:ptCount val="7"/>
                <c:pt idx="0">
                  <c:v>5</c:v>
                </c:pt>
                <c:pt idx="1">
                  <c:v>5</c:v>
                </c:pt>
                <c:pt idx="2">
                  <c:v>4</c:v>
                </c:pt>
                <c:pt idx="3">
                  <c:v>4</c:v>
                </c:pt>
                <c:pt idx="4">
                  <c:v>2</c:v>
                </c:pt>
                <c:pt idx="5">
                  <c:v>2</c:v>
                </c:pt>
                <c:pt idx="6">
                  <c:v>2</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9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67</c:v>
                </c:pt>
                <c:pt idx="1">
                  <c:v>69</c:v>
                </c:pt>
                <c:pt idx="2">
                  <c:v>76</c:v>
                </c:pt>
                <c:pt idx="3">
                  <c:v>80</c:v>
                </c:pt>
                <c:pt idx="4">
                  <c:v>81</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80857728"/>
        <c:axId val="80859520"/>
      </c:lineChart>
      <c:catAx>
        <c:axId val="80857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859520"/>
        <c:crosses val="autoZero"/>
        <c:auto val="1"/>
        <c:lblAlgn val="ctr"/>
        <c:lblOffset val="100"/>
        <c:noMultiLvlLbl val="0"/>
      </c:catAx>
      <c:valAx>
        <c:axId val="80859520"/>
        <c:scaling>
          <c:orientation val="minMax"/>
          <c:min val="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857728"/>
        <c:crosses val="autoZero"/>
        <c:crossBetween val="between"/>
      </c:valAx>
      <c:spPr>
        <a:noFill/>
        <a:ln>
          <a:noFill/>
        </a:ln>
        <a:effectLst/>
      </c:spPr>
    </c:plotArea>
    <c:legend>
      <c:legendPos val="b"/>
      <c:legendEntry>
        <c:idx val="0"/>
        <c:delete val="1"/>
      </c:legendEntry>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Luxembourg</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6103242967112332E-2"/>
                  <c:y val="-9.7389326334208229E-2"/>
                </c:manualLayout>
              </c:layout>
              <c:dLblPos val="r"/>
              <c:showLegendKey val="0"/>
              <c:showVal val="1"/>
              <c:showCatName val="0"/>
              <c:showSerName val="0"/>
              <c:showPercent val="0"/>
              <c:showBubbleSize val="0"/>
            </c:dLbl>
            <c:dLbl>
              <c:idx val="2"/>
              <c:layout>
                <c:manualLayout>
                  <c:x val="-4.441112226743469E-2"/>
                  <c:y val="8.6463254593175859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4.2121140058834924E-2"/>
                  <c:y val="-5.8500000000000003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0.67</c:v>
                </c:pt>
                <c:pt idx="1">
                  <c:v>0.74</c:v>
                </c:pt>
                <c:pt idx="2">
                  <c:v>0.62</c:v>
                </c:pt>
                <c:pt idx="3">
                  <c:v>0.83</c:v>
                </c:pt>
                <c:pt idx="4">
                  <c:v>0.77</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1"/>
              <c:layout>
                <c:manualLayout>
                  <c:x val="-4.7713981222145888E-2"/>
                  <c:y val="6.961111111111111E-2"/>
                </c:manualLayout>
              </c:layout>
              <c:dLblPos val="r"/>
              <c:showLegendKey val="0"/>
              <c:showVal val="1"/>
              <c:showCatName val="0"/>
              <c:showSerName val="0"/>
              <c:showPercent val="0"/>
              <c:showBubbleSize val="0"/>
            </c:dLbl>
            <c:dLbl>
              <c:idx val="2"/>
              <c:layout>
                <c:manualLayout>
                  <c:x val="-5.2825705931053922E-2"/>
                  <c:y val="-5.9212160979877512E-2"/>
                </c:manualLayout>
              </c:layout>
              <c:dLblPos val="r"/>
              <c:showLegendKey val="0"/>
              <c:showVal val="1"/>
              <c:showCatName val="0"/>
              <c:showSerName val="0"/>
              <c:showPercent val="0"/>
              <c:showBubbleSize val="0"/>
            </c:dLbl>
            <c:dLbl>
              <c:idx val="4"/>
              <c:layout>
                <c:manualLayout>
                  <c:x val="-5.3306822385456851E-2"/>
                  <c:y val="5.8500000000000003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80795904"/>
        <c:axId val="80801792"/>
      </c:lineChart>
      <c:catAx>
        <c:axId val="807959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801792"/>
        <c:crosses val="autoZero"/>
        <c:auto val="1"/>
        <c:lblAlgn val="ctr"/>
        <c:lblOffset val="100"/>
        <c:noMultiLvlLbl val="0"/>
      </c:catAx>
      <c:valAx>
        <c:axId val="80801792"/>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0795904"/>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30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2.7509246987690895E-2"/>
                  <c:y val="0.1576740604585310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7.4257425742574254E-2"/>
                  <c:y val="-0.11564701888604619"/>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1.1027086960664571E-2"/>
                  <c:y val="-4.2060988433228183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1001100110011002E-2"/>
                  <c:y val="0"/>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4"/>
              <c:layout>
                <c:manualLayout>
                  <c:x val="-3.0253025302530254E-2"/>
                  <c:y val="-0.1419558359621451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Blad1!$A$3:$A$7</c:f>
              <c:strCache>
                <c:ptCount val="5"/>
                <c:pt idx="0">
                  <c:v>Internal market, industry, entrepreneurship and SMEs</c:v>
                </c:pt>
                <c:pt idx="1">
                  <c:v>Justice and consumers</c:v>
                </c:pt>
                <c:pt idx="2">
                  <c:v>Taxation and customs</c:v>
                </c:pt>
                <c:pt idx="3">
                  <c:v>Energy</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9</c:v>
                </c:pt>
                <c:pt idx="1">
                  <c:v>7</c:v>
                </c:pt>
                <c:pt idx="2">
                  <c:v>3</c:v>
                </c:pt>
                <c:pt idx="3">
                  <c:v>3</c:v>
                </c:pt>
                <c:pt idx="4">
                  <c:v>8</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8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944444444444445E-2"/>
                  <c:y val="6.632623892310490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34</c:v>
                </c:pt>
                <c:pt idx="1">
                  <c:v>32</c:v>
                </c:pt>
                <c:pt idx="2">
                  <c:v>36</c:v>
                </c:pt>
                <c:pt idx="3">
                  <c:v>37</c:v>
                </c:pt>
                <c:pt idx="4">
                  <c:v>50</c:v>
                </c:pt>
              </c:numCache>
            </c:numRef>
          </c:val>
          <c:smooth val="0"/>
        </c:ser>
        <c:dLbls>
          <c:showLegendKey val="0"/>
          <c:showVal val="1"/>
          <c:showCatName val="0"/>
          <c:showSerName val="0"/>
          <c:showPercent val="0"/>
          <c:showBubbleSize val="0"/>
        </c:dLbls>
        <c:marker val="1"/>
        <c:smooth val="0"/>
        <c:axId val="92478080"/>
        <c:axId val="92530176"/>
      </c:lineChart>
      <c:catAx>
        <c:axId val="92478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2530176"/>
        <c:crosses val="autoZero"/>
        <c:auto val="1"/>
        <c:lblAlgn val="ctr"/>
        <c:lblOffset val="100"/>
        <c:noMultiLvlLbl val="0"/>
      </c:catAx>
      <c:valAx>
        <c:axId val="92530176"/>
        <c:scaling>
          <c:orientation val="minMax"/>
          <c:min val="2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2478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43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110179447203043E-2"/>
                  <c:y val="0.1768658835678327"/>
                </c:manualLayout>
              </c:layout>
              <c:dLblPos val="bestFit"/>
              <c:showLegendKey val="1"/>
              <c:showVal val="1"/>
              <c:showCatName val="1"/>
              <c:showSerName val="0"/>
              <c:showPercent val="0"/>
              <c:showBubbleSize val="0"/>
              <c:separator>
</c:separator>
            </c:dLbl>
            <c:dLbl>
              <c:idx val="2"/>
              <c:layout>
                <c:manualLayout>
                  <c:x val="-2.2185246810870772E-2"/>
                  <c:y val="-4.9180327868852458E-2"/>
                </c:manualLayout>
              </c:layout>
              <c:dLblPos val="bestFit"/>
              <c:showLegendKey val="1"/>
              <c:showVal val="1"/>
              <c:showCatName val="1"/>
              <c:showSerName val="0"/>
              <c:showPercent val="0"/>
              <c:showBubbleSize val="0"/>
              <c:separator>
</c:separator>
            </c:dLbl>
            <c:dLbl>
              <c:idx val="3"/>
              <c:layout>
                <c:manualLayout>
                  <c:x val="3.145959708447426E-2"/>
                  <c:y val="-3.963254593175853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6.9328896283971153E-2"/>
                  <c:y val="-9.2896174863387873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5"/>
                <c:pt idx="0">
                  <c:v>Policy Area</c:v>
                </c:pt>
                <c:pt idx="1">
                  <c:v>Internal market, industry, entrepreneurship and SMEs</c:v>
                </c:pt>
                <c:pt idx="2">
                  <c:v>Health and food safety</c:v>
                </c:pt>
                <c:pt idx="3">
                  <c:v>Financial stability, financial services and capital markets union</c:v>
                </c:pt>
                <c:pt idx="4">
                  <c:v>Other</c:v>
                </c:pt>
              </c:strCache>
            </c:strRef>
          </c:cat>
          <c:val>
            <c:numRef>
              <c:f>Blad1!$B$2:$B$7</c:f>
              <c:numCache>
                <c:formatCode>General</c:formatCode>
                <c:ptCount val="6"/>
                <c:pt idx="0">
                  <c:v>0</c:v>
                </c:pt>
                <c:pt idx="1">
                  <c:v>13</c:v>
                </c:pt>
                <c:pt idx="2">
                  <c:v>8</c:v>
                </c:pt>
                <c:pt idx="3">
                  <c:v>5</c:v>
                </c:pt>
                <c:pt idx="4">
                  <c:v>9</c:v>
                </c:pt>
              </c:numCache>
            </c:numRef>
          </c:val>
          <c:extLst/>
        </c:ser>
        <c:dLbls>
          <c:showLegendKey val="0"/>
          <c:showVal val="0"/>
          <c:showCatName val="1"/>
          <c:showSerName val="0"/>
          <c:showPercent val="0"/>
          <c:showBubbleSize val="0"/>
          <c:showLeaderLines val="0"/>
        </c:dLbls>
        <c:firstSliceAng val="251"/>
      </c:pieChart>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269921958590448E-2"/>
                  <c:y val="5.971951525861247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13</c:v>
                </c:pt>
                <c:pt idx="1">
                  <c:v>12</c:v>
                </c:pt>
                <c:pt idx="2">
                  <c:v>16</c:v>
                </c:pt>
                <c:pt idx="3">
                  <c:v>25</c:v>
                </c:pt>
                <c:pt idx="4">
                  <c:v>36</c:v>
                </c:pt>
              </c:numCache>
            </c:numRef>
          </c:val>
          <c:smooth val="0"/>
        </c:ser>
        <c:dLbls>
          <c:showLegendKey val="0"/>
          <c:showVal val="1"/>
          <c:showCatName val="0"/>
          <c:showSerName val="0"/>
          <c:showPercent val="0"/>
          <c:showBubbleSize val="0"/>
        </c:dLbls>
        <c:marker val="1"/>
        <c:smooth val="0"/>
        <c:axId val="92660096"/>
        <c:axId val="92662784"/>
      </c:lineChart>
      <c:catAx>
        <c:axId val="926600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2662784"/>
        <c:crosses val="autoZero"/>
        <c:auto val="1"/>
        <c:lblAlgn val="ctr"/>
        <c:lblOffset val="100"/>
        <c:noMultiLvlLbl val="0"/>
      </c:catAx>
      <c:valAx>
        <c:axId val="92662784"/>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2660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4950454404513909E-2"/>
                  <c:y val="-6.6793136006514042E-2"/>
                </c:manualLayout>
              </c:layout>
              <c:dLblPos val="r"/>
              <c:showLegendKey val="0"/>
              <c:showVal val="1"/>
              <c:showCatName val="0"/>
              <c:showSerName val="0"/>
              <c:showPercent val="0"/>
              <c:showBubbleSize val="0"/>
            </c:dLbl>
            <c:dLbl>
              <c:idx val="2"/>
              <c:layout>
                <c:manualLayout>
                  <c:x val="-4.4980587909040491E-2"/>
                  <c:y val="-7.9922992299229917E-2"/>
                </c:manualLayout>
              </c:layout>
              <c:dLblPos val="r"/>
              <c:showLegendKey val="0"/>
              <c:showVal val="1"/>
              <c:showCatName val="0"/>
              <c:showSerName val="0"/>
              <c:showPercent val="0"/>
              <c:showBubbleSize val="0"/>
            </c:dLbl>
            <c:dLbl>
              <c:idx val="3"/>
              <c:layout>
                <c:manualLayout>
                  <c:x val="-4.4980587909040491E-2"/>
                  <c:y val="-9.0924092409240931E-2"/>
                </c:manualLayout>
              </c:layout>
              <c:dLblPos val="r"/>
              <c:showLegendKey val="0"/>
              <c:showVal val="1"/>
              <c:showCatName val="0"/>
              <c:showSerName val="0"/>
              <c:showPercent val="0"/>
              <c:showBubbleSize val="0"/>
            </c:dLbl>
            <c:dLbl>
              <c:idx val="4"/>
              <c:layout>
                <c:manualLayout>
                  <c:x val="-3.3887964503605102E-2"/>
                  <c:y val="-7.4422442244224424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12</c:v>
                </c:pt>
                <c:pt idx="1">
                  <c:v>22</c:v>
                </c:pt>
                <c:pt idx="2">
                  <c:v>17</c:v>
                </c:pt>
                <c:pt idx="3">
                  <c:v>22</c:v>
                </c:pt>
                <c:pt idx="4">
                  <c:v>37</c:v>
                </c:pt>
              </c:numCache>
            </c:numRef>
          </c:val>
          <c:smooth val="0"/>
        </c:ser>
        <c:dLbls>
          <c:showLegendKey val="0"/>
          <c:showVal val="1"/>
          <c:showCatName val="0"/>
          <c:showSerName val="0"/>
          <c:showPercent val="0"/>
          <c:showBubbleSize val="0"/>
        </c:dLbls>
        <c:marker val="1"/>
        <c:smooth val="0"/>
        <c:axId val="92685824"/>
        <c:axId val="92696960"/>
      </c:lineChart>
      <c:catAx>
        <c:axId val="92685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2696960"/>
        <c:crosses val="autoZero"/>
        <c:auto val="1"/>
        <c:lblAlgn val="ctr"/>
        <c:lblOffset val="100"/>
        <c:noMultiLvlLbl val="0"/>
      </c:catAx>
      <c:valAx>
        <c:axId val="92696960"/>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268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37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Luxembourg</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8.3089177806262588E-3"/>
                  <c:y val="0.10294117647058823"/>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2.768549280177187E-2"/>
                  <c:y val="6.3725490196078427E-2"/>
                </c:manualLayout>
              </c:layout>
              <c:dLblPos val="bestFit"/>
              <c:showLegendKey val="1"/>
              <c:showVal val="1"/>
              <c:showCatName val="1"/>
              <c:showSerName val="0"/>
              <c:showPercent val="0"/>
              <c:showBubbleSize val="0"/>
              <c:separator>
</c:separator>
            </c:dLbl>
            <c:dLbl>
              <c:idx val="2"/>
              <c:layout>
                <c:manualLayout>
                  <c:x val="8.4654389131591113E-3"/>
                  <c:y val="-3.8598116411919099E-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0.14673311184939095"/>
                  <c:y val="-0.1225490196078431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4"/>
                <c:pt idx="0">
                  <c:v>Internal market, industry, entrepreneurship and SMEs</c:v>
                </c:pt>
                <c:pt idx="1">
                  <c:v>Health and food safety</c:v>
                </c:pt>
                <c:pt idx="2">
                  <c:v>Financial stability, financial services and capital markets union</c:v>
                </c:pt>
                <c:pt idx="3">
                  <c:v>Other</c:v>
                </c:pt>
              </c:strCache>
            </c:strRef>
          </c:cat>
          <c:val>
            <c:numRef>
              <c:f>Blad1!$B$4:$B$8</c:f>
              <c:numCache>
                <c:formatCode>General</c:formatCode>
                <c:ptCount val="5"/>
                <c:pt idx="0">
                  <c:v>11</c:v>
                </c:pt>
                <c:pt idx="1">
                  <c:v>8</c:v>
                </c:pt>
                <c:pt idx="2">
                  <c:v>5</c:v>
                </c:pt>
                <c:pt idx="3">
                  <c:v>13</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5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3"/>
              <c:layout>
                <c:manualLayout>
                  <c:x val="-3.9303482587064675E-2"/>
                  <c:y val="-6.626436781609196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79</c:v>
                </c:pt>
                <c:pt idx="1">
                  <c:v>70</c:v>
                </c:pt>
                <c:pt idx="2">
                  <c:v>72</c:v>
                </c:pt>
                <c:pt idx="3">
                  <c:v>96</c:v>
                </c:pt>
                <c:pt idx="4">
                  <c:v>69</c:v>
                </c:pt>
              </c:numCache>
            </c:numRef>
          </c:val>
          <c:smooth val="0"/>
        </c:ser>
        <c:dLbls>
          <c:showLegendKey val="0"/>
          <c:showVal val="1"/>
          <c:showCatName val="0"/>
          <c:showSerName val="0"/>
          <c:showPercent val="0"/>
          <c:showBubbleSize val="0"/>
        </c:dLbls>
        <c:marker val="1"/>
        <c:smooth val="0"/>
        <c:axId val="93078272"/>
        <c:axId val="93080960"/>
      </c:lineChart>
      <c:catAx>
        <c:axId val="9307827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3080960"/>
        <c:crosses val="autoZero"/>
        <c:auto val="1"/>
        <c:lblAlgn val="ctr"/>
        <c:lblOffset val="100"/>
        <c:noMultiLvlLbl val="0"/>
      </c:catAx>
      <c:valAx>
        <c:axId val="93080960"/>
        <c:scaling>
          <c:orientation val="minMax"/>
          <c:min val="6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078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69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7.4257425742574254E-2"/>
                  <c:y val="-0.13144058885383808"/>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4.9504950495049507E-2"/>
                  <c:y val="-4.1398610652987297E-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0"/>
                  <c:y val="-1.4945726421421297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65016501650165E-2"/>
                  <c:y val="-7.360672975814928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Taxation and customs</c:v>
                </c:pt>
                <c:pt idx="2">
                  <c:v>Employment</c:v>
                </c:pt>
                <c:pt idx="3">
                  <c:v>Other</c:v>
                </c:pt>
              </c:strCache>
            </c:strRef>
          </c:cat>
          <c:val>
            <c:numRef>
              <c:f>Blad1!$B$3:$B$6</c:f>
              <c:numCache>
                <c:formatCode>General</c:formatCode>
                <c:ptCount val="4"/>
                <c:pt idx="0">
                  <c:v>22</c:v>
                </c:pt>
                <c:pt idx="1">
                  <c:v>11</c:v>
                </c:pt>
                <c:pt idx="2">
                  <c:v>7</c:v>
                </c:pt>
                <c:pt idx="3">
                  <c:v>29</c:v>
                </c:pt>
              </c:numCache>
            </c:numRef>
          </c:val>
          <c:extLst/>
        </c:ser>
        <c:dLbls>
          <c:dLblPos val="outEnd"/>
          <c:showLegendKey val="0"/>
          <c:showVal val="1"/>
          <c:showCatName val="0"/>
          <c:showSerName val="0"/>
          <c:showPercent val="0"/>
          <c:showBubbleSize val="0"/>
          <c:showLeaderLines val="0"/>
        </c:dLbls>
        <c:firstSliceAng val="1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53</c:v>
                </c:pt>
                <c:pt idx="1">
                  <c:v>47</c:v>
                </c:pt>
                <c:pt idx="2">
                  <c:v>38</c:v>
                </c:pt>
                <c:pt idx="3">
                  <c:v>38</c:v>
                </c:pt>
                <c:pt idx="4">
                  <c:v>26</c:v>
                </c:pt>
              </c:numCache>
            </c:numRef>
          </c:val>
          <c:smooth val="0"/>
        </c:ser>
        <c:dLbls>
          <c:showLegendKey val="0"/>
          <c:showVal val="0"/>
          <c:showCatName val="0"/>
          <c:showSerName val="0"/>
          <c:showPercent val="0"/>
          <c:showBubbleSize val="0"/>
        </c:dLbls>
        <c:marker val="1"/>
        <c:smooth val="0"/>
        <c:axId val="93032832"/>
        <c:axId val="93034368"/>
      </c:lineChart>
      <c:catAx>
        <c:axId val="93032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3034368"/>
        <c:crosses val="autoZero"/>
        <c:auto val="1"/>
        <c:lblAlgn val="ctr"/>
        <c:lblOffset val="100"/>
        <c:noMultiLvlLbl val="0"/>
      </c:catAx>
      <c:valAx>
        <c:axId val="93034368"/>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0328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46</c:v>
                </c:pt>
                <c:pt idx="1">
                  <c:v>41</c:v>
                </c:pt>
                <c:pt idx="2">
                  <c:v>36</c:v>
                </c:pt>
                <c:pt idx="3">
                  <c:v>48</c:v>
                </c:pt>
                <c:pt idx="4">
                  <c:v>37</c:v>
                </c:pt>
              </c:numCache>
            </c:numRef>
          </c:val>
          <c:smooth val="0"/>
        </c:ser>
        <c:dLbls>
          <c:showLegendKey val="0"/>
          <c:showVal val="0"/>
          <c:showCatName val="0"/>
          <c:showSerName val="0"/>
          <c:showPercent val="0"/>
          <c:showBubbleSize val="0"/>
        </c:dLbls>
        <c:marker val="1"/>
        <c:smooth val="0"/>
        <c:axId val="93050752"/>
        <c:axId val="93052288"/>
      </c:lineChart>
      <c:catAx>
        <c:axId val="9305075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3052288"/>
        <c:crosses val="autoZero"/>
        <c:auto val="1"/>
        <c:lblAlgn val="ctr"/>
        <c:lblOffset val="100"/>
        <c:noMultiLvlLbl val="0"/>
      </c:catAx>
      <c:valAx>
        <c:axId val="93052288"/>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050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26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Hungary</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000099"/>
              </a:solidFill>
              <a:scene3d>
                <a:camera prst="orthographicFront"/>
                <a:lightRig rig="threePt" dir="t"/>
              </a:scene3d>
              <a:sp3d>
                <a:bevelT w="63500" h="25400"/>
              </a:sp3d>
            </c:spPr>
          </c:dPt>
          <c:dLbls>
            <c:dLbl>
              <c:idx val="0"/>
              <c:layout>
                <c:manualLayout>
                  <c:x val="3.8400720058019061E-2"/>
                  <c:y val="-5.5412585621919211E-2"/>
                </c:manualLayout>
              </c:layout>
              <c:dLblPos val="bestFit"/>
              <c:showLegendKey val="1"/>
              <c:showVal val="1"/>
              <c:showCatName val="1"/>
              <c:showSerName val="0"/>
              <c:showPercent val="0"/>
              <c:showBubbleSize val="0"/>
              <c:separator>
</c:separator>
            </c:dLbl>
            <c:dLbl>
              <c:idx val="1"/>
              <c:layout>
                <c:manualLayout>
                  <c:x val="-4.1120363655200998E-2"/>
                  <c:y val="-4.5958565392740541E-2"/>
                </c:manualLayout>
              </c:layout>
              <c:dLblPos val="bestFit"/>
              <c:showLegendKey val="1"/>
              <c:showVal val="1"/>
              <c:showCatName val="1"/>
              <c:showSerName val="0"/>
              <c:showPercent val="0"/>
              <c:showBubbleSize val="0"/>
              <c:separator>
</c:separator>
            </c:dLbl>
            <c:dLbl>
              <c:idx val="2"/>
              <c:layout>
                <c:manualLayout>
                  <c:x val="1.9257666804807293E-2"/>
                  <c:y val="-6.6139331668907245E-2"/>
                </c:manualLayout>
              </c:layout>
              <c:dLblPos val="bestFit"/>
              <c:showLegendKey val="1"/>
              <c:showVal val="1"/>
              <c:showCatName val="1"/>
              <c:showSerName val="0"/>
              <c:showPercent val="0"/>
              <c:showBubbleSize val="0"/>
              <c:separator>
</c:separator>
            </c:dLbl>
            <c:dLbl>
              <c:idx val="3"/>
              <c:layout>
                <c:manualLayout>
                  <c:x val="0.10689839756872496"/>
                  <c:y val="-1.129889251648422E-3"/>
                </c:manualLayout>
              </c:layout>
              <c:dLblPos val="bestFit"/>
              <c:showLegendKey val="1"/>
              <c:showVal val="1"/>
              <c:showCatName val="1"/>
              <c:showSerName val="0"/>
              <c:showPercent val="0"/>
              <c:showBubbleSize val="0"/>
              <c:separator>
</c:separator>
            </c:dLbl>
            <c:dLbl>
              <c:idx val="4"/>
              <c:layout>
                <c:manualLayout>
                  <c:x val="-2.7412280701754384E-3"/>
                  <c:y val="0"/>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Other</c:v>
                </c:pt>
                <c:pt idx="1">
                  <c:v>Environment</c:v>
                </c:pt>
                <c:pt idx="2">
                  <c:v>Mobility and transport</c:v>
                </c:pt>
                <c:pt idx="3">
                  <c:v>Energy</c:v>
                </c:pt>
                <c:pt idx="4">
                  <c:v>Internal market, industry, entrepreneurship and SMEs</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9</c:v>
                </c:pt>
                <c:pt idx="1">
                  <c:v>6</c:v>
                </c:pt>
                <c:pt idx="2">
                  <c:v>4</c:v>
                </c:pt>
                <c:pt idx="3">
                  <c:v>4</c:v>
                </c:pt>
                <c:pt idx="4">
                  <c:v>3</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5105861767279092E-2"/>
                  <c:y val="6.3159020883259157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32</c:v>
                </c:pt>
                <c:pt idx="1">
                  <c:v>35</c:v>
                </c:pt>
                <c:pt idx="2">
                  <c:v>27</c:v>
                </c:pt>
                <c:pt idx="3">
                  <c:v>26</c:v>
                </c:pt>
                <c:pt idx="4">
                  <c:v>23</c:v>
                </c:pt>
              </c:numCache>
            </c:numRef>
          </c:val>
          <c:smooth val="0"/>
        </c:ser>
        <c:dLbls>
          <c:showLegendKey val="0"/>
          <c:showVal val="1"/>
          <c:showCatName val="0"/>
          <c:showSerName val="0"/>
          <c:showPercent val="0"/>
          <c:showBubbleSize val="0"/>
        </c:dLbls>
        <c:marker val="1"/>
        <c:smooth val="0"/>
        <c:axId val="38213120"/>
        <c:axId val="70766976"/>
      </c:lineChart>
      <c:catAx>
        <c:axId val="38213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0766976"/>
        <c:crosses val="autoZero"/>
        <c:auto val="1"/>
        <c:lblAlgn val="ctr"/>
        <c:lblOffset val="100"/>
        <c:noMultiLvlLbl val="0"/>
      </c:catAx>
      <c:valAx>
        <c:axId val="70766976"/>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82131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449826989619379E-2"/>
          <c:y val="5.6785917092561047E-2"/>
          <c:w val="0.9391003460207612"/>
          <c:h val="0.61309295452208168"/>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3.9368770764119598E-2"/>
                  <c:y val="-5.4209328782707629E-2"/>
                </c:manualLayout>
              </c:layout>
              <c:dLblPos val="r"/>
              <c:showLegendKey val="0"/>
              <c:showVal val="1"/>
              <c:showCatName val="0"/>
              <c:showSerName val="0"/>
              <c:showPercent val="0"/>
              <c:showBubbleSize val="0"/>
            </c:dLbl>
            <c:dLbl>
              <c:idx val="4"/>
              <c:layout>
                <c:manualLayout>
                  <c:x val="-2.5526024363233667E-2"/>
                  <c:y val="5.9556313993174063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65</c:v>
                </c:pt>
                <c:pt idx="1">
                  <c:v>70</c:v>
                </c:pt>
                <c:pt idx="2">
                  <c:v>78</c:v>
                </c:pt>
                <c:pt idx="3">
                  <c:v>66</c:v>
                </c:pt>
                <c:pt idx="4">
                  <c:v>73</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3430912"/>
        <c:axId val="93432448"/>
      </c:lineChart>
      <c:catAx>
        <c:axId val="934309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3432448"/>
        <c:crosses val="autoZero"/>
        <c:auto val="1"/>
        <c:lblAlgn val="ctr"/>
        <c:lblOffset val="100"/>
        <c:noMultiLvlLbl val="0"/>
      </c:catAx>
      <c:valAx>
        <c:axId val="9343244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430912"/>
        <c:crosses val="autoZero"/>
        <c:crossBetween val="between"/>
      </c:valAx>
      <c:spPr>
        <a:noFill/>
        <a:ln>
          <a:noFill/>
        </a:ln>
        <a:effectLst/>
      </c:spPr>
    </c:plotArea>
    <c:legend>
      <c:legendPos val="b"/>
      <c:legendEntry>
        <c:idx val="0"/>
        <c:delete val="1"/>
      </c:legendEntry>
      <c:layout>
        <c:manualLayout>
          <c:xMode val="edge"/>
          <c:yMode val="edge"/>
          <c:x val="5.5865154028662524E-2"/>
          <c:y val="0.78641127623552176"/>
          <c:w val="0.88826947953329416"/>
          <c:h val="0.2131184411147925"/>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Hungary</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2775525152379224E-2"/>
                  <c:y val="-6.0517241379310346E-2"/>
                </c:manualLayout>
              </c:layout>
              <c:dLblPos val="r"/>
              <c:showLegendKey val="0"/>
              <c:showVal val="1"/>
              <c:showCatName val="0"/>
              <c:showSerName val="0"/>
              <c:showPercent val="0"/>
              <c:showBubbleSize val="0"/>
            </c:dLbl>
            <c:dLbl>
              <c:idx val="1"/>
              <c:layout>
                <c:manualLayout>
                  <c:x val="-5.5530903631998411E-2"/>
                  <c:y val="-6.0666670598274235E-2"/>
                </c:manualLayout>
              </c:layout>
              <c:dLblPos val="r"/>
              <c:showLegendKey val="0"/>
              <c:showVal val="1"/>
              <c:showCatName val="0"/>
              <c:showSerName val="0"/>
              <c:showPercent val="0"/>
              <c:showBubbleSize val="0"/>
            </c:dLbl>
            <c:dLbl>
              <c:idx val="2"/>
              <c:layout>
                <c:manualLayout>
                  <c:x val="-4.722730879570286E-2"/>
                  <c:y val="6.5741696081093315E-2"/>
                </c:manualLayout>
              </c:layout>
              <c:dLblPos val="r"/>
              <c:showLegendKey val="0"/>
              <c:showVal val="1"/>
              <c:showCatName val="0"/>
              <c:showSerName val="0"/>
              <c:showPercent val="0"/>
              <c:showBubbleSize val="0"/>
            </c:dLbl>
            <c:dLbl>
              <c:idx val="3"/>
              <c:layout>
                <c:manualLayout>
                  <c:x val="-5.9263958284284234E-2"/>
                  <c:y val="7.2278939270522216E-2"/>
                </c:manualLayout>
              </c:layout>
              <c:dLblPos val="r"/>
              <c:showLegendKey val="0"/>
              <c:showVal val="1"/>
              <c:showCatName val="0"/>
              <c:showSerName val="0"/>
              <c:showPercent val="0"/>
              <c:showBubbleSize val="0"/>
            </c:dLbl>
            <c:dLbl>
              <c:idx val="4"/>
              <c:layout>
                <c:manualLayout>
                  <c:x val="-8.4787366695441117E-3"/>
                  <c:y val="2.7011494252873565E-3"/>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0.75</c:v>
                </c:pt>
                <c:pt idx="1">
                  <c:v>0.76</c:v>
                </c:pt>
                <c:pt idx="2">
                  <c:v>0.62</c:v>
                </c:pt>
                <c:pt idx="3">
                  <c:v>0.69</c:v>
                </c:pt>
                <c:pt idx="4">
                  <c:v>0.5</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5.5544074432556385E-2"/>
                  <c:y val="8.3505747126436838E-2"/>
                </c:manualLayout>
              </c:layout>
              <c:dLblPos val="r"/>
              <c:showLegendKey val="0"/>
              <c:showVal val="1"/>
              <c:showCatName val="0"/>
              <c:showSerName val="0"/>
              <c:showPercent val="0"/>
              <c:showBubbleSize val="0"/>
            </c:dLbl>
            <c:dLbl>
              <c:idx val="1"/>
              <c:layout>
                <c:manualLayout>
                  <c:x val="-4.4463255460376799E-2"/>
                  <c:y val="7.7928393631340118E-2"/>
                </c:manualLayout>
              </c:layout>
              <c:dLblPos val="r"/>
              <c:showLegendKey val="0"/>
              <c:showVal val="1"/>
              <c:showCatName val="0"/>
              <c:showSerName val="0"/>
              <c:showPercent val="0"/>
              <c:showBubbleSize val="0"/>
            </c:dLbl>
            <c:dLbl>
              <c:idx val="2"/>
              <c:layout>
                <c:manualLayout>
                  <c:x val="-4.722730879570286E-2"/>
                  <c:y val="-5.9980993755090944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2234496"/>
        <c:axId val="92236032"/>
      </c:lineChart>
      <c:catAx>
        <c:axId val="922344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2236032"/>
        <c:crosses val="autoZero"/>
        <c:auto val="1"/>
        <c:lblAlgn val="ctr"/>
        <c:lblOffset val="100"/>
        <c:noMultiLvlLbl val="0"/>
      </c:catAx>
      <c:valAx>
        <c:axId val="92236032"/>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2234496"/>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4"/>
              <c:layout>
                <c:manualLayout>
                  <c:x val="-4.4980587909040491E-2"/>
                  <c:y val="-8.0249110320284714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42</c:v>
                </c:pt>
                <c:pt idx="1">
                  <c:v>37</c:v>
                </c:pt>
                <c:pt idx="2">
                  <c:v>44</c:v>
                </c:pt>
                <c:pt idx="3">
                  <c:v>38</c:v>
                </c:pt>
                <c:pt idx="4">
                  <c:v>57</c:v>
                </c:pt>
              </c:numCache>
            </c:numRef>
          </c:val>
          <c:smooth val="0"/>
        </c:ser>
        <c:dLbls>
          <c:showLegendKey val="0"/>
          <c:showVal val="1"/>
          <c:showCatName val="0"/>
          <c:showSerName val="0"/>
          <c:showPercent val="0"/>
          <c:showBubbleSize val="0"/>
        </c:dLbls>
        <c:marker val="1"/>
        <c:smooth val="0"/>
        <c:axId val="92324992"/>
        <c:axId val="92332032"/>
      </c:lineChart>
      <c:catAx>
        <c:axId val="92324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2332032"/>
        <c:crosses val="autoZero"/>
        <c:auto val="1"/>
        <c:lblAlgn val="ctr"/>
        <c:lblOffset val="100"/>
        <c:noMultiLvlLbl val="0"/>
      </c:catAx>
      <c:valAx>
        <c:axId val="92332032"/>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2324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45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6635878085954729E-2"/>
                  <c:y val="5.6117206660642828E-2"/>
                </c:manualLayout>
              </c:layout>
              <c:dLblPos val="bestFit"/>
              <c:showLegendKey val="1"/>
              <c:showVal val="1"/>
              <c:showCatName val="1"/>
              <c:showSerName val="0"/>
              <c:showPercent val="0"/>
              <c:showBubbleSize val="0"/>
              <c:separator>
</c:separator>
            </c:dLbl>
            <c:dLbl>
              <c:idx val="2"/>
              <c:layout>
                <c:manualLayout>
                  <c:x val="-4.7143649473100388E-2"/>
                  <c:y val="4.3715846994535519E-2"/>
                </c:manualLayout>
              </c:layout>
              <c:dLblPos val="bestFit"/>
              <c:showLegendKey val="1"/>
              <c:showVal val="1"/>
              <c:showCatName val="1"/>
              <c:showSerName val="0"/>
              <c:showPercent val="0"/>
              <c:showBubbleSize val="0"/>
              <c:separator>
</c:separator>
            </c:dLbl>
            <c:dLbl>
              <c:idx val="3"/>
              <c:layout>
                <c:manualLayout>
                  <c:x val="-1.0132281717697101E-2"/>
                  <c:y val="-3.6262639301234884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0.15806988352745424"/>
                  <c:y val="-0.13114797125769115"/>
                </c:manualLayout>
              </c:layout>
              <c:dLblPos val="bestFit"/>
              <c:showLegendKey val="1"/>
              <c:showVal val="1"/>
              <c:showCatName val="1"/>
              <c:showSerName val="0"/>
              <c:showPercent val="0"/>
              <c:showBubbleSize val="0"/>
              <c:separator>
</c:separator>
            </c:dLbl>
            <c:dLbl>
              <c:idx val="5"/>
              <c:layout>
                <c:manualLayout>
                  <c:x val="-1.3865779256794232E-2"/>
                  <c:y val="7.1038251366120214E-2"/>
                </c:manualLayout>
              </c:layout>
              <c:dLblPos val="bestFit"/>
              <c:showLegendKey val="1"/>
              <c:showVal val="1"/>
              <c:showCatName val="1"/>
              <c:showSerName val="0"/>
              <c:showPercent val="0"/>
              <c:showBubbleSize val="0"/>
              <c:separator>
</c:separator>
            </c:dLbl>
            <c:dLbl>
              <c:idx val="6"/>
              <c:layout>
                <c:manualLayout>
                  <c:x val="4.9916805324459232E-2"/>
                  <c:y val="3.2786885245901641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Internal market, industry, entrepreneurship and SMEs</c:v>
                </c:pt>
                <c:pt idx="2">
                  <c:v>Health and food safety</c:v>
                </c:pt>
                <c:pt idx="3">
                  <c:v>Environment</c:v>
                </c:pt>
                <c:pt idx="4">
                  <c:v>Other</c:v>
                </c:pt>
              </c:strCache>
            </c:strRef>
          </c:cat>
          <c:val>
            <c:numRef>
              <c:f>Blad1!$B$2:$B$6</c:f>
              <c:numCache>
                <c:formatCode>General</c:formatCode>
                <c:ptCount val="5"/>
                <c:pt idx="0">
                  <c:v>0</c:v>
                </c:pt>
                <c:pt idx="1">
                  <c:v>17</c:v>
                </c:pt>
                <c:pt idx="2">
                  <c:v>8</c:v>
                </c:pt>
                <c:pt idx="3">
                  <c:v>5</c:v>
                </c:pt>
                <c:pt idx="4">
                  <c:v>15</c:v>
                </c:pt>
              </c:numCache>
            </c:numRef>
          </c:val>
          <c:extLst/>
        </c:ser>
        <c:dLbls>
          <c:showLegendKey val="0"/>
          <c:showVal val="0"/>
          <c:showCatName val="1"/>
          <c:showSerName val="0"/>
          <c:showPercent val="0"/>
          <c:showBubbleSize val="0"/>
          <c:showLeaderLines val="0"/>
        </c:dLbls>
        <c:firstSliceAng val="23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429269919855336E-2"/>
                  <c:y val="6.9111548556430452E-2"/>
                </c:manualLayout>
              </c:layout>
              <c:dLblPos val="r"/>
              <c:showLegendKey val="0"/>
              <c:showVal val="1"/>
              <c:showCatName val="0"/>
              <c:showSerName val="0"/>
              <c:showPercent val="0"/>
              <c:showBubbleSize val="0"/>
            </c:dLbl>
            <c:dLbl>
              <c:idx val="2"/>
              <c:layout>
                <c:manualLayout>
                  <c:x val="-4.2419175027870681E-2"/>
                  <c:y val="7.4833333333333335E-2"/>
                </c:manualLayout>
              </c:layout>
              <c:dLblPos val="r"/>
              <c:showLegendKey val="0"/>
              <c:showVal val="1"/>
              <c:showCatName val="0"/>
              <c:showSerName val="0"/>
              <c:showPercent val="0"/>
              <c:showBubbleSize val="0"/>
            </c:dLbl>
            <c:dLbl>
              <c:idx val="4"/>
              <c:layout>
                <c:manualLayout>
                  <c:x val="-3.9632107023411474E-2"/>
                  <c:y val="-5.85000000000000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18</c:v>
                </c:pt>
                <c:pt idx="1">
                  <c:v>16</c:v>
                </c:pt>
                <c:pt idx="2">
                  <c:v>18</c:v>
                </c:pt>
                <c:pt idx="3">
                  <c:v>13</c:v>
                </c:pt>
                <c:pt idx="4">
                  <c:v>32</c:v>
                </c:pt>
              </c:numCache>
            </c:numRef>
          </c:val>
          <c:smooth val="0"/>
        </c:ser>
        <c:dLbls>
          <c:showLegendKey val="0"/>
          <c:showVal val="1"/>
          <c:showCatName val="0"/>
          <c:showSerName val="0"/>
          <c:showPercent val="0"/>
          <c:showBubbleSize val="0"/>
        </c:dLbls>
        <c:marker val="1"/>
        <c:smooth val="0"/>
        <c:axId val="92409216"/>
        <c:axId val="92449024"/>
      </c:lineChart>
      <c:catAx>
        <c:axId val="924092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2449024"/>
        <c:crosses val="autoZero"/>
        <c:auto val="1"/>
        <c:lblAlgn val="ctr"/>
        <c:lblOffset val="100"/>
        <c:noMultiLvlLbl val="0"/>
      </c:catAx>
      <c:valAx>
        <c:axId val="92449024"/>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2409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577541937692569E-2"/>
                  <c:y val="7.4667104111985905E-2"/>
                </c:manualLayout>
              </c:layout>
              <c:dLblPos val="r"/>
              <c:showLegendKey val="0"/>
              <c:showVal val="1"/>
              <c:showCatName val="0"/>
              <c:showSerName val="0"/>
              <c:showPercent val="0"/>
              <c:showBubbleSize val="0"/>
            </c:dLbl>
            <c:dLbl>
              <c:idx val="4"/>
              <c:layout>
                <c:manualLayout>
                  <c:x val="-3.6845258473125642E-2"/>
                  <c:y val="-6.790341578327444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26</c:v>
                </c:pt>
                <c:pt idx="1">
                  <c:v>21</c:v>
                </c:pt>
                <c:pt idx="2">
                  <c:v>26</c:v>
                </c:pt>
                <c:pt idx="3">
                  <c:v>17</c:v>
                </c:pt>
                <c:pt idx="4">
                  <c:v>36</c:v>
                </c:pt>
              </c:numCache>
            </c:numRef>
          </c:val>
          <c:smooth val="0"/>
        </c:ser>
        <c:dLbls>
          <c:showLegendKey val="0"/>
          <c:showVal val="1"/>
          <c:showCatName val="0"/>
          <c:showSerName val="0"/>
          <c:showPercent val="0"/>
          <c:showBubbleSize val="0"/>
        </c:dLbls>
        <c:marker val="1"/>
        <c:smooth val="0"/>
        <c:axId val="93860992"/>
        <c:axId val="93868032"/>
      </c:lineChart>
      <c:catAx>
        <c:axId val="938609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3868032"/>
        <c:crosses val="autoZero"/>
        <c:auto val="1"/>
        <c:lblAlgn val="ctr"/>
        <c:lblOffset val="100"/>
        <c:noMultiLvlLbl val="0"/>
      </c:catAx>
      <c:valAx>
        <c:axId val="93868032"/>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8609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36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Hungary</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3.3225861302220945E-2"/>
                  <c:y val="-2.9411764705882353E-2"/>
                </c:manualLayout>
              </c:layout>
              <c:dLblPos val="bestFit"/>
              <c:showLegendKey val="1"/>
              <c:showVal val="1"/>
              <c:showCatName val="1"/>
              <c:showSerName val="0"/>
              <c:showPercent val="0"/>
              <c:showBubbleSize val="0"/>
              <c:separator>
</c:separator>
            </c:dLbl>
            <c:dLbl>
              <c:idx val="1"/>
              <c:layout>
                <c:manualLayout>
                  <c:x val="-6.0908084163898119E-2"/>
                  <c:y val="-9.8039215686274508E-3"/>
                </c:manualLayout>
              </c:layout>
              <c:dLblPos val="bestFit"/>
              <c:showLegendKey val="1"/>
              <c:showVal val="1"/>
              <c:showCatName val="1"/>
              <c:showSerName val="0"/>
              <c:showPercent val="0"/>
              <c:showBubbleSize val="0"/>
              <c:separator>
</c:separator>
            </c:dLbl>
            <c:dLbl>
              <c:idx val="2"/>
              <c:layout>
                <c:manualLayout>
                  <c:x val="-8.1460747639103253E-3"/>
                  <c:y val="0"/>
                </c:manualLayout>
              </c:layout>
              <c:dLblPos val="bestFit"/>
              <c:showLegendKey val="1"/>
              <c:showVal val="1"/>
              <c:showCatName val="1"/>
              <c:showSerName val="0"/>
              <c:showPercent val="0"/>
              <c:showBubbleSize val="0"/>
              <c:separator>
</c:separator>
            </c:dLbl>
            <c:dLbl>
              <c:idx val="3"/>
              <c:layout>
                <c:manualLayout>
                  <c:x val="0.10520487264673312"/>
                  <c:y val="-5.8823529411764705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Blad1!$A$4:$A$7</c:f>
              <c:strCache>
                <c:ptCount val="4"/>
                <c:pt idx="0">
                  <c:v>Internal market, industry, entrepreneurship and SMEs</c:v>
                </c:pt>
                <c:pt idx="1">
                  <c:v>Health and food safety</c:v>
                </c:pt>
                <c:pt idx="2">
                  <c:v>Employment</c:v>
                </c:pt>
                <c:pt idx="3">
                  <c:v>Other</c:v>
                </c:pt>
              </c:strCache>
            </c:strRef>
          </c:cat>
          <c:val>
            <c:numRef>
              <c:f>Blad1!$B$4:$B$7</c:f>
              <c:numCache>
                <c:formatCode>General</c:formatCode>
                <c:ptCount val="4"/>
                <c:pt idx="0">
                  <c:v>16</c:v>
                </c:pt>
                <c:pt idx="1">
                  <c:v>8</c:v>
                </c:pt>
                <c:pt idx="2">
                  <c:v>3</c:v>
                </c:pt>
                <c:pt idx="3">
                  <c:v>9</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1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35</c:v>
                </c:pt>
                <c:pt idx="1">
                  <c:v>15</c:v>
                </c:pt>
                <c:pt idx="2">
                  <c:v>27</c:v>
                </c:pt>
                <c:pt idx="3">
                  <c:v>26</c:v>
                </c:pt>
                <c:pt idx="4">
                  <c:v>28</c:v>
                </c:pt>
              </c:numCache>
            </c:numRef>
          </c:val>
          <c:smooth val="0"/>
        </c:ser>
        <c:dLbls>
          <c:showLegendKey val="0"/>
          <c:showVal val="1"/>
          <c:showCatName val="0"/>
          <c:showSerName val="0"/>
          <c:showPercent val="0"/>
          <c:showBubbleSize val="0"/>
        </c:dLbls>
        <c:marker val="1"/>
        <c:smooth val="0"/>
        <c:axId val="93977600"/>
        <c:axId val="94148480"/>
      </c:lineChart>
      <c:catAx>
        <c:axId val="939776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148480"/>
        <c:crosses val="autoZero"/>
        <c:auto val="1"/>
        <c:lblAlgn val="ctr"/>
        <c:lblOffset val="100"/>
        <c:noMultiLvlLbl val="0"/>
      </c:catAx>
      <c:valAx>
        <c:axId val="9414848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977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28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3.3009797042696395E-2"/>
                  <c:y val="0.10509782491699579"/>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4.1254125412541254E-2"/>
                  <c:y val="-3.1525042019589826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3.3029287180686574E-2"/>
                  <c:y val="-0.1104105086233306"/>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Internal Market, Industry, Entrepreneurship and SMEs</c:v>
                </c:pt>
                <c:pt idx="2">
                  <c:v>Taxation and Customs Union</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8</c:v>
                </c:pt>
                <c:pt idx="1">
                  <c:v>6</c:v>
                </c:pt>
                <c:pt idx="2">
                  <c:v>5</c:v>
                </c:pt>
                <c:pt idx="3">
                  <c:v>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8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905869324474025E-2"/>
                  <c:y val="-6.0429769392033546E-2"/>
                </c:manualLayout>
              </c:layout>
              <c:dLblPos val="r"/>
              <c:showLegendKey val="0"/>
              <c:showVal val="1"/>
              <c:showCatName val="0"/>
              <c:showSerName val="0"/>
              <c:showPercent val="0"/>
              <c:showBubbleSize val="0"/>
            </c:dLbl>
            <c:dLbl>
              <c:idx val="2"/>
              <c:layout>
                <c:manualLayout>
                  <c:x val="-4.2127292228006381E-2"/>
                  <c:y val="6.0214348206474193E-2"/>
                </c:manualLayout>
              </c:layout>
              <c:dLblPos val="r"/>
              <c:showLegendKey val="0"/>
              <c:showVal val="1"/>
              <c:showCatName val="0"/>
              <c:showSerName val="0"/>
              <c:showPercent val="0"/>
              <c:showBubbleSize val="0"/>
            </c:dLbl>
            <c:dLbl>
              <c:idx val="4"/>
              <c:layout>
                <c:manualLayout>
                  <c:x val="-8.9147286821705425E-3"/>
                  <c:y val="3.915094339622641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28</c:v>
                </c:pt>
                <c:pt idx="1">
                  <c:v>45</c:v>
                </c:pt>
                <c:pt idx="2">
                  <c:v>29</c:v>
                </c:pt>
                <c:pt idx="3">
                  <c:v>25</c:v>
                </c:pt>
                <c:pt idx="4">
                  <c:v>21</c:v>
                </c:pt>
              </c:numCache>
            </c:numRef>
          </c:val>
          <c:smooth val="0"/>
        </c:ser>
        <c:dLbls>
          <c:showLegendKey val="0"/>
          <c:showVal val="1"/>
          <c:showCatName val="0"/>
          <c:showSerName val="0"/>
          <c:showPercent val="0"/>
          <c:showBubbleSize val="0"/>
        </c:dLbls>
        <c:marker val="1"/>
        <c:smooth val="0"/>
        <c:axId val="94059136"/>
        <c:axId val="94074368"/>
      </c:lineChart>
      <c:catAx>
        <c:axId val="94059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crossAx val="94074368"/>
        <c:crosses val="autoZero"/>
        <c:auto val="1"/>
        <c:lblAlgn val="ctr"/>
        <c:lblOffset val="100"/>
        <c:noMultiLvlLbl val="0"/>
      </c:catAx>
      <c:valAx>
        <c:axId val="94074368"/>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05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4.7883639545056866E-2"/>
                  <c:y val="7.5236791053292257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30</c:v>
                </c:pt>
                <c:pt idx="1">
                  <c:v>30</c:v>
                </c:pt>
                <c:pt idx="2">
                  <c:v>29</c:v>
                </c:pt>
                <c:pt idx="3">
                  <c:v>26</c:v>
                </c:pt>
                <c:pt idx="4">
                  <c:v>24</c:v>
                </c:pt>
              </c:numCache>
            </c:numRef>
          </c:val>
          <c:smooth val="0"/>
        </c:ser>
        <c:dLbls>
          <c:showLegendKey val="0"/>
          <c:showVal val="1"/>
          <c:showCatName val="0"/>
          <c:showSerName val="0"/>
          <c:showPercent val="0"/>
          <c:showBubbleSize val="0"/>
        </c:dLbls>
        <c:marker val="1"/>
        <c:smooth val="0"/>
        <c:axId val="70773376"/>
        <c:axId val="77850112"/>
      </c:lineChart>
      <c:catAx>
        <c:axId val="70773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77850112"/>
        <c:crosses val="autoZero"/>
        <c:auto val="1"/>
        <c:lblAlgn val="ctr"/>
        <c:lblOffset val="100"/>
        <c:noMultiLvlLbl val="0"/>
      </c:catAx>
      <c:valAx>
        <c:axId val="77850112"/>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70773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4.4905869324474025E-2"/>
                  <c:y val="-6.0429769392033546E-2"/>
                </c:manualLayout>
              </c:layout>
              <c:dLblPos val="r"/>
              <c:showLegendKey val="0"/>
              <c:showVal val="1"/>
              <c:showCatName val="0"/>
              <c:showSerName val="0"/>
              <c:showPercent val="0"/>
              <c:showBubbleSize val="0"/>
            </c:dLbl>
            <c:dLbl>
              <c:idx val="2"/>
              <c:layout>
                <c:manualLayout>
                  <c:x val="-4.489584150818357E-2"/>
                  <c:y val="3.9249987619472092E-2"/>
                </c:manualLayout>
              </c:layout>
              <c:dLblPos val="r"/>
              <c:showLegendKey val="0"/>
              <c:showVal val="1"/>
              <c:showCatName val="0"/>
              <c:showSerName val="0"/>
              <c:showPercent val="0"/>
              <c:showBubbleSize val="0"/>
            </c:dLbl>
            <c:dLbl>
              <c:idx val="4"/>
              <c:layout>
                <c:manualLayout>
                  <c:x val="-8.9147286821705425E-3"/>
                  <c:y val="3.915094339622641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27</c:v>
                </c:pt>
                <c:pt idx="1">
                  <c:v>32</c:v>
                </c:pt>
                <c:pt idx="2">
                  <c:v>21</c:v>
                </c:pt>
                <c:pt idx="3">
                  <c:v>23</c:v>
                </c:pt>
                <c:pt idx="4">
                  <c:v>26</c:v>
                </c:pt>
              </c:numCache>
            </c:numRef>
          </c:val>
          <c:smooth val="0"/>
        </c:ser>
        <c:dLbls>
          <c:showLegendKey val="0"/>
          <c:showVal val="1"/>
          <c:showCatName val="0"/>
          <c:showSerName val="0"/>
          <c:showPercent val="0"/>
          <c:showBubbleSize val="0"/>
        </c:dLbls>
        <c:marker val="1"/>
        <c:smooth val="0"/>
        <c:axId val="93614080"/>
        <c:axId val="93616768"/>
      </c:lineChart>
      <c:catAx>
        <c:axId val="93614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crossAx val="93616768"/>
        <c:crosses val="autoZero"/>
        <c:auto val="1"/>
        <c:lblAlgn val="ctr"/>
        <c:lblOffset val="100"/>
        <c:noMultiLvlLbl val="0"/>
      </c:catAx>
      <c:valAx>
        <c:axId val="93616768"/>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614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21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Malta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A20000"/>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layout>
                <c:manualLayout>
                  <c:x val="1.3708730487636414E-2"/>
                  <c:y val="2.0227978362460791E-2"/>
                </c:manualLayout>
              </c:layout>
              <c:dLblPos val="bestFit"/>
              <c:showLegendKey val="1"/>
              <c:showVal val="1"/>
              <c:showCatName val="1"/>
              <c:showSerName val="0"/>
              <c:showPercent val="0"/>
              <c:showBubbleSize val="0"/>
              <c:separator>
</c:separator>
            </c:dLbl>
            <c:dLbl>
              <c:idx val="1"/>
              <c:layout>
                <c:manualLayout>
                  <c:x val="-3.8379135585025557E-2"/>
                  <c:y val="1.5208693425516933E-2"/>
                </c:manualLayout>
              </c:layout>
              <c:dLblPos val="bestFit"/>
              <c:showLegendKey val="1"/>
              <c:showVal val="1"/>
              <c:showCatName val="1"/>
              <c:showSerName val="0"/>
              <c:showPercent val="0"/>
              <c:showBubbleSize val="0"/>
              <c:separator>
</c:separator>
            </c:dLbl>
            <c:dLbl>
              <c:idx val="2"/>
              <c:layout>
                <c:manualLayout>
                  <c:x val="-1.9191834162177096E-2"/>
                  <c:y val="5.5956324819153705E-2"/>
                </c:manualLayout>
              </c:layout>
              <c:dLblPos val="bestFit"/>
              <c:showLegendKey val="1"/>
              <c:showVal val="1"/>
              <c:showCatName val="1"/>
              <c:showSerName val="0"/>
              <c:showPercent val="0"/>
              <c:showBubbleSize val="0"/>
              <c:separator>
</c:separator>
            </c:dLbl>
            <c:dLbl>
              <c:idx val="3"/>
              <c:layout>
                <c:manualLayout>
                  <c:x val="-8.2217416079568995E-3"/>
                  <c:y val="9.0583189296459896E-3"/>
                </c:manualLayout>
              </c:layout>
              <c:dLblPos val="bestFit"/>
              <c:showLegendKey val="1"/>
              <c:showVal val="1"/>
              <c:showCatName val="1"/>
              <c:showSerName val="0"/>
              <c:showPercent val="0"/>
              <c:showBubbleSize val="0"/>
              <c:separator>
</c:separator>
            </c:dLbl>
            <c:dLbl>
              <c:idx val="4"/>
              <c:layout>
                <c:manualLayout>
                  <c:x val="1.0239889832849841E-2"/>
                  <c:y val="-4.5731707317073267E-2"/>
                </c:manualLayout>
              </c:layout>
              <c:dLblPos val="bestFit"/>
              <c:showLegendKey val="1"/>
              <c:showVal val="1"/>
              <c:showCatName val="1"/>
              <c:showSerName val="0"/>
              <c:showPercent val="0"/>
              <c:showBubbleSize val="0"/>
              <c:separator>
</c:separator>
            </c:dLbl>
            <c:dLbl>
              <c:idx val="5"/>
              <c:layout>
                <c:manualLayout>
                  <c:x val="3.5635964912280702E-2"/>
                  <c:y val="0"/>
                </c:manualLayout>
              </c:layout>
              <c:dLblPos val="bestFit"/>
              <c:showLegendKey val="1"/>
              <c:showVal val="1"/>
              <c:showCatName val="1"/>
              <c:showSerName val="0"/>
              <c:showPercent val="0"/>
              <c:showBubbleSize val="0"/>
              <c:separator>
</c:separator>
            </c:dLbl>
            <c:dLbl>
              <c:idx val="6"/>
              <c:layout>
                <c:manualLayout>
                  <c:x val="-4.1118421052631582E-2"/>
                  <c:y val="-9.1463414634146339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Blad1!$A$3:$A$9</c:f>
              <c:strCache>
                <c:ptCount val="7"/>
                <c:pt idx="0">
                  <c:v>Environment</c:v>
                </c:pt>
                <c:pt idx="1">
                  <c:v>Employment</c:v>
                </c:pt>
                <c:pt idx="2">
                  <c:v>Migration and home affairs</c:v>
                </c:pt>
                <c:pt idx="3">
                  <c:v>Justice and consumers</c:v>
                </c:pt>
                <c:pt idx="4">
                  <c:v>Mobility and transport</c:v>
                </c:pt>
                <c:pt idx="5">
                  <c:v>Taxation and customs</c:v>
                </c:pt>
                <c:pt idx="6">
                  <c:v>Other</c:v>
                </c:pt>
              </c:strCache>
              <c:extLst>
                <c:ext xmlns:c15="http://schemas.microsoft.com/office/drawing/2012/chart" uri="{02D57815-91ED-43cb-92C2-25804820EDAC}">
                  <c15:fullRef>
                    <c15:sqref>Blad1!$A$2:$A$6</c15:sqref>
                  </c15:fullRef>
                </c:ext>
              </c:extLst>
            </c:strRef>
          </c:cat>
          <c:val>
            <c:numRef>
              <c:f>Blad1!$B$3:$B$9</c:f>
              <c:numCache>
                <c:formatCode>General</c:formatCode>
                <c:ptCount val="7"/>
                <c:pt idx="0">
                  <c:v>6</c:v>
                </c:pt>
                <c:pt idx="1">
                  <c:v>2</c:v>
                </c:pt>
                <c:pt idx="2">
                  <c:v>2</c:v>
                </c:pt>
                <c:pt idx="3">
                  <c:v>2</c:v>
                </c:pt>
                <c:pt idx="4">
                  <c:v>2</c:v>
                </c:pt>
                <c:pt idx="5">
                  <c:v>2</c:v>
                </c:pt>
                <c:pt idx="6">
                  <c:v>5</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5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55012427506214E-2"/>
          <c:y val="5.140066820868671E-2"/>
          <c:w val="0.93919292426755119"/>
          <c:h val="0.65962931556632343"/>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651188501934771E-2"/>
                  <c:y val="-4.3743589743589738E-2"/>
                </c:manualLayout>
              </c:layout>
              <c:dLblPos val="r"/>
              <c:showLegendKey val="0"/>
              <c:showVal val="1"/>
              <c:showCatName val="0"/>
              <c:showSerName val="0"/>
              <c:showPercent val="0"/>
              <c:showBubbleSize val="0"/>
            </c:dLbl>
            <c:dLbl>
              <c:idx val="3"/>
              <c:layout>
                <c:manualLayout>
                  <c:x val="-4.2032587682960511E-2"/>
                  <c:y val="8.9796967360575644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87</c:v>
                </c:pt>
                <c:pt idx="1">
                  <c:v>57</c:v>
                </c:pt>
                <c:pt idx="2">
                  <c:v>65</c:v>
                </c:pt>
                <c:pt idx="3">
                  <c:v>73</c:v>
                </c:pt>
                <c:pt idx="4">
                  <c:v>57</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3762304"/>
        <c:axId val="93763840"/>
      </c:lineChart>
      <c:catAx>
        <c:axId val="937623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3763840"/>
        <c:crosses val="autoZero"/>
        <c:auto val="1"/>
        <c:lblAlgn val="ctr"/>
        <c:lblOffset val="100"/>
        <c:noMultiLvlLbl val="0"/>
      </c:catAx>
      <c:valAx>
        <c:axId val="93763840"/>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3762304"/>
        <c:crosses val="autoZero"/>
        <c:crossBetween val="between"/>
      </c:valAx>
      <c:spPr>
        <a:noFill/>
        <a:ln>
          <a:noFill/>
        </a:ln>
        <a:effectLst/>
      </c:spPr>
    </c:plotArea>
    <c:legend>
      <c:legendPos val="b"/>
      <c:legendEntry>
        <c:idx val="0"/>
        <c:delete val="1"/>
      </c:legendEntry>
      <c:layout>
        <c:manualLayout>
          <c:xMode val="edge"/>
          <c:yMode val="edge"/>
          <c:x val="5.5865154028662524E-2"/>
          <c:y val="0.78660547154042137"/>
          <c:w val="0.88826947953329416"/>
          <c:h val="0.21339471027660004"/>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Malta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065007421336014E-2"/>
                  <c:y val="-6.4485458612975402E-2"/>
                </c:manualLayout>
              </c:layout>
              <c:dLblPos val="r"/>
              <c:showLegendKey val="0"/>
              <c:showVal val="1"/>
              <c:showCatName val="0"/>
              <c:showSerName val="0"/>
              <c:showPercent val="0"/>
              <c:showBubbleSize val="0"/>
            </c:dLbl>
            <c:dLbl>
              <c:idx val="1"/>
              <c:layout>
                <c:manualLayout>
                  <c:x val="-5.5451961539633415E-2"/>
                  <c:y val="-6.4485458612975347E-2"/>
                </c:manualLayout>
              </c:layout>
              <c:dLblPos val="r"/>
              <c:showLegendKey val="0"/>
              <c:showVal val="1"/>
              <c:showCatName val="0"/>
              <c:showSerName val="0"/>
              <c:showPercent val="0"/>
              <c:showBubbleSize val="0"/>
            </c:dLbl>
            <c:dLbl>
              <c:idx val="2"/>
              <c:layout>
                <c:manualLayout>
                  <c:x val="-4.6673560558952366E-2"/>
                  <c:y val="-7.5508533076797488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4.992404556395625E-2"/>
                  <c:y val="-5.8892617449664481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1</c:v>
                </c:pt>
                <c:pt idx="1">
                  <c:v>0.83</c:v>
                </c:pt>
                <c:pt idx="2">
                  <c:v>0.88</c:v>
                </c:pt>
                <c:pt idx="3">
                  <c:v>0.83</c:v>
                </c:pt>
                <c:pt idx="4">
                  <c:v>0.74</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1"/>
              <c:layout>
                <c:manualLayout>
                  <c:x val="-4.992404556395625E-2"/>
                  <c:y val="7.0078299776286351E-2"/>
                </c:manualLayout>
              </c:layout>
              <c:dLblPos val="r"/>
              <c:showLegendKey val="0"/>
              <c:showVal val="1"/>
              <c:showCatName val="0"/>
              <c:showSerName val="0"/>
              <c:showPercent val="0"/>
              <c:showBubbleSize val="0"/>
            </c:dLbl>
            <c:dLbl>
              <c:idx val="2"/>
              <c:layout>
                <c:manualLayout>
                  <c:x val="-4.7160087576117664E-2"/>
                  <c:y val="6.4485458612975388E-2"/>
                </c:manualLayout>
              </c:layout>
              <c:dLblPos val="r"/>
              <c:showLegendKey val="0"/>
              <c:showVal val="1"/>
              <c:showCatName val="0"/>
              <c:showSerName val="0"/>
              <c:showPercent val="0"/>
              <c:showBubbleSize val="0"/>
            </c:dLbl>
            <c:dLbl>
              <c:idx val="3"/>
              <c:layout>
                <c:manualLayout>
                  <c:x val="-5.2688003551794829E-2"/>
                  <c:y val="9.8042505592841056E-2"/>
                </c:manualLayout>
              </c:layout>
              <c:dLblPos val="r"/>
              <c:showLegendKey val="0"/>
              <c:showVal val="1"/>
              <c:showCatName val="0"/>
              <c:showSerName val="0"/>
              <c:showPercent val="0"/>
              <c:showBubbleSize val="0"/>
            </c:dLbl>
            <c:dLbl>
              <c:idx val="4"/>
              <c:layout>
                <c:manualLayout>
                  <c:x val="-4.992404556395625E-2"/>
                  <c:y val="6.4485458612975388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4265728"/>
        <c:axId val="94267264"/>
      </c:lineChart>
      <c:catAx>
        <c:axId val="942657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267264"/>
        <c:crosses val="autoZero"/>
        <c:auto val="1"/>
        <c:lblAlgn val="ctr"/>
        <c:lblOffset val="100"/>
        <c:noMultiLvlLbl val="0"/>
      </c:catAx>
      <c:valAx>
        <c:axId val="94267264"/>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4265728"/>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8814268432752059E-2"/>
                  <c:y val="6.2150792794736273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Blad1!$A$4:$A$9</c:f>
              <c:numCache>
                <c:formatCode>General</c:formatCode>
                <c:ptCount val="6"/>
                <c:pt idx="0">
                  <c:v>2011</c:v>
                </c:pt>
                <c:pt idx="1">
                  <c:v>2012</c:v>
                </c:pt>
                <c:pt idx="2">
                  <c:v>2013</c:v>
                </c:pt>
                <c:pt idx="3">
                  <c:v>2014</c:v>
                </c:pt>
                <c:pt idx="4">
                  <c:v>2015</c:v>
                </c:pt>
                <c:pt idx="5">
                  <c:v>2016</c:v>
                </c:pt>
              </c:numCache>
            </c:numRef>
          </c:cat>
          <c:val>
            <c:numRef>
              <c:f>Blad1!$B$4:$B$9</c:f>
              <c:numCache>
                <c:formatCode>General</c:formatCode>
                <c:ptCount val="6"/>
                <c:pt idx="0">
                  <c:v>36</c:v>
                </c:pt>
                <c:pt idx="1">
                  <c:v>26</c:v>
                </c:pt>
                <c:pt idx="2">
                  <c:v>21</c:v>
                </c:pt>
                <c:pt idx="3">
                  <c:v>18</c:v>
                </c:pt>
                <c:pt idx="4">
                  <c:v>24</c:v>
                </c:pt>
                <c:pt idx="5">
                  <c:v>31</c:v>
                </c:pt>
              </c:numCache>
            </c:numRef>
          </c:val>
          <c:smooth val="0"/>
        </c:ser>
        <c:dLbls>
          <c:showLegendKey val="0"/>
          <c:showVal val="1"/>
          <c:showCatName val="0"/>
          <c:showSerName val="0"/>
          <c:showPercent val="0"/>
          <c:showBubbleSize val="0"/>
        </c:dLbls>
        <c:marker val="1"/>
        <c:smooth val="0"/>
        <c:axId val="94638848"/>
        <c:axId val="94641536"/>
      </c:lineChart>
      <c:catAx>
        <c:axId val="94638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641536"/>
        <c:crosses val="autoZero"/>
        <c:auto val="1"/>
        <c:lblAlgn val="ctr"/>
        <c:lblOffset val="100"/>
        <c:noMultiLvlLbl val="0"/>
      </c:catAx>
      <c:valAx>
        <c:axId val="94641536"/>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6388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20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4.7162209965018929E-2"/>
                  <c:y val="0.15567230616443214"/>
                </c:manualLayout>
              </c:layout>
              <c:dLblPos val="bestFit"/>
              <c:showLegendKey val="1"/>
              <c:showVal val="1"/>
              <c:showCatName val="1"/>
              <c:showSerName val="0"/>
              <c:showPercent val="0"/>
              <c:showBubbleSize val="0"/>
              <c:separator>
</c:separator>
            </c:dLbl>
            <c:dLbl>
              <c:idx val="2"/>
              <c:layout>
                <c:manualLayout>
                  <c:x val="-4.8680676562684239E-2"/>
                  <c:y val="-3.8749822657302972E-2"/>
                </c:manualLayout>
              </c:layout>
              <c:dLblPos val="bestFit"/>
              <c:showLegendKey val="1"/>
              <c:showVal val="1"/>
              <c:showCatName val="1"/>
              <c:showSerName val="0"/>
              <c:showPercent val="0"/>
              <c:showBubbleSize val="0"/>
              <c:separator>
</c:separator>
            </c:dLbl>
            <c:dLbl>
              <c:idx val="3"/>
              <c:layout>
                <c:manualLayout>
                  <c:x val="3.7280385708857939E-3"/>
                  <c:y val="-3.8727654820174505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5.2689961175818083E-2"/>
                  <c:y val="-0.14076576576576588"/>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5"/>
                <c:pt idx="0">
                  <c:v>Policy Area</c:v>
                </c:pt>
                <c:pt idx="1">
                  <c:v>Financial stability, financial services and capital markets union</c:v>
                </c:pt>
                <c:pt idx="2">
                  <c:v>Internal market, industry, entrepreneurship and SMEs</c:v>
                </c:pt>
                <c:pt idx="3">
                  <c:v>Communication networks</c:v>
                </c:pt>
                <c:pt idx="4">
                  <c:v>Other</c:v>
                </c:pt>
              </c:strCache>
            </c:strRef>
          </c:cat>
          <c:val>
            <c:numRef>
              <c:f>Blad1!$B$2:$B$7</c:f>
              <c:numCache>
                <c:formatCode>General</c:formatCode>
                <c:ptCount val="6"/>
                <c:pt idx="0">
                  <c:v>0</c:v>
                </c:pt>
                <c:pt idx="1">
                  <c:v>6</c:v>
                </c:pt>
                <c:pt idx="2">
                  <c:v>5</c:v>
                </c:pt>
                <c:pt idx="3">
                  <c:v>2</c:v>
                </c:pt>
                <c:pt idx="4">
                  <c:v>7</c:v>
                </c:pt>
              </c:numCache>
            </c:numRef>
          </c:val>
          <c:extLst/>
        </c:ser>
        <c:dLbls>
          <c:showLegendKey val="0"/>
          <c:showVal val="0"/>
          <c:showCatName val="1"/>
          <c:showSerName val="0"/>
          <c:showPercent val="0"/>
          <c:showBubbleSize val="0"/>
          <c:showLeaderLines val="0"/>
        </c:dLbls>
        <c:firstSliceAng val="28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2419175027870681E-2"/>
                  <c:y val="-5.4843750000000004E-2"/>
                </c:manualLayout>
              </c:layout>
              <c:dLblPos val="r"/>
              <c:showLegendKey val="0"/>
              <c:showVal val="1"/>
              <c:showCatName val="0"/>
              <c:showSerName val="0"/>
              <c:showPercent val="0"/>
              <c:showBubbleSize val="0"/>
            </c:dLbl>
            <c:dLbl>
              <c:idx val="4"/>
              <c:layout>
                <c:manualLayout>
                  <c:x val="-4.520624303233009E-2"/>
                  <c:y val="-5.4843749999999997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9</c:v>
                </c:pt>
                <c:pt idx="1">
                  <c:v>7</c:v>
                </c:pt>
                <c:pt idx="2">
                  <c:v>5</c:v>
                </c:pt>
                <c:pt idx="3">
                  <c:v>13</c:v>
                </c:pt>
                <c:pt idx="4">
                  <c:v>23</c:v>
                </c:pt>
              </c:numCache>
            </c:numRef>
          </c:val>
          <c:smooth val="0"/>
        </c:ser>
        <c:dLbls>
          <c:showLegendKey val="0"/>
          <c:showVal val="0"/>
          <c:showCatName val="0"/>
          <c:showSerName val="0"/>
          <c:showPercent val="0"/>
          <c:showBubbleSize val="0"/>
        </c:dLbls>
        <c:marker val="1"/>
        <c:smooth val="0"/>
        <c:axId val="94760320"/>
        <c:axId val="94823552"/>
      </c:lineChart>
      <c:catAx>
        <c:axId val="947603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823552"/>
        <c:crosses val="autoZero"/>
        <c:auto val="1"/>
        <c:lblAlgn val="ctr"/>
        <c:lblOffset val="100"/>
        <c:noMultiLvlLbl val="0"/>
      </c:catAx>
      <c:valAx>
        <c:axId val="948235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76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277917014759119E-2"/>
          <c:y val="5.7426259462281387E-2"/>
          <c:w val="0.93868450390189517"/>
          <c:h val="0.82045193569553809"/>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3532334377935198E-2"/>
                  <c:y val="4.918840223097113E-2"/>
                </c:manualLayout>
              </c:layout>
              <c:dLblPos val="r"/>
              <c:showLegendKey val="0"/>
              <c:showVal val="1"/>
              <c:showCatName val="0"/>
              <c:showSerName val="0"/>
              <c:showPercent val="0"/>
              <c:showBubbleSize val="0"/>
            </c:dLbl>
            <c:dLbl>
              <c:idx val="3"/>
              <c:layout>
                <c:manualLayout>
                  <c:x val="-4.7913188647746241E-2"/>
                  <c:y val="-5.123655913978494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18</c:v>
                </c:pt>
                <c:pt idx="1">
                  <c:v>13</c:v>
                </c:pt>
                <c:pt idx="2">
                  <c:v>13</c:v>
                </c:pt>
                <c:pt idx="3">
                  <c:v>20</c:v>
                </c:pt>
                <c:pt idx="4">
                  <c:v>19</c:v>
                </c:pt>
              </c:numCache>
            </c:numRef>
          </c:val>
          <c:smooth val="0"/>
        </c:ser>
        <c:dLbls>
          <c:showLegendKey val="0"/>
          <c:showVal val="1"/>
          <c:showCatName val="0"/>
          <c:showSerName val="0"/>
          <c:showPercent val="0"/>
          <c:showBubbleSize val="0"/>
        </c:dLbls>
        <c:marker val="1"/>
        <c:smooth val="0"/>
        <c:axId val="94846976"/>
        <c:axId val="94849664"/>
      </c:lineChart>
      <c:catAx>
        <c:axId val="94846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849664"/>
        <c:crosses val="autoZero"/>
        <c:auto val="1"/>
        <c:lblAlgn val="ctr"/>
        <c:lblOffset val="100"/>
        <c:noMultiLvlLbl val="0"/>
      </c:catAx>
      <c:valAx>
        <c:axId val="94849664"/>
        <c:scaling>
          <c:orientation val="minMax"/>
          <c:min val="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846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19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Malta</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scene3d>
                <a:camera prst="orthographicFront"/>
                <a:lightRig rig="threePt" dir="t"/>
              </a:scene3d>
              <a:sp3d>
                <a:bevelT w="63500" h="25400"/>
              </a:sp3d>
            </c:spPr>
          </c:dPt>
          <c:dLbls>
            <c:dLbl>
              <c:idx val="0"/>
              <c:layout>
                <c:manualLayout>
                  <c:x val="-5.4924415542584541E-3"/>
                  <c:y val="0.16660811629315567"/>
                </c:manualLayout>
              </c:layout>
              <c:dLblPos val="bestFit"/>
              <c:showLegendKey val="1"/>
              <c:showVal val="1"/>
              <c:showCatName val="1"/>
              <c:showSerName val="0"/>
              <c:showPercent val="0"/>
              <c:showBubbleSize val="0"/>
              <c:separator>
</c:separator>
            </c:dLbl>
            <c:dLbl>
              <c:idx val="1"/>
              <c:layout>
                <c:manualLayout>
                  <c:x val="-4.4200476184258063E-2"/>
                  <c:y val="2.6244296386028671E-2"/>
                </c:manualLayout>
              </c:layout>
              <c:dLblPos val="bestFit"/>
              <c:showLegendKey val="1"/>
              <c:showVal val="1"/>
              <c:showCatName val="1"/>
              <c:showSerName val="0"/>
              <c:showPercent val="0"/>
              <c:showBubbleSize val="0"/>
              <c:separator>
</c:separator>
            </c:dLbl>
            <c:dLbl>
              <c:idx val="2"/>
              <c:layout>
                <c:manualLayout>
                  <c:x val="2.5049076576870676E-2"/>
                  <c:y val="-3.8386028669493234E-2"/>
                </c:manualLayout>
              </c:layout>
              <c:dLblPos val="bestFit"/>
              <c:showLegendKey val="1"/>
              <c:showVal val="1"/>
              <c:showCatName val="1"/>
              <c:showSerName val="0"/>
              <c:showPercent val="0"/>
              <c:showBubbleSize val="0"/>
              <c:separator>
</c:separator>
            </c:dLbl>
            <c:dLbl>
              <c:idx val="3"/>
              <c:layout>
                <c:manualLayout>
                  <c:x val="-8.2895888013998248E-2"/>
                  <c:y val="-0.13846153846153855"/>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4"/>
                <c:pt idx="0">
                  <c:v>Financial stability, financial services and capital markets union</c:v>
                </c:pt>
                <c:pt idx="1">
                  <c:v>Internal market, industry, entrepreneurship and SMEs</c:v>
                </c:pt>
                <c:pt idx="2">
                  <c:v>Communication networks</c:v>
                </c:pt>
                <c:pt idx="3">
                  <c:v>Other</c:v>
                </c:pt>
              </c:strCache>
            </c:strRef>
          </c:cat>
          <c:val>
            <c:numRef>
              <c:f>Blad1!$B$4:$B$8</c:f>
              <c:numCache>
                <c:formatCode>General</c:formatCode>
                <c:ptCount val="5"/>
                <c:pt idx="0">
                  <c:v>6</c:v>
                </c:pt>
                <c:pt idx="1">
                  <c:v>5</c:v>
                </c:pt>
                <c:pt idx="2">
                  <c:v>2</c:v>
                </c:pt>
                <c:pt idx="3">
                  <c:v>6</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6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5.8615485564304459E-2"/>
                  <c:y val="6.9391369785070628E-2"/>
                </c:manualLayout>
              </c:layout>
              <c:dLblPos val="r"/>
              <c:showLegendKey val="0"/>
              <c:showVal val="1"/>
              <c:showCatName val="0"/>
              <c:showSerName val="0"/>
              <c:showPercent val="0"/>
              <c:showBubbleSize val="0"/>
            </c:dLbl>
            <c:dLbl>
              <c:idx val="4"/>
              <c:layout>
                <c:manualLayout>
                  <c:x val="-3.911111111111111E-2"/>
                  <c:y val="7.84965034965035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100</c:v>
                </c:pt>
                <c:pt idx="1">
                  <c:v>90</c:v>
                </c:pt>
                <c:pt idx="2">
                  <c:v>87</c:v>
                </c:pt>
                <c:pt idx="3">
                  <c:v>79</c:v>
                </c:pt>
                <c:pt idx="4">
                  <c:v>107</c:v>
                </c:pt>
              </c:numCache>
            </c:numRef>
          </c:val>
          <c:smooth val="0"/>
        </c:ser>
        <c:dLbls>
          <c:showLegendKey val="0"/>
          <c:showVal val="0"/>
          <c:showCatName val="0"/>
          <c:showSerName val="0"/>
          <c:showPercent val="0"/>
          <c:showBubbleSize val="0"/>
        </c:dLbls>
        <c:marker val="1"/>
        <c:smooth val="0"/>
        <c:axId val="94951680"/>
        <c:axId val="95035392"/>
      </c:lineChart>
      <c:catAx>
        <c:axId val="94951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035392"/>
        <c:crosses val="autoZero"/>
        <c:auto val="1"/>
        <c:lblAlgn val="ctr"/>
        <c:lblOffset val="100"/>
        <c:noMultiLvlLbl val="0"/>
      </c:catAx>
      <c:valAx>
        <c:axId val="95035392"/>
        <c:scaling>
          <c:orientation val="minMax"/>
          <c:min val="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95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Lithuania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37ACDE"/>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2.7388537781461528E-3"/>
                  <c:y val="-0.11188624287817682"/>
                </c:manualLayout>
              </c:layout>
              <c:dLblPos val="bestFit"/>
              <c:showLegendKey val="1"/>
              <c:showVal val="1"/>
              <c:showCatName val="1"/>
              <c:showSerName val="0"/>
              <c:showPercent val="0"/>
              <c:showBubbleSize val="0"/>
              <c:separator>
</c:separator>
            </c:dLbl>
            <c:dLbl>
              <c:idx val="1"/>
              <c:layout>
                <c:manualLayout>
                  <c:x val="-2.1931767163972923E-2"/>
                  <c:y val="0.15752032520325204"/>
                </c:manualLayout>
              </c:layout>
              <c:dLblPos val="bestFit"/>
              <c:showLegendKey val="1"/>
              <c:showVal val="1"/>
              <c:showCatName val="1"/>
              <c:showSerName val="0"/>
              <c:showPercent val="0"/>
              <c:showBubbleSize val="0"/>
              <c:separator>
</c:separator>
            </c:dLbl>
            <c:dLbl>
              <c:idx val="2"/>
              <c:layout>
                <c:manualLayout>
                  <c:x val="-4.3862886793756044E-2"/>
                  <c:y val="5.1433166890724026E-3"/>
                </c:manualLayout>
              </c:layout>
              <c:dLblPos val="bestFit"/>
              <c:showLegendKey val="1"/>
              <c:showVal val="1"/>
              <c:showCatName val="1"/>
              <c:showSerName val="0"/>
              <c:showPercent val="0"/>
              <c:showBubbleSize val="0"/>
              <c:separator>
</c:separator>
            </c:dLbl>
            <c:dLbl>
              <c:idx val="3"/>
              <c:layout>
                <c:manualLayout>
                  <c:x val="-1.3704197748307778E-2"/>
                  <c:y val="-3.6673388387427133E-2"/>
                </c:manualLayout>
              </c:layout>
              <c:dLblPos val="bestFit"/>
              <c:showLegendKey val="1"/>
              <c:showVal val="1"/>
              <c:showCatName val="1"/>
              <c:showSerName val="0"/>
              <c:showPercent val="0"/>
              <c:showBubbleSize val="0"/>
              <c:separator>
</c:separator>
            </c:dLbl>
            <c:dLbl>
              <c:idx val="4"/>
              <c:layout>
                <c:manualLayout>
                  <c:x val="2.7412280701754384E-3"/>
                  <c:y val="0"/>
                </c:manualLayout>
              </c:layout>
              <c:dLblPos val="bestFit"/>
              <c:showLegendKey val="1"/>
              <c:showVal val="1"/>
              <c:showCatName val="1"/>
              <c:showSerName val="0"/>
              <c:showPercent val="0"/>
              <c:showBubbleSize val="0"/>
              <c:separator>
</c:separator>
            </c:dLbl>
            <c:dLbl>
              <c:idx val="5"/>
              <c:layout>
                <c:manualLayout>
                  <c:x val="5.7565789473684209E-2"/>
                  <c:y val="0"/>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Blad1!$A$3:$A$8</c:f>
              <c:strCache>
                <c:ptCount val="6"/>
                <c:pt idx="0">
                  <c:v>Environment</c:v>
                </c:pt>
                <c:pt idx="1">
                  <c:v>Internal market, industry, entrepreneurship and SMEs</c:v>
                </c:pt>
                <c:pt idx="2">
                  <c:v>Energy</c:v>
                </c:pt>
                <c:pt idx="3">
                  <c:v>Migration and home affairs</c:v>
                </c:pt>
                <c:pt idx="4">
                  <c:v>Mobility and transport</c:v>
                </c:pt>
                <c:pt idx="5">
                  <c:v>Other</c:v>
                </c:pt>
              </c:strCache>
            </c:strRef>
          </c:cat>
          <c:val>
            <c:numRef>
              <c:f>Blad1!$B$3:$B$8</c:f>
              <c:numCache>
                <c:formatCode>General</c:formatCode>
                <c:ptCount val="6"/>
                <c:pt idx="0">
                  <c:v>5</c:v>
                </c:pt>
                <c:pt idx="1">
                  <c:v>5</c:v>
                </c:pt>
                <c:pt idx="2">
                  <c:v>3</c:v>
                </c:pt>
                <c:pt idx="3">
                  <c:v>3</c:v>
                </c:pt>
                <c:pt idx="4">
                  <c:v>2</c:v>
                </c:pt>
                <c:pt idx="5">
                  <c:v>5</c:v>
                </c:pt>
              </c:numCache>
            </c:numRef>
          </c:val>
          <c:extLst/>
        </c:ser>
        <c:dLbls>
          <c:showLegendKey val="0"/>
          <c:showVal val="0"/>
          <c:showCatName val="0"/>
          <c:showSerName val="0"/>
          <c:showPercent val="0"/>
          <c:showBubbleSize val="0"/>
          <c:showLeaderLines val="0"/>
        </c:dLbls>
        <c:firstSliceAng val="21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107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4.9512963107334357E-2"/>
                  <c:y val="0.11561721188636909"/>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4.4004400440044007E-2"/>
                  <c:y val="-5.781274580425081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8.2768119331618206E-3"/>
                  <c:y val="-3.1545741324921134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8.2508250825082535E-2"/>
                  <c:y val="-0.2996845425867507"/>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Employment</c:v>
                </c:pt>
                <c:pt idx="2">
                  <c:v>Internal market, industry, entrepreneurship and SMEs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25</c:v>
                </c:pt>
                <c:pt idx="1">
                  <c:v>19</c:v>
                </c:pt>
                <c:pt idx="2">
                  <c:v>14</c:v>
                </c:pt>
                <c:pt idx="3">
                  <c:v>49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9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38</c:v>
                </c:pt>
                <c:pt idx="1">
                  <c:v>51</c:v>
                </c:pt>
                <c:pt idx="2">
                  <c:v>32</c:v>
                </c:pt>
                <c:pt idx="3">
                  <c:v>20</c:v>
                </c:pt>
                <c:pt idx="4">
                  <c:v>23</c:v>
                </c:pt>
              </c:numCache>
            </c:numRef>
          </c:val>
          <c:smooth val="0"/>
        </c:ser>
        <c:dLbls>
          <c:showLegendKey val="0"/>
          <c:showVal val="0"/>
          <c:showCatName val="0"/>
          <c:showSerName val="0"/>
          <c:showPercent val="0"/>
          <c:showBubbleSize val="0"/>
        </c:dLbls>
        <c:marker val="1"/>
        <c:smooth val="0"/>
        <c:axId val="94460160"/>
        <c:axId val="94461952"/>
      </c:lineChart>
      <c:catAx>
        <c:axId val="944601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4461952"/>
        <c:crosses val="autoZero"/>
        <c:auto val="1"/>
        <c:lblAlgn val="ctr"/>
        <c:lblOffset val="100"/>
        <c:noMultiLvlLbl val="0"/>
      </c:catAx>
      <c:valAx>
        <c:axId val="944619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4460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38</c:v>
                </c:pt>
                <c:pt idx="1">
                  <c:v>53</c:v>
                </c:pt>
                <c:pt idx="2">
                  <c:v>41</c:v>
                </c:pt>
                <c:pt idx="3">
                  <c:v>29</c:v>
                </c:pt>
                <c:pt idx="4">
                  <c:v>31</c:v>
                </c:pt>
              </c:numCache>
            </c:numRef>
          </c:val>
          <c:smooth val="0"/>
        </c:ser>
        <c:dLbls>
          <c:showLegendKey val="0"/>
          <c:showVal val="0"/>
          <c:showCatName val="0"/>
          <c:showSerName val="0"/>
          <c:showPercent val="0"/>
          <c:showBubbleSize val="0"/>
        </c:dLbls>
        <c:marker val="1"/>
        <c:smooth val="0"/>
        <c:axId val="95104384"/>
        <c:axId val="95118464"/>
      </c:lineChart>
      <c:catAx>
        <c:axId val="951043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118464"/>
        <c:crosses val="autoZero"/>
        <c:auto val="1"/>
        <c:lblAlgn val="ctr"/>
        <c:lblOffset val="100"/>
        <c:noMultiLvlLbl val="0"/>
      </c:catAx>
      <c:valAx>
        <c:axId val="95118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1043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23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Netherlands</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9900"/>
              </a:solidFill>
              <a:scene3d>
                <a:camera prst="orthographicFront"/>
                <a:lightRig rig="threePt" dir="t"/>
              </a:scene3d>
              <a:sp3d>
                <a:bevelT w="63500" h="25400"/>
              </a:sp3d>
            </c:spPr>
          </c:dPt>
          <c:dPt>
            <c:idx val="5"/>
            <c:bubble3D val="0"/>
            <c:spPr>
              <a:solidFill>
                <a:srgbClr val="000099"/>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layout>
                <c:manualLayout>
                  <c:x val="8.2269218814753423E-3"/>
                  <c:y val="-4.0848057102618268E-2"/>
                </c:manualLayout>
              </c:layout>
              <c:dLblPos val="bestFit"/>
              <c:showLegendKey val="1"/>
              <c:showVal val="1"/>
              <c:showCatName val="1"/>
              <c:showSerName val="0"/>
              <c:showPercent val="0"/>
              <c:showBubbleSize val="0"/>
              <c:separator>
</c:separator>
            </c:dLbl>
            <c:dLbl>
              <c:idx val="1"/>
              <c:layout>
                <c:manualLayout>
                  <c:x val="-1.0966854883271145E-2"/>
                  <c:y val="0.10159040714422893"/>
                </c:manualLayout>
              </c:layout>
              <c:dLblPos val="bestFit"/>
              <c:showLegendKey val="1"/>
              <c:showVal val="1"/>
              <c:showCatName val="1"/>
              <c:showSerName val="0"/>
              <c:showPercent val="0"/>
              <c:showBubbleSize val="0"/>
              <c:separator>
</c:separator>
            </c:dLbl>
            <c:dLbl>
              <c:idx val="2"/>
              <c:layout>
                <c:manualLayout>
                  <c:x val="-2.7424583851360686E-2"/>
                  <c:y val="3.5708741437808077E-2"/>
                </c:manualLayout>
              </c:layout>
              <c:dLblPos val="bestFit"/>
              <c:showLegendKey val="1"/>
              <c:showVal val="1"/>
              <c:showCatName val="1"/>
              <c:showSerName val="0"/>
              <c:showPercent val="0"/>
              <c:showBubbleSize val="0"/>
              <c:separator>
</c:separator>
            </c:dLbl>
            <c:dLbl>
              <c:idx val="3"/>
              <c:layout>
                <c:manualLayout>
                  <c:x val="-2.7392854676060231E-3"/>
                  <c:y val="4.9708725433711028E-2"/>
                </c:manualLayout>
              </c:layout>
              <c:dLblPos val="bestFit"/>
              <c:showLegendKey val="1"/>
              <c:showVal val="1"/>
              <c:showCatName val="1"/>
              <c:showSerName val="0"/>
              <c:showPercent val="0"/>
              <c:showBubbleSize val="0"/>
              <c:separator>
</c:separator>
            </c:dLbl>
            <c:dLbl>
              <c:idx val="4"/>
              <c:layout>
                <c:manualLayout>
                  <c:x val="-2.7412280701754384E-3"/>
                  <c:y val="3.5568705588630692E-2"/>
                </c:manualLayout>
              </c:layout>
              <c:dLblPos val="bestFit"/>
              <c:showLegendKey val="1"/>
              <c:showVal val="1"/>
              <c:showCatName val="1"/>
              <c:showSerName val="0"/>
              <c:showPercent val="0"/>
              <c:showBubbleSize val="0"/>
              <c:separator>
</c:separator>
            </c:dLbl>
            <c:dLbl>
              <c:idx val="5"/>
              <c:layout>
                <c:manualLayout>
                  <c:x val="-2.7412280701754384E-3"/>
                  <c:y val="6.605691056910569E-2"/>
                </c:manualLayout>
              </c:layout>
              <c:dLblPos val="bestFit"/>
              <c:showLegendKey val="1"/>
              <c:showVal val="1"/>
              <c:showCatName val="1"/>
              <c:showSerName val="0"/>
              <c:showPercent val="0"/>
              <c:showBubbleSize val="0"/>
              <c:separator>
</c:separator>
            </c:dLbl>
            <c:dLbl>
              <c:idx val="6"/>
              <c:layout>
                <c:manualLayout>
                  <c:x val="-0.15076754385964913"/>
                  <c:y val="-9.1463414634146339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Blad1!$A$3:$A$9</c:f>
              <c:strCache>
                <c:ptCount val="7"/>
                <c:pt idx="0">
                  <c:v>Environment</c:v>
                </c:pt>
                <c:pt idx="1">
                  <c:v>Taxation and customs</c:v>
                </c:pt>
                <c:pt idx="2">
                  <c:v>Climate action</c:v>
                </c:pt>
                <c:pt idx="3">
                  <c:v>Energy</c:v>
                </c:pt>
                <c:pt idx="4">
                  <c:v>Mobility and transport</c:v>
                </c:pt>
                <c:pt idx="5">
                  <c:v>Internal market, industry, entrepreneurship and SMEs</c:v>
                </c:pt>
                <c:pt idx="6">
                  <c:v>Other</c:v>
                </c:pt>
              </c:strCache>
              <c:extLst>
                <c:ext xmlns:c15="http://schemas.microsoft.com/office/drawing/2012/chart" uri="{02D57815-91ED-43cb-92C2-25804820EDAC}">
                  <c15:fullRef>
                    <c15:sqref>Blad1!$A$2:$A$6</c15:sqref>
                  </c15:fullRef>
                </c:ext>
              </c:extLst>
            </c:strRef>
          </c:cat>
          <c:val>
            <c:numRef>
              <c:f>Blad1!$B$3:$B$9</c:f>
              <c:numCache>
                <c:formatCode>General</c:formatCode>
                <c:ptCount val="7"/>
                <c:pt idx="0">
                  <c:v>4</c:v>
                </c:pt>
                <c:pt idx="1">
                  <c:v>4</c:v>
                </c:pt>
                <c:pt idx="2">
                  <c:v>2</c:v>
                </c:pt>
                <c:pt idx="3">
                  <c:v>2</c:v>
                </c:pt>
                <c:pt idx="4">
                  <c:v>2</c:v>
                </c:pt>
                <c:pt idx="5">
                  <c:v>2</c:v>
                </c:pt>
                <c:pt idx="6">
                  <c:v>7</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4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64</c:v>
                </c:pt>
                <c:pt idx="1">
                  <c:v>67</c:v>
                </c:pt>
                <c:pt idx="2">
                  <c:v>66</c:v>
                </c:pt>
                <c:pt idx="3">
                  <c:v>62</c:v>
                </c:pt>
                <c:pt idx="4">
                  <c:v>65</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5165824"/>
        <c:axId val="95204480"/>
      </c:lineChart>
      <c:catAx>
        <c:axId val="9516582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204480"/>
        <c:crosses val="autoZero"/>
        <c:auto val="1"/>
        <c:lblAlgn val="ctr"/>
        <c:lblOffset val="100"/>
        <c:noMultiLvlLbl val="0"/>
      </c:catAx>
      <c:valAx>
        <c:axId val="95204480"/>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165824"/>
        <c:crosses val="autoZero"/>
        <c:crossBetween val="between"/>
      </c:valAx>
      <c:spPr>
        <a:noFill/>
        <a:ln>
          <a:noFill/>
        </a:ln>
        <a:effectLst/>
      </c:spPr>
    </c:plotArea>
    <c:legend>
      <c:legendPos val="b"/>
      <c:legendEntry>
        <c:idx val="0"/>
        <c:delete val="1"/>
      </c:legendEntry>
      <c:layout>
        <c:manualLayout>
          <c:xMode val="edge"/>
          <c:yMode val="edge"/>
          <c:x val="5.5865154028662524E-2"/>
          <c:y val="0.78279190813925448"/>
          <c:w val="0.88826947953329416"/>
          <c:h val="0.21720821289743844"/>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the Netherlands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0.75</c:v>
                </c:pt>
                <c:pt idx="1">
                  <c:v>0.76</c:v>
                </c:pt>
                <c:pt idx="2">
                  <c:v>0.77</c:v>
                </c:pt>
                <c:pt idx="3">
                  <c:v>0.87</c:v>
                </c:pt>
                <c:pt idx="4">
                  <c:v>0.81</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5374336"/>
        <c:axId val="95376128"/>
      </c:lineChart>
      <c:catAx>
        <c:axId val="95374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376128"/>
        <c:crosses val="autoZero"/>
        <c:auto val="1"/>
        <c:lblAlgn val="ctr"/>
        <c:lblOffset val="100"/>
        <c:noMultiLvlLbl val="0"/>
      </c:catAx>
      <c:valAx>
        <c:axId val="95376128"/>
        <c:scaling>
          <c:orientation val="minMax"/>
          <c:min val="0.60000000000000009"/>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5374336"/>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3432633420822398E-2"/>
                  <c:y val="5.433532070472021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41</c:v>
                </c:pt>
                <c:pt idx="1">
                  <c:v>40</c:v>
                </c:pt>
                <c:pt idx="2">
                  <c:v>33</c:v>
                </c:pt>
                <c:pt idx="3">
                  <c:v>38</c:v>
                </c:pt>
                <c:pt idx="4">
                  <c:v>45</c:v>
                </c:pt>
              </c:numCache>
            </c:numRef>
          </c:val>
          <c:smooth val="0"/>
        </c:ser>
        <c:dLbls>
          <c:dLblPos val="b"/>
          <c:showLegendKey val="0"/>
          <c:showVal val="1"/>
          <c:showCatName val="0"/>
          <c:showSerName val="0"/>
          <c:showPercent val="0"/>
          <c:showBubbleSize val="0"/>
        </c:dLbls>
        <c:marker val="1"/>
        <c:smooth val="0"/>
        <c:axId val="95231360"/>
        <c:axId val="95254784"/>
      </c:lineChart>
      <c:catAx>
        <c:axId val="9523136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5254784"/>
        <c:crosses val="autoZero"/>
        <c:auto val="1"/>
        <c:lblAlgn val="ctr"/>
        <c:lblOffset val="100"/>
        <c:noMultiLvlLbl val="0"/>
      </c:catAx>
      <c:valAx>
        <c:axId val="95254784"/>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52313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24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E75113"/>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2194417877465816E-2"/>
                  <c:y val="0.149543479196248"/>
                </c:manualLayout>
              </c:layout>
              <c:dLblPos val="bestFit"/>
              <c:showLegendKey val="1"/>
              <c:showVal val="1"/>
              <c:showCatName val="1"/>
              <c:showSerName val="0"/>
              <c:showPercent val="0"/>
              <c:showBubbleSize val="0"/>
              <c:separator>
</c:separator>
            </c:dLbl>
            <c:dLbl>
              <c:idx val="2"/>
              <c:layout>
                <c:manualLayout>
                  <c:x val="7.2102052135330011E-2"/>
                  <c:y val="0"/>
                </c:manualLayout>
              </c:layout>
              <c:dLblPos val="bestFit"/>
              <c:showLegendKey val="1"/>
              <c:showVal val="1"/>
              <c:showCatName val="1"/>
              <c:showSerName val="0"/>
              <c:showPercent val="0"/>
              <c:showBubbleSize val="0"/>
              <c:separator>
</c:separator>
            </c:dLbl>
            <c:dLbl>
              <c:idx val="3"/>
              <c:layout>
                <c:manualLayout>
                  <c:x val="-1.8182731318318734E-3"/>
                  <c:y val="0"/>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2.2199003410763338E-2"/>
                  <c:y val="-7.1038251366120214E-2"/>
                </c:manualLayout>
              </c:layout>
              <c:dLblPos val="bestFit"/>
              <c:showLegendKey val="1"/>
              <c:showVal val="1"/>
              <c:showCatName val="1"/>
              <c:showSerName val="0"/>
              <c:showPercent val="0"/>
              <c:showBubbleSize val="0"/>
              <c:separator>
</c:separator>
            </c:dLbl>
            <c:dLbl>
              <c:idx val="5"/>
              <c:layout>
                <c:manualLayout>
                  <c:x val="-2.7731558513588465E-3"/>
                  <c:y val="-3.2786885245901641E-2"/>
                </c:manualLayout>
              </c:layout>
              <c:dLblPos val="bestFit"/>
              <c:showLegendKey val="1"/>
              <c:showVal val="1"/>
              <c:showCatName val="1"/>
              <c:showSerName val="0"/>
              <c:showPercent val="0"/>
              <c:showBubbleSize val="0"/>
              <c:separator>
</c:separator>
            </c:dLbl>
            <c:dLbl>
              <c:idx val="6"/>
              <c:layout>
                <c:manualLayout>
                  <c:x val="0"/>
                  <c:y val="1.6393442622950821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Blad1!$A$2:$A$8</c:f>
              <c:strCache>
                <c:ptCount val="7"/>
                <c:pt idx="0">
                  <c:v>Policy Area</c:v>
                </c:pt>
                <c:pt idx="1">
                  <c:v>Internal market, industry, entrepreneurship and SMEs</c:v>
                </c:pt>
                <c:pt idx="2">
                  <c:v>Financial stability, financial services and capital markets union</c:v>
                </c:pt>
                <c:pt idx="3">
                  <c:v>Communication networks</c:v>
                </c:pt>
                <c:pt idx="4">
                  <c:v>Justice and consumers</c:v>
                </c:pt>
                <c:pt idx="5">
                  <c:v>Energy</c:v>
                </c:pt>
                <c:pt idx="6">
                  <c:v>Other</c:v>
                </c:pt>
              </c:strCache>
            </c:strRef>
          </c:cat>
          <c:val>
            <c:numRef>
              <c:f>Blad1!$B$2:$B$8</c:f>
              <c:numCache>
                <c:formatCode>General</c:formatCode>
                <c:ptCount val="7"/>
                <c:pt idx="0">
                  <c:v>0</c:v>
                </c:pt>
                <c:pt idx="1">
                  <c:v>10</c:v>
                </c:pt>
                <c:pt idx="2">
                  <c:v>5</c:v>
                </c:pt>
                <c:pt idx="3">
                  <c:v>2</c:v>
                </c:pt>
                <c:pt idx="4">
                  <c:v>2</c:v>
                </c:pt>
                <c:pt idx="5">
                  <c:v>2</c:v>
                </c:pt>
                <c:pt idx="6">
                  <c:v>3</c:v>
                </c:pt>
              </c:numCache>
            </c:numRef>
          </c:val>
          <c:extLst/>
        </c:ser>
        <c:dLbls>
          <c:showLegendKey val="0"/>
          <c:showVal val="0"/>
          <c:showCatName val="1"/>
          <c:showSerName val="0"/>
          <c:showPercent val="0"/>
          <c:showBubbleSize val="0"/>
          <c:showLeaderLines val="0"/>
        </c:dLbls>
        <c:firstSliceAng val="32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177298553155065E-2"/>
                  <c:y val="8.1441206505135408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6</c:v>
                </c:pt>
                <c:pt idx="1">
                  <c:v>10</c:v>
                </c:pt>
                <c:pt idx="2">
                  <c:v>10</c:v>
                </c:pt>
                <c:pt idx="3">
                  <c:v>14</c:v>
                </c:pt>
                <c:pt idx="4">
                  <c:v>23</c:v>
                </c:pt>
              </c:numCache>
            </c:numRef>
          </c:val>
          <c:smooth val="0"/>
        </c:ser>
        <c:dLbls>
          <c:showLegendKey val="0"/>
          <c:showVal val="1"/>
          <c:showCatName val="0"/>
          <c:showSerName val="0"/>
          <c:showPercent val="0"/>
          <c:showBubbleSize val="0"/>
        </c:dLbls>
        <c:marker val="1"/>
        <c:smooth val="0"/>
        <c:axId val="97682944"/>
        <c:axId val="97689984"/>
      </c:lineChart>
      <c:catAx>
        <c:axId val="97682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689984"/>
        <c:crosses val="autoZero"/>
        <c:auto val="1"/>
        <c:lblAlgn val="ctr"/>
        <c:lblOffset val="100"/>
        <c:noMultiLvlLbl val="0"/>
      </c:catAx>
      <c:valAx>
        <c:axId val="9768998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7682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0"/>
              <c:layout>
                <c:manualLayout>
                  <c:x val="-4.4980587909040491E-2"/>
                  <c:y val="7.8704245584166846E-2"/>
                </c:manualLayout>
              </c:layout>
              <c:dLblPos val="r"/>
              <c:showLegendKey val="0"/>
              <c:showVal val="1"/>
              <c:showCatName val="0"/>
              <c:showSerName val="0"/>
              <c:showPercent val="0"/>
              <c:showBubbleSize val="0"/>
            </c:dLbl>
            <c:dLbl>
              <c:idx val="1"/>
              <c:layout>
                <c:manualLayout>
                  <c:x val="-3.6630986850437371E-2"/>
                  <c:y val="6.536361411415203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6</c:v>
                </c:pt>
                <c:pt idx="1">
                  <c:v>9</c:v>
                </c:pt>
                <c:pt idx="2">
                  <c:v>9</c:v>
                </c:pt>
                <c:pt idx="3">
                  <c:v>11</c:v>
                </c:pt>
                <c:pt idx="4">
                  <c:v>20</c:v>
                </c:pt>
              </c:numCache>
            </c:numRef>
          </c:val>
          <c:smooth val="0"/>
        </c:ser>
        <c:dLbls>
          <c:showLegendKey val="0"/>
          <c:showVal val="1"/>
          <c:showCatName val="0"/>
          <c:showSerName val="0"/>
          <c:showPercent val="0"/>
          <c:showBubbleSize val="0"/>
        </c:dLbls>
        <c:marker val="1"/>
        <c:smooth val="0"/>
        <c:axId val="97592064"/>
        <c:axId val="97593600"/>
      </c:lineChart>
      <c:catAx>
        <c:axId val="975920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593600"/>
        <c:crosses val="autoZero"/>
        <c:auto val="1"/>
        <c:lblAlgn val="ctr"/>
        <c:lblOffset val="100"/>
        <c:noMultiLvlLbl val="0"/>
      </c:catAx>
      <c:valAx>
        <c:axId val="9759360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75920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63</c:v>
                </c:pt>
                <c:pt idx="1">
                  <c:v>63</c:v>
                </c:pt>
                <c:pt idx="2">
                  <c:v>60</c:v>
                </c:pt>
                <c:pt idx="3">
                  <c:v>58</c:v>
                </c:pt>
                <c:pt idx="4">
                  <c:v>59</c:v>
                </c:pt>
              </c:numCache>
            </c:numRef>
          </c:val>
          <c:smooth val="0"/>
        </c:ser>
        <c:ser>
          <c:idx val="1"/>
          <c:order val="1"/>
          <c:tx>
            <c:strRef>
              <c:f>Blad1!$C$2</c:f>
              <c:strCache>
                <c:ptCount val="1"/>
                <c:pt idx="0">
                  <c:v>Column1</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80460800"/>
        <c:axId val="80466688"/>
      </c:lineChart>
      <c:catAx>
        <c:axId val="804608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466688"/>
        <c:crosses val="autoZero"/>
        <c:auto val="1"/>
        <c:lblAlgn val="ctr"/>
        <c:lblOffset val="100"/>
        <c:noMultiLvlLbl val="0"/>
      </c:catAx>
      <c:valAx>
        <c:axId val="8046668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460800"/>
        <c:crosses val="autoZero"/>
        <c:crossBetween val="between"/>
      </c:valAx>
      <c:spPr>
        <a:noFill/>
        <a:ln>
          <a:noFill/>
        </a:ln>
        <a:effectLst/>
      </c:spPr>
    </c:plotArea>
    <c:legend>
      <c:legendPos val="b"/>
      <c:legendEntry>
        <c:idx val="0"/>
        <c:delete val="1"/>
      </c:legendEntry>
      <c:layout>
        <c:manualLayout>
          <c:xMode val="edge"/>
          <c:yMode val="edge"/>
          <c:x val="5.5865154028662524E-2"/>
          <c:y val="0.7894585282102895"/>
          <c:w val="0.88826947953329416"/>
          <c:h val="0.21052521864369839"/>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 20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Netherlands</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5C15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96633"/>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1.1070927180614051E-2"/>
                  <c:y val="0.14830014935001812"/>
                </c:manualLayout>
              </c:layout>
              <c:dLblPos val="bestFit"/>
              <c:showLegendKey val="1"/>
              <c:showVal val="1"/>
              <c:showCatName val="1"/>
              <c:showSerName val="0"/>
              <c:showPercent val="0"/>
              <c:showBubbleSize val="0"/>
              <c:separator>
</c:separator>
            </c:dLbl>
            <c:dLbl>
              <c:idx val="1"/>
              <c:layout>
                <c:manualLayout>
                  <c:x val="8.0287929125138421E-2"/>
                  <c:y val="-2.7541380559753265E-3"/>
                </c:manualLayout>
              </c:layout>
              <c:dLblPos val="bestFit"/>
              <c:showLegendKey val="1"/>
              <c:showVal val="1"/>
              <c:showCatName val="1"/>
              <c:showSerName val="0"/>
              <c:showPercent val="0"/>
              <c:showBubbleSize val="0"/>
              <c:separator>
</c:separator>
            </c:dLbl>
            <c:dLbl>
              <c:idx val="2"/>
              <c:layout>
                <c:manualLayout>
                  <c:x val="1.1233988193336299E-2"/>
                  <c:y val="-4.4186395892432637E-7"/>
                </c:manualLayout>
              </c:layout>
              <c:dLblPos val="bestFit"/>
              <c:showLegendKey val="1"/>
              <c:showVal val="1"/>
              <c:showCatName val="1"/>
              <c:showSerName val="0"/>
              <c:showPercent val="0"/>
              <c:showBubbleSize val="0"/>
              <c:separator>
</c:separator>
            </c:dLbl>
            <c:dLbl>
              <c:idx val="3"/>
              <c:layout>
                <c:manualLayout>
                  <c:x val="2.7685492801771874E-3"/>
                  <c:y val="-1.6835016835016835E-2"/>
                </c:manualLayout>
              </c:layout>
              <c:dLblPos val="bestFit"/>
              <c:showLegendKey val="1"/>
              <c:showVal val="1"/>
              <c:showCatName val="1"/>
              <c:showSerName val="0"/>
              <c:showPercent val="0"/>
              <c:showBubbleSize val="0"/>
              <c:separator>
</c:separator>
            </c:dLbl>
            <c:dLbl>
              <c:idx val="4"/>
              <c:layout>
                <c:manualLayout>
                  <c:x val="0"/>
                  <c:y val="-1.967399277110558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Internal market, industry, entrepreneurship and SMEs</c:v>
                </c:pt>
                <c:pt idx="1">
                  <c:v>Financial stability, financial services and capital markets union</c:v>
                </c:pt>
                <c:pt idx="2">
                  <c:v>Communication networks</c:v>
                </c:pt>
                <c:pt idx="3">
                  <c:v>Justice and consumers</c:v>
                </c:pt>
                <c:pt idx="4">
                  <c:v>Other</c:v>
                </c:pt>
              </c:strCache>
            </c:strRef>
          </c:cat>
          <c:val>
            <c:numRef>
              <c:f>Blad1!$B$4:$B$8</c:f>
              <c:numCache>
                <c:formatCode>General</c:formatCode>
                <c:ptCount val="5"/>
                <c:pt idx="0">
                  <c:v>9</c:v>
                </c:pt>
                <c:pt idx="1">
                  <c:v>5</c:v>
                </c:pt>
                <c:pt idx="2">
                  <c:v>2</c:v>
                </c:pt>
                <c:pt idx="3">
                  <c:v>2</c:v>
                </c:pt>
                <c:pt idx="4">
                  <c:v>2</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311"/>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8.8374655647382908E-2"/>
                  <c:y val="-6.0102739726027407E-2"/>
                </c:manualLayout>
              </c:layout>
              <c:dLblPos val="r"/>
              <c:showLegendKey val="0"/>
              <c:showVal val="1"/>
              <c:showCatName val="0"/>
              <c:showSerName val="0"/>
              <c:showPercent val="0"/>
              <c:showBubbleSize val="0"/>
            </c:dLbl>
            <c:dLbl>
              <c:idx val="1"/>
              <c:layout>
                <c:manualLayout>
                  <c:x val="-4.9865946508752521E-2"/>
                  <c:y val="7.6915920612663141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116</c:v>
                </c:pt>
                <c:pt idx="1">
                  <c:v>89</c:v>
                </c:pt>
                <c:pt idx="2">
                  <c:v>78</c:v>
                </c:pt>
                <c:pt idx="3">
                  <c:v>99</c:v>
                </c:pt>
                <c:pt idx="4">
                  <c:v>103</c:v>
                </c:pt>
              </c:numCache>
            </c:numRef>
          </c:val>
          <c:smooth val="0"/>
        </c:ser>
        <c:dLbls>
          <c:showLegendKey val="0"/>
          <c:showVal val="1"/>
          <c:showCatName val="0"/>
          <c:showSerName val="0"/>
          <c:showPercent val="0"/>
          <c:showBubbleSize val="0"/>
        </c:dLbls>
        <c:marker val="1"/>
        <c:smooth val="0"/>
        <c:axId val="98238848"/>
        <c:axId val="98241536"/>
      </c:lineChart>
      <c:catAx>
        <c:axId val="982388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241536"/>
        <c:crosses val="autoZero"/>
        <c:auto val="1"/>
        <c:lblAlgn val="ctr"/>
        <c:lblOffset val="100"/>
        <c:noMultiLvlLbl val="0"/>
      </c:catAx>
      <c:valAx>
        <c:axId val="98241536"/>
        <c:scaling>
          <c:orientation val="minMax"/>
          <c:min val="7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238848"/>
        <c:crosses val="autoZero"/>
        <c:crossBetween val="between"/>
      </c:valAx>
      <c:spPr>
        <a:noFill/>
        <a:ln>
          <a:noFill/>
        </a:ln>
        <a:effectLst/>
        <a:scene3d>
          <a:camera prst="orthographicFront"/>
          <a:lightRig rig="threePt" dir="t"/>
        </a:scene3d>
        <a:sp3d>
          <a:bevelT w="6350"/>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103 complaints made against Austria</a:t>
            </a: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0.12101210121012101"/>
                  <c:y val="9.4637223974763401E-2"/>
                </c:manualLayout>
              </c:layout>
              <c:dLblPos val="bestFit"/>
              <c:showLegendKey val="1"/>
              <c:showVal val="1"/>
              <c:showCatName val="1"/>
              <c:showSerName val="0"/>
              <c:showPercent val="0"/>
              <c:showBubbleSize val="0"/>
              <c:separator>
</c:separator>
            </c:dLbl>
            <c:dLbl>
              <c:idx val="1"/>
              <c:layout>
                <c:manualLayout>
                  <c:x val="-8.2508250825082501E-3"/>
                  <c:y val="-2.6288531756874241E-2"/>
                </c:manualLayout>
              </c:layout>
              <c:dLblPos val="bestFit"/>
              <c:showLegendKey val="1"/>
              <c:showVal val="1"/>
              <c:showCatName val="1"/>
              <c:showSerName val="0"/>
              <c:showPercent val="0"/>
              <c:showBubbleSize val="0"/>
              <c:separator>
</c:separator>
            </c:dLbl>
            <c:dLbl>
              <c:idx val="2"/>
              <c:layout>
                <c:manualLayout>
                  <c:x val="3.8503850385038507E-2"/>
                  <c:y val="0"/>
                </c:manualLayout>
              </c:layout>
              <c:spPr/>
              <c:txPr>
                <a:bodyPr/>
                <a:lstStyle/>
                <a:p>
                  <a:pPr>
                    <a:defRPr sz="850">
                      <a:latin typeface="Arial" panose="020B060402020202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4.9504950495049507E-2"/>
                  <c:y val="0"/>
                </c:manualLayout>
              </c:layout>
              <c:dLblPos val="bestFit"/>
              <c:showLegendKey val="1"/>
              <c:showVal val="1"/>
              <c:showCatName val="1"/>
              <c:showSerName val="0"/>
              <c:showPercent val="0"/>
              <c:showBubbleSize val="0"/>
              <c:separator>
</c:separator>
            </c:dLbl>
            <c:dLbl>
              <c:idx val="4"/>
              <c:layout>
                <c:manualLayout>
                  <c:x val="-1.1001100110010976E-2"/>
                  <c:y val="-0.11041009463722397"/>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Justice and consumers</c:v>
                </c:pt>
                <c:pt idx="1">
                  <c:v>Employment</c:v>
                </c:pt>
                <c:pt idx="2">
                  <c:v>Internal market, industry, entrepreneurship and SMEs</c:v>
                </c:pt>
                <c:pt idx="3">
                  <c:v>Environment</c:v>
                </c:pt>
                <c:pt idx="4">
                  <c:v>Other</c:v>
                </c:pt>
              </c:strCache>
              <c:extLst>
                <c:ext xmlns:c15="http://schemas.microsoft.com/office/drawing/2012/chart" uri="{02D57815-91ED-43cb-92C2-25804820EDAC}">
                  <c15:fullRef>
                    <c15:sqref>Blad1!$A$2:$A$6</c15:sqref>
                  </c15:fullRef>
                </c:ext>
              </c:extLst>
            </c:strRef>
          </c:cat>
          <c:val>
            <c:numRef>
              <c:f>Blad1!$B$3:$B$7</c:f>
              <c:numCache>
                <c:formatCode>General</c:formatCode>
                <c:ptCount val="5"/>
                <c:pt idx="0">
                  <c:v>33</c:v>
                </c:pt>
                <c:pt idx="1">
                  <c:v>16</c:v>
                </c:pt>
                <c:pt idx="2">
                  <c:v>14</c:v>
                </c:pt>
                <c:pt idx="3">
                  <c:v>14</c:v>
                </c:pt>
                <c:pt idx="4">
                  <c:v>26</c:v>
                </c:pt>
              </c:numCache>
              <c:extLst>
                <c:ext xmlns:c15="http://schemas.microsoft.com/office/drawing/2012/chart" uri="{02D57815-91ED-43cb-92C2-25804820EDAC}">
                  <c15:fullRef>
                    <c15:sqref>Blad1!$B$2:$B$6</c15:sqref>
                  </c15:fullRef>
                </c:ext>
              </c:extLst>
            </c:numRef>
          </c:val>
          <c:extLst/>
        </c:ser>
        <c:dLbls>
          <c:dLblPos val="outEnd"/>
          <c:showLegendKey val="0"/>
          <c:showVal val="1"/>
          <c:showCatName val="0"/>
          <c:showSerName val="0"/>
          <c:showPercent val="0"/>
          <c:showBubbleSize val="0"/>
          <c:showLeaderLines val="0"/>
        </c:dLbls>
        <c:firstSliceAng val="30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0337763012181616E-2"/>
                  <c:y val="-6.1777099291160049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41</c:v>
                </c:pt>
                <c:pt idx="1">
                  <c:v>54</c:v>
                </c:pt>
                <c:pt idx="2">
                  <c:v>25</c:v>
                </c:pt>
                <c:pt idx="3">
                  <c:v>22</c:v>
                </c:pt>
                <c:pt idx="4">
                  <c:v>24</c:v>
                </c:pt>
              </c:numCache>
            </c:numRef>
          </c:val>
          <c:smooth val="0"/>
        </c:ser>
        <c:dLbls>
          <c:showLegendKey val="0"/>
          <c:showVal val="0"/>
          <c:showCatName val="0"/>
          <c:showSerName val="0"/>
          <c:showPercent val="0"/>
          <c:showBubbleSize val="0"/>
        </c:dLbls>
        <c:marker val="1"/>
        <c:smooth val="0"/>
        <c:axId val="98361728"/>
        <c:axId val="98363264"/>
      </c:lineChart>
      <c:catAx>
        <c:axId val="98361728"/>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363264"/>
        <c:crosses val="autoZero"/>
        <c:auto val="1"/>
        <c:lblAlgn val="ctr"/>
        <c:lblOffset val="100"/>
        <c:noMultiLvlLbl val="0"/>
      </c:catAx>
      <c:valAx>
        <c:axId val="98363264"/>
        <c:scaling>
          <c:orientation val="minMax"/>
          <c:min val="10"/>
        </c:scaling>
        <c:delete val="1"/>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crossAx val="98361728"/>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0337763012181616E-2"/>
                  <c:y val="-6.1777099291160049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46</c:v>
                </c:pt>
                <c:pt idx="1">
                  <c:v>46</c:v>
                </c:pt>
                <c:pt idx="2">
                  <c:v>30</c:v>
                </c:pt>
                <c:pt idx="3">
                  <c:v>29</c:v>
                </c:pt>
                <c:pt idx="4">
                  <c:v>32</c:v>
                </c:pt>
              </c:numCache>
            </c:numRef>
          </c:val>
          <c:smooth val="0"/>
        </c:ser>
        <c:dLbls>
          <c:showLegendKey val="0"/>
          <c:showVal val="0"/>
          <c:showCatName val="0"/>
          <c:showSerName val="0"/>
          <c:showPercent val="0"/>
          <c:showBubbleSize val="0"/>
        </c:dLbls>
        <c:marker val="1"/>
        <c:smooth val="0"/>
        <c:axId val="98514432"/>
        <c:axId val="98515968"/>
      </c:lineChart>
      <c:catAx>
        <c:axId val="98514432"/>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515968"/>
        <c:crosses val="autoZero"/>
        <c:auto val="1"/>
        <c:lblAlgn val="ctr"/>
        <c:lblOffset val="100"/>
        <c:noMultiLvlLbl val="0"/>
      </c:catAx>
      <c:valAx>
        <c:axId val="98515968"/>
        <c:scaling>
          <c:orientation val="minMax"/>
          <c:min val="10"/>
        </c:scaling>
        <c:delete val="1"/>
        <c:axPos val="l"/>
        <c:majorGridlines>
          <c:spPr>
            <a:ln w="9526" cap="flat" cmpd="sng" algn="ctr">
              <a:solidFill>
                <a:schemeClr val="tx1">
                  <a:lumMod val="15000"/>
                  <a:lumOff val="85000"/>
                </a:schemeClr>
              </a:solidFill>
              <a:round/>
            </a:ln>
            <a:effectLst/>
          </c:spPr>
        </c:majorGridlines>
        <c:numFmt formatCode="General" sourceLinked="1"/>
        <c:majorTickMark val="none"/>
        <c:minorTickMark val="none"/>
        <c:tickLblPos val="nextTo"/>
        <c:crossAx val="98514432"/>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24 EU Pilot files opened against Austria</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1867445434452273"/>
          <c:y val="3.0441400304414001E-2"/>
        </c:manualLayout>
      </c:layout>
      <c:overlay val="0"/>
    </c:title>
    <c:autoTitleDeleted val="0"/>
    <c:plotArea>
      <c:layout/>
      <c:pieChart>
        <c:varyColors val="1"/>
        <c:ser>
          <c:idx val="0"/>
          <c:order val="0"/>
          <c:spPr>
            <a:scene3d>
              <a:camera prst="orthographicFront"/>
              <a:lightRig rig="threePt" dir="t"/>
            </a:scene3d>
            <a:sp3d>
              <a:bevelT w="63500" h="25400"/>
            </a:sp3d>
          </c:spPr>
          <c:dPt>
            <c:idx val="0"/>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FFD617"/>
              </a:solidFill>
              <a:scene3d>
                <a:camera prst="orthographicFront"/>
                <a:lightRig rig="threePt" dir="t"/>
              </a:scene3d>
              <a:sp3d>
                <a:bevelT w="63500" h="25400"/>
              </a:sp3d>
            </c:spPr>
          </c:dPt>
          <c:dPt>
            <c:idx val="5"/>
            <c:bubble3D val="0"/>
            <c:spPr>
              <a:solidFill>
                <a:srgbClr val="00A676"/>
              </a:solidFill>
              <a:scene3d>
                <a:camera prst="orthographicFront"/>
                <a:lightRig rig="threePt" dir="t"/>
              </a:scene3d>
              <a:sp3d>
                <a:bevelT w="63500" h="25400"/>
              </a:sp3d>
            </c:spPr>
          </c:dPt>
          <c:dPt>
            <c:idx val="6"/>
            <c:bubble3D val="0"/>
            <c:spPr>
              <a:solidFill>
                <a:srgbClr val="7030A0"/>
              </a:solidFill>
              <a:scene3d>
                <a:camera prst="orthographicFront"/>
                <a:lightRig rig="threePt" dir="t"/>
              </a:scene3d>
              <a:sp3d>
                <a:bevelT w="63500" h="25400"/>
              </a:sp3d>
            </c:spPr>
          </c:dPt>
          <c:dPt>
            <c:idx val="7"/>
            <c:bubble3D val="0"/>
            <c:spPr>
              <a:solidFill>
                <a:srgbClr val="808AA4"/>
              </a:solidFill>
              <a:scene3d>
                <a:camera prst="orthographicFront"/>
                <a:lightRig rig="threePt" dir="t"/>
              </a:scene3d>
              <a:sp3d>
                <a:bevelT w="63500" h="25400"/>
              </a:sp3d>
            </c:spPr>
          </c:dPt>
          <c:dLbls>
            <c:dLbl>
              <c:idx val="0"/>
              <c:layout>
                <c:manualLayout>
                  <c:x val="0.18914732697886449"/>
                  <c:y val="6.097560975609756E-2"/>
                </c:manualLayout>
              </c:layout>
              <c:dLblPos val="bestFit"/>
              <c:showLegendKey val="1"/>
              <c:showVal val="1"/>
              <c:showCatName val="1"/>
              <c:showSerName val="0"/>
              <c:showPercent val="0"/>
              <c:showBubbleSize val="0"/>
              <c:separator>
</c:separator>
            </c:dLbl>
            <c:dLbl>
              <c:idx val="1"/>
              <c:layout>
                <c:manualLayout>
                  <c:x val="-1.6449311023622046E-2"/>
                  <c:y val="2.5370894949106972E-2"/>
                </c:manualLayout>
              </c:layout>
              <c:dLblPos val="bestFit"/>
              <c:showLegendKey val="1"/>
              <c:showVal val="1"/>
              <c:showCatName val="1"/>
              <c:showSerName val="0"/>
              <c:showPercent val="0"/>
              <c:showBubbleSize val="0"/>
              <c:separator>
</c:separator>
            </c:dLbl>
            <c:dLbl>
              <c:idx val="2"/>
              <c:layout>
                <c:manualLayout>
                  <c:x val="2.7397603260118801E-2"/>
                  <c:y val="-6.605691056910569E-2"/>
                </c:manualLayout>
              </c:layout>
              <c:dLblPos val="bestFit"/>
              <c:showLegendKey val="1"/>
              <c:showVal val="1"/>
              <c:showCatName val="1"/>
              <c:showSerName val="0"/>
              <c:showPercent val="0"/>
              <c:showBubbleSize val="0"/>
              <c:separator>
</c:separator>
            </c:dLbl>
            <c:dLbl>
              <c:idx val="3"/>
              <c:layout>
                <c:manualLayout>
                  <c:x val="8.7721240848183446E-2"/>
                  <c:y val="0"/>
                </c:manualLayout>
              </c:layout>
              <c:dLblPos val="bestFit"/>
              <c:showLegendKey val="1"/>
              <c:showVal val="1"/>
              <c:showCatName val="1"/>
              <c:showSerName val="0"/>
              <c:showPercent val="0"/>
              <c:showBubbleSize val="0"/>
              <c:separator>
</c:separator>
            </c:dLbl>
            <c:dLbl>
              <c:idx val="4"/>
              <c:layout>
                <c:manualLayout>
                  <c:x val="4.6600877192982455E-2"/>
                  <c:y val="1.6090919275334487E-2"/>
                </c:manualLayout>
              </c:layout>
              <c:dLblPos val="bestFit"/>
              <c:showLegendKey val="1"/>
              <c:showVal val="1"/>
              <c:showCatName val="1"/>
              <c:showSerName val="0"/>
              <c:showPercent val="0"/>
              <c:showBubbleSize val="0"/>
              <c:separator>
</c:separator>
            </c:dLbl>
            <c:dLbl>
              <c:idx val="5"/>
              <c:layout>
                <c:manualLayout>
                  <c:x val="8.2236842105263153E-3"/>
                  <c:y val="-4.0010242622111261E-7"/>
                </c:manualLayout>
              </c:layout>
              <c:dLblPos val="bestFit"/>
              <c:showLegendKey val="1"/>
              <c:showVal val="1"/>
              <c:showCatName val="1"/>
              <c:showSerName val="0"/>
              <c:showPercent val="0"/>
              <c:showBubbleSize val="0"/>
              <c:separator>
</c:separator>
            </c:dLbl>
            <c:dLbl>
              <c:idx val="6"/>
              <c:layout>
                <c:manualLayout>
                  <c:x val="5.4824561403508769E-3"/>
                  <c:y val="-1.016260162601626E-2"/>
                </c:manualLayout>
              </c:layout>
              <c:dLblPos val="bestFit"/>
              <c:showLegendKey val="1"/>
              <c:showVal val="1"/>
              <c:showCatName val="1"/>
              <c:showSerName val="0"/>
              <c:showPercent val="0"/>
              <c:showBubbleSize val="0"/>
              <c:separator>
</c:separator>
            </c:dLbl>
            <c:dLbl>
              <c:idx val="7"/>
              <c:layout>
                <c:manualLayout>
                  <c:x val="5.4824561403508769E-3"/>
                  <c:y val="-1.524390243902439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Blad1!$A$3:$A$10</c:f>
              <c:strCache>
                <c:ptCount val="8"/>
                <c:pt idx="0">
                  <c:v>Taxation and customs</c:v>
                </c:pt>
                <c:pt idx="1">
                  <c:v>Mobility and transport</c:v>
                </c:pt>
                <c:pt idx="2">
                  <c:v>Internal market, industry, entrepreneurship and SMEs</c:v>
                </c:pt>
                <c:pt idx="3">
                  <c:v>Climate action</c:v>
                </c:pt>
                <c:pt idx="4">
                  <c:v>Employment</c:v>
                </c:pt>
                <c:pt idx="5">
                  <c:v>Environment</c:v>
                </c:pt>
                <c:pt idx="6">
                  <c:v>Neighbourhood and enlaregement negotiations</c:v>
                </c:pt>
                <c:pt idx="7">
                  <c:v>Other</c:v>
                </c:pt>
              </c:strCache>
            </c:strRef>
          </c:cat>
          <c:val>
            <c:numRef>
              <c:f>Blad1!$B$3:$B$10</c:f>
              <c:numCache>
                <c:formatCode>General</c:formatCode>
                <c:ptCount val="8"/>
                <c:pt idx="0">
                  <c:v>5</c:v>
                </c:pt>
                <c:pt idx="1">
                  <c:v>5</c:v>
                </c:pt>
                <c:pt idx="2">
                  <c:v>4</c:v>
                </c:pt>
                <c:pt idx="3">
                  <c:v>2</c:v>
                </c:pt>
                <c:pt idx="4">
                  <c:v>2</c:v>
                </c:pt>
                <c:pt idx="5">
                  <c:v>2</c:v>
                </c:pt>
                <c:pt idx="6">
                  <c:v>2</c:v>
                </c:pt>
                <c:pt idx="7">
                  <c:v>2</c:v>
                </c:pt>
              </c:numCache>
            </c:numRef>
          </c:val>
          <c:extLst/>
        </c:ser>
        <c:dLbls>
          <c:showLegendKey val="0"/>
          <c:showVal val="0"/>
          <c:showCatName val="0"/>
          <c:showSerName val="0"/>
          <c:showPercent val="0"/>
          <c:showBubbleSize val="0"/>
          <c:showLeaderLines val="0"/>
        </c:dLbls>
        <c:firstSliceAng val="31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4.220743205768164E-2"/>
                  <c:y val="-6.0517241379310346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62</c:v>
                </c:pt>
                <c:pt idx="1">
                  <c:v>65</c:v>
                </c:pt>
                <c:pt idx="2">
                  <c:v>71</c:v>
                </c:pt>
                <c:pt idx="3">
                  <c:v>68</c:v>
                </c:pt>
                <c:pt idx="4">
                  <c:v>64</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8571776"/>
        <c:axId val="98572928"/>
      </c:lineChart>
      <c:catAx>
        <c:axId val="985717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572928"/>
        <c:crosses val="autoZero"/>
        <c:auto val="1"/>
        <c:lblAlgn val="ctr"/>
        <c:lblOffset val="100"/>
        <c:noMultiLvlLbl val="0"/>
      </c:catAx>
      <c:valAx>
        <c:axId val="9857292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571776"/>
        <c:crosses val="autoZero"/>
        <c:crossBetween val="between"/>
      </c:valAx>
      <c:spPr>
        <a:noFill/>
        <a:ln>
          <a:noFill/>
        </a:ln>
        <a:effectLst/>
      </c:spPr>
    </c:plotArea>
    <c:legend>
      <c:legendPos val="b"/>
      <c:legendEntry>
        <c:idx val="0"/>
        <c:delete val="1"/>
      </c:legendEntry>
      <c:layout>
        <c:manualLayout>
          <c:xMode val="edge"/>
          <c:yMode val="edge"/>
          <c:x val="4.4772492040824341E-2"/>
          <c:y val="0.76430310435333515"/>
          <c:w val="0.88826947953329416"/>
          <c:h val="0.23019413521585666"/>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Austria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0090182154851275E-2"/>
                  <c:y val="-6.9150110375275922E-2"/>
                </c:manualLayout>
              </c:layout>
              <c:dLblPos val="r"/>
              <c:showLegendKey val="0"/>
              <c:showVal val="1"/>
              <c:showCatName val="0"/>
              <c:showSerName val="0"/>
              <c:showPercent val="0"/>
              <c:showBubbleSize val="0"/>
            </c:dLbl>
            <c:dLbl>
              <c:idx val="3"/>
              <c:layout>
                <c:manualLayout>
                  <c:x val="-6.5924683707381838E-3"/>
                  <c:y val="3.9432653699744386E-2"/>
                </c:manualLayout>
              </c:layout>
              <c:dLblPos val="r"/>
              <c:showLegendKey val="0"/>
              <c:showVal val="1"/>
              <c:showCatName val="0"/>
              <c:showSerName val="0"/>
              <c:showPercent val="0"/>
              <c:showBubbleSize val="0"/>
            </c:dLbl>
            <c:dLbl>
              <c:idx val="4"/>
              <c:layout>
                <c:manualLayout>
                  <c:x val="-2.7904935343980506E-2"/>
                  <c:y val="7.433774834437086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0.66</c:v>
                </c:pt>
                <c:pt idx="1">
                  <c:v>0.63</c:v>
                </c:pt>
                <c:pt idx="2">
                  <c:v>0.86</c:v>
                </c:pt>
                <c:pt idx="3">
                  <c:v>0.52</c:v>
                </c:pt>
                <c:pt idx="4">
                  <c:v>0.67</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8009856"/>
        <c:axId val="98011392"/>
      </c:lineChart>
      <c:catAx>
        <c:axId val="980098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011392"/>
        <c:crosses val="autoZero"/>
        <c:auto val="1"/>
        <c:lblAlgn val="ctr"/>
        <c:lblOffset val="100"/>
        <c:noMultiLvlLbl val="0"/>
      </c:catAx>
      <c:valAx>
        <c:axId val="98011392"/>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8009856"/>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4.2177260954963408E-2"/>
                  <c:y val="5.6862135654095869E-2"/>
                </c:manualLayout>
              </c:layout>
              <c:dLblPos val="r"/>
              <c:showLegendKey val="0"/>
              <c:showVal val="1"/>
              <c:showCatName val="0"/>
              <c:showSerName val="0"/>
              <c:showPercent val="0"/>
              <c:showBubbleSize val="0"/>
            </c:dLbl>
            <c:dLbl>
              <c:idx val="2"/>
              <c:layout>
                <c:manualLayout>
                  <c:x val="-3.3747240618101547E-2"/>
                  <c:y val="-6.3185091172813929E-2"/>
                </c:manualLayout>
              </c:layout>
              <c:dLblPos val="r"/>
              <c:showLegendKey val="0"/>
              <c:showVal val="1"/>
              <c:showCatName val="0"/>
              <c:showSerName val="0"/>
              <c:showPercent val="0"/>
              <c:showBubbleSize val="0"/>
            </c:dLbl>
            <c:dLbl>
              <c:idx val="4"/>
              <c:layout>
                <c:manualLayout>
                  <c:x val="-3.0987858719646801E-2"/>
                  <c:y val="-6.3185091172813929E-2"/>
                </c:manualLayout>
              </c:layout>
              <c:dLblPos val="r"/>
              <c:showLegendKey val="0"/>
              <c:showVal val="1"/>
              <c:showCatName val="0"/>
              <c:showSerName val="0"/>
              <c:showPercent val="0"/>
              <c:showBubbleSize val="0"/>
            </c:dLbl>
            <c:spPr>
              <a:noFill/>
              <a:ln w="2542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51</c:v>
                </c:pt>
                <c:pt idx="1">
                  <c:v>49</c:v>
                </c:pt>
                <c:pt idx="2">
                  <c:v>53</c:v>
                </c:pt>
                <c:pt idx="3">
                  <c:v>49</c:v>
                </c:pt>
                <c:pt idx="4">
                  <c:v>66</c:v>
                </c:pt>
              </c:numCache>
            </c:numRef>
          </c:val>
          <c:smooth val="0"/>
        </c:ser>
        <c:dLbls>
          <c:showLegendKey val="0"/>
          <c:showVal val="0"/>
          <c:showCatName val="0"/>
          <c:showSerName val="0"/>
          <c:showPercent val="0"/>
          <c:showBubbleSize val="0"/>
        </c:dLbls>
        <c:marker val="1"/>
        <c:smooth val="0"/>
        <c:axId val="97925376"/>
        <c:axId val="97927168"/>
      </c:lineChart>
      <c:catAx>
        <c:axId val="97925376"/>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7927168"/>
        <c:crosses val="autoZero"/>
        <c:auto val="1"/>
        <c:lblAlgn val="ctr"/>
        <c:lblOffset val="100"/>
        <c:noMultiLvlLbl val="0"/>
      </c:catAx>
      <c:valAx>
        <c:axId val="97927168"/>
        <c:scaling>
          <c:orientation val="minMax"/>
          <c:min val="35"/>
        </c:scaling>
        <c:delete val="1"/>
        <c:axPos val="l"/>
        <c:majorGridlines>
          <c:spPr>
            <a:ln w="9533" cap="flat" cmpd="sng" algn="ctr">
              <a:solidFill>
                <a:schemeClr val="tx1">
                  <a:lumMod val="15000"/>
                  <a:lumOff val="85000"/>
                </a:schemeClr>
              </a:solidFill>
              <a:round/>
            </a:ln>
            <a:effectLst/>
          </c:spPr>
        </c:majorGridlines>
        <c:numFmt formatCode="General" sourceLinked="1"/>
        <c:majorTickMark val="out"/>
        <c:minorTickMark val="none"/>
        <c:tickLblPos val="nextTo"/>
        <c:crossAx val="97925376"/>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47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Austria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8.0412348622811505E-2"/>
                  <c:y val="0.14407899832193108"/>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2"/>
              <c:layout>
                <c:manualLayout>
                  <c:x val="-5.546311702717693E-3"/>
                  <c:y val="1.092896174863388E-2"/>
                </c:manualLayout>
              </c:layout>
              <c:dLblPos val="bestFit"/>
              <c:showLegendKey val="1"/>
              <c:showVal val="1"/>
              <c:showCatName val="1"/>
              <c:showSerName val="0"/>
              <c:showPercent val="0"/>
              <c:showBubbleSize val="0"/>
              <c:separator>
</c:separator>
            </c:dLbl>
            <c:dLbl>
              <c:idx val="3"/>
              <c:layout>
                <c:manualLayout>
                  <c:x val="0.10356164921980426"/>
                  <c:y val="-1.6393442622950821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1.1092623405435386E-2"/>
                  <c:y val="-0.27868852459016391"/>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5"/>
              <c:layout>
                <c:manualLayout>
                  <c:x val="-8.3194675540765387E-3"/>
                  <c:y val="9.2896174863387984E-2"/>
                </c:manualLayout>
              </c:layout>
              <c:dLblPos val="bestFit"/>
              <c:showLegendKey val="1"/>
              <c:showVal val="1"/>
              <c:showCatName val="1"/>
              <c:showSerName val="0"/>
              <c:showPercent val="0"/>
              <c:showBubbleSize val="0"/>
              <c:separator>
</c:separator>
            </c:dLbl>
            <c:dLbl>
              <c:idx val="6"/>
              <c:layout>
                <c:manualLayout>
                  <c:x val="6.1009428729894621E-2"/>
                  <c:y val="-5.4644808743169147E-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Internal market, industry, entrepreneurship and SMEs</c:v>
                </c:pt>
                <c:pt idx="2">
                  <c:v>Health and food safety</c:v>
                </c:pt>
                <c:pt idx="3">
                  <c:v>Environment</c:v>
                </c:pt>
                <c:pt idx="4">
                  <c:v>Other</c:v>
                </c:pt>
              </c:strCache>
            </c:strRef>
          </c:cat>
          <c:val>
            <c:numRef>
              <c:f>Blad1!$B$2:$B$6</c:f>
              <c:numCache>
                <c:formatCode>General</c:formatCode>
                <c:ptCount val="5"/>
                <c:pt idx="0">
                  <c:v>0</c:v>
                </c:pt>
                <c:pt idx="1">
                  <c:v>14</c:v>
                </c:pt>
                <c:pt idx="2">
                  <c:v>10</c:v>
                </c:pt>
                <c:pt idx="3">
                  <c:v>7</c:v>
                </c:pt>
                <c:pt idx="4">
                  <c:v>16</c:v>
                </c:pt>
              </c:numCache>
            </c:numRef>
          </c:val>
          <c:extLst/>
        </c:ser>
        <c:dLbls>
          <c:showLegendKey val="0"/>
          <c:showVal val="0"/>
          <c:showCatName val="1"/>
          <c:showSerName val="0"/>
          <c:showPercent val="0"/>
          <c:showBubbleSize val="0"/>
          <c:showLeaderLines val="0"/>
        </c:dLbls>
        <c:firstSliceAng val="31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Lithuania</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5.0116603560994143E-2"/>
                  <c:y val="6.789970740062326E-2"/>
                </c:manualLayout>
              </c:layout>
              <c:dLblPos val="r"/>
              <c:showLegendKey val="0"/>
              <c:showVal val="1"/>
              <c:showCatName val="0"/>
              <c:showSerName val="0"/>
              <c:showPercent val="0"/>
              <c:showBubbleSize val="0"/>
            </c:dLbl>
            <c:dLbl>
              <c:idx val="2"/>
              <c:layout>
                <c:manualLayout>
                  <c:x val="-5.5636493857568969E-2"/>
                  <c:y val="-4.798590130916415E-2"/>
                </c:manualLayout>
              </c:layout>
              <c:dLblPos val="r"/>
              <c:showLegendKey val="0"/>
              <c:showVal val="1"/>
              <c:showCatName val="0"/>
              <c:showSerName val="0"/>
              <c:showPercent val="0"/>
              <c:showBubbleSize val="0"/>
            </c:dLbl>
            <c:dLbl>
              <c:idx val="3"/>
              <c:layout>
                <c:manualLayout>
                  <c:x val="-4.8189830837757575E-2"/>
                  <c:y val="-5.9905117372626965E-2"/>
                </c:manualLayout>
              </c:layout>
              <c:dLblPos val="r"/>
              <c:showLegendKey val="0"/>
              <c:showVal val="1"/>
              <c:showCatName val="0"/>
              <c:showSerName val="0"/>
              <c:showPercent val="0"/>
              <c:showBubbleSize val="0"/>
            </c:dLbl>
            <c:dLbl>
              <c:idx val="4"/>
              <c:layout>
                <c:manualLayout>
                  <c:x val="-4.7317026303492431E-2"/>
                  <c:y val="-7.3162134944612281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0.76</c:v>
                </c:pt>
                <c:pt idx="1">
                  <c:v>0.69</c:v>
                </c:pt>
                <c:pt idx="2">
                  <c:v>0.86</c:v>
                </c:pt>
                <c:pt idx="3">
                  <c:v>0.76</c:v>
                </c:pt>
                <c:pt idx="4">
                  <c:v>0.76</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0"/>
              <c:layout>
                <c:manualLayout>
                  <c:x val="-4.1770714600774736E-2"/>
                  <c:y val="7.8197381671701913E-2"/>
                </c:manualLayout>
              </c:layout>
              <c:dLblPos val="r"/>
              <c:showLegendKey val="0"/>
              <c:showVal val="1"/>
              <c:showCatName val="0"/>
              <c:showSerName val="0"/>
              <c:showPercent val="0"/>
              <c:showBubbleSize val="0"/>
            </c:dLbl>
            <c:dLbl>
              <c:idx val="1"/>
              <c:layout>
                <c:manualLayout>
                  <c:x val="-5.2892598075822882E-2"/>
                  <c:y val="-5.7839918801690572E-2"/>
                </c:manualLayout>
              </c:layout>
              <c:dLblPos val="r"/>
              <c:showLegendKey val="0"/>
              <c:showVal val="1"/>
              <c:showCatName val="0"/>
              <c:showSerName val="0"/>
              <c:showPercent val="0"/>
              <c:showBubbleSize val="0"/>
            </c:dLbl>
            <c:dLbl>
              <c:idx val="3"/>
              <c:layout>
                <c:manualLayout>
                  <c:x val="-5.2863338006210125E-2"/>
                  <c:y val="7.3162134944612281E-2"/>
                </c:manualLayout>
              </c:layout>
              <c:dLblPos val="r"/>
              <c:showLegendKey val="0"/>
              <c:showVal val="1"/>
              <c:showCatName val="0"/>
              <c:showSerName val="0"/>
              <c:showPercent val="0"/>
              <c:showBubbleSize val="0"/>
            </c:dLbl>
            <c:dLbl>
              <c:idx val="4"/>
              <c:layout>
                <c:manualLayout>
                  <c:x val="-4.454387045213358E-2"/>
                  <c:y val="5.8056394763343407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80567296"/>
        <c:axId val="80597760"/>
      </c:lineChart>
      <c:catAx>
        <c:axId val="805672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597760"/>
        <c:crosses val="autoZero"/>
        <c:auto val="1"/>
        <c:lblAlgn val="ctr"/>
        <c:lblOffset val="100"/>
        <c:noMultiLvlLbl val="0"/>
      </c:catAx>
      <c:valAx>
        <c:axId val="80597760"/>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80567296"/>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4.1997792494481233E-2"/>
                  <c:y val="-6.4391143911439117E-2"/>
                </c:manualLayout>
              </c:layout>
              <c:dLblPos val="r"/>
              <c:showLegendKey val="0"/>
              <c:showVal val="1"/>
              <c:showCatName val="0"/>
              <c:showSerName val="0"/>
              <c:showPercent val="0"/>
              <c:showBubbleSize val="0"/>
            </c:dLbl>
            <c:dLbl>
              <c:idx val="1"/>
              <c:layout>
                <c:manualLayout>
                  <c:x val="-4.7516556291390726E-2"/>
                  <c:y val="7.0910209102091018E-2"/>
                </c:manualLayout>
              </c:layout>
              <c:dLblPos val="r"/>
              <c:showLegendKey val="0"/>
              <c:showVal val="1"/>
              <c:showCatName val="0"/>
              <c:showSerName val="0"/>
              <c:showPercent val="0"/>
              <c:showBubbleSize val="0"/>
            </c:dLbl>
            <c:dLbl>
              <c:idx val="2"/>
              <c:layout>
                <c:manualLayout>
                  <c:x val="-3.3719646799117001E-2"/>
                  <c:y val="6.4760147601476067E-2"/>
                </c:manualLayout>
              </c:layout>
              <c:dLblPos val="r"/>
              <c:showLegendKey val="0"/>
              <c:showVal val="1"/>
              <c:showCatName val="0"/>
              <c:showSerName val="0"/>
              <c:showPercent val="0"/>
              <c:showBubbleSize val="0"/>
            </c:dLbl>
            <c:dLbl>
              <c:idx val="3"/>
              <c:layout>
                <c:manualLayout>
                  <c:x val="-3.3719646799117001E-2"/>
                  <c:y val="7.0910209102091018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23</c:v>
                </c:pt>
                <c:pt idx="1">
                  <c:v>19</c:v>
                </c:pt>
                <c:pt idx="2">
                  <c:v>21</c:v>
                </c:pt>
                <c:pt idx="3">
                  <c:v>18</c:v>
                </c:pt>
                <c:pt idx="4">
                  <c:v>34</c:v>
                </c:pt>
              </c:numCache>
            </c:numRef>
          </c:val>
          <c:smooth val="0"/>
        </c:ser>
        <c:dLbls>
          <c:dLblPos val="t"/>
          <c:showLegendKey val="0"/>
          <c:showVal val="1"/>
          <c:showCatName val="0"/>
          <c:showSerName val="0"/>
          <c:showPercent val="0"/>
          <c:showBubbleSize val="0"/>
        </c:dLbls>
        <c:marker val="1"/>
        <c:smooth val="0"/>
        <c:axId val="98095488"/>
        <c:axId val="98098176"/>
      </c:lineChart>
      <c:catAx>
        <c:axId val="98095488"/>
        <c:scaling>
          <c:orientation val="minMax"/>
        </c:scaling>
        <c:delete val="0"/>
        <c:axPos val="b"/>
        <c:numFmt formatCode="General" sourceLinked="1"/>
        <c:majorTickMark val="none"/>
        <c:minorTickMark val="none"/>
        <c:tickLblPos val="nextTo"/>
        <c:spPr>
          <a:noFill/>
          <a:ln w="12710" cap="flat" cmpd="sng" algn="ctr">
            <a:solidFill>
              <a:schemeClr val="tx1">
                <a:lumMod val="15000"/>
                <a:lumOff val="85000"/>
              </a:schemeClr>
            </a:solidFill>
            <a:round/>
          </a:ln>
          <a:effectLst/>
        </c:spPr>
        <c:txPr>
          <a:bodyPr rot="-60000000" spcFirstLastPara="1" vertOverflow="ellipsis" vert="horz" wrap="square" anchor="ctr" anchorCtr="1"/>
          <a:lstStyle/>
          <a:p>
            <a:pPr>
              <a:defRPr sz="901"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098176"/>
        <c:crosses val="autoZero"/>
        <c:auto val="1"/>
        <c:lblAlgn val="ctr"/>
        <c:lblOffset val="100"/>
        <c:noMultiLvlLbl val="0"/>
      </c:catAx>
      <c:valAx>
        <c:axId val="98098176"/>
        <c:scaling>
          <c:orientation val="minMax"/>
        </c:scaling>
        <c:delete val="1"/>
        <c:axPos val="l"/>
        <c:majorGridlines>
          <c:spPr>
            <a:ln w="9533" cap="flat" cmpd="sng" algn="ctr">
              <a:solidFill>
                <a:schemeClr val="tx1">
                  <a:lumMod val="15000"/>
                  <a:lumOff val="85000"/>
                </a:schemeClr>
              </a:solidFill>
              <a:round/>
            </a:ln>
            <a:effectLst/>
          </c:spPr>
        </c:majorGridlines>
        <c:numFmt formatCode="General" sourceLinked="1"/>
        <c:majorTickMark val="none"/>
        <c:minorTickMark val="none"/>
        <c:tickLblPos val="nextTo"/>
        <c:crossAx val="98095488"/>
        <c:crosses val="autoZero"/>
        <c:crossBetween val="between"/>
      </c:valAx>
      <c:spPr>
        <a:noFill/>
        <a:ln w="25421">
          <a:noFill/>
        </a:ln>
      </c:spPr>
    </c:plotArea>
    <c:plotVisOnly val="1"/>
    <c:dispBlanksAs val="gap"/>
    <c:showDLblsOverMax val="0"/>
  </c:chart>
  <c:spPr>
    <a:solidFill>
      <a:schemeClr val="bg1"/>
    </a:solidFill>
    <a:ln w="9533"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3.9368770764119598E-2"/>
                  <c:y val="7.1172839506172841E-2"/>
                </c:manualLayout>
              </c:layout>
              <c:dLblPos val="r"/>
              <c:showLegendKey val="0"/>
              <c:showVal val="1"/>
              <c:showCatName val="0"/>
              <c:showSerName val="0"/>
              <c:showPercent val="0"/>
              <c:showBubbleSize val="0"/>
            </c:dLbl>
            <c:dLbl>
              <c:idx val="2"/>
              <c:layout>
                <c:manualLayout>
                  <c:x val="-4.2137320044296787E-2"/>
                  <c:y val="-7.6975308641975312E-2"/>
                </c:manualLayout>
              </c:layout>
              <c:dLblPos val="r"/>
              <c:showLegendKey val="0"/>
              <c:showVal val="1"/>
              <c:showCatName val="0"/>
              <c:showSerName val="0"/>
              <c:showPercent val="0"/>
              <c:showBubbleSize val="0"/>
            </c:dLbl>
            <c:dLbl>
              <c:idx val="3"/>
              <c:layout>
                <c:manualLayout>
                  <c:x val="-3.6600221483942416E-2"/>
                  <c:y val="6.5000000000000002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24</c:v>
                </c:pt>
                <c:pt idx="1">
                  <c:v>19</c:v>
                </c:pt>
                <c:pt idx="2">
                  <c:v>26</c:v>
                </c:pt>
                <c:pt idx="3">
                  <c:v>14</c:v>
                </c:pt>
                <c:pt idx="4">
                  <c:v>40</c:v>
                </c:pt>
              </c:numCache>
            </c:numRef>
          </c:val>
          <c:smooth val="0"/>
        </c:ser>
        <c:dLbls>
          <c:showLegendKey val="0"/>
          <c:showVal val="0"/>
          <c:showCatName val="0"/>
          <c:showSerName val="0"/>
          <c:showPercent val="0"/>
          <c:showBubbleSize val="0"/>
        </c:dLbls>
        <c:marker val="1"/>
        <c:smooth val="0"/>
        <c:axId val="98143616"/>
        <c:axId val="99050624"/>
      </c:lineChart>
      <c:catAx>
        <c:axId val="981436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050624"/>
        <c:crosses val="autoZero"/>
        <c:auto val="1"/>
        <c:lblAlgn val="ctr"/>
        <c:lblOffset val="100"/>
        <c:noMultiLvlLbl val="0"/>
      </c:catAx>
      <c:valAx>
        <c:axId val="9905062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143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40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Austria</a:t>
            </a: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2.7716230238662029E-2"/>
                  <c:y val="-9.8039215686274508E-3"/>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7.7519379844961239E-2"/>
                  <c:y val="-4.4117647058823532E-2"/>
                </c:manualLayout>
              </c:layout>
              <c:dLblPos val="bestFit"/>
              <c:showLegendKey val="1"/>
              <c:showVal val="1"/>
              <c:showCatName val="1"/>
              <c:showSerName val="0"/>
              <c:showPercent val="0"/>
              <c:showBubbleSize val="0"/>
              <c:separator>
</c:separator>
            </c:dLbl>
            <c:dLbl>
              <c:idx val="2"/>
              <c:layout>
                <c:manualLayout>
                  <c:x val="1.7047287693689451E-4"/>
                  <c:y val="0"/>
                </c:manualLayout>
              </c:layout>
              <c:dLblPos val="bestFit"/>
              <c:showLegendKey val="1"/>
              <c:showVal val="1"/>
              <c:showCatName val="1"/>
              <c:showSerName val="0"/>
              <c:showPercent val="0"/>
              <c:showBubbleSize val="0"/>
              <c:separator>
</c:separator>
            </c:dLbl>
            <c:dLbl>
              <c:idx val="3"/>
              <c:layout>
                <c:manualLayout>
                  <c:x val="0"/>
                  <c:y val="3.9215686274509803E-2"/>
                </c:manualLayout>
              </c:layout>
              <c:dLblPos val="bestFit"/>
              <c:showLegendKey val="1"/>
              <c:showVal val="1"/>
              <c:showCatName val="1"/>
              <c:showSerName val="0"/>
              <c:showPercent val="0"/>
              <c:showBubbleSize val="0"/>
              <c:separator>
</c:separator>
            </c:dLbl>
            <c:dLbl>
              <c:idx val="4"/>
              <c:layout>
                <c:manualLayout>
                  <c:x val="-4.4296788482834998E-2"/>
                  <c:y val="5.8823529411764705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Internal market, industry, entrepreneurship and SMEs</c:v>
                </c:pt>
                <c:pt idx="1">
                  <c:v>Health and food safety</c:v>
                </c:pt>
                <c:pt idx="2">
                  <c:v>Environment</c:v>
                </c:pt>
                <c:pt idx="3">
                  <c:v>Mobility and transport</c:v>
                </c:pt>
                <c:pt idx="4">
                  <c:v>Other</c:v>
                </c:pt>
              </c:strCache>
            </c:strRef>
          </c:cat>
          <c:val>
            <c:numRef>
              <c:f>Blad1!$B$4:$B$8</c:f>
              <c:numCache>
                <c:formatCode>General</c:formatCode>
                <c:ptCount val="5"/>
                <c:pt idx="0">
                  <c:v>10</c:v>
                </c:pt>
                <c:pt idx="1">
                  <c:v>10</c:v>
                </c:pt>
                <c:pt idx="2">
                  <c:v>6</c:v>
                </c:pt>
                <c:pt idx="3">
                  <c:v>5</c:v>
                </c:pt>
                <c:pt idx="4">
                  <c:v>9</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4"/>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0"/>
              <c:layout>
                <c:manualLayout>
                  <c:x val="-6.1538461538461542E-2"/>
                  <c:y val="5.4803240740740632E-2"/>
                </c:manualLayout>
              </c:layout>
              <c:dLblPos val="r"/>
              <c:showLegendKey val="0"/>
              <c:showVal val="1"/>
              <c:showCatName val="0"/>
              <c:showSerName val="0"/>
              <c:showPercent val="0"/>
              <c:showBubbleSize val="0"/>
            </c:dLbl>
            <c:dLbl>
              <c:idx val="1"/>
              <c:layout>
                <c:manualLayout>
                  <c:x val="-5.0390189520624303E-2"/>
                  <c:y val="-6.6724537037037041E-2"/>
                </c:manualLayout>
              </c:layout>
              <c:dLblPos val="r"/>
              <c:showLegendKey val="0"/>
              <c:showVal val="1"/>
              <c:showCatName val="0"/>
              <c:showSerName val="0"/>
              <c:showPercent val="0"/>
              <c:showBubbleSize val="0"/>
            </c:dLbl>
            <c:dLbl>
              <c:idx val="2"/>
              <c:layout>
                <c:manualLayout>
                  <c:x val="-5.8703333069988275E-2"/>
                  <c:y val="7.213063210848644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156</c:v>
                </c:pt>
                <c:pt idx="1">
                  <c:v>209</c:v>
                </c:pt>
                <c:pt idx="2">
                  <c:v>191</c:v>
                </c:pt>
                <c:pt idx="3">
                  <c:v>184</c:v>
                </c:pt>
                <c:pt idx="4">
                  <c:v>152</c:v>
                </c:pt>
              </c:numCache>
            </c:numRef>
          </c:val>
          <c:smooth val="0"/>
        </c:ser>
        <c:dLbls>
          <c:showLegendKey val="0"/>
          <c:showVal val="1"/>
          <c:showCatName val="0"/>
          <c:showSerName val="0"/>
          <c:showPercent val="0"/>
          <c:showBubbleSize val="0"/>
        </c:dLbls>
        <c:marker val="1"/>
        <c:smooth val="0"/>
        <c:axId val="98845440"/>
        <c:axId val="98846976"/>
      </c:lineChart>
      <c:catAx>
        <c:axId val="988454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8846976"/>
        <c:crosses val="autoZero"/>
        <c:auto val="1"/>
        <c:lblAlgn val="ctr"/>
        <c:lblOffset val="100"/>
        <c:noMultiLvlLbl val="0"/>
      </c:catAx>
      <c:valAx>
        <c:axId val="98846976"/>
        <c:scaling>
          <c:orientation val="minMax"/>
          <c:min val="14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88454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152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92D05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Lbls>
            <c:dLbl>
              <c:idx val="0"/>
              <c:layout>
                <c:manualLayout>
                  <c:x val="-2.7491056192233396E-2"/>
                  <c:y val="4.1993508697848077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0"/>
                  <c:y val="-4.7297308481073629E-2"/>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3.5779562208189321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65016501650165E-2"/>
                  <c:y val="-0.22082018927444794"/>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Taxation and customs</c:v>
                </c:pt>
                <c:pt idx="2">
                  <c:v>Regional and urban policy</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45</c:v>
                </c:pt>
                <c:pt idx="1">
                  <c:v>18</c:v>
                </c:pt>
                <c:pt idx="2">
                  <c:v>17</c:v>
                </c:pt>
                <c:pt idx="3">
                  <c:v>72</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4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59</c:v>
                </c:pt>
                <c:pt idx="1">
                  <c:v>57</c:v>
                </c:pt>
                <c:pt idx="2">
                  <c:v>58</c:v>
                </c:pt>
                <c:pt idx="3">
                  <c:v>41</c:v>
                </c:pt>
                <c:pt idx="4">
                  <c:v>41</c:v>
                </c:pt>
              </c:numCache>
            </c:numRef>
          </c:val>
          <c:smooth val="0"/>
        </c:ser>
        <c:dLbls>
          <c:showLegendKey val="0"/>
          <c:showVal val="0"/>
          <c:showCatName val="0"/>
          <c:showSerName val="0"/>
          <c:showPercent val="0"/>
          <c:showBubbleSize val="0"/>
        </c:dLbls>
        <c:marker val="1"/>
        <c:smooth val="0"/>
        <c:axId val="99111680"/>
        <c:axId val="99113216"/>
      </c:lineChart>
      <c:catAx>
        <c:axId val="991116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113216"/>
        <c:crosses val="autoZero"/>
        <c:auto val="1"/>
        <c:lblAlgn val="ctr"/>
        <c:lblOffset val="100"/>
        <c:noMultiLvlLbl val="0"/>
      </c:catAx>
      <c:valAx>
        <c:axId val="99113216"/>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11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64</c:v>
                </c:pt>
                <c:pt idx="1">
                  <c:v>67</c:v>
                </c:pt>
                <c:pt idx="2">
                  <c:v>73</c:v>
                </c:pt>
                <c:pt idx="3">
                  <c:v>74</c:v>
                </c:pt>
                <c:pt idx="4">
                  <c:v>61</c:v>
                </c:pt>
              </c:numCache>
            </c:numRef>
          </c:val>
          <c:smooth val="0"/>
        </c:ser>
        <c:dLbls>
          <c:showLegendKey val="0"/>
          <c:showVal val="0"/>
          <c:showCatName val="0"/>
          <c:showSerName val="0"/>
          <c:showPercent val="0"/>
          <c:showBubbleSize val="0"/>
        </c:dLbls>
        <c:marker val="1"/>
        <c:smooth val="0"/>
        <c:axId val="99149696"/>
        <c:axId val="99151232"/>
      </c:lineChart>
      <c:catAx>
        <c:axId val="9914969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151232"/>
        <c:crosses val="autoZero"/>
        <c:auto val="1"/>
        <c:lblAlgn val="ctr"/>
        <c:lblOffset val="100"/>
        <c:noMultiLvlLbl val="0"/>
      </c:catAx>
      <c:valAx>
        <c:axId val="99151232"/>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149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41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Poland</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22687072627434729"/>
          <c:y val="0"/>
        </c:manualLayout>
      </c:layout>
      <c:overlay val="0"/>
    </c:title>
    <c:autoTitleDeleted val="0"/>
    <c:plotArea>
      <c:layout/>
      <c:pieChart>
        <c:varyColors val="1"/>
        <c:ser>
          <c:idx val="0"/>
          <c:order val="0"/>
          <c:tx>
            <c:strRef>
              <c:f>Blad1!$B$3:$B$7</c:f>
              <c:strCache>
                <c:ptCount val="1"/>
                <c:pt idx="0">
                  <c:v>12 8 4 4 12</c:v>
                </c:pt>
              </c:strCache>
            </c:strRef>
          </c:tx>
          <c:spPr>
            <a:scene3d>
              <a:camera prst="orthographicFront"/>
              <a:lightRig rig="threePt" dir="t"/>
            </a:scene3d>
            <a:sp3d>
              <a:bevelT w="63500" h="25400"/>
            </a:sp3d>
          </c:spPr>
          <c:dPt>
            <c:idx val="0"/>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E7511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rgbClr val="3399FF"/>
              </a:solidFill>
              <a:scene3d>
                <a:camera prst="orthographicFront"/>
                <a:lightRig rig="threePt" dir="t"/>
              </a:scene3d>
              <a:sp3d>
                <a:bevelT w="63500" h="25400"/>
              </a:sp3d>
            </c:spPr>
          </c:dPt>
          <c:dLbls>
            <c:dLbl>
              <c:idx val="0"/>
              <c:layout>
                <c:manualLayout>
                  <c:x val="1.0967490243143646E-2"/>
                  <c:y val="5.5797107816627618E-2"/>
                </c:manualLayout>
              </c:layout>
              <c:dLblPos val="bestFit"/>
              <c:showLegendKey val="1"/>
              <c:showVal val="1"/>
              <c:showCatName val="1"/>
              <c:showSerName val="0"/>
              <c:showPercent val="0"/>
              <c:showBubbleSize val="0"/>
              <c:separator>
</c:separator>
            </c:dLbl>
            <c:dLbl>
              <c:idx val="1"/>
              <c:layout>
                <c:manualLayout>
                  <c:x val="-1.096685488327117E-2"/>
                  <c:y val="5.0777799116573846E-2"/>
                </c:manualLayout>
              </c:layout>
              <c:dLblPos val="bestFit"/>
              <c:showLegendKey val="1"/>
              <c:showVal val="1"/>
              <c:showCatName val="1"/>
              <c:showSerName val="0"/>
              <c:showPercent val="0"/>
              <c:showBubbleSize val="0"/>
              <c:separator>
</c:separator>
            </c:dLbl>
            <c:dLbl>
              <c:idx val="2"/>
              <c:layout>
                <c:manualLayout>
                  <c:x val="2.7379903992264124E-3"/>
                  <c:y val="-2.0263187375968248E-2"/>
                </c:manualLayout>
              </c:layout>
              <c:dLblPos val="bestFit"/>
              <c:showLegendKey val="1"/>
              <c:showVal val="1"/>
              <c:showCatName val="1"/>
              <c:showSerName val="0"/>
              <c:showPercent val="0"/>
              <c:showBubbleSize val="0"/>
              <c:separator>
</c:separator>
            </c:dLbl>
            <c:dLbl>
              <c:idx val="3"/>
              <c:layout>
                <c:manualLayout>
                  <c:x val="3.015545137449924E-2"/>
                  <c:y val="0"/>
                </c:manualLayout>
              </c:layout>
              <c:spPr/>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4"/>
              <c:layout>
                <c:manualLayout>
                  <c:x val="-8.2236842105263153E-3"/>
                  <c:y val="0"/>
                </c:manualLayout>
              </c:layout>
              <c:dLblPos val="bestFit"/>
              <c:showLegendKey val="1"/>
              <c:showVal val="1"/>
              <c:showCatName val="1"/>
              <c:showSerName val="0"/>
              <c:showPercent val="0"/>
              <c:showBubbleSize val="0"/>
              <c:separator>
</c:separator>
            </c:dLbl>
            <c:dLbl>
              <c:idx val="5"/>
              <c:layout>
                <c:manualLayout>
                  <c:x val="-5.4824561403508769E-3"/>
                  <c:y val="0"/>
                </c:manualLayout>
              </c:layout>
              <c:dLblPos val="bestFit"/>
              <c:showLegendKey val="1"/>
              <c:showVal val="1"/>
              <c:showCatName val="1"/>
              <c:showSerName val="0"/>
              <c:showPercent val="0"/>
              <c:showBubbleSize val="0"/>
              <c:separator>
</c:separator>
            </c:dLbl>
            <c:dLbl>
              <c:idx val="6"/>
              <c:layout>
                <c:manualLayout>
                  <c:x val="-3.8377192982456142E-2"/>
                  <c:y val="-6.605691056910569E-2"/>
                </c:manualLayout>
              </c:layout>
              <c:dLblPos val="bestFit"/>
              <c:showLegendKey val="1"/>
              <c:showVal val="1"/>
              <c:showCatName val="1"/>
              <c:showSerName val="0"/>
              <c:showPercent val="0"/>
              <c:showBubbleSize val="0"/>
              <c:separator>
</c:separator>
            </c:dLbl>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Blad1!$A$3:$A$7</c:f>
              <c:strCache>
                <c:ptCount val="5"/>
                <c:pt idx="0">
                  <c:v>Environment</c:v>
                </c:pt>
                <c:pt idx="1">
                  <c:v>Mobility and transport</c:v>
                </c:pt>
                <c:pt idx="2">
                  <c:v>Energy</c:v>
                </c:pt>
                <c:pt idx="3">
                  <c:v>Internal market, industry, entrepreneurship and SMEs</c:v>
                </c:pt>
                <c:pt idx="4">
                  <c:v>Other</c:v>
                </c:pt>
              </c:strCache>
            </c:strRef>
          </c:cat>
          <c:val>
            <c:numRef>
              <c:f>Blad1!$B$3:$B$7</c:f>
              <c:numCache>
                <c:formatCode>General</c:formatCode>
                <c:ptCount val="5"/>
                <c:pt idx="0">
                  <c:v>12</c:v>
                </c:pt>
                <c:pt idx="1">
                  <c:v>8</c:v>
                </c:pt>
                <c:pt idx="2">
                  <c:v>4</c:v>
                </c:pt>
                <c:pt idx="3">
                  <c:v>4</c:v>
                </c:pt>
                <c:pt idx="4">
                  <c:v>12</c:v>
                </c:pt>
              </c:numCache>
            </c:numRef>
          </c:val>
          <c:extLst/>
        </c:ser>
        <c:dLbls>
          <c:showLegendKey val="0"/>
          <c:showVal val="0"/>
          <c:showCatName val="0"/>
          <c:showSerName val="0"/>
          <c:showPercent val="0"/>
          <c:showBubbleSize val="0"/>
          <c:showLeaderLines val="0"/>
        </c:dLbls>
        <c:firstSliceAng val="26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8754325259515568E-2"/>
          <c:y val="5.6410256410256411E-2"/>
          <c:w val="0.93909191583610185"/>
          <c:h val="0.66728689683020392"/>
        </c:manualLayout>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4.2137320044296787E-2"/>
                  <c:y val="-8.4769230769230763E-2"/>
                </c:manualLayout>
              </c:layout>
              <c:dLblPos val="r"/>
              <c:showLegendKey val="0"/>
              <c:showVal val="1"/>
              <c:showCatName val="0"/>
              <c:showSerName val="0"/>
              <c:showPercent val="0"/>
              <c:showBubbleSize val="0"/>
            </c:dLbl>
            <c:dLbl>
              <c:idx val="2"/>
              <c:layout>
                <c:manualLayout>
                  <c:x val="-3.3821644387474821E-2"/>
                  <c:y val="8.9589743589743587E-2"/>
                </c:manualLayout>
              </c:layout>
              <c:dLblPos val="r"/>
              <c:showLegendKey val="0"/>
              <c:showVal val="1"/>
              <c:showCatName val="0"/>
              <c:showSerName val="0"/>
              <c:showPercent val="0"/>
              <c:showBubbleSize val="0"/>
            </c:dLbl>
            <c:dLbl>
              <c:idx val="3"/>
              <c:layout>
                <c:manualLayout>
                  <c:x val="-3.6600221483942416E-2"/>
                  <c:y val="-3.3487179487179476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69</c:v>
                </c:pt>
                <c:pt idx="1">
                  <c:v>71</c:v>
                </c:pt>
                <c:pt idx="2">
                  <c:v>69</c:v>
                </c:pt>
                <c:pt idx="3">
                  <c:v>71</c:v>
                </c:pt>
                <c:pt idx="4">
                  <c:v>69</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99271808"/>
        <c:axId val="99273344"/>
      </c:lineChart>
      <c:catAx>
        <c:axId val="992718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273344"/>
        <c:crosses val="autoZero"/>
        <c:auto val="1"/>
        <c:lblAlgn val="ctr"/>
        <c:lblOffset val="100"/>
        <c:noMultiLvlLbl val="0"/>
      </c:catAx>
      <c:valAx>
        <c:axId val="99273344"/>
        <c:scaling>
          <c:orientation val="minMax"/>
          <c:min val="62"/>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271808"/>
        <c:crosses val="autoZero"/>
        <c:crossBetween val="between"/>
      </c:valAx>
      <c:spPr>
        <a:noFill/>
        <a:ln>
          <a:noFill/>
        </a:ln>
        <a:effectLst/>
      </c:spPr>
    </c:plotArea>
    <c:legend>
      <c:legendPos val="b"/>
      <c:legendEntry>
        <c:idx val="0"/>
        <c:delete val="1"/>
      </c:legendEntry>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217993079584777E-2"/>
          <c:y val="4.8923679060665359E-2"/>
          <c:w val="0.93909191583610185"/>
          <c:h val="0.73152723578174428"/>
        </c:manualLayout>
      </c:layout>
      <c:lineChart>
        <c:grouping val="standard"/>
        <c:varyColors val="0"/>
        <c:ser>
          <c:idx val="0"/>
          <c:order val="0"/>
          <c:tx>
            <c:strRef>
              <c:f>Blad1!$B$2</c:f>
              <c:strCache>
                <c:ptCount val="1"/>
                <c:pt idx="0">
                  <c:v>Poland</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8312623712733581E-2"/>
                  <c:y val="-5.635386119257086E-2"/>
                </c:manualLayout>
              </c:layout>
              <c:dLblPos val="r"/>
              <c:showLegendKey val="0"/>
              <c:showVal val="1"/>
              <c:showCatName val="0"/>
              <c:showSerName val="0"/>
              <c:showPercent val="0"/>
              <c:showBubbleSize val="0"/>
            </c:dLbl>
            <c:dLbl>
              <c:idx val="1"/>
              <c:layout>
                <c:manualLayout>
                  <c:x val="-5.2763099380019357E-2"/>
                  <c:y val="5.050184342792919E-2"/>
                </c:manualLayout>
              </c:layout>
              <c:dLblPos val="r"/>
              <c:showLegendKey val="0"/>
              <c:showVal val="1"/>
              <c:showCatName val="0"/>
              <c:showSerName val="0"/>
              <c:showPercent val="0"/>
              <c:showBubbleSize val="0"/>
            </c:dLbl>
            <c:dLbl>
              <c:idx val="2"/>
              <c:layout>
                <c:manualLayout>
                  <c:x val="-3.8932778751493272E-2"/>
                  <c:y val="6.5835777126099712E-2"/>
                </c:manualLayout>
              </c:layout>
              <c:dLblPos val="r"/>
              <c:showLegendKey val="0"/>
              <c:showVal val="1"/>
              <c:showCatName val="0"/>
              <c:showSerName val="0"/>
              <c:showPercent val="0"/>
              <c:showBubbleSize val="0"/>
            </c:dLbl>
            <c:dLbl>
              <c:idx val="3"/>
              <c:layout>
                <c:manualLayout>
                  <c:x val="-5.9266356240353674E-2"/>
                  <c:y val="-6.4627350466822137E-2"/>
                </c:manualLayout>
              </c:layout>
              <c:dLblPos val="r"/>
              <c:showLegendKey val="0"/>
              <c:showVal val="1"/>
              <c:showCatName val="0"/>
              <c:showSerName val="0"/>
              <c:showPercent val="0"/>
              <c:showBubbleSize val="0"/>
            </c:dLbl>
            <c:dLbl>
              <c:idx val="4"/>
              <c:layout>
                <c:manualLayout>
                  <c:x val="-4.7238426592024735E-2"/>
                  <c:y val="-6.1241831574572241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0.76</c:v>
                </c:pt>
                <c:pt idx="1">
                  <c:v>0.56999999999999995</c:v>
                </c:pt>
                <c:pt idx="2">
                  <c:v>0.74</c:v>
                </c:pt>
                <c:pt idx="3">
                  <c:v>0.77</c:v>
                </c:pt>
                <c:pt idx="4">
                  <c:v>0.74</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3"/>
              <c:layout>
                <c:manualLayout>
                  <c:x val="-5.0006975872202021E-2"/>
                  <c:y val="5.1466275659824069E-2"/>
                </c:manualLayout>
              </c:layout>
              <c:dLblPos val="r"/>
              <c:showLegendKey val="0"/>
              <c:showVal val="1"/>
              <c:showCatName val="0"/>
              <c:showSerName val="0"/>
              <c:showPercent val="0"/>
              <c:showBubbleSize val="0"/>
            </c:dLbl>
            <c:dLbl>
              <c:idx val="4"/>
              <c:layout>
                <c:manualLayout>
                  <c:x val="-5.2775525152379106E-2"/>
                  <c:y val="6.1241446725317693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99820288"/>
        <c:axId val="99821824"/>
      </c:lineChart>
      <c:catAx>
        <c:axId val="998202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821824"/>
        <c:crosses val="autoZero"/>
        <c:auto val="1"/>
        <c:lblAlgn val="ctr"/>
        <c:lblOffset val="100"/>
        <c:noMultiLvlLbl val="0"/>
      </c:catAx>
      <c:valAx>
        <c:axId val="99821824"/>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820288"/>
        <c:crosses val="autoZero"/>
        <c:crossBetween val="between"/>
      </c:valAx>
      <c:spPr>
        <a:noFill/>
        <a:ln>
          <a:noFill/>
        </a:ln>
        <a:effectLst/>
      </c:spPr>
    </c:plotArea>
    <c:legend>
      <c:legendPos val="b"/>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1"/>
              <c:layout>
                <c:manualLayout>
                  <c:x val="-5.563026775118457E-2"/>
                  <c:y val="7.6912774601804915E-2"/>
                </c:manualLayout>
              </c:layout>
              <c:dLblPos val="r"/>
              <c:showLegendKey val="0"/>
              <c:showVal val="1"/>
              <c:showCatName val="0"/>
              <c:showSerName val="0"/>
              <c:showPercent val="0"/>
              <c:showBubbleSize val="0"/>
            </c:dLbl>
            <c:dLbl>
              <c:idx val="2"/>
              <c:layout>
                <c:manualLayout>
                  <c:x val="-4.7378143326143637E-2"/>
                  <c:y val="7.121355121705677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34</c:v>
                </c:pt>
                <c:pt idx="1">
                  <c:v>25</c:v>
                </c:pt>
                <c:pt idx="2">
                  <c:v>26</c:v>
                </c:pt>
                <c:pt idx="3">
                  <c:v>33</c:v>
                </c:pt>
                <c:pt idx="4">
                  <c:v>50</c:v>
                </c:pt>
              </c:numCache>
            </c:numRef>
          </c:val>
          <c:smooth val="0"/>
        </c:ser>
        <c:dLbls>
          <c:showLegendKey val="0"/>
          <c:showVal val="1"/>
          <c:showCatName val="0"/>
          <c:showSerName val="0"/>
          <c:showPercent val="0"/>
          <c:showBubbleSize val="0"/>
        </c:dLbls>
        <c:marker val="1"/>
        <c:smooth val="0"/>
        <c:axId val="80485376"/>
        <c:axId val="80533376"/>
      </c:lineChart>
      <c:catAx>
        <c:axId val="804853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80533376"/>
        <c:crosses val="autoZero"/>
        <c:auto val="1"/>
        <c:lblAlgn val="ctr"/>
        <c:lblOffset val="100"/>
        <c:noMultiLvlLbl val="0"/>
      </c:catAx>
      <c:valAx>
        <c:axId val="80533376"/>
        <c:scaling>
          <c:orientation val="minMax"/>
          <c:min val="2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80485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dLbl>
              <c:idx val="0"/>
              <c:layout>
                <c:manualLayout>
                  <c:x val="-4.2277777777777775E-2"/>
                  <c:y val="-7.0790960451977414E-2"/>
                </c:manualLayout>
              </c:layout>
              <c:dLblPos val="r"/>
              <c:showLegendKey val="0"/>
              <c:showVal val="1"/>
              <c:showCatName val="0"/>
              <c:showSerName val="0"/>
              <c:showPercent val="0"/>
              <c:showBubbleSize val="0"/>
            </c:dLbl>
            <c:dLbl>
              <c:idx val="1"/>
              <c:layout>
                <c:manualLayout>
                  <c:x val="-4.2277777777777775E-2"/>
                  <c:y val="-6.369645246652583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82</c:v>
                </c:pt>
                <c:pt idx="1">
                  <c:v>68</c:v>
                </c:pt>
                <c:pt idx="2">
                  <c:v>79</c:v>
                </c:pt>
                <c:pt idx="3">
                  <c:v>78</c:v>
                </c:pt>
                <c:pt idx="4">
                  <c:v>76</c:v>
                </c:pt>
              </c:numCache>
            </c:numRef>
          </c:val>
          <c:smooth val="0"/>
        </c:ser>
        <c:dLbls>
          <c:showLegendKey val="0"/>
          <c:showVal val="1"/>
          <c:showCatName val="0"/>
          <c:showSerName val="0"/>
          <c:showPercent val="0"/>
          <c:showBubbleSize val="0"/>
        </c:dLbls>
        <c:marker val="1"/>
        <c:smooth val="0"/>
        <c:axId val="99861632"/>
        <c:axId val="99745792"/>
      </c:lineChart>
      <c:catAx>
        <c:axId val="998616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745792"/>
        <c:crosses val="autoZero"/>
        <c:auto val="1"/>
        <c:lblAlgn val="ctr"/>
        <c:lblOffset val="100"/>
        <c:noMultiLvlLbl val="0"/>
      </c:catAx>
      <c:valAx>
        <c:axId val="99745792"/>
        <c:scaling>
          <c:orientation val="minMax"/>
          <c:min val="6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861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43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5.5472288093771971E-2"/>
                  <c:y val="-0.1455384880168667"/>
                </c:manualLayout>
              </c:layout>
              <c:dLblPos val="bestFit"/>
              <c:showLegendKey val="1"/>
              <c:showVal val="1"/>
              <c:showCatName val="1"/>
              <c:showSerName val="0"/>
              <c:showPercent val="0"/>
              <c:showBubbleSize val="0"/>
              <c:separator>
</c:separator>
            </c:dLbl>
            <c:dLbl>
              <c:idx val="2"/>
              <c:layout>
                <c:manualLayout>
                  <c:x val="0.10259606692258309"/>
                  <c:y val="-4.3027408459188502E-7"/>
                </c:manualLayout>
              </c:layout>
              <c:dLblPos val="bestFit"/>
              <c:showLegendKey val="1"/>
              <c:showVal val="1"/>
              <c:showCatName val="1"/>
              <c:showSerName val="0"/>
              <c:showPercent val="0"/>
              <c:showBubbleSize val="0"/>
              <c:separator>
</c:separator>
            </c:dLbl>
            <c:dLbl>
              <c:idx val="3"/>
              <c:layout>
                <c:manualLayout>
                  <c:x val="-4.5914289831907448E-3"/>
                  <c:y val="-3.9632545931758533E-3"/>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1.6638935108153077E-2"/>
                  <c:y val="7.650273224043716E-2"/>
                </c:manualLayout>
              </c:layout>
              <c:dLblPos val="bestFit"/>
              <c:showLegendKey val="1"/>
              <c:showVal val="1"/>
              <c:showCatName val="1"/>
              <c:showSerName val="0"/>
              <c:showPercent val="0"/>
              <c:showBubbleSize val="0"/>
              <c:separator>
</c:separator>
            </c:dLbl>
            <c:dLbl>
              <c:idx val="5"/>
              <c:layout>
                <c:manualLayout>
                  <c:x val="0"/>
                  <c:y val="3.825136612021858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Internal market, industry, entrepreneurship and SMEs</c:v>
                </c:pt>
                <c:pt idx="2">
                  <c:v>Environment</c:v>
                </c:pt>
                <c:pt idx="3">
                  <c:v>Financial stability, financial services and capital markets union</c:v>
                </c:pt>
                <c:pt idx="4">
                  <c:v>Other</c:v>
                </c:pt>
              </c:strCache>
            </c:strRef>
          </c:cat>
          <c:val>
            <c:numRef>
              <c:f>Blad1!$B$2:$B$6</c:f>
              <c:numCache>
                <c:formatCode>General</c:formatCode>
                <c:ptCount val="5"/>
                <c:pt idx="0">
                  <c:v>0</c:v>
                </c:pt>
                <c:pt idx="1">
                  <c:v>14</c:v>
                </c:pt>
                <c:pt idx="2">
                  <c:v>7</c:v>
                </c:pt>
                <c:pt idx="3">
                  <c:v>6</c:v>
                </c:pt>
                <c:pt idx="4">
                  <c:v>16</c:v>
                </c:pt>
              </c:numCache>
            </c:numRef>
          </c:val>
          <c:extLst/>
        </c:ser>
        <c:dLbls>
          <c:showLegendKey val="0"/>
          <c:showVal val="0"/>
          <c:showCatName val="1"/>
          <c:showSerName val="0"/>
          <c:showPercent val="0"/>
          <c:showBubbleSize val="0"/>
          <c:showLeaderLines val="0"/>
        </c:dLbls>
        <c:firstSliceAng val="28"/>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5.871062992125984E-2"/>
                  <c:y val="5.7932737221406697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34</c:v>
                </c:pt>
                <c:pt idx="1">
                  <c:v>20</c:v>
                </c:pt>
                <c:pt idx="2">
                  <c:v>23</c:v>
                </c:pt>
                <c:pt idx="3">
                  <c:v>30</c:v>
                </c:pt>
                <c:pt idx="4">
                  <c:v>39</c:v>
                </c:pt>
              </c:numCache>
            </c:numRef>
          </c:val>
          <c:smooth val="0"/>
        </c:ser>
        <c:dLbls>
          <c:showLegendKey val="0"/>
          <c:showVal val="1"/>
          <c:showCatName val="0"/>
          <c:showSerName val="0"/>
          <c:showPercent val="0"/>
          <c:showBubbleSize val="0"/>
        </c:dLbls>
        <c:marker val="1"/>
        <c:smooth val="0"/>
        <c:axId val="100002816"/>
        <c:axId val="100005760"/>
      </c:lineChart>
      <c:catAx>
        <c:axId val="100002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005760"/>
        <c:crosses val="autoZero"/>
        <c:auto val="1"/>
        <c:lblAlgn val="ctr"/>
        <c:lblOffset val="100"/>
        <c:noMultiLvlLbl val="0"/>
      </c:catAx>
      <c:valAx>
        <c:axId val="10000576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002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444444444444445E-2"/>
          <c:y val="6.5476190476190479E-2"/>
          <c:w val="0.93888888888888888"/>
          <c:h val="0.80421819514422832"/>
        </c:manualLayout>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6.4266185476815396E-2"/>
                  <c:y val="4.663330219315806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18</c:v>
                </c:pt>
                <c:pt idx="1">
                  <c:v>15</c:v>
                </c:pt>
                <c:pt idx="2">
                  <c:v>18</c:v>
                </c:pt>
                <c:pt idx="3">
                  <c:v>22</c:v>
                </c:pt>
                <c:pt idx="4">
                  <c:v>36</c:v>
                </c:pt>
              </c:numCache>
            </c:numRef>
          </c:val>
          <c:smooth val="0"/>
        </c:ser>
        <c:dLbls>
          <c:showLegendKey val="0"/>
          <c:showVal val="1"/>
          <c:showCatName val="0"/>
          <c:showSerName val="0"/>
          <c:showPercent val="0"/>
          <c:showBubbleSize val="0"/>
        </c:dLbls>
        <c:marker val="1"/>
        <c:smooth val="0"/>
        <c:axId val="99898112"/>
        <c:axId val="99900800"/>
      </c:lineChart>
      <c:catAx>
        <c:axId val="99898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900800"/>
        <c:crosses val="autoZero"/>
        <c:auto val="1"/>
        <c:lblAlgn val="ctr"/>
        <c:lblOffset val="100"/>
        <c:noMultiLvlLbl val="0"/>
      </c:catAx>
      <c:valAx>
        <c:axId val="99900800"/>
        <c:scaling>
          <c:orientation val="minMax"/>
          <c:min val="1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8981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36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Poland</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layout>
                <c:manualLayout>
                  <c:x val="0.16061051961528064"/>
                  <c:y val="0.15686274509803921"/>
                </c:manualLayout>
              </c:layout>
              <c:dLblPos val="bestFit"/>
              <c:showLegendKey val="1"/>
              <c:showVal val="1"/>
              <c:showCatName val="1"/>
              <c:showSerName val="0"/>
              <c:showPercent val="0"/>
              <c:showBubbleSize val="0"/>
              <c:separator>
</c:separator>
            </c:dLbl>
            <c:dLbl>
              <c:idx val="1"/>
              <c:layout>
                <c:manualLayout>
                  <c:x val="-5.1503736451548208E-3"/>
                  <c:y val="-1.960861509958314E-2"/>
                </c:manualLayout>
              </c:layout>
              <c:dLblPos val="bestFit"/>
              <c:showLegendKey val="1"/>
              <c:showVal val="1"/>
              <c:showCatName val="1"/>
              <c:showSerName val="0"/>
              <c:showPercent val="0"/>
              <c:showBubbleSize val="0"/>
              <c:separator>
</c:separator>
            </c:dLbl>
            <c:dLbl>
              <c:idx val="2"/>
              <c:layout>
                <c:manualLayout>
                  <c:x val="3.0610781210488224E-2"/>
                  <c:y val="0"/>
                </c:manualLayout>
              </c:layout>
              <c:dLblPos val="bestFit"/>
              <c:showLegendKey val="1"/>
              <c:showVal val="1"/>
              <c:showCatName val="1"/>
              <c:showSerName val="0"/>
              <c:showPercent val="0"/>
              <c:showBubbleSize val="0"/>
              <c:separator>
</c:separator>
            </c:dLbl>
            <c:dLbl>
              <c:idx val="3"/>
              <c:layout>
                <c:manualLayout>
                  <c:x val="-2.7703804466302176E-2"/>
                  <c:y val="3.4313725490196102E-2"/>
                </c:manualLayout>
              </c:layout>
              <c:dLblPos val="bestFit"/>
              <c:showLegendKey val="1"/>
              <c:showVal val="1"/>
              <c:showCatName val="1"/>
              <c:showSerName val="0"/>
              <c:showPercent val="0"/>
              <c:showBubbleSize val="0"/>
              <c:separator>
</c:separator>
            </c:dLbl>
            <c:dLbl>
              <c:idx val="4"/>
              <c:layout>
                <c:manualLayout>
                  <c:x val="-1.1129350110305979E-2"/>
                  <c:y val="9.8039215686274508E-3"/>
                </c:manualLayout>
              </c:layout>
              <c:dLblPos val="bestFit"/>
              <c:showLegendKey val="1"/>
              <c:showVal val="1"/>
              <c:showCatName val="1"/>
              <c:showSerName val="0"/>
              <c:showPercent val="0"/>
              <c:showBubbleSize val="0"/>
              <c:separator>
</c:separator>
            </c:dLbl>
            <c:dLbl>
              <c:idx val="5"/>
              <c:layout>
                <c:manualLayout>
                  <c:x val="-1.662049861495845E-2"/>
                  <c:y val="1.4705882352941176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Internal market, industry, entrepreneurship and SMEs</c:v>
                </c:pt>
                <c:pt idx="1">
                  <c:v>Financial stability, financial services and capital markets union</c:v>
                </c:pt>
                <c:pt idx="2">
                  <c:v>Health and food safety</c:v>
                </c:pt>
                <c:pt idx="3">
                  <c:v>Environment</c:v>
                </c:pt>
                <c:pt idx="4">
                  <c:v>Other</c:v>
                </c:pt>
              </c:strCache>
            </c:strRef>
          </c:cat>
          <c:val>
            <c:numRef>
              <c:f>Blad1!$B$4:$B$8</c:f>
              <c:numCache>
                <c:formatCode>General</c:formatCode>
                <c:ptCount val="5"/>
                <c:pt idx="0">
                  <c:v>14</c:v>
                </c:pt>
                <c:pt idx="1">
                  <c:v>6</c:v>
                </c:pt>
                <c:pt idx="2">
                  <c:v>4</c:v>
                </c:pt>
                <c:pt idx="3">
                  <c:v>4</c:v>
                </c:pt>
                <c:pt idx="4">
                  <c:v>8</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9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1111111111111109E-2"/>
          <c:y val="8.3333333333333329E-2"/>
          <c:w val="0.93888888888888888"/>
          <c:h val="0.82822916666666668"/>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2"/>
              <c:layout>
                <c:manualLayout>
                  <c:x val="-5.0222222222222224E-2"/>
                  <c:y val="-6.5260416666666668E-2"/>
                </c:manualLayout>
              </c:layout>
              <c:dLblPos val="r"/>
              <c:showLegendKey val="0"/>
              <c:showVal val="1"/>
              <c:showCatName val="0"/>
              <c:showSerName val="0"/>
              <c:showPercent val="0"/>
              <c:showBubbleSize val="0"/>
            </c:dLbl>
            <c:dLbl>
              <c:idx val="3"/>
              <c:layout>
                <c:manualLayout>
                  <c:x val="-4.4666666666666667E-2"/>
                  <c:y val="5.4531250000000045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67</c:v>
                </c:pt>
                <c:pt idx="1">
                  <c:v>74</c:v>
                </c:pt>
                <c:pt idx="2">
                  <c:v>105</c:v>
                </c:pt>
                <c:pt idx="3">
                  <c:v>88</c:v>
                </c:pt>
                <c:pt idx="4">
                  <c:v>76</c:v>
                </c:pt>
              </c:numCache>
            </c:numRef>
          </c:val>
          <c:smooth val="0"/>
        </c:ser>
        <c:dLbls>
          <c:showLegendKey val="0"/>
          <c:showVal val="1"/>
          <c:showCatName val="0"/>
          <c:showSerName val="0"/>
          <c:showPercent val="0"/>
          <c:showBubbleSize val="0"/>
        </c:dLbls>
        <c:marker val="1"/>
        <c:smooth val="0"/>
        <c:axId val="99571968"/>
        <c:axId val="99579008"/>
      </c:lineChart>
      <c:catAx>
        <c:axId val="995719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99579008"/>
        <c:crosses val="autoZero"/>
        <c:auto val="1"/>
        <c:lblAlgn val="ctr"/>
        <c:lblOffset val="100"/>
        <c:noMultiLvlLbl val="0"/>
      </c:catAx>
      <c:valAx>
        <c:axId val="9957900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5719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76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7.7014197482740396E-2"/>
                  <c:y val="0.1313801468822706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4.9504950495049507E-2"/>
                  <c:y val="-6.8327992912557853E-2"/>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2.7762618781563197E-3"/>
                  <c:y val="0"/>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7.150715071507148E-2"/>
                  <c:y val="-0.18401723838147993"/>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Taxation and customs</c:v>
                </c:pt>
                <c:pt idx="2">
                  <c:v>Internal market, industry, entrepreneurship and SMEs</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21</c:v>
                </c:pt>
                <c:pt idx="1">
                  <c:v>16</c:v>
                </c:pt>
                <c:pt idx="2">
                  <c:v>7</c:v>
                </c:pt>
                <c:pt idx="3">
                  <c:v>32</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95"/>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7631724902939548E-2"/>
                  <c:y val="6.8144818046392747E-2"/>
                </c:manualLayout>
              </c:layout>
              <c:dLblPos val="r"/>
              <c:showLegendKey val="0"/>
              <c:showVal val="1"/>
              <c:showCatName val="0"/>
              <c:showSerName val="0"/>
              <c:showPercent val="0"/>
              <c:showBubbleSize val="0"/>
            </c:dLbl>
            <c:dLbl>
              <c:idx val="4"/>
              <c:layout>
                <c:manualLayout>
                  <c:x val="-3.7631724902939548E-2"/>
                  <c:y val="5.1252482797758389E-2"/>
                </c:manualLayout>
              </c:layout>
              <c:dLblPos val="r"/>
              <c:showLegendKey val="0"/>
              <c:showVal val="1"/>
              <c:showCatName val="0"/>
              <c:showSerName val="0"/>
              <c:showPercent val="0"/>
              <c:showBubbleSize val="0"/>
            </c:dLbl>
            <c:spPr>
              <a:noFill/>
              <a:ln>
                <a:noFill/>
              </a:ln>
              <a:effectLst/>
            </c:spPr>
            <c:txPr>
              <a:bodyPr rot="0" vert="horz"/>
              <a:lstStyle/>
              <a:p>
                <a:pPr>
                  <a:defRPr>
                    <a:solidFill>
                      <a:schemeClr val="accent2"/>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62</c:v>
                </c:pt>
                <c:pt idx="1">
                  <c:v>36</c:v>
                </c:pt>
                <c:pt idx="2">
                  <c:v>45</c:v>
                </c:pt>
                <c:pt idx="3">
                  <c:v>42</c:v>
                </c:pt>
                <c:pt idx="4">
                  <c:v>32</c:v>
                </c:pt>
              </c:numCache>
            </c:numRef>
          </c:val>
          <c:smooth val="0"/>
        </c:ser>
        <c:dLbls>
          <c:showLegendKey val="0"/>
          <c:showVal val="1"/>
          <c:showCatName val="0"/>
          <c:showSerName val="0"/>
          <c:showPercent val="0"/>
          <c:showBubbleSize val="0"/>
        </c:dLbls>
        <c:marker val="1"/>
        <c:smooth val="0"/>
        <c:axId val="99707136"/>
        <c:axId val="99718272"/>
      </c:lineChart>
      <c:catAx>
        <c:axId val="997071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99718272"/>
        <c:crosses val="autoZero"/>
        <c:auto val="1"/>
        <c:lblAlgn val="ctr"/>
        <c:lblOffset val="100"/>
        <c:noMultiLvlLbl val="0"/>
      </c:catAx>
      <c:valAx>
        <c:axId val="99718272"/>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707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Complaints</c:v>
                </c:pt>
              </c:strCache>
            </c:strRef>
          </c:tx>
          <c:spPr>
            <a:effectLst>
              <a:outerShdw blurRad="40000" dist="23000" dir="5400000" rotWithShape="0">
                <a:srgbClr val="000000">
                  <a:alpha val="35000"/>
                </a:srgbClr>
              </a:outerShdw>
            </a:effectLst>
          </c:spPr>
          <c:dLbls>
            <c:dLbl>
              <c:idx val="1"/>
              <c:layout>
                <c:manualLayout>
                  <c:x val="-3.7631724902939548E-2"/>
                  <c:y val="6.8144818046392747E-2"/>
                </c:manualLayout>
              </c:layout>
              <c:dLblPos val="r"/>
              <c:showLegendKey val="0"/>
              <c:showVal val="1"/>
              <c:showCatName val="0"/>
              <c:showSerName val="0"/>
              <c:showPercent val="0"/>
              <c:showBubbleSize val="0"/>
            </c:dLbl>
            <c:dLbl>
              <c:idx val="4"/>
              <c:layout>
                <c:manualLayout>
                  <c:x val="-3.7631724902939548E-2"/>
                  <c:y val="5.1252482797758389E-2"/>
                </c:manualLayout>
              </c:layout>
              <c:dLblPos val="r"/>
              <c:showLegendKey val="0"/>
              <c:showVal val="1"/>
              <c:showCatName val="0"/>
              <c:showSerName val="0"/>
              <c:showPercent val="0"/>
              <c:showBubbleSize val="0"/>
            </c:dLbl>
            <c:spPr>
              <a:noFill/>
              <a:ln>
                <a:noFill/>
              </a:ln>
              <a:effectLst/>
            </c:spPr>
            <c:txPr>
              <a:bodyPr rot="0" vert="horz"/>
              <a:lstStyle/>
              <a:p>
                <a:pPr>
                  <a:defRPr>
                    <a:solidFill>
                      <a:schemeClr val="accent2"/>
                    </a:solidFill>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52</c:v>
                </c:pt>
                <c:pt idx="1">
                  <c:v>38</c:v>
                </c:pt>
                <c:pt idx="2">
                  <c:v>55</c:v>
                </c:pt>
                <c:pt idx="3">
                  <c:v>57</c:v>
                </c:pt>
                <c:pt idx="4">
                  <c:v>46</c:v>
                </c:pt>
              </c:numCache>
            </c:numRef>
          </c:val>
          <c:smooth val="0"/>
        </c:ser>
        <c:dLbls>
          <c:showLegendKey val="0"/>
          <c:showVal val="1"/>
          <c:showCatName val="0"/>
          <c:showSerName val="0"/>
          <c:showPercent val="0"/>
          <c:showBubbleSize val="0"/>
        </c:dLbls>
        <c:marker val="1"/>
        <c:smooth val="0"/>
        <c:axId val="99732864"/>
        <c:axId val="100448512"/>
      </c:lineChart>
      <c:catAx>
        <c:axId val="9973286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900">
                <a:latin typeface="Arial" panose="020B0604020202020204" pitchFamily="34" charset="0"/>
                <a:cs typeface="Arial" panose="020B0604020202020204" pitchFamily="34" charset="0"/>
              </a:defRPr>
            </a:pPr>
            <a:endParaRPr lang="en-US"/>
          </a:p>
        </c:txPr>
        <c:crossAx val="100448512"/>
        <c:crosses val="autoZero"/>
        <c:auto val="1"/>
        <c:lblAlgn val="ctr"/>
        <c:lblOffset val="100"/>
        <c:noMultiLvlLbl val="0"/>
      </c:catAx>
      <c:valAx>
        <c:axId val="100448512"/>
        <c:scaling>
          <c:orientation val="minMax"/>
          <c:min val="3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997328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rgbClr val="002060"/>
          </a:solidFill>
        </a:defRPr>
      </a:pPr>
      <a:endParaRPr lang="en-US"/>
    </a:p>
  </c:tx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latin typeface="Arial" panose="020B0604020202020204" pitchFamily="34" charset="0"/>
                <a:cs typeface="Arial" panose="020B0604020202020204" pitchFamily="34" charset="0"/>
              </a:defRPr>
            </a:pPr>
            <a:r>
              <a:rPr lang="en-US" sz="1100" b="0" i="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32 EU Pilot files opened against </a:t>
            </a:r>
            <a:r>
              <a:rPr lang="en-US" sz="1100" b="0" i="0" u="none" strike="noStrike" kern="1200" baseline="0">
                <a:solidFill>
                  <a:srgbClr val="002060"/>
                </a:solidFill>
                <a:effectLst/>
                <a:latin typeface="Arial" panose="020B0604020202020204" pitchFamily="34" charset="0"/>
                <a:ea typeface="Verdana" panose="020B0604030504040204" pitchFamily="34" charset="0"/>
                <a:cs typeface="Arial" panose="020B0604020202020204" pitchFamily="34" charset="0"/>
              </a:rPr>
              <a:t>Portugal</a:t>
            </a:r>
            <a:endParaRPr lang="en-GB" sz="1100">
              <a:solidFill>
                <a:srgbClr val="002060"/>
              </a:solidFill>
              <a:effectLst/>
              <a:latin typeface="Arial" panose="020B0604020202020204" pitchFamily="34" charset="0"/>
              <a:ea typeface="Verdana" panose="020B0604030504040204" pitchFamily="34" charset="0"/>
              <a:cs typeface="Arial" panose="020B0604020202020204" pitchFamily="34" charset="0"/>
            </a:endParaRPr>
          </a:p>
        </c:rich>
      </c:tx>
      <c:overlay val="0"/>
    </c:title>
    <c:autoTitleDeleted val="0"/>
    <c:plotArea>
      <c:layout/>
      <c:pieChart>
        <c:varyColors val="1"/>
        <c:ser>
          <c:idx val="0"/>
          <c:order val="0"/>
          <c:tx>
            <c:strRef>
              <c:f>Blad1!$B$1</c:f>
              <c:strCache>
                <c:ptCount val="1"/>
                <c:pt idx="0">
                  <c:v>[Number of new EU Pilot files ] EU Pilot files opened against [Member State]</c:v>
                </c:pt>
              </c:strCache>
            </c:strRef>
          </c:tx>
          <c:spPr>
            <a:scene3d>
              <a:camera prst="orthographicFront"/>
              <a:lightRig rig="threePt" dir="t"/>
            </a:scene3d>
            <a:sp3d>
              <a:bevelT w="63500" h="25400"/>
            </a:sp3d>
          </c:spPr>
          <c:dPt>
            <c:idx val="0"/>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A676"/>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E75113"/>
              </a:solidFill>
              <a:scene3d>
                <a:camera prst="orthographicFront"/>
                <a:lightRig rig="threePt" dir="t"/>
              </a:scene3d>
              <a:sp3d>
                <a:bevelT w="63500" h="25400"/>
              </a:sp3d>
            </c:spPr>
          </c:dPt>
          <c:dPt>
            <c:idx val="5"/>
            <c:bubble3D val="0"/>
            <c:spPr>
              <a:solidFill>
                <a:srgbClr val="37ACDE"/>
              </a:solidFill>
              <a:scene3d>
                <a:camera prst="orthographicFront"/>
                <a:lightRig rig="threePt" dir="t"/>
              </a:scene3d>
              <a:sp3d>
                <a:bevelT w="63500" h="25400"/>
              </a:sp3d>
            </c:spPr>
          </c:dPt>
          <c:dPt>
            <c:idx val="6"/>
            <c:bubble3D val="0"/>
            <c:spPr>
              <a:solidFill>
                <a:srgbClr val="000099"/>
              </a:solidFill>
              <a:scene3d>
                <a:camera prst="orthographicFront"/>
                <a:lightRig rig="threePt" dir="t"/>
              </a:scene3d>
              <a:sp3d>
                <a:bevelT w="63500" h="25400"/>
              </a:sp3d>
            </c:spPr>
          </c:dPt>
          <c:dLbls>
            <c:dLbl>
              <c:idx val="0"/>
              <c:layout>
                <c:manualLayout>
                  <c:x val="1.6472190564995166E-2"/>
                  <c:y val="3.5502688688304203E-2"/>
                </c:manualLayout>
              </c:layout>
              <c:dLblPos val="bestFit"/>
              <c:showLegendKey val="1"/>
              <c:showVal val="1"/>
              <c:showCatName val="1"/>
              <c:showSerName val="0"/>
              <c:showPercent val="0"/>
              <c:showBubbleSize val="0"/>
              <c:separator>
</c:separator>
            </c:dLbl>
            <c:dLbl>
              <c:idx val="1"/>
              <c:layout>
                <c:manualLayout>
                  <c:x val="-2.74142233043238E-2"/>
                  <c:y val="4.0614797388131361E-2"/>
                </c:manualLayout>
              </c:layout>
              <c:dLblPos val="bestFit"/>
              <c:showLegendKey val="1"/>
              <c:showVal val="1"/>
              <c:showCatName val="1"/>
              <c:showSerName val="0"/>
              <c:showPercent val="0"/>
              <c:showBubbleSize val="0"/>
              <c:separator>
</c:separator>
            </c:dLbl>
            <c:dLbl>
              <c:idx val="2"/>
              <c:layout>
                <c:manualLayout>
                  <c:x val="-1.0968149951650781E-2"/>
                  <c:y val="-2.0263187375968248E-2"/>
                </c:manualLayout>
              </c:layout>
              <c:dLblPos val="bestFit"/>
              <c:showLegendKey val="1"/>
              <c:showVal val="1"/>
              <c:showCatName val="1"/>
              <c:showSerName val="0"/>
              <c:showPercent val="0"/>
              <c:showBubbleSize val="0"/>
              <c:separator>
</c:separator>
            </c:dLbl>
            <c:dLbl>
              <c:idx val="3"/>
              <c:layout>
                <c:manualLayout>
                  <c:x val="1.6449311023622046E-2"/>
                  <c:y val="-7.7323794891492229E-2"/>
                </c:manualLayout>
              </c:layout>
              <c:dLblPos val="bestFit"/>
              <c:showLegendKey val="1"/>
              <c:showVal val="1"/>
              <c:showCatName val="1"/>
              <c:showSerName val="0"/>
              <c:showPercent val="0"/>
              <c:showBubbleSize val="0"/>
              <c:separator>
</c:separator>
            </c:dLbl>
            <c:dLbl>
              <c:idx val="4"/>
              <c:layout>
                <c:manualLayout>
                  <c:x val="0.10964912280701754"/>
                  <c:y val="0"/>
                </c:manualLayout>
              </c:layout>
              <c:dLblPos val="bestFit"/>
              <c:showLegendKey val="1"/>
              <c:showVal val="1"/>
              <c:showCatName val="1"/>
              <c:showSerName val="0"/>
              <c:showPercent val="0"/>
              <c:showBubbleSize val="0"/>
              <c:separator>
</c:separator>
            </c:dLbl>
            <c:dLbl>
              <c:idx val="5"/>
              <c:layout>
                <c:manualLayout>
                  <c:x val="1.6447368421052631E-2"/>
                  <c:y val="9.3156105424536533E-17"/>
                </c:manualLayout>
              </c:layout>
              <c:dLblPos val="bestFit"/>
              <c:showLegendKey val="1"/>
              <c:showVal val="1"/>
              <c:showCatName val="1"/>
              <c:showSerName val="0"/>
              <c:showPercent val="0"/>
              <c:showBubbleSize val="0"/>
              <c:separator>
</c:separator>
            </c:dLbl>
            <c:dLbl>
              <c:idx val="6"/>
              <c:layout>
                <c:manualLayout>
                  <c:x val="2.741228070175451E-3"/>
                  <c:y val="-4.065040650406504E-2"/>
                </c:manualLayout>
              </c:layout>
              <c:dLblPos val="bestFit"/>
              <c:showLegendKey val="1"/>
              <c:showVal val="1"/>
              <c:showCatName val="1"/>
              <c:showSerName val="0"/>
              <c:showPercent val="0"/>
              <c:showBubbleSize val="0"/>
              <c:separator>
</c:separator>
            </c:dLbl>
            <c:txPr>
              <a:bodyPr/>
              <a:lstStyle/>
              <a:p>
                <a:pPr>
                  <a:defRPr sz="850">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dLbls>
          <c:cat>
            <c:strRef>
              <c:f>Blad1!$A$3:$A$9</c:f>
              <c:strCache>
                <c:ptCount val="7"/>
                <c:pt idx="0">
                  <c:v>Other</c:v>
                </c:pt>
                <c:pt idx="1">
                  <c:v>Environment</c:v>
                </c:pt>
                <c:pt idx="2">
                  <c:v>Mobility and transport</c:v>
                </c:pt>
                <c:pt idx="3">
                  <c:v>Taxation and customs</c:v>
                </c:pt>
                <c:pt idx="4">
                  <c:v>Energy</c:v>
                </c:pt>
                <c:pt idx="5">
                  <c:v>Migration and home affairs</c:v>
                </c:pt>
                <c:pt idx="6">
                  <c:v>Internal market, industry, entrepreneurship and SMEs</c:v>
                </c:pt>
              </c:strCache>
              <c:extLst>
                <c:ext xmlns:c15="http://schemas.microsoft.com/office/drawing/2012/chart" uri="{02D57815-91ED-43cb-92C2-25804820EDAC}">
                  <c15:fullRef>
                    <c15:sqref>Blad1!$A$2:$A$6</c15:sqref>
                  </c15:fullRef>
                </c:ext>
              </c:extLst>
            </c:strRef>
          </c:cat>
          <c:val>
            <c:numRef>
              <c:f>Blad1!$B$3:$B$9</c:f>
              <c:numCache>
                <c:formatCode>General</c:formatCode>
                <c:ptCount val="7"/>
                <c:pt idx="0">
                  <c:v>7</c:v>
                </c:pt>
                <c:pt idx="1">
                  <c:v>5</c:v>
                </c:pt>
                <c:pt idx="2">
                  <c:v>5</c:v>
                </c:pt>
                <c:pt idx="3">
                  <c:v>5</c:v>
                </c:pt>
                <c:pt idx="4">
                  <c:v>3</c:v>
                </c:pt>
                <c:pt idx="5">
                  <c:v>3</c:v>
                </c:pt>
                <c:pt idx="6">
                  <c:v>4</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279"/>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31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Lithuania</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6218114166677586"/>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996633"/>
              </a:solidFill>
              <a:scene3d>
                <a:camera prst="orthographicFront"/>
                <a:lightRig rig="threePt" dir="t"/>
              </a:scene3d>
              <a:sp3d>
                <a:bevelT w="63500" h="25400"/>
              </a:sp3d>
            </c:spPr>
          </c:dPt>
          <c:dPt>
            <c:idx val="6"/>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1.1109460831959113E-2"/>
                  <c:y val="0.15500796007056494"/>
                </c:manualLayout>
              </c:layout>
              <c:dLblPos val="bestFit"/>
              <c:showLegendKey val="1"/>
              <c:showVal val="1"/>
              <c:showCatName val="1"/>
              <c:showSerName val="0"/>
              <c:showPercent val="0"/>
              <c:showBubbleSize val="0"/>
              <c:separator>
</c:separator>
            </c:dLbl>
            <c:dLbl>
              <c:idx val="2"/>
              <c:layout>
                <c:manualLayout>
                  <c:x val="-3.3279398727405332E-2"/>
                  <c:y val="9.2896174863387984E-2"/>
                </c:manualLayout>
              </c:layout>
              <c:dLblPos val="bestFit"/>
              <c:showLegendKey val="1"/>
              <c:showVal val="1"/>
              <c:showCatName val="1"/>
              <c:showSerName val="0"/>
              <c:showPercent val="0"/>
              <c:showBubbleSize val="0"/>
              <c:separator>
</c:separator>
            </c:dLbl>
            <c:dLbl>
              <c:idx val="3"/>
              <c:layout>
                <c:manualLayout>
                  <c:x val="-1.8182731318318987E-3"/>
                  <c:y val="4.5217073275676603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4.1597337770382693E-2"/>
                  <c:y val="-4.3027408459188502E-7"/>
                </c:manualLayout>
              </c:layout>
              <c:dLblPos val="bestFit"/>
              <c:showLegendKey val="1"/>
              <c:showVal val="1"/>
              <c:showCatName val="1"/>
              <c:showSerName val="0"/>
              <c:showPercent val="0"/>
              <c:showBubbleSize val="0"/>
              <c:separator>
</c:separator>
            </c:dLbl>
            <c:dLbl>
              <c:idx val="6"/>
              <c:layout>
                <c:manualLayout>
                  <c:x val="-1.9408302117575108E-2"/>
                  <c:y val="5.4644808743169397E-2"/>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Blad1!$A$2:$A$6</c:f>
              <c:strCache>
                <c:ptCount val="5"/>
                <c:pt idx="0">
                  <c:v>Policy Area</c:v>
                </c:pt>
                <c:pt idx="1">
                  <c:v>Internal market, industry, entrepreneurship and SMEs</c:v>
                </c:pt>
                <c:pt idx="2">
                  <c:v>Financial stability, financial services and capital markets union</c:v>
                </c:pt>
                <c:pt idx="3">
                  <c:v>Health and food safety</c:v>
                </c:pt>
                <c:pt idx="4">
                  <c:v>Other</c:v>
                </c:pt>
              </c:strCache>
            </c:strRef>
          </c:cat>
          <c:val>
            <c:numRef>
              <c:f>Blad1!$B$2:$B$6</c:f>
              <c:numCache>
                <c:formatCode>General</c:formatCode>
                <c:ptCount val="5"/>
                <c:pt idx="0">
                  <c:v>0</c:v>
                </c:pt>
                <c:pt idx="1">
                  <c:v>11</c:v>
                </c:pt>
                <c:pt idx="2">
                  <c:v>5</c:v>
                </c:pt>
                <c:pt idx="3">
                  <c:v>3</c:v>
                </c:pt>
                <c:pt idx="4">
                  <c:v>12</c:v>
                </c:pt>
              </c:numCache>
            </c:numRef>
          </c:val>
          <c:extLst/>
        </c:ser>
        <c:dLbls>
          <c:showLegendKey val="0"/>
          <c:showVal val="0"/>
          <c:showCatName val="1"/>
          <c:showSerName val="0"/>
          <c:showPercent val="0"/>
          <c:showBubbleSize val="0"/>
          <c:showLeaderLines val="0"/>
        </c:dLbls>
        <c:firstSliceAng val="26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Number of days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3.1166666666666665E-2"/>
                  <c:y val="-7.5677083333333311E-2"/>
                </c:manualLayout>
              </c:layout>
              <c:dLblPos val="r"/>
              <c:showLegendKey val="0"/>
              <c:showVal val="1"/>
              <c:showCatName val="0"/>
              <c:showSerName val="0"/>
              <c:showPercent val="0"/>
              <c:showBubbleSize val="0"/>
            </c:dLbl>
            <c:dLbl>
              <c:idx val="2"/>
              <c:layout>
                <c:manualLayout>
                  <c:x val="-4.2277777777777775E-2"/>
                  <c:y val="-5.7192460317460315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68</c:v>
                </c:pt>
                <c:pt idx="1">
                  <c:v>72</c:v>
                </c:pt>
                <c:pt idx="2">
                  <c:v>69</c:v>
                </c:pt>
                <c:pt idx="3">
                  <c:v>59</c:v>
                </c:pt>
                <c:pt idx="4">
                  <c:v>67</c:v>
                </c:pt>
              </c:numCache>
            </c:numRef>
          </c:val>
          <c:smooth val="0"/>
        </c:ser>
        <c:ser>
          <c:idx val="1"/>
          <c:order val="1"/>
          <c:tx>
            <c:strRef>
              <c:f>Blad1!$C$2</c:f>
              <c:strCache>
                <c:ptCount val="1"/>
                <c:pt idx="0">
                  <c:v>The Member State should provide a solution to a problem within 70 days of being notified of it by the Commission</c:v>
                </c:pt>
              </c:strCache>
            </c:strRef>
          </c:tx>
          <c:spPr>
            <a:ln w="15875">
              <a:solidFill>
                <a:srgbClr val="C00000"/>
              </a:solidFill>
              <a:prstDash val="dash"/>
            </a:ln>
          </c:spPr>
          <c:marker>
            <c:symbol val="none"/>
          </c:marker>
          <c:cat>
            <c:numRef>
              <c:f>Blad1!$A$3:$A$7</c:f>
              <c:numCache>
                <c:formatCode>General</c:formatCode>
                <c:ptCount val="5"/>
                <c:pt idx="0">
                  <c:v>2012</c:v>
                </c:pt>
                <c:pt idx="1">
                  <c:v>2013</c:v>
                </c:pt>
                <c:pt idx="2">
                  <c:v>2014</c:v>
                </c:pt>
                <c:pt idx="3">
                  <c:v>2015</c:v>
                </c:pt>
                <c:pt idx="4">
                  <c:v>2016</c:v>
                </c:pt>
              </c:numCache>
            </c:numRef>
          </c:cat>
          <c:val>
            <c:numRef>
              <c:f>Blad1!$C$3:$C$7</c:f>
              <c:numCache>
                <c:formatCode>General</c:formatCode>
                <c:ptCount val="5"/>
                <c:pt idx="0">
                  <c:v>70</c:v>
                </c:pt>
                <c:pt idx="1">
                  <c:v>70</c:v>
                </c:pt>
                <c:pt idx="2">
                  <c:v>70</c:v>
                </c:pt>
                <c:pt idx="3">
                  <c:v>70</c:v>
                </c:pt>
                <c:pt idx="4">
                  <c:v>70</c:v>
                </c:pt>
              </c:numCache>
            </c:numRef>
          </c:val>
          <c:smooth val="0"/>
        </c:ser>
        <c:dLbls>
          <c:showLegendKey val="0"/>
          <c:showVal val="0"/>
          <c:showCatName val="0"/>
          <c:showSerName val="0"/>
          <c:showPercent val="0"/>
          <c:showBubbleSize val="0"/>
        </c:dLbls>
        <c:marker val="1"/>
        <c:smooth val="0"/>
        <c:axId val="100205312"/>
        <c:axId val="100206848"/>
      </c:lineChart>
      <c:catAx>
        <c:axId val="1002053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206848"/>
        <c:crosses val="autoZero"/>
        <c:auto val="1"/>
        <c:lblAlgn val="ctr"/>
        <c:lblOffset val="100"/>
        <c:noMultiLvlLbl val="0"/>
      </c:catAx>
      <c:valAx>
        <c:axId val="100206848"/>
        <c:scaling>
          <c:orientation val="minMax"/>
          <c:min val="5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205312"/>
        <c:crosses val="autoZero"/>
        <c:crossBetween val="between"/>
      </c:valAx>
      <c:spPr>
        <a:noFill/>
        <a:ln>
          <a:noFill/>
        </a:ln>
        <a:effectLst/>
      </c:spPr>
    </c:plotArea>
    <c:legend>
      <c:legendPos val="b"/>
      <c:legendEntry>
        <c:idx val="0"/>
        <c:delete val="1"/>
      </c:legendEntry>
      <c:layout>
        <c:manualLayout>
          <c:xMode val="edge"/>
          <c:yMode val="edge"/>
          <c:x val="5.0309492563429578E-2"/>
          <c:y val="0.81964867971443989"/>
          <c:w val="0.88826947953329416"/>
          <c:h val="0.18035128421447319"/>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Blad1!$B$2</c:f>
              <c:strCache>
                <c:ptCount val="1"/>
                <c:pt idx="0">
                  <c:v>Portugal</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0"/>
              <c:layout>
                <c:manualLayout>
                  <c:x val="-5.5177446878546123E-2"/>
                  <c:y val="-5.3841807909604529E-2"/>
                </c:manualLayout>
              </c:layout>
              <c:dLblPos val="r"/>
              <c:showLegendKey val="0"/>
              <c:showVal val="1"/>
              <c:showCatName val="0"/>
              <c:showSerName val="0"/>
              <c:showPercent val="0"/>
              <c:showBubbleSize val="0"/>
            </c:dLbl>
            <c:dLbl>
              <c:idx val="1"/>
              <c:layout>
                <c:manualLayout>
                  <c:x val="-6.6199336469079981E-2"/>
                  <c:y val="6.480225988700565E-2"/>
                </c:manualLayout>
              </c:layout>
              <c:dLblPos val="r"/>
              <c:showLegendKey val="0"/>
              <c:showVal val="1"/>
              <c:showCatName val="0"/>
              <c:showSerName val="0"/>
              <c:showPercent val="0"/>
              <c:showBubbleSize val="0"/>
            </c:dLbl>
            <c:dLbl>
              <c:idx val="3"/>
              <c:layout>
                <c:manualLayout>
                  <c:x val="-5.6440624377398371E-2"/>
                  <c:y val="6.4388540415498907E-2"/>
                </c:manualLayout>
              </c:layout>
              <c:dLblPos val="r"/>
              <c:showLegendKey val="0"/>
              <c:showVal val="1"/>
              <c:showCatName val="0"/>
              <c:showSerName val="0"/>
              <c:showPercent val="0"/>
              <c:showBubbleSize val="0"/>
            </c:dLbl>
            <c:txPr>
              <a:bodyPr/>
              <a:lstStyle/>
              <a:p>
                <a:pPr>
                  <a:defRPr sz="90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0%</c:formatCode>
                <c:ptCount val="5"/>
                <c:pt idx="0">
                  <c:v>0.82</c:v>
                </c:pt>
                <c:pt idx="1">
                  <c:v>0.67</c:v>
                </c:pt>
                <c:pt idx="2">
                  <c:v>0.62</c:v>
                </c:pt>
                <c:pt idx="3">
                  <c:v>0.7</c:v>
                </c:pt>
                <c:pt idx="4">
                  <c:v>0.69</c:v>
                </c:pt>
              </c:numCache>
            </c:numRef>
          </c:val>
          <c:smooth val="0"/>
        </c:ser>
        <c:ser>
          <c:idx val="1"/>
          <c:order val="1"/>
          <c:tx>
            <c:strRef>
              <c:f>Blad1!$C$2</c:f>
              <c:strCache>
                <c:ptCount val="1"/>
                <c:pt idx="0">
                  <c:v>General rate for all Member States</c:v>
                </c:pt>
              </c:strCache>
            </c:strRef>
          </c:tx>
          <c:spPr>
            <a:ln w="25400">
              <a:solidFill>
                <a:srgbClr val="92D050"/>
              </a:solidFill>
            </a:ln>
          </c:spPr>
          <c:marker>
            <c:symbol val="square"/>
            <c:size val="5"/>
            <c:spPr>
              <a:solidFill>
                <a:srgbClr val="92D050"/>
              </a:solidFill>
              <a:ln>
                <a:solidFill>
                  <a:srgbClr val="92D050"/>
                </a:solidFill>
              </a:ln>
            </c:spPr>
          </c:marker>
          <c:dLbls>
            <c:dLbl>
              <c:idx val="1"/>
              <c:layout>
                <c:manualLayout>
                  <c:x val="-5.2427171851043369E-2"/>
                  <c:y val="-5.3502824858757063E-2"/>
                </c:manualLayout>
              </c:layout>
              <c:dLblPos val="r"/>
              <c:showLegendKey val="0"/>
              <c:showVal val="1"/>
              <c:showCatName val="0"/>
              <c:showSerName val="0"/>
              <c:showPercent val="0"/>
              <c:showBubbleSize val="0"/>
            </c:dLbl>
            <c:txPr>
              <a:bodyPr/>
              <a:lstStyle/>
              <a:p>
                <a:pPr>
                  <a:defRPr sz="900">
                    <a:solidFill>
                      <a:srgbClr val="00B05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Blad1!$C$3:$C$7</c:f>
              <c:numCache>
                <c:formatCode>0%</c:formatCode>
                <c:ptCount val="5"/>
                <c:pt idx="0">
                  <c:v>0.68</c:v>
                </c:pt>
                <c:pt idx="1">
                  <c:v>0.7</c:v>
                </c:pt>
                <c:pt idx="2">
                  <c:v>0.75</c:v>
                </c:pt>
                <c:pt idx="3">
                  <c:v>0.75</c:v>
                </c:pt>
                <c:pt idx="4">
                  <c:v>0.72</c:v>
                </c:pt>
              </c:numCache>
            </c:numRef>
          </c:val>
          <c:smooth val="0"/>
        </c:ser>
        <c:dLbls>
          <c:showLegendKey val="0"/>
          <c:showVal val="0"/>
          <c:showCatName val="0"/>
          <c:showSerName val="0"/>
          <c:showPercent val="0"/>
          <c:showBubbleSize val="0"/>
        </c:dLbls>
        <c:marker val="1"/>
        <c:smooth val="0"/>
        <c:axId val="100254080"/>
        <c:axId val="100255616"/>
      </c:lineChart>
      <c:catAx>
        <c:axId val="10025408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255616"/>
        <c:crosses val="autoZero"/>
        <c:auto val="1"/>
        <c:lblAlgn val="ctr"/>
        <c:lblOffset val="100"/>
        <c:noMultiLvlLbl val="0"/>
      </c:catAx>
      <c:valAx>
        <c:axId val="100255616"/>
        <c:scaling>
          <c:orientation val="minMax"/>
          <c:min val="0.5"/>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100254080"/>
        <c:crosses val="autoZero"/>
        <c:crossBetween val="between"/>
      </c:valAx>
      <c:spPr>
        <a:noFill/>
        <a:ln>
          <a:noFill/>
        </a:ln>
        <a:effectLst/>
      </c:spPr>
    </c:plotArea>
    <c:legend>
      <c:legendPos val="b"/>
      <c:layout>
        <c:manualLayout>
          <c:xMode val="edge"/>
          <c:yMode val="edge"/>
          <c:x val="9.860927037585647E-2"/>
          <c:y val="0.8759913697228523"/>
          <c:w val="0.78077925902826506"/>
          <c:h val="9.0110325192401794E-2"/>
        </c:manualLayout>
      </c:layout>
      <c:overlay val="0"/>
      <c:txPr>
        <a:bodyPr/>
        <a:lstStyle/>
        <a:p>
          <a:pPr>
            <a:defRPr sz="900">
              <a:latin typeface="Arial" panose="020B0604020202020204" pitchFamily="34" charset="0"/>
              <a:ea typeface="Verdana" panose="020B0604030504040204" pitchFamily="34" charset="0"/>
              <a:cs typeface="Arial" panose="020B0604020202020204" pitchFamily="34"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Blad1!$B$3</c:f>
              <c:strCache>
                <c:ptCount val="1"/>
                <c:pt idx="0">
                  <c:v>Number</c:v>
                </c:pt>
              </c:strCache>
            </c:strRef>
          </c:tx>
          <c:spPr>
            <a:effectLst>
              <a:outerShdw blurRad="40000" dist="23000" dir="5400000" rotWithShape="0">
                <a:srgbClr val="000000">
                  <a:alpha val="35000"/>
                </a:srgbClr>
              </a:outerShdw>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Blad1!$A$4:$A$8</c:f>
              <c:numCache>
                <c:formatCode>General</c:formatCode>
                <c:ptCount val="5"/>
                <c:pt idx="0">
                  <c:v>2012</c:v>
                </c:pt>
                <c:pt idx="1">
                  <c:v>2013</c:v>
                </c:pt>
                <c:pt idx="2">
                  <c:v>2014</c:v>
                </c:pt>
                <c:pt idx="3">
                  <c:v>2015</c:v>
                </c:pt>
                <c:pt idx="4">
                  <c:v>2016</c:v>
                </c:pt>
              </c:numCache>
            </c:numRef>
          </c:cat>
          <c:val>
            <c:numRef>
              <c:f>Blad1!$B$4:$B$8</c:f>
              <c:numCache>
                <c:formatCode>General</c:formatCode>
                <c:ptCount val="5"/>
                <c:pt idx="0">
                  <c:v>67</c:v>
                </c:pt>
                <c:pt idx="1">
                  <c:v>51</c:v>
                </c:pt>
                <c:pt idx="2">
                  <c:v>52</c:v>
                </c:pt>
                <c:pt idx="3">
                  <c:v>55</c:v>
                </c:pt>
                <c:pt idx="4">
                  <c:v>84</c:v>
                </c:pt>
              </c:numCache>
            </c:numRef>
          </c:val>
          <c:smooth val="0"/>
        </c:ser>
        <c:dLbls>
          <c:showLegendKey val="0"/>
          <c:showVal val="1"/>
          <c:showCatName val="0"/>
          <c:showSerName val="0"/>
          <c:showPercent val="0"/>
          <c:showBubbleSize val="0"/>
        </c:dLbls>
        <c:marker val="1"/>
        <c:smooth val="0"/>
        <c:axId val="100287232"/>
        <c:axId val="100289920"/>
      </c:lineChart>
      <c:catAx>
        <c:axId val="1002872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289920"/>
        <c:crosses val="autoZero"/>
        <c:auto val="1"/>
        <c:lblAlgn val="ctr"/>
        <c:lblOffset val="100"/>
        <c:noMultiLvlLbl val="0"/>
      </c:catAx>
      <c:valAx>
        <c:axId val="100289920"/>
        <c:scaling>
          <c:orientation val="minMax"/>
          <c:min val="4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287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60 new </a:t>
            </a:r>
            <a:r>
              <a:rPr lang="en-US" sz="1100" b="0">
                <a:solidFill>
                  <a:srgbClr val="002060"/>
                </a:solidFill>
                <a:latin typeface="Arial" panose="020B0604020202020204" pitchFamily="34" charset="0"/>
                <a:ea typeface="Verdana" panose="020B0604030504040204" pitchFamily="34" charset="0"/>
                <a:cs typeface="Arial" panose="020B0604020202020204" pitchFamily="34" charset="0"/>
              </a:rPr>
              <a:t>infringement cases against</a:t>
            </a:r>
            <a:r>
              <a:rPr lang="en-US" sz="1100" b="0" baseline="0">
                <a:solidFill>
                  <a:srgbClr val="002060"/>
                </a:solidFill>
                <a:latin typeface="Arial" panose="020B0604020202020204" pitchFamily="34" charset="0"/>
                <a:ea typeface="Verdana" panose="020B0604030504040204" pitchFamily="34" charset="0"/>
                <a:cs typeface="Arial" panose="020B0604020202020204" pitchFamily="34" charset="0"/>
              </a:rPr>
              <a: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en-US"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layout>
        <c:manualLayout>
          <c:xMode val="edge"/>
          <c:yMode val="edge"/>
          <c:x val="0.15940798581541699"/>
          <c:y val="3.2786885245901641E-2"/>
        </c:manualLayout>
      </c:layout>
      <c:overlay val="0"/>
      <c:spPr>
        <a:noFill/>
        <a:ln>
          <a:noFill/>
        </a:ln>
        <a:effectLst/>
      </c:spPr>
    </c:title>
    <c:autoTitleDeleted val="0"/>
    <c:plotArea>
      <c:layout/>
      <c:pieChart>
        <c:varyColors val="1"/>
        <c:ser>
          <c:idx val="0"/>
          <c:order val="0"/>
          <c:tx>
            <c:strRef>
              <c:f>Blad1!$B$1</c:f>
              <c:strCache>
                <c:ptCount val="1"/>
                <c:pt idx="0">
                  <c:v>[Number of infringement cases] infringement cases against Austria</c:v>
                </c:pt>
              </c:strCache>
            </c:strRef>
          </c:tx>
          <c:spPr>
            <a:scene3d>
              <a:camera prst="orthographicFront"/>
              <a:lightRig rig="threePt" dir="t"/>
            </a:scene3d>
            <a:sp3d>
              <a:bevelT w="63500" h="25400"/>
            </a:sp3d>
          </c:spPr>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FF99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5"/>
            <c:bubble3D val="0"/>
            <c:spPr>
              <a:solidFill>
                <a:srgbClr val="808AA4"/>
              </a:solidFill>
              <a:scene3d>
                <a:camera prst="orthographicFront"/>
                <a:lightRig rig="threePt" dir="t"/>
              </a:scene3d>
              <a:sp3d>
                <a:bevelT w="63500" h="25400"/>
              </a:sp3d>
            </c:spPr>
          </c:dPt>
          <c:dLbls>
            <c:dLbl>
              <c:idx val="0"/>
              <c:delete val="1"/>
              <c:extLst>
                <c:ext xmlns:c15="http://schemas.microsoft.com/office/drawing/2012/chart" uri="{CE6537A1-D6FC-4f65-9D91-7224C49458BB}"/>
              </c:extLst>
            </c:dLbl>
            <c:dLbl>
              <c:idx val="1"/>
              <c:layout>
                <c:manualLayout>
                  <c:x val="2.7639847847638014E-3"/>
                  <c:y val="0.10700486209715589"/>
                </c:manualLayout>
              </c:layout>
              <c:dLblPos val="bestFit"/>
              <c:showLegendKey val="1"/>
              <c:showVal val="1"/>
              <c:showCatName val="1"/>
              <c:showSerName val="0"/>
              <c:showPercent val="0"/>
              <c:showBubbleSize val="0"/>
              <c:separator>
</c:separator>
            </c:dLbl>
            <c:dLbl>
              <c:idx val="2"/>
              <c:layout>
                <c:manualLayout>
                  <c:x val="-2.0583803896393152E-2"/>
                  <c:y val="9.2896174863387984E-2"/>
                </c:manualLayout>
              </c:layout>
              <c:dLblPos val="bestFit"/>
              <c:showLegendKey val="1"/>
              <c:showVal val="1"/>
              <c:showCatName val="1"/>
              <c:showSerName val="0"/>
              <c:showPercent val="0"/>
              <c:showBubbleSize val="0"/>
              <c:separator>
</c:separator>
            </c:dLbl>
            <c:dLbl>
              <c:idx val="3"/>
              <c:layout>
                <c:manualLayout>
                  <c:x val="9.5488271952694768E-4"/>
                  <c:y val="5.7124908566757074E-2"/>
                </c:manualLayout>
              </c:layout>
              <c:dLblPos val="bestFit"/>
              <c:showLegendKey val="1"/>
              <c:showVal val="1"/>
              <c:showCatName val="1"/>
              <c:showSerName val="0"/>
              <c:showPercent val="0"/>
              <c:showBubbleSize val="0"/>
              <c:separator>
</c:separator>
              <c:extLst>
                <c:ext xmlns:c15="http://schemas.microsoft.com/office/drawing/2012/chart" uri="{CE6537A1-D6FC-4f65-9D91-7224C49458BB}">
                  <c15:layout/>
                </c:ext>
              </c:extLst>
            </c:dLbl>
            <c:dLbl>
              <c:idx val="4"/>
              <c:layout>
                <c:manualLayout>
                  <c:x val="-5.546311702717693E-3"/>
                  <c:y val="0.11535433070866141"/>
                </c:manualLayout>
              </c:layout>
              <c:dLblPos val="bestFit"/>
              <c:showLegendKey val="1"/>
              <c:showVal val="1"/>
              <c:showCatName val="1"/>
              <c:showSerName val="0"/>
              <c:showPercent val="0"/>
              <c:showBubbleSize val="0"/>
              <c:separator>
</c:separator>
            </c:dLbl>
            <c:dLbl>
              <c:idx val="5"/>
              <c:layout>
                <c:manualLayout>
                  <c:x val="-0.12756516916250699"/>
                  <c:y val="-0.13661202185792359"/>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chemeClr val="tx1"/>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Blad1!$A$2:$A$7</c:f>
              <c:strCache>
                <c:ptCount val="6"/>
                <c:pt idx="0">
                  <c:v>Policy Area</c:v>
                </c:pt>
                <c:pt idx="1">
                  <c:v>Internal market, industry, entrepreneurship and SMEs</c:v>
                </c:pt>
                <c:pt idx="2">
                  <c:v>Health and food safety</c:v>
                </c:pt>
                <c:pt idx="3">
                  <c:v>Mobility and transport</c:v>
                </c:pt>
                <c:pt idx="4">
                  <c:v>Financial stability, financial services and capital markets union</c:v>
                </c:pt>
                <c:pt idx="5">
                  <c:v>Other</c:v>
                </c:pt>
              </c:strCache>
            </c:strRef>
          </c:cat>
          <c:val>
            <c:numRef>
              <c:f>Blad1!$B$2:$B$7</c:f>
              <c:numCache>
                <c:formatCode>General</c:formatCode>
                <c:ptCount val="6"/>
                <c:pt idx="0">
                  <c:v>0</c:v>
                </c:pt>
                <c:pt idx="1">
                  <c:v>18</c:v>
                </c:pt>
                <c:pt idx="2">
                  <c:v>7</c:v>
                </c:pt>
                <c:pt idx="3">
                  <c:v>7</c:v>
                </c:pt>
                <c:pt idx="4">
                  <c:v>6</c:v>
                </c:pt>
                <c:pt idx="5">
                  <c:v>22</c:v>
                </c:pt>
              </c:numCache>
            </c:numRef>
          </c:val>
          <c:extLst/>
        </c:ser>
        <c:dLbls>
          <c:showLegendKey val="0"/>
          <c:showVal val="0"/>
          <c:showCatName val="1"/>
          <c:showSerName val="0"/>
          <c:showPercent val="0"/>
          <c:showBubbleSize val="0"/>
          <c:showLeaderLines val="0"/>
        </c:dLbls>
        <c:firstSliceAng val="257"/>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220743205768164E-2"/>
                  <c:y val="7.6153039832285122E-2"/>
                </c:manualLayout>
              </c:layout>
              <c:dLblPos val="r"/>
              <c:showLegendKey val="0"/>
              <c:showVal val="1"/>
              <c:showCatName val="0"/>
              <c:showSerName val="0"/>
              <c:showPercent val="0"/>
              <c:showBubbleSize val="0"/>
            </c:dLbl>
            <c:dLbl>
              <c:idx val="2"/>
              <c:layout>
                <c:manualLayout>
                  <c:x val="-4.220743205768164E-2"/>
                  <c:y val="6.5670859538784071E-2"/>
                </c:manualLayout>
              </c:layout>
              <c:dLblPos val="r"/>
              <c:showLegendKey val="0"/>
              <c:showVal val="1"/>
              <c:showCatName val="0"/>
              <c:showSerName val="0"/>
              <c:showPercent val="0"/>
              <c:showBubbleSize val="0"/>
            </c:dLbl>
            <c:dLbl>
              <c:idx val="3"/>
              <c:layout>
                <c:manualLayout>
                  <c:x val="-3.3887964503605102E-2"/>
                  <c:y val="4.9947589098532495E-2"/>
                </c:manualLayout>
              </c:layout>
              <c:dLblPos val="r"/>
              <c:showLegendKey val="0"/>
              <c:showVal val="1"/>
              <c:showCatName val="0"/>
              <c:showSerName val="0"/>
              <c:showPercent val="0"/>
              <c:showBubbleSize val="0"/>
            </c:dLbl>
            <c:txPr>
              <a:bodyPr/>
              <a:lstStyle/>
              <a:p>
                <a:pPr>
                  <a:defRPr sz="900">
                    <a:solidFill>
                      <a:srgbClr val="0070C0"/>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t"/>
            <c:showLegendKey val="0"/>
            <c:showVal val="1"/>
            <c:showCatName val="0"/>
            <c:showSerName val="0"/>
            <c:showPercent val="0"/>
            <c:showBubbleSize val="0"/>
            <c:showLeaderLines val="0"/>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23</c:v>
                </c:pt>
                <c:pt idx="1">
                  <c:v>12</c:v>
                </c:pt>
                <c:pt idx="2">
                  <c:v>15</c:v>
                </c:pt>
                <c:pt idx="3">
                  <c:v>15</c:v>
                </c:pt>
                <c:pt idx="4">
                  <c:v>44</c:v>
                </c:pt>
              </c:numCache>
            </c:numRef>
          </c:val>
          <c:smooth val="0"/>
        </c:ser>
        <c:dLbls>
          <c:showLegendKey val="0"/>
          <c:showVal val="0"/>
          <c:showCatName val="0"/>
          <c:showSerName val="0"/>
          <c:showPercent val="0"/>
          <c:showBubbleSize val="0"/>
        </c:dLbls>
        <c:marker val="1"/>
        <c:smooth val="0"/>
        <c:axId val="100862976"/>
        <c:axId val="100889344"/>
      </c:lineChart>
      <c:catAx>
        <c:axId val="10086297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889344"/>
        <c:crosses val="autoZero"/>
        <c:auto val="1"/>
        <c:lblAlgn val="ctr"/>
        <c:lblOffset val="100"/>
        <c:noMultiLvlLbl val="0"/>
      </c:catAx>
      <c:valAx>
        <c:axId val="10088934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8629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Blad1!$B$1</c:f>
              <c:strCache>
                <c:ptCount val="1"/>
                <c:pt idx="0">
                  <c:v>Member State</c:v>
                </c:pt>
              </c:strCache>
            </c:strRef>
          </c:tx>
          <c:spPr>
            <a:effectLst>
              <a:outerShdw blurRad="40000" dist="23000" dir="5400000" rotWithShape="0">
                <a:srgbClr val="000000">
                  <a:alpha val="35000"/>
                </a:srgbClr>
              </a:outerShdw>
            </a:effectLst>
          </c:spPr>
          <c:dLbls>
            <c:dLbl>
              <c:idx val="1"/>
              <c:layout>
                <c:manualLayout>
                  <c:x val="-4.772361025587276E-2"/>
                  <c:y val="5.8262764324270785E-2"/>
                </c:manualLayout>
              </c:layout>
              <c:dLblPos val="r"/>
              <c:showLegendKey val="0"/>
              <c:showVal val="1"/>
              <c:showCatName val="0"/>
              <c:showSerName val="0"/>
              <c:showPercent val="0"/>
              <c:showBubbleSize val="0"/>
            </c:dLbl>
            <c:dLbl>
              <c:idx val="4"/>
              <c:layout>
                <c:manualLayout>
                  <c:x val="-3.1114808652246258E-2"/>
                  <c:y val="-6.0429769392033539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Blad1!$A$2:$A$6</c:f>
              <c:numCache>
                <c:formatCode>General</c:formatCode>
                <c:ptCount val="5"/>
                <c:pt idx="0">
                  <c:v>2012</c:v>
                </c:pt>
                <c:pt idx="1">
                  <c:v>2013</c:v>
                </c:pt>
                <c:pt idx="2">
                  <c:v>2014</c:v>
                </c:pt>
                <c:pt idx="3">
                  <c:v>2015</c:v>
                </c:pt>
                <c:pt idx="4">
                  <c:v>2016</c:v>
                </c:pt>
              </c:numCache>
            </c:numRef>
          </c:cat>
          <c:val>
            <c:numRef>
              <c:f>Blad1!$B$2:$B$6</c:f>
              <c:numCache>
                <c:formatCode>General</c:formatCode>
                <c:ptCount val="5"/>
                <c:pt idx="0">
                  <c:v>34</c:v>
                </c:pt>
                <c:pt idx="1">
                  <c:v>24</c:v>
                </c:pt>
                <c:pt idx="2">
                  <c:v>23</c:v>
                </c:pt>
                <c:pt idx="3">
                  <c:v>18</c:v>
                </c:pt>
                <c:pt idx="4">
                  <c:v>51</c:v>
                </c:pt>
              </c:numCache>
            </c:numRef>
          </c:val>
          <c:smooth val="0"/>
        </c:ser>
        <c:dLbls>
          <c:showLegendKey val="0"/>
          <c:showVal val="1"/>
          <c:showCatName val="0"/>
          <c:showSerName val="0"/>
          <c:showPercent val="0"/>
          <c:showBubbleSize val="0"/>
        </c:dLbls>
        <c:marker val="1"/>
        <c:smooth val="0"/>
        <c:axId val="100937088"/>
        <c:axId val="100948224"/>
      </c:lineChart>
      <c:catAx>
        <c:axId val="1009370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948224"/>
        <c:crosses val="autoZero"/>
        <c:auto val="1"/>
        <c:lblAlgn val="ctr"/>
        <c:lblOffset val="100"/>
        <c:noMultiLvlLbl val="0"/>
      </c:catAx>
      <c:valAx>
        <c:axId val="100948224"/>
        <c:scaling>
          <c:orientation val="minMax"/>
          <c:min val="15"/>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937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Verdana" panose="020B0604030504040204" pitchFamily="34" charset="0"/>
                <a:ea typeface="Verdana" panose="020B0604030504040204" pitchFamily="34" charset="0"/>
                <a:cs typeface="Verdana" panose="020B0604030504040204" pitchFamily="34" charset="0"/>
              </a:defRPr>
            </a:pPr>
            <a:r>
              <a:rPr lang="nl-BE" sz="1100" b="0" baseline="0">
                <a:solidFill>
                  <a:srgbClr val="002060"/>
                </a:solidFill>
                <a:latin typeface="Arial" panose="020B0604020202020204" pitchFamily="34" charset="0"/>
                <a:ea typeface="Verdana" panose="020B0604030504040204" pitchFamily="34" charset="0"/>
                <a:cs typeface="Arial" panose="020B0604020202020204" pitchFamily="34" charset="0"/>
              </a:rPr>
              <a:t>51 new </a:t>
            </a:r>
            <a:r>
              <a:rPr lang="nl-BE" sz="1100" b="0">
                <a:solidFill>
                  <a:srgbClr val="002060"/>
                </a:solidFill>
                <a:latin typeface="Arial" panose="020B0604020202020204" pitchFamily="34" charset="0"/>
                <a:ea typeface="Verdana" panose="020B0604030504040204" pitchFamily="34" charset="0"/>
                <a:cs typeface="Arial" panose="020B0604020202020204" pitchFamily="34" charset="0"/>
              </a:rPr>
              <a:t>late transposition infringement cases against </a:t>
            </a:r>
            <a:r>
              <a:rPr lang="en-GB"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Portugal</a:t>
            </a:r>
            <a:endParaRPr lang="nl-BE" sz="1100" b="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manualLayout>
          <c:layoutTarget val="inner"/>
          <c:xMode val="edge"/>
          <c:yMode val="edge"/>
          <c:x val="0.31614720034995625"/>
          <c:y val="0.26226409198850142"/>
          <c:w val="0.3723354111986002"/>
          <c:h val="0.6382892763404574"/>
        </c:manualLayout>
      </c:layout>
      <c:pieChart>
        <c:varyColors val="1"/>
        <c:ser>
          <c:idx val="0"/>
          <c:order val="0"/>
          <c:tx>
            <c:strRef>
              <c:f>Blad1!$B$1</c:f>
              <c:strCache>
                <c:ptCount val="1"/>
                <c:pt idx="0">
                  <c:v>[Number of late transposition cases] late transposition cases against [Member State]</c:v>
                </c:pt>
              </c:strCache>
            </c:strRef>
          </c:tx>
          <c:spPr>
            <a:scene3d>
              <a:camera prst="orthographicFront"/>
              <a:lightRig rig="threePt" dir="t"/>
            </a:scene3d>
            <a:sp3d>
              <a:bevelT w="63500" h="25400"/>
            </a:sp3d>
          </c:spPr>
          <c:dPt>
            <c:idx val="0"/>
            <c:bubble3D val="0"/>
            <c:spPr>
              <a:solidFill>
                <a:srgbClr val="000099"/>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FF7DFF"/>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7030A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00A676"/>
              </a:solidFill>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5.5367715663449044E-2"/>
                  <c:y val="0.15686274509803921"/>
                </c:manualLayout>
              </c:layout>
              <c:dLblPos val="bestFit"/>
              <c:showLegendKey val="1"/>
              <c:showVal val="1"/>
              <c:showCatName val="1"/>
              <c:showSerName val="0"/>
              <c:showPercent val="0"/>
              <c:showBubbleSize val="0"/>
              <c:separator>
</c:separator>
            </c:dLbl>
            <c:dLbl>
              <c:idx val="1"/>
              <c:layout>
                <c:manualLayout>
                  <c:x val="-1.937984496124031E-2"/>
                  <c:y val="-2.4509803921568627E-2"/>
                </c:manualLayout>
              </c:layout>
              <c:dLblPos val="bestFit"/>
              <c:showLegendKey val="1"/>
              <c:showVal val="1"/>
              <c:showCatName val="1"/>
              <c:showSerName val="0"/>
              <c:showPercent val="0"/>
              <c:showBubbleSize val="0"/>
              <c:separator>
</c:separator>
            </c:dLbl>
            <c:dLbl>
              <c:idx val="2"/>
              <c:layout>
                <c:manualLayout>
                  <c:x val="1.1174257287606491E-2"/>
                  <c:y val="1.4705882352941176E-2"/>
                </c:manualLayout>
              </c:layout>
              <c:dLblPos val="bestFit"/>
              <c:showLegendKey val="1"/>
              <c:showVal val="1"/>
              <c:showCatName val="1"/>
              <c:showSerName val="0"/>
              <c:showPercent val="0"/>
              <c:showBubbleSize val="0"/>
              <c:separator>
</c:separator>
            </c:dLbl>
            <c:dLbl>
              <c:idx val="3"/>
              <c:layout>
                <c:manualLayout>
                  <c:x val="-2.4820371290797952E-2"/>
                  <c:y val="1.4705110390612938E-2"/>
                </c:manualLayout>
              </c:layout>
              <c:dLblPos val="bestFit"/>
              <c:showLegendKey val="1"/>
              <c:showVal val="1"/>
              <c:showCatName val="1"/>
              <c:showSerName val="0"/>
              <c:showPercent val="0"/>
              <c:showBubbleSize val="0"/>
              <c:separator>
</c:separator>
            </c:dLbl>
            <c:dLbl>
              <c:idx val="4"/>
              <c:layout>
                <c:manualLayout>
                  <c:x val="-4.9833887043189397E-2"/>
                  <c:y val="-0.10294117647058823"/>
                </c:manualLayout>
              </c:layout>
              <c:dLblPos val="bestFit"/>
              <c:showLegendKey val="1"/>
              <c:showVal val="1"/>
              <c:showCatName val="1"/>
              <c:showSerName val="0"/>
              <c:showPercent val="0"/>
              <c:showBubbleSize val="0"/>
              <c:separator>
</c:separator>
            </c:dLbl>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15:layout/>
              </c:ext>
            </c:extLst>
          </c:dLbls>
          <c:cat>
            <c:strRef>
              <c:f>Blad1!$A$4:$A$8</c:f>
              <c:strCache>
                <c:ptCount val="5"/>
                <c:pt idx="0">
                  <c:v>Internal market, industry, entrepreneurship and SMEs</c:v>
                </c:pt>
                <c:pt idx="1">
                  <c:v>Health and food safety</c:v>
                </c:pt>
                <c:pt idx="2">
                  <c:v>Financial stability, financial services and capital markets union</c:v>
                </c:pt>
                <c:pt idx="3">
                  <c:v>Environment</c:v>
                </c:pt>
                <c:pt idx="4">
                  <c:v>Other</c:v>
                </c:pt>
              </c:strCache>
            </c:strRef>
          </c:cat>
          <c:val>
            <c:numRef>
              <c:f>Blad1!$B$4:$B$8</c:f>
              <c:numCache>
                <c:formatCode>General</c:formatCode>
                <c:ptCount val="5"/>
                <c:pt idx="0">
                  <c:v>18</c:v>
                </c:pt>
                <c:pt idx="1">
                  <c:v>7</c:v>
                </c:pt>
                <c:pt idx="2">
                  <c:v>5</c:v>
                </c:pt>
                <c:pt idx="3">
                  <c:v>5</c:v>
                </c:pt>
                <c:pt idx="4">
                  <c:v>16</c:v>
                </c:pt>
              </c:numCache>
            </c:numRef>
          </c:val>
          <c:extLst>
            <c:ext xmlns:c15="http://schemas.microsoft.com/office/drawing/2012/chart" uri="{02D57815-91ED-43cb-92C2-25804820EDAC}">
              <c15:categoryFilterExceptions/>
            </c:ext>
          </c:extLst>
        </c:ser>
        <c:dLbls>
          <c:dLblPos val="inEnd"/>
          <c:showLegendKey val="0"/>
          <c:showVal val="0"/>
          <c:showCatName val="0"/>
          <c:showSerName val="0"/>
          <c:showPercent val="1"/>
          <c:showBubbleSize val="0"/>
          <c:showLeaderLines val="0"/>
        </c:dLbls>
        <c:firstSliceAng val="276"/>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1280946076430702E-2"/>
          <c:y val="5.5813953488372092E-2"/>
          <c:w val="0.89092585489306109"/>
          <c:h val="0.83976585414414306"/>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1"/>
              <c:layout>
                <c:manualLayout>
                  <c:x val="-6.3640051191948113E-2"/>
                  <c:y val="-7.1485905871355115E-2"/>
                </c:manualLayout>
              </c:layout>
              <c:dLblPos val="r"/>
              <c:showLegendKey val="0"/>
              <c:showVal val="1"/>
              <c:showCatName val="0"/>
              <c:showSerName val="0"/>
              <c:showPercent val="0"/>
              <c:showBubbleSize val="0"/>
            </c:dLbl>
            <c:dLbl>
              <c:idx val="2"/>
              <c:layout>
                <c:manualLayout>
                  <c:x val="-3.8787878787878788E-2"/>
                  <c:y val="-6.5810502283105032E-2"/>
                </c:manualLayout>
              </c:layout>
              <c:dLblPos val="r"/>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105</c:v>
                </c:pt>
                <c:pt idx="1">
                  <c:v>154</c:v>
                </c:pt>
                <c:pt idx="2">
                  <c:v>149</c:v>
                </c:pt>
                <c:pt idx="3">
                  <c:v>113</c:v>
                </c:pt>
                <c:pt idx="4">
                  <c:v>133</c:v>
                </c:pt>
              </c:numCache>
            </c:numRef>
          </c:val>
          <c:smooth val="0"/>
        </c:ser>
        <c:dLbls>
          <c:showLegendKey val="0"/>
          <c:showVal val="1"/>
          <c:showCatName val="0"/>
          <c:showSerName val="0"/>
          <c:showPercent val="0"/>
          <c:showBubbleSize val="0"/>
        </c:dLbls>
        <c:marker val="1"/>
        <c:smooth val="0"/>
        <c:axId val="100757888"/>
        <c:axId val="100760576"/>
      </c:lineChart>
      <c:catAx>
        <c:axId val="10075788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0760576"/>
        <c:crosses val="autoZero"/>
        <c:auto val="1"/>
        <c:lblAlgn val="ctr"/>
        <c:lblOffset val="100"/>
        <c:noMultiLvlLbl val="0"/>
      </c:catAx>
      <c:valAx>
        <c:axId val="100760576"/>
        <c:scaling>
          <c:orientation val="minMax"/>
          <c:min val="70"/>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00757888"/>
        <c:crosses val="autoZero"/>
        <c:crossBetween val="between"/>
      </c:valAx>
      <c:spPr>
        <a:noFill/>
        <a:ln>
          <a:noFill/>
        </a:ln>
        <a:effectLst/>
        <a:scene3d>
          <a:camera prst="orthographicFront"/>
          <a:lightRig rig="threePt" dir="t"/>
        </a:scene3d>
        <a:sp3d>
          <a:bevelT w="6350"/>
        </a:sp3d>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0" i="0" u="none" strike="noStrike" kern="1200" baseline="0">
                <a:solidFill>
                  <a:srgbClr val="002060"/>
                </a:solidFill>
                <a:latin typeface="+mn-lt"/>
                <a:ea typeface="+mn-ea"/>
                <a:cs typeface="+mn-cs"/>
              </a:defRPr>
            </a:pPr>
            <a:r>
              <a:rPr lang="en-US" sz="1100" b="0" i="0">
                <a:solidFill>
                  <a:srgbClr val="002060"/>
                </a:solidFill>
                <a:latin typeface="Arial" panose="020B0604020202020204" pitchFamily="34" charset="0"/>
                <a:ea typeface="Verdana" panose="020B0604030504040204" pitchFamily="34" charset="0"/>
                <a:cs typeface="Arial" panose="020B0604020202020204" pitchFamily="34" charset="0"/>
              </a:rPr>
              <a:t>133 complaints made against </a:t>
            </a:r>
            <a:r>
              <a:rPr lang="en-US" sz="11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rPr>
              <a:t>Romania</a:t>
            </a:r>
            <a:endParaRPr lang="en-US" sz="1100" b="0" i="0">
              <a:solidFill>
                <a:srgbClr val="002060"/>
              </a:solidFill>
              <a:latin typeface="Arial" panose="020B0604020202020204" pitchFamily="34" charset="0"/>
              <a:ea typeface="Verdana" panose="020B0604030504040204" pitchFamily="34" charset="0"/>
              <a:cs typeface="Arial" panose="020B0604020202020204" pitchFamily="34" charset="0"/>
            </a:endParaRPr>
          </a:p>
        </c:rich>
      </c:tx>
      <c:overlay val="0"/>
      <c:spPr>
        <a:noFill/>
        <a:ln>
          <a:noFill/>
        </a:ln>
        <a:effectLst/>
      </c:spPr>
    </c:title>
    <c:autoTitleDeleted val="0"/>
    <c:plotArea>
      <c:layout/>
      <c:pieChart>
        <c:varyColors val="1"/>
        <c:ser>
          <c:idx val="0"/>
          <c:order val="0"/>
          <c:tx>
            <c:strRef>
              <c:f>Blad1!$B$1</c:f>
              <c:strCache>
                <c:ptCount val="1"/>
                <c:pt idx="0">
                  <c:v>[Number of new complaints] complaints made against [Member State]</c:v>
                </c:pt>
              </c:strCache>
            </c:strRef>
          </c:tx>
          <c:spPr>
            <a:scene3d>
              <a:camera prst="orthographicFront"/>
              <a:lightRig rig="threePt" dir="t"/>
            </a:scene3d>
            <a:sp3d>
              <a:bevelT w="63500" h="25400"/>
            </a:sp3d>
          </c:spPr>
          <c:dPt>
            <c:idx val="0"/>
            <c:bubble3D val="0"/>
            <c:spPr>
              <a:solidFill>
                <a:srgbClr val="996633"/>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1"/>
            <c:bubble3D val="0"/>
            <c:spPr>
              <a:solidFill>
                <a:srgbClr val="A20000"/>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2"/>
            <c:bubble3D val="0"/>
            <c:spPr>
              <a:solidFill>
                <a:srgbClr val="FFD617"/>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3"/>
            <c:bubble3D val="0"/>
            <c:spPr>
              <a:solidFill>
                <a:srgbClr val="808AA4"/>
              </a:solidFill>
              <a:ln>
                <a:noFill/>
              </a:ln>
              <a:effectLst>
                <a:outerShdw blurRad="40000" dist="23000" dir="5400000" rotWithShape="0">
                  <a:srgbClr val="000000">
                    <a:alpha val="35000"/>
                  </a:srgbClr>
                </a:outerShdw>
              </a:effectLst>
              <a:scene3d>
                <a:camera prst="orthographicFront"/>
                <a:lightRig rig="threePt" dir="t"/>
              </a:scene3d>
              <a:sp3d>
                <a:bevelT w="63500" h="25400"/>
              </a:sp3d>
            </c:spPr>
          </c:dPt>
          <c:dPt>
            <c:idx val="4"/>
            <c:bubble3D val="0"/>
            <c:spPr>
              <a:solidFill>
                <a:srgbClr val="808AA4"/>
              </a:solidFill>
              <a:scene3d>
                <a:camera prst="orthographicFront"/>
                <a:lightRig rig="threePt" dir="t"/>
              </a:scene3d>
              <a:sp3d>
                <a:bevelT w="63500" h="25400"/>
              </a:sp3d>
            </c:spPr>
          </c:dPt>
          <c:dLbls>
            <c:dLbl>
              <c:idx val="0"/>
              <c:layout>
                <c:manualLayout>
                  <c:x val="8.5252029139921873E-2"/>
                  <c:y val="0.12087069557945636"/>
                </c:manualLayout>
              </c:layout>
              <c:spPr>
                <a:noFill/>
                <a:ln>
                  <a:noFill/>
                </a:ln>
                <a:effectLst/>
              </c:spPr>
              <c:txPr>
                <a:bodyPr rot="0" spcFirstLastPara="1" vertOverflow="ellipsis" vert="horz" wrap="square" lIns="38100" tIns="19050" rIns="38100" bIns="19050" anchor="ctr" anchorCtr="1">
                  <a:spAutoFit/>
                </a:bodyPr>
                <a:lstStyle/>
                <a:p>
                  <a:pPr>
                    <a:defRPr sz="85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1"/>
              <c:layout>
                <c:manualLayout>
                  <c:x val="0"/>
                  <c:y val="-0.1287529910496203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dLbl>
              <c:idx val="2"/>
              <c:layout>
                <c:manualLayout>
                  <c:x val="6.3282312483216821E-2"/>
                  <c:y val="0"/>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separator>
</c:separator>
            </c:dLbl>
            <c:dLbl>
              <c:idx val="3"/>
              <c:layout>
                <c:manualLayout>
                  <c:x val="1.3751375137513752E-2"/>
                  <c:y val="-0.231335436382755"/>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Verdana" panose="020B0604030504040204" pitchFamily="34" charset="0"/>
                      <a:cs typeface="Arial" panose="020B0604020202020204" pitchFamily="34" charset="0"/>
                    </a:defRPr>
                  </a:pPr>
                  <a:endParaRPr lang="en-US"/>
                </a:p>
              </c:txPr>
              <c:dLblPos val="bestFit"/>
              <c:showLegendKey val="1"/>
              <c:showVal val="1"/>
              <c:showCatName val="1"/>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Verdana" panose="020B0604030504040204" pitchFamily="34" charset="0"/>
                    <a:cs typeface="Arial" panose="020B0604020202020204" pitchFamily="34" charset="0"/>
                  </a:defRPr>
                </a:pPr>
                <a:endParaRPr lang="en-US"/>
              </a:p>
            </c:txPr>
            <c:dLblPos val="outEnd"/>
            <c:showLegendKey val="1"/>
            <c:showVal val="1"/>
            <c:showCatName val="1"/>
            <c:showSerName val="0"/>
            <c:showPercent val="0"/>
            <c:showBubbleSize val="0"/>
            <c:separator>
</c:separator>
            <c:showLeaderLines val="0"/>
            <c:extLst>
              <c:ext xmlns:c15="http://schemas.microsoft.com/office/drawing/2012/chart" uri="{CE6537A1-D6FC-4f65-9D91-7224C49458BB}"/>
            </c:extLst>
          </c:dLbls>
          <c:cat>
            <c:strRef>
              <c:f>Blad1!$A$3:$A$6</c:f>
              <c:strCache>
                <c:ptCount val="4"/>
                <c:pt idx="0">
                  <c:v>Justice and consumers</c:v>
                </c:pt>
                <c:pt idx="1">
                  <c:v>Taxation and customs</c:v>
                </c:pt>
                <c:pt idx="2">
                  <c:v>Employment</c:v>
                </c:pt>
                <c:pt idx="3">
                  <c:v>Other</c:v>
                </c:pt>
              </c:strCache>
              <c:extLst>
                <c:ext xmlns:c15="http://schemas.microsoft.com/office/drawing/2012/chart" uri="{02D57815-91ED-43cb-92C2-25804820EDAC}">
                  <c15:fullRef>
                    <c15:sqref>Blad1!$A$2:$A$6</c15:sqref>
                  </c15:fullRef>
                </c:ext>
              </c:extLst>
            </c:strRef>
          </c:cat>
          <c:val>
            <c:numRef>
              <c:f>Blad1!$B$3:$B$6</c:f>
              <c:numCache>
                <c:formatCode>General</c:formatCode>
                <c:ptCount val="4"/>
                <c:pt idx="0">
                  <c:v>36</c:v>
                </c:pt>
                <c:pt idx="1">
                  <c:v>33</c:v>
                </c:pt>
                <c:pt idx="2">
                  <c:v>15</c:v>
                </c:pt>
                <c:pt idx="3">
                  <c:v>49</c:v>
                </c:pt>
              </c:numCache>
              <c:extLst>
                <c:ext xmlns:c15="http://schemas.microsoft.com/office/drawing/2012/chart" uri="{02D57815-91ED-43cb-92C2-25804820EDAC}">
                  <c15:fullRef>
                    <c15:sqref>Blad1!$B$2:$B$6</c15:sqref>
                  </c15:fullRef>
                </c:ext>
              </c:extLst>
            </c:numRef>
          </c:val>
          <c:extLst/>
        </c:ser>
        <c:dLbls>
          <c:showLegendKey val="0"/>
          <c:showVal val="0"/>
          <c:showCatName val="0"/>
          <c:showSerName val="0"/>
          <c:showPercent val="0"/>
          <c:showBubbleSize val="0"/>
          <c:showLeaderLines val="0"/>
        </c:dLbls>
        <c:firstSliceAng val="322"/>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96265560165973E-2"/>
          <c:y val="6.2411347517730496E-2"/>
          <c:w val="0.93909191583610185"/>
          <c:h val="0.81303854875283443"/>
        </c:manualLayout>
      </c:layout>
      <c:lineChart>
        <c:grouping val="standard"/>
        <c:varyColors val="0"/>
        <c:ser>
          <c:idx val="0"/>
          <c:order val="0"/>
          <c:tx>
            <c:strRef>
              <c:f>Blad1!$B$2</c:f>
              <c:strCache>
                <c:ptCount val="1"/>
                <c:pt idx="0">
                  <c:v>Number of Complaints</c:v>
                </c:pt>
              </c:strCache>
            </c:strRef>
          </c:tx>
          <c:spPr>
            <a:effectLst>
              <a:outerShdw blurRad="40000" dist="23000" dir="5400000" rotWithShape="0">
                <a:schemeClr val="bg1">
                  <a:alpha val="35000"/>
                </a:schemeClr>
              </a:outerShdw>
            </a:effectLst>
          </c:spPr>
          <c:marker>
            <c:spPr>
              <a:effectLst>
                <a:outerShdw blurRad="40000" dist="23000" dir="5400000" rotWithShape="0">
                  <a:schemeClr val="bg1">
                    <a:alpha val="35000"/>
                  </a:schemeClr>
                </a:outerShdw>
              </a:effectLst>
            </c:spPr>
          </c:marker>
          <c:dLbls>
            <c:dLbl>
              <c:idx val="2"/>
              <c:layout>
                <c:manualLayout>
                  <c:x val="-5.0184642617347251E-2"/>
                  <c:y val="8.0618047744031945E-2"/>
                </c:manualLayout>
              </c:layout>
              <c:dLblPos val="r"/>
              <c:showLegendKey val="0"/>
              <c:showVal val="1"/>
              <c:showCatName val="0"/>
              <c:showSerName val="0"/>
              <c:showPercent val="0"/>
              <c:showBubbleSize val="0"/>
            </c:dLbl>
            <c:dLbl>
              <c:idx val="3"/>
              <c:layout>
                <c:manualLayout>
                  <c:x val="-5.3207811232898215E-2"/>
                  <c:y val="5.9032799471494632E-2"/>
                </c:manualLayout>
              </c:layout>
              <c:dLblPos val="r"/>
              <c:showLegendKey val="0"/>
              <c:showVal val="1"/>
              <c:showCatName val="0"/>
              <c:showSerName val="0"/>
              <c:showPercent val="0"/>
              <c:showBubbleSize val="0"/>
            </c:dLbl>
            <c:spPr>
              <a:noFill/>
              <a:ln w="25402">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Verdana" panose="020B0604030504040204" pitchFamily="34" charset="0"/>
                    <a:ea typeface="Verdana" panose="020B0604030504040204" pitchFamily="34" charset="0"/>
                    <a:cs typeface="Verdana" panose="020B0604030504040204" pitchFamily="34" charset="0"/>
                  </a:defRPr>
                </a:pPr>
                <a:endParaRPr lang="en-US"/>
              </a:p>
            </c:txPr>
            <c:dLblPos val="b"/>
            <c:showLegendKey val="0"/>
            <c:showVal val="1"/>
            <c:showCatName val="0"/>
            <c:showSerName val="0"/>
            <c:showPercent val="0"/>
            <c:showBubbleSize val="0"/>
            <c:showLeaderLines val="0"/>
          </c:dLbls>
          <c:cat>
            <c:numRef>
              <c:f>Blad1!$A$3:$A$7</c:f>
              <c:numCache>
                <c:formatCode>General</c:formatCode>
                <c:ptCount val="5"/>
                <c:pt idx="0">
                  <c:v>2012</c:v>
                </c:pt>
                <c:pt idx="1">
                  <c:v>2013</c:v>
                </c:pt>
                <c:pt idx="2">
                  <c:v>2014</c:v>
                </c:pt>
                <c:pt idx="3">
                  <c:v>2015</c:v>
                </c:pt>
                <c:pt idx="4">
                  <c:v>2016</c:v>
                </c:pt>
              </c:numCache>
            </c:numRef>
          </c:cat>
          <c:val>
            <c:numRef>
              <c:f>Blad1!$B$3:$B$7</c:f>
              <c:numCache>
                <c:formatCode>General</c:formatCode>
                <c:ptCount val="5"/>
                <c:pt idx="0">
                  <c:v>57</c:v>
                </c:pt>
                <c:pt idx="1">
                  <c:v>53</c:v>
                </c:pt>
                <c:pt idx="2">
                  <c:v>40</c:v>
                </c:pt>
                <c:pt idx="3">
                  <c:v>34</c:v>
                </c:pt>
                <c:pt idx="4">
                  <c:v>24</c:v>
                </c:pt>
              </c:numCache>
            </c:numRef>
          </c:val>
          <c:smooth val="0"/>
        </c:ser>
        <c:dLbls>
          <c:showLegendKey val="0"/>
          <c:showVal val="0"/>
          <c:showCatName val="0"/>
          <c:showSerName val="0"/>
          <c:showPercent val="0"/>
          <c:showBubbleSize val="0"/>
        </c:dLbls>
        <c:marker val="1"/>
        <c:smooth val="0"/>
        <c:axId val="101164544"/>
        <c:axId val="101166080"/>
      </c:lineChart>
      <c:catAx>
        <c:axId val="101164544"/>
        <c:scaling>
          <c:orientation val="minMax"/>
        </c:scaling>
        <c:delete val="0"/>
        <c:axPos val="b"/>
        <c:numFmt formatCode="General" sourceLinked="1"/>
        <c:majorTickMark val="none"/>
        <c:minorTickMark val="none"/>
        <c:tickLblPos val="nextTo"/>
        <c:spPr>
          <a:noFill/>
          <a:ln w="12701"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Arial" panose="020B0604020202020204" pitchFamily="34" charset="0"/>
                <a:ea typeface="Verdana" panose="020B0604030504040204" pitchFamily="34" charset="0"/>
                <a:cs typeface="Arial" panose="020B0604020202020204" pitchFamily="34" charset="0"/>
              </a:defRPr>
            </a:pPr>
            <a:endParaRPr lang="en-US"/>
          </a:p>
        </c:txPr>
        <c:crossAx val="101166080"/>
        <c:crosses val="autoZero"/>
        <c:auto val="1"/>
        <c:lblAlgn val="ctr"/>
        <c:lblOffset val="100"/>
        <c:noMultiLvlLbl val="0"/>
      </c:catAx>
      <c:valAx>
        <c:axId val="101166080"/>
        <c:scaling>
          <c:orientation val="minMax"/>
          <c:min val="20"/>
        </c:scaling>
        <c:delete val="1"/>
        <c:axPos val="l"/>
        <c:majorGridlines>
          <c:spPr>
            <a:ln w="9526" cap="flat" cmpd="sng" algn="ctr">
              <a:solidFill>
                <a:schemeClr val="tx1">
                  <a:lumMod val="15000"/>
                  <a:lumOff val="85000"/>
                </a:schemeClr>
              </a:solidFill>
              <a:round/>
            </a:ln>
            <a:effectLst/>
          </c:spPr>
        </c:majorGridlines>
        <c:numFmt formatCode="General" sourceLinked="1"/>
        <c:majorTickMark val="out"/>
        <c:minorTickMark val="none"/>
        <c:tickLblPos val="nextTo"/>
        <c:crossAx val="101164544"/>
        <c:crosses val="autoZero"/>
        <c:crossBetween val="between"/>
      </c:valAx>
      <c:spPr>
        <a:noFill/>
        <a:ln w="25402">
          <a:noFill/>
        </a:ln>
      </c:spPr>
    </c:plotArea>
    <c:plotVisOnly val="1"/>
    <c:dispBlanksAs val="gap"/>
    <c:showDLblsOverMax val="0"/>
  </c:chart>
  <c:spPr>
    <a:solidFill>
      <a:schemeClr val="bg1"/>
    </a:solidFill>
    <a:ln w="9526"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0.29322</cdr:x>
      <cdr:y>0.17174</cdr:y>
    </cdr:from>
    <cdr:to>
      <cdr:x>0.68753</cdr:x>
      <cdr:y>0.25795</cdr:y>
    </cdr:to>
    <cdr:sp macro="" textlink="">
      <cdr:nvSpPr>
        <cdr:cNvPr id="2" name="Text Box 1"/>
        <cdr:cNvSpPr txBox="1"/>
      </cdr:nvSpPr>
      <cdr:spPr>
        <a:xfrm xmlns:a="http://schemas.openxmlformats.org/drawingml/2006/main">
          <a:off x="1345257" y="380377"/>
          <a:ext cx="1809045" cy="190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0.28847</cdr:x>
      <cdr:y>0.10027</cdr:y>
    </cdr:from>
    <cdr:to>
      <cdr:x>0.68278</cdr:x>
      <cdr:y>0.18648</cdr:y>
    </cdr:to>
    <cdr:sp macro="" textlink="">
      <cdr:nvSpPr>
        <cdr:cNvPr id="2" name="Text Box 1"/>
        <cdr:cNvSpPr txBox="1"/>
      </cdr:nvSpPr>
      <cdr:spPr>
        <a:xfrm xmlns:a="http://schemas.openxmlformats.org/drawingml/2006/main">
          <a:off x="1323486" y="276649"/>
          <a:ext cx="1809045" cy="2378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0.29488</cdr:x>
      <cdr:y>0.17321</cdr:y>
    </cdr:from>
    <cdr:to>
      <cdr:x>0.68919</cdr:x>
      <cdr:y>0.25942</cdr:y>
    </cdr:to>
    <cdr:sp macro="" textlink="">
      <cdr:nvSpPr>
        <cdr:cNvPr id="2" name="Text Box 1"/>
        <cdr:cNvSpPr txBox="1"/>
      </cdr:nvSpPr>
      <cdr:spPr>
        <a:xfrm xmlns:a="http://schemas.openxmlformats.org/drawingml/2006/main">
          <a:off x="1351387" y="383643"/>
          <a:ext cx="1807042" cy="1909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2.xml><?xml version="1.0" encoding="utf-8"?>
<c:userShapes xmlns:c="http://schemas.openxmlformats.org/drawingml/2006/chart">
  <cdr:relSizeAnchor xmlns:cdr="http://schemas.openxmlformats.org/drawingml/2006/chartDrawing">
    <cdr:from>
      <cdr:x>0.20989</cdr:x>
      <cdr:y>0.22413</cdr:y>
    </cdr:from>
    <cdr:to>
      <cdr:x>0.6042</cdr:x>
      <cdr:y>0.31034</cdr:y>
    </cdr:to>
    <cdr:sp macro="" textlink="">
      <cdr:nvSpPr>
        <cdr:cNvPr id="2" name="Text Box 1"/>
        <cdr:cNvSpPr txBox="1"/>
      </cdr:nvSpPr>
      <cdr:spPr>
        <a:xfrm xmlns:a="http://schemas.openxmlformats.org/drawingml/2006/main">
          <a:off x="960678" y="485453"/>
          <a:ext cx="1804788" cy="1867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0.34393</cdr:x>
      <cdr:y>0.29448</cdr:y>
    </cdr:from>
    <cdr:to>
      <cdr:x>0.73824</cdr:x>
      <cdr:y>0.38069</cdr:y>
    </cdr:to>
    <cdr:sp macro="" textlink="">
      <cdr:nvSpPr>
        <cdr:cNvPr id="2" name="Text Box 1"/>
        <cdr:cNvSpPr txBox="1"/>
      </cdr:nvSpPr>
      <cdr:spPr>
        <a:xfrm xmlns:a="http://schemas.openxmlformats.org/drawingml/2006/main">
          <a:off x="1577916" y="804459"/>
          <a:ext cx="1809045" cy="2355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14.xml><?xml version="1.0" encoding="utf-8"?>
<c:userShapes xmlns:c="http://schemas.openxmlformats.org/drawingml/2006/chart">
  <cdr:relSizeAnchor xmlns:cdr="http://schemas.openxmlformats.org/drawingml/2006/chartDrawing">
    <cdr:from>
      <cdr:x>0.12226</cdr:x>
      <cdr:y>0.34918</cdr:y>
    </cdr:from>
    <cdr:to>
      <cdr:x>0.51657</cdr:x>
      <cdr:y>0.43539</cdr:y>
    </cdr:to>
    <cdr:sp macro="" textlink="">
      <cdr:nvSpPr>
        <cdr:cNvPr id="2" name="Text Box 1"/>
        <cdr:cNvSpPr txBox="1"/>
      </cdr:nvSpPr>
      <cdr:spPr>
        <a:xfrm xmlns:a="http://schemas.openxmlformats.org/drawingml/2006/main">
          <a:off x="558973" y="790475"/>
          <a:ext cx="1802785" cy="19516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0.09921</cdr:x>
      <cdr:y>0.33569</cdr:y>
    </cdr:from>
    <cdr:to>
      <cdr:x>0.49352</cdr:x>
      <cdr:y>0.4219</cdr:y>
    </cdr:to>
    <cdr:sp macro="" textlink="">
      <cdr:nvSpPr>
        <cdr:cNvPr id="2" name="Text Box 1"/>
        <cdr:cNvSpPr txBox="1"/>
      </cdr:nvSpPr>
      <cdr:spPr>
        <a:xfrm xmlns:a="http://schemas.openxmlformats.org/drawingml/2006/main">
          <a:off x="454660" y="781879"/>
          <a:ext cx="1807042" cy="20079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0.05073</cdr:x>
      <cdr:y>0.16237</cdr:y>
    </cdr:from>
    <cdr:to>
      <cdr:x>0.44504</cdr:x>
      <cdr:y>0.24858</cdr:y>
    </cdr:to>
    <cdr:sp macro="" textlink="">
      <cdr:nvSpPr>
        <cdr:cNvPr id="2" name="Text Box 1"/>
        <cdr:cNvSpPr txBox="1"/>
      </cdr:nvSpPr>
      <cdr:spPr>
        <a:xfrm xmlns:a="http://schemas.openxmlformats.org/drawingml/2006/main">
          <a:off x="232725" y="363126"/>
          <a:ext cx="1809045" cy="1928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0.28422</cdr:x>
      <cdr:y>0.29214</cdr:y>
    </cdr:from>
    <cdr:to>
      <cdr:x>0.67853</cdr:x>
      <cdr:y>0.37835</cdr:y>
    </cdr:to>
    <cdr:sp macro="" textlink="">
      <cdr:nvSpPr>
        <cdr:cNvPr id="2" name="Text Box 1"/>
        <cdr:cNvSpPr txBox="1"/>
      </cdr:nvSpPr>
      <cdr:spPr>
        <a:xfrm xmlns:a="http://schemas.openxmlformats.org/drawingml/2006/main">
          <a:off x="1307043" y="721815"/>
          <a:ext cx="1813302" cy="2130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0.30036</cdr:x>
      <cdr:y>0.0893</cdr:y>
    </cdr:from>
    <cdr:to>
      <cdr:x>0.69467</cdr:x>
      <cdr:y>0.17551</cdr:y>
    </cdr:to>
    <cdr:sp macro="" textlink="">
      <cdr:nvSpPr>
        <cdr:cNvPr id="2" name="Text Box 1"/>
        <cdr:cNvSpPr txBox="1"/>
      </cdr:nvSpPr>
      <cdr:spPr>
        <a:xfrm xmlns:a="http://schemas.openxmlformats.org/drawingml/2006/main">
          <a:off x="1373259" y="214809"/>
          <a:ext cx="1802785" cy="2073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0.17342</cdr:x>
      <cdr:y>0.09393</cdr:y>
    </cdr:from>
    <cdr:to>
      <cdr:x>0.56773</cdr:x>
      <cdr:y>0.18014</cdr:y>
    </cdr:to>
    <cdr:sp macro="" textlink="">
      <cdr:nvSpPr>
        <cdr:cNvPr id="2" name="Text Box 1"/>
        <cdr:cNvSpPr txBox="1"/>
      </cdr:nvSpPr>
      <cdr:spPr>
        <a:xfrm xmlns:a="http://schemas.openxmlformats.org/drawingml/2006/main">
          <a:off x="794196" y="207573"/>
          <a:ext cx="1805790" cy="1905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0.12998</cdr:x>
      <cdr:y>0.20561</cdr:y>
    </cdr:from>
    <cdr:to>
      <cdr:x>0.52429</cdr:x>
      <cdr:y>0.29182</cdr:y>
    </cdr:to>
    <cdr:sp macro="" textlink="">
      <cdr:nvSpPr>
        <cdr:cNvPr id="2" name="Text Box 1"/>
        <cdr:cNvSpPr txBox="1"/>
      </cdr:nvSpPr>
      <cdr:spPr>
        <a:xfrm xmlns:a="http://schemas.openxmlformats.org/drawingml/2006/main">
          <a:off x="596341" y="509186"/>
          <a:ext cx="1809045" cy="2134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      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0.17156</cdr:x>
      <cdr:y>0.18936</cdr:y>
    </cdr:from>
    <cdr:to>
      <cdr:x>0.56587</cdr:x>
      <cdr:y>0.27557</cdr:y>
    </cdr:to>
    <cdr:sp macro="" textlink="">
      <cdr:nvSpPr>
        <cdr:cNvPr id="2" name="Text Box 1"/>
        <cdr:cNvSpPr txBox="1"/>
      </cdr:nvSpPr>
      <cdr:spPr>
        <a:xfrm xmlns:a="http://schemas.openxmlformats.org/drawingml/2006/main">
          <a:off x="784357" y="461735"/>
          <a:ext cx="1802785" cy="2102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0.3082</cdr:x>
      <cdr:y>0.32152</cdr:y>
    </cdr:from>
    <cdr:to>
      <cdr:x>0.70251</cdr:x>
      <cdr:y>0.40773</cdr:y>
    </cdr:to>
    <cdr:sp macro="" textlink="">
      <cdr:nvSpPr>
        <cdr:cNvPr id="2" name="Text Box 1"/>
        <cdr:cNvSpPr txBox="1"/>
      </cdr:nvSpPr>
      <cdr:spPr>
        <a:xfrm xmlns:a="http://schemas.openxmlformats.org/drawingml/2006/main">
          <a:off x="1411426" y="710485"/>
          <a:ext cx="1805790" cy="1905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900">
              <a:solidFill>
                <a:srgbClr val="C00000"/>
              </a:solidFill>
              <a:latin typeface="Verdana" panose="020B0604030504040204" pitchFamily="34" charset="0"/>
              <a:ea typeface="Verdana" panose="020B0604030504040204" pitchFamily="34" charset="0"/>
              <a:cs typeface="Verdana" panose="020B0604030504040204" pitchFamily="34" charset="0"/>
            </a:rPr>
            <a:t>70 days</a:t>
          </a:r>
          <a:r>
            <a:rPr lang="en-GB" sz="900" baseline="0">
              <a:solidFill>
                <a:srgbClr val="C00000"/>
              </a:solidFill>
              <a:latin typeface="Verdana" panose="020B0604030504040204" pitchFamily="34" charset="0"/>
              <a:ea typeface="Verdana" panose="020B0604030504040204" pitchFamily="34" charset="0"/>
              <a:cs typeface="Verdana" panose="020B0604030504040204" pitchFamily="34" charset="0"/>
            </a:rPr>
            <a:t> benchmark</a:t>
          </a:r>
          <a:endParaRPr lang="en-GB" sz="900">
            <a:solidFill>
              <a:srgbClr val="C00000"/>
            </a:solidFill>
            <a:latin typeface="Verdana" panose="020B0604030504040204" pitchFamily="34" charset="0"/>
            <a:ea typeface="Verdana" panose="020B0604030504040204" pitchFamily="34" charset="0"/>
            <a:cs typeface="Verdana" panose="020B0604030504040204"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Custom 1">
    <a:dk1>
      <a:sysClr val="windowText" lastClr="000000"/>
    </a:dk1>
    <a:lt1>
      <a:sysClr val="window" lastClr="FFFFFF"/>
    </a:lt1>
    <a:dk2>
      <a:srgbClr val="242852"/>
    </a:dk2>
    <a:lt2>
      <a:srgbClr val="ACCBF9"/>
    </a:lt2>
    <a:accent1>
      <a:srgbClr val="5F70AF"/>
    </a:accent1>
    <a:accent2>
      <a:srgbClr val="006FB4"/>
    </a:accent2>
    <a:accent3>
      <a:srgbClr val="5090C8"/>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29F0726229EA944A351C92A661F0C83" ma:contentTypeVersion="0" ma:contentTypeDescription="Create a new document." ma:contentTypeScope="" ma:versionID="52fd43feccd3b2c7b93776ef59e179c0">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1F5720-713D-45B6-8F1C-161DEF50EBAF}">
  <ds:schemaRefs>
    <ds:schemaRef ds:uri="http://www.w3.org/XML/1998/namespace"/>
    <ds:schemaRef ds:uri="http://schemas.openxmlformats.org/package/2006/metadata/core-properties"/>
    <ds:schemaRef ds:uri="http://schemas.microsoft.com/office/2006/documentManagement/types"/>
    <ds:schemaRef ds:uri="http://purl.org/dc/dcmitype/"/>
    <ds:schemaRef ds:uri="http://purl.org/dc/elements/1.1/"/>
    <ds:schemaRef ds:uri="http://purl.org/dc/term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8FF350C-6027-496B-BE79-2CBA36BB8BB7}">
  <ds:schemaRefs>
    <ds:schemaRef ds:uri="http://schemas.microsoft.com/sharepoint/v3/contenttype/forms"/>
  </ds:schemaRefs>
</ds:datastoreItem>
</file>

<file path=customXml/itemProps3.xml><?xml version="1.0" encoding="utf-8"?>
<ds:datastoreItem xmlns:ds="http://schemas.openxmlformats.org/officeDocument/2006/customXml" ds:itemID="{CECF7BFB-0F65-4E87-BECA-5D038E1259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7377FBA-9A36-40D5-8FA5-223898D59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80</Pages>
  <Words>12664</Words>
  <Characters>69276</Characters>
  <Application>Microsoft Office Word</Application>
  <DocSecurity>0</DocSecurity>
  <Lines>1776</Lines>
  <Paragraphs>1122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80818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22</cp:revision>
  <cp:lastPrinted>2017-01-30T09:31:00Z</cp:lastPrinted>
  <dcterms:created xsi:type="dcterms:W3CDTF">2017-05-17T15:13:00Z</dcterms:created>
  <dcterms:modified xsi:type="dcterms:W3CDTF">2017-07-06T06:52:00Z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0x010100429F0726229EA944A351C92A661F0C83</vt:lpwstr>
  </property>
  <property fmtid="{D5CDD505-2E9C-101B-9397-08002B2CF9AE}" pid="3" name="Part">
    <vt:lpwstr>2</vt:lpwstr>
  </property>
  <property fmtid="{D5CDD505-2E9C-101B-9397-08002B2CF9AE}" pid="4" name="Total parts">
    <vt:lpwstr>2</vt:lpwstr>
  </property>
  <property fmtid="{D5CDD505-2E9C-101B-9397-08002B2CF9AE}" pid="5" name="Classification">
    <vt:lpwstr> </vt:lpwstr>
  </property>
  <property fmtid="{D5CDD505-2E9C-101B-9397-08002B2CF9AE}" pid="6" name="DocStatus">
    <vt:lpwstr>Green</vt:lpwstr>
  </property>
</Properties>
</file>