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18" w:rsidRDefault="003D5E3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35DE50B5008422D91B4E6E36DE3024A" style="width:451.2pt;height:425.3pt">
            <v:imagedata r:id="rId8" o:title=""/>
          </v:shape>
        </w:pict>
      </w:r>
    </w:p>
    <w:p w:rsidR="00710218" w:rsidRDefault="00710218">
      <w:pPr>
        <w:rPr>
          <w:noProof/>
        </w:rPr>
        <w:sectPr w:rsidR="00710218">
          <w:footerReference w:type="default" r:id="rId9"/>
          <w:pgSz w:w="11907" w:h="16839"/>
          <w:pgMar w:top="1134" w:right="1417" w:bottom="1134" w:left="1417" w:header="709" w:footer="709" w:gutter="0"/>
          <w:pgNumType w:start="1"/>
          <w:cols w:space="720"/>
          <w:docGrid w:linePitch="360"/>
        </w:sectPr>
      </w:pPr>
    </w:p>
    <w:p w:rsidR="00710218" w:rsidRDefault="003D5E35">
      <w:pPr>
        <w:pStyle w:val="Annexetitre"/>
        <w:rPr>
          <w:noProof/>
        </w:rPr>
      </w:pPr>
      <w:r>
        <w:rPr>
          <w:noProof/>
        </w:rPr>
        <w:lastRenderedPageBreak/>
        <w:t>RECOMMANDATION N° XX/2017 DU CONSEIL DE COOPÉRATION UE-ARMÉNIE du [JOUR MOIS 2017]</w:t>
      </w:r>
    </w:p>
    <w:p w:rsidR="00710218" w:rsidRDefault="00710218">
      <w:pPr>
        <w:autoSpaceDE w:val="0"/>
        <w:autoSpaceDN w:val="0"/>
        <w:adjustRightInd w:val="0"/>
        <w:spacing w:before="0" w:after="0" w:line="276" w:lineRule="auto"/>
        <w:jc w:val="left"/>
        <w:rPr>
          <w:rFonts w:eastAsia="Times New Roman"/>
          <w:b/>
          <w:bCs/>
          <w:noProof/>
          <w:szCs w:val="24"/>
        </w:rPr>
      </w:pPr>
    </w:p>
    <w:p w:rsidR="00710218" w:rsidRDefault="003D5E35">
      <w:pPr>
        <w:autoSpaceDE w:val="0"/>
        <w:autoSpaceDN w:val="0"/>
        <w:adjustRightInd w:val="0"/>
        <w:spacing w:before="0" w:after="0" w:line="276" w:lineRule="auto"/>
        <w:jc w:val="left"/>
        <w:rPr>
          <w:rFonts w:eastAsia="Times New Roman"/>
          <w:b/>
          <w:bCs/>
          <w:noProof/>
          <w:szCs w:val="24"/>
        </w:rPr>
      </w:pPr>
      <w:r>
        <w:rPr>
          <w:b/>
          <w:noProof/>
        </w:rPr>
        <w:t xml:space="preserve">concernant les </w:t>
      </w:r>
      <w:r>
        <w:rPr>
          <w:b/>
          <w:noProof/>
        </w:rPr>
        <w:t>priorités du partenariat UE-Arménie</w:t>
      </w:r>
    </w:p>
    <w:p w:rsidR="00710218" w:rsidRDefault="00710218">
      <w:pPr>
        <w:autoSpaceDE w:val="0"/>
        <w:autoSpaceDN w:val="0"/>
        <w:adjustRightInd w:val="0"/>
        <w:spacing w:before="0" w:after="0" w:line="276" w:lineRule="auto"/>
        <w:jc w:val="left"/>
        <w:rPr>
          <w:rFonts w:eastAsia="Times New Roman"/>
          <w:noProof/>
          <w:szCs w:val="24"/>
        </w:rPr>
      </w:pPr>
    </w:p>
    <w:p w:rsidR="00710218" w:rsidRDefault="003D5E35">
      <w:pPr>
        <w:autoSpaceDE w:val="0"/>
        <w:autoSpaceDN w:val="0"/>
        <w:adjustRightInd w:val="0"/>
        <w:spacing w:before="0" w:after="0" w:line="276" w:lineRule="auto"/>
        <w:jc w:val="left"/>
        <w:rPr>
          <w:rFonts w:eastAsia="Times New Roman"/>
          <w:noProof/>
          <w:szCs w:val="24"/>
        </w:rPr>
      </w:pPr>
      <w:r>
        <w:rPr>
          <w:noProof/>
        </w:rPr>
        <w:t>LE CONSEIL DE COOPÉRATION UE-ARMÉNIE,</w:t>
      </w:r>
    </w:p>
    <w:p w:rsidR="00710218" w:rsidRDefault="00710218">
      <w:pPr>
        <w:autoSpaceDE w:val="0"/>
        <w:autoSpaceDN w:val="0"/>
        <w:adjustRightInd w:val="0"/>
        <w:spacing w:before="0" w:after="0" w:line="276" w:lineRule="auto"/>
        <w:jc w:val="left"/>
        <w:rPr>
          <w:rFonts w:eastAsia="Times New Roman"/>
          <w:noProof/>
          <w:szCs w:val="24"/>
        </w:rPr>
      </w:pPr>
    </w:p>
    <w:p w:rsidR="00710218" w:rsidRDefault="003D5E35">
      <w:pPr>
        <w:autoSpaceDE w:val="0"/>
        <w:autoSpaceDN w:val="0"/>
        <w:adjustRightInd w:val="0"/>
        <w:spacing w:before="0" w:after="0" w:line="276" w:lineRule="auto"/>
        <w:rPr>
          <w:rFonts w:eastAsia="Times New Roman"/>
          <w:noProof/>
          <w:szCs w:val="24"/>
        </w:rPr>
      </w:pPr>
      <w:r>
        <w:rPr>
          <w:noProof/>
        </w:rPr>
        <w:t>vu l'accord de partenariat et de coopération entre les Communautés européennes et leurs États membres, d'une part, et la République d'Arménie, d'autre part, et notamment son articl</w:t>
      </w:r>
      <w:r>
        <w:rPr>
          <w:noProof/>
        </w:rPr>
        <w:t>e 78,</w:t>
      </w:r>
    </w:p>
    <w:p w:rsidR="00710218" w:rsidRDefault="00710218">
      <w:pPr>
        <w:autoSpaceDE w:val="0"/>
        <w:autoSpaceDN w:val="0"/>
        <w:adjustRightInd w:val="0"/>
        <w:spacing w:before="0" w:after="0" w:line="276" w:lineRule="auto"/>
        <w:rPr>
          <w:rFonts w:eastAsia="Times New Roman"/>
          <w:noProof/>
          <w:szCs w:val="24"/>
        </w:rPr>
      </w:pPr>
    </w:p>
    <w:p w:rsidR="00710218" w:rsidRDefault="003D5E35">
      <w:pPr>
        <w:autoSpaceDE w:val="0"/>
        <w:autoSpaceDN w:val="0"/>
        <w:adjustRightInd w:val="0"/>
        <w:spacing w:before="0" w:after="0" w:line="276" w:lineRule="auto"/>
        <w:rPr>
          <w:rFonts w:eastAsia="Times New Roman"/>
          <w:noProof/>
          <w:szCs w:val="24"/>
        </w:rPr>
      </w:pPr>
      <w:r>
        <w:rPr>
          <w:noProof/>
        </w:rPr>
        <w:t>considérant ce qui suit:</w:t>
      </w:r>
    </w:p>
    <w:p w:rsidR="00710218" w:rsidRDefault="003D5E35">
      <w:pPr>
        <w:autoSpaceDE w:val="0"/>
        <w:autoSpaceDN w:val="0"/>
        <w:adjustRightInd w:val="0"/>
        <w:spacing w:before="0" w:after="0" w:line="276" w:lineRule="auto"/>
        <w:rPr>
          <w:rFonts w:eastAsia="Times New Roman"/>
          <w:noProof/>
          <w:szCs w:val="24"/>
        </w:rPr>
      </w:pPr>
      <w:r>
        <w:rPr>
          <w:noProof/>
        </w:rPr>
        <w:t>(1)</w:t>
      </w:r>
      <w:r>
        <w:rPr>
          <w:noProof/>
        </w:rPr>
        <w:tab/>
        <w:t>L’accord de partenariat et de coopération entre les Communautés européennes et leurs États membres, d'une part, et la République d'Arménie, d'autre part (ci-après l'«accord de partenariat et de coopération»), a été signé</w:t>
      </w:r>
      <w:r>
        <w:rPr>
          <w:noProof/>
        </w:rPr>
        <w:t xml:space="preserve"> le 22 avril 1996 et est entré en vigueur le 1</w:t>
      </w:r>
      <w:r>
        <w:rPr>
          <w:noProof/>
          <w:vertAlign w:val="superscript"/>
        </w:rPr>
        <w:t>er </w:t>
      </w:r>
      <w:r>
        <w:rPr>
          <w:noProof/>
        </w:rPr>
        <w:t>juillet 1999.</w:t>
      </w:r>
    </w:p>
    <w:p w:rsidR="00710218" w:rsidRDefault="003D5E35">
      <w:pPr>
        <w:autoSpaceDE w:val="0"/>
        <w:autoSpaceDN w:val="0"/>
        <w:adjustRightInd w:val="0"/>
        <w:spacing w:before="0" w:after="0" w:line="276" w:lineRule="auto"/>
        <w:rPr>
          <w:rFonts w:eastAsia="Times New Roman"/>
          <w:noProof/>
          <w:szCs w:val="24"/>
        </w:rPr>
      </w:pPr>
      <w:r>
        <w:rPr>
          <w:noProof/>
        </w:rPr>
        <w:t>(2)</w:t>
      </w:r>
      <w:r>
        <w:rPr>
          <w:noProof/>
        </w:rPr>
        <w:tab/>
        <w:t xml:space="preserve">Conformément à l'article 95 de l'accord de partenariat et de coopération, les parties doivent prendre toute mesure générale ou particulière nécessaire pour s'acquitter de leurs obligations </w:t>
      </w:r>
      <w:r>
        <w:rPr>
          <w:noProof/>
        </w:rPr>
        <w:t>au titre de l'accord et veillent à ce que les objectifs énoncés dans celui-ci soient atteints.</w:t>
      </w:r>
    </w:p>
    <w:p w:rsidR="00710218" w:rsidRDefault="003D5E35">
      <w:pPr>
        <w:autoSpaceDE w:val="0"/>
        <w:autoSpaceDN w:val="0"/>
        <w:adjustRightInd w:val="0"/>
        <w:spacing w:before="0" w:after="0" w:line="276" w:lineRule="auto"/>
        <w:rPr>
          <w:rFonts w:eastAsia="Times New Roman"/>
          <w:noProof/>
          <w:szCs w:val="24"/>
        </w:rPr>
      </w:pPr>
      <w:r>
        <w:rPr>
          <w:noProof/>
        </w:rPr>
        <w:t>(3)</w:t>
      </w:r>
      <w:r>
        <w:rPr>
          <w:noProof/>
        </w:rPr>
        <w:tab/>
        <w:t>Dans le cadre du réexamen de la politique européenne de voisinage, une nouvelle phase d'engagement vis-à-vis des partenaires, susceptible de renforcer le sen</w:t>
      </w:r>
      <w:r>
        <w:rPr>
          <w:noProof/>
        </w:rPr>
        <w:t>timent d'appropriation des deux parties, a été proposée.</w:t>
      </w:r>
    </w:p>
    <w:p w:rsidR="00710218" w:rsidRDefault="003D5E35">
      <w:pPr>
        <w:autoSpaceDE w:val="0"/>
        <w:autoSpaceDN w:val="0"/>
        <w:adjustRightInd w:val="0"/>
        <w:spacing w:before="0" w:after="0" w:line="276" w:lineRule="auto"/>
        <w:rPr>
          <w:rFonts w:eastAsia="Times New Roman"/>
          <w:noProof/>
          <w:szCs w:val="24"/>
        </w:rPr>
      </w:pPr>
      <w:r>
        <w:rPr>
          <w:noProof/>
        </w:rPr>
        <w:t>(4)</w:t>
      </w:r>
      <w:r>
        <w:rPr>
          <w:noProof/>
        </w:rPr>
        <w:tab/>
        <w:t>L'Union européenne et l'Arménie souhaitent consolider leur partenariat en approuvant un ensemble de priorités pour la période 2017-2020 en vue de soutenir et de renforcer la résilience et la stab</w:t>
      </w:r>
      <w:r>
        <w:rPr>
          <w:noProof/>
        </w:rPr>
        <w:t>ilité de l’Arménie.</w:t>
      </w:r>
    </w:p>
    <w:p w:rsidR="00710218" w:rsidRDefault="003D5E35">
      <w:pPr>
        <w:autoSpaceDE w:val="0"/>
        <w:autoSpaceDN w:val="0"/>
        <w:adjustRightInd w:val="0"/>
        <w:spacing w:before="0" w:after="0" w:line="276" w:lineRule="auto"/>
        <w:rPr>
          <w:rFonts w:eastAsia="Times New Roman"/>
          <w:noProof/>
          <w:szCs w:val="24"/>
        </w:rPr>
      </w:pPr>
      <w:r>
        <w:rPr>
          <w:noProof/>
        </w:rPr>
        <w:t xml:space="preserve">(5) </w:t>
      </w:r>
      <w:r>
        <w:rPr>
          <w:noProof/>
        </w:rPr>
        <w:tab/>
        <w:t>Par conséquent, les parties à l’accord de partenariat et de coopération ont adopté le texte des priorités du partenariat UE-Arménie, qui soutiendront la mise en œuvre de l’accord de partenariat et de coopération UE-Arménie en metta</w:t>
      </w:r>
      <w:r>
        <w:rPr>
          <w:noProof/>
        </w:rPr>
        <w:t>nt l’accent sur la coopération autour d’intérêts partagés définis d’un commun accord,</w:t>
      </w:r>
    </w:p>
    <w:p w:rsidR="00710218" w:rsidRDefault="00710218">
      <w:pPr>
        <w:autoSpaceDE w:val="0"/>
        <w:autoSpaceDN w:val="0"/>
        <w:adjustRightInd w:val="0"/>
        <w:spacing w:before="0" w:after="0" w:line="276" w:lineRule="auto"/>
        <w:jc w:val="left"/>
        <w:rPr>
          <w:rFonts w:eastAsia="Times New Roman"/>
          <w:noProof/>
          <w:szCs w:val="24"/>
        </w:rPr>
      </w:pPr>
    </w:p>
    <w:p w:rsidR="00710218" w:rsidRDefault="003D5E35">
      <w:pPr>
        <w:autoSpaceDE w:val="0"/>
        <w:autoSpaceDN w:val="0"/>
        <w:adjustRightInd w:val="0"/>
        <w:spacing w:before="0" w:after="0" w:line="276" w:lineRule="auto"/>
        <w:jc w:val="left"/>
        <w:rPr>
          <w:rFonts w:eastAsia="Times New Roman"/>
          <w:noProof/>
          <w:szCs w:val="24"/>
        </w:rPr>
      </w:pPr>
      <w:r>
        <w:rPr>
          <w:noProof/>
        </w:rPr>
        <w:t>DÉCIDE:</w:t>
      </w:r>
    </w:p>
    <w:p w:rsidR="00710218" w:rsidRDefault="00710218">
      <w:pPr>
        <w:autoSpaceDE w:val="0"/>
        <w:autoSpaceDN w:val="0"/>
        <w:adjustRightInd w:val="0"/>
        <w:spacing w:before="0" w:after="0" w:line="276" w:lineRule="auto"/>
        <w:jc w:val="left"/>
        <w:rPr>
          <w:rFonts w:eastAsia="Times New Roman"/>
          <w:noProof/>
          <w:szCs w:val="24"/>
        </w:rPr>
      </w:pPr>
    </w:p>
    <w:p w:rsidR="00710218" w:rsidRDefault="003D5E35">
      <w:pPr>
        <w:autoSpaceDE w:val="0"/>
        <w:autoSpaceDN w:val="0"/>
        <w:adjustRightInd w:val="0"/>
        <w:spacing w:before="0" w:after="0" w:line="276" w:lineRule="auto"/>
        <w:jc w:val="center"/>
        <w:rPr>
          <w:rFonts w:eastAsia="Times New Roman"/>
          <w:i/>
          <w:iCs/>
          <w:noProof/>
          <w:szCs w:val="24"/>
        </w:rPr>
      </w:pPr>
      <w:r>
        <w:rPr>
          <w:i/>
          <w:noProof/>
        </w:rPr>
        <w:t>Article premier</w:t>
      </w:r>
    </w:p>
    <w:p w:rsidR="00710218" w:rsidRDefault="00710218">
      <w:pPr>
        <w:autoSpaceDE w:val="0"/>
        <w:autoSpaceDN w:val="0"/>
        <w:adjustRightInd w:val="0"/>
        <w:spacing w:before="0" w:after="0" w:line="276" w:lineRule="auto"/>
        <w:jc w:val="left"/>
        <w:rPr>
          <w:rFonts w:eastAsia="Times New Roman"/>
          <w:i/>
          <w:iCs/>
          <w:noProof/>
          <w:szCs w:val="24"/>
        </w:rPr>
      </w:pPr>
    </w:p>
    <w:p w:rsidR="00710218" w:rsidRDefault="003D5E35">
      <w:pPr>
        <w:spacing w:before="0" w:after="200" w:line="276" w:lineRule="auto"/>
        <w:rPr>
          <w:rFonts w:eastAsia="Times New Roman"/>
          <w:noProof/>
          <w:szCs w:val="24"/>
        </w:rPr>
      </w:pPr>
      <w:r>
        <w:rPr>
          <w:noProof/>
        </w:rPr>
        <w:t>Le Conseil de coopération adopte les priorités du partenariat UE-Arménie figurant à l’annexe.</w:t>
      </w:r>
    </w:p>
    <w:p w:rsidR="00710218" w:rsidRDefault="00710218">
      <w:pPr>
        <w:autoSpaceDE w:val="0"/>
        <w:autoSpaceDN w:val="0"/>
        <w:adjustRightInd w:val="0"/>
        <w:spacing w:before="0" w:after="0" w:line="276" w:lineRule="auto"/>
        <w:jc w:val="left"/>
        <w:rPr>
          <w:rFonts w:eastAsia="Times New Roman"/>
          <w:i/>
          <w:iCs/>
          <w:noProof/>
          <w:szCs w:val="24"/>
        </w:rPr>
      </w:pPr>
    </w:p>
    <w:p w:rsidR="003D5E35" w:rsidRDefault="003D5E35">
      <w:pPr>
        <w:spacing w:before="0" w:after="200" w:line="276" w:lineRule="auto"/>
        <w:jc w:val="left"/>
        <w:rPr>
          <w:i/>
          <w:noProof/>
        </w:rPr>
      </w:pPr>
      <w:r>
        <w:rPr>
          <w:i/>
          <w:noProof/>
        </w:rPr>
        <w:br w:type="page"/>
      </w:r>
    </w:p>
    <w:p w:rsidR="00710218" w:rsidRDefault="003D5E35">
      <w:pPr>
        <w:autoSpaceDE w:val="0"/>
        <w:autoSpaceDN w:val="0"/>
        <w:adjustRightInd w:val="0"/>
        <w:spacing w:before="0" w:after="0" w:line="276" w:lineRule="auto"/>
        <w:jc w:val="center"/>
        <w:rPr>
          <w:rFonts w:eastAsia="Times New Roman"/>
          <w:i/>
          <w:iCs/>
          <w:noProof/>
          <w:szCs w:val="24"/>
        </w:rPr>
      </w:pPr>
      <w:bookmarkStart w:id="0" w:name="_GoBack"/>
      <w:bookmarkEnd w:id="0"/>
      <w:r>
        <w:rPr>
          <w:i/>
          <w:noProof/>
        </w:rPr>
        <w:t>Article 2</w:t>
      </w:r>
    </w:p>
    <w:p w:rsidR="00710218" w:rsidRDefault="00710218">
      <w:pPr>
        <w:autoSpaceDE w:val="0"/>
        <w:autoSpaceDN w:val="0"/>
        <w:adjustRightInd w:val="0"/>
        <w:spacing w:before="0" w:after="0" w:line="276" w:lineRule="auto"/>
        <w:jc w:val="left"/>
        <w:rPr>
          <w:rFonts w:eastAsia="Times New Roman"/>
          <w:iCs/>
          <w:noProof/>
          <w:szCs w:val="24"/>
        </w:rPr>
      </w:pPr>
    </w:p>
    <w:p w:rsidR="00710218" w:rsidRDefault="003D5E35">
      <w:pPr>
        <w:autoSpaceDE w:val="0"/>
        <w:autoSpaceDN w:val="0"/>
        <w:adjustRightInd w:val="0"/>
        <w:spacing w:before="0" w:after="0" w:line="276" w:lineRule="auto"/>
        <w:jc w:val="left"/>
        <w:rPr>
          <w:rFonts w:eastAsia="Times New Roman"/>
          <w:noProof/>
          <w:szCs w:val="24"/>
        </w:rPr>
      </w:pPr>
      <w:r>
        <w:rPr>
          <w:noProof/>
        </w:rPr>
        <w:t>La présente recommandation entre en v</w:t>
      </w:r>
      <w:r>
        <w:rPr>
          <w:noProof/>
        </w:rPr>
        <w:t>igueur le jour de son adoption.</w:t>
      </w:r>
    </w:p>
    <w:p w:rsidR="00710218" w:rsidRDefault="00710218">
      <w:pPr>
        <w:autoSpaceDE w:val="0"/>
        <w:autoSpaceDN w:val="0"/>
        <w:adjustRightInd w:val="0"/>
        <w:spacing w:before="0" w:after="0" w:line="276" w:lineRule="auto"/>
        <w:jc w:val="left"/>
        <w:rPr>
          <w:rFonts w:eastAsia="Times New Roman"/>
          <w:noProof/>
          <w:szCs w:val="24"/>
        </w:rPr>
      </w:pPr>
    </w:p>
    <w:p w:rsidR="00710218" w:rsidRDefault="003D5E35">
      <w:pPr>
        <w:autoSpaceDE w:val="0"/>
        <w:autoSpaceDN w:val="0"/>
        <w:adjustRightInd w:val="0"/>
        <w:spacing w:before="0" w:after="0" w:line="276" w:lineRule="auto"/>
        <w:jc w:val="left"/>
        <w:rPr>
          <w:rFonts w:eastAsia="Times New Roman"/>
          <w:noProof/>
          <w:szCs w:val="24"/>
        </w:rPr>
      </w:pPr>
      <w:r>
        <w:rPr>
          <w:noProof/>
        </w:rPr>
        <w:t>Fait à Bruxelles, le [jour mois 2017].</w:t>
      </w:r>
    </w:p>
    <w:p w:rsidR="00710218" w:rsidRDefault="00710218">
      <w:pPr>
        <w:autoSpaceDE w:val="0"/>
        <w:autoSpaceDN w:val="0"/>
        <w:adjustRightInd w:val="0"/>
        <w:spacing w:before="0" w:after="0" w:line="276" w:lineRule="auto"/>
        <w:jc w:val="left"/>
        <w:rPr>
          <w:rFonts w:eastAsia="Times New Roman"/>
          <w:i/>
          <w:iCs/>
          <w:noProof/>
          <w:szCs w:val="24"/>
        </w:rPr>
      </w:pPr>
    </w:p>
    <w:p w:rsidR="00710218" w:rsidRDefault="003D5E35">
      <w:pPr>
        <w:autoSpaceDE w:val="0"/>
        <w:autoSpaceDN w:val="0"/>
        <w:adjustRightInd w:val="0"/>
        <w:spacing w:before="0" w:after="0" w:line="276" w:lineRule="auto"/>
        <w:jc w:val="left"/>
        <w:rPr>
          <w:rFonts w:eastAsia="Times New Roman"/>
          <w:i/>
          <w:iCs/>
          <w:noProof/>
          <w:szCs w:val="24"/>
        </w:rPr>
      </w:pPr>
      <w:r>
        <w:rPr>
          <w:i/>
          <w:noProof/>
        </w:rPr>
        <w:t>Par le Conseil de coopération</w:t>
      </w:r>
    </w:p>
    <w:p w:rsidR="00710218" w:rsidRDefault="00710218">
      <w:pPr>
        <w:spacing w:before="0" w:after="200" w:line="276" w:lineRule="auto"/>
        <w:jc w:val="left"/>
        <w:rPr>
          <w:rFonts w:eastAsia="Times New Roman"/>
          <w:noProof/>
          <w:szCs w:val="24"/>
        </w:rPr>
      </w:pPr>
    </w:p>
    <w:p w:rsidR="00710218" w:rsidRDefault="003D5E35">
      <w:pPr>
        <w:spacing w:before="0" w:after="200" w:line="276" w:lineRule="auto"/>
        <w:jc w:val="left"/>
        <w:rPr>
          <w:rFonts w:eastAsia="Times New Roman"/>
          <w:noProof/>
          <w:szCs w:val="24"/>
        </w:rPr>
      </w:pPr>
      <w:r>
        <w:rPr>
          <w:noProof/>
        </w:rPr>
        <w:t>Le président</w:t>
      </w:r>
    </w:p>
    <w:p w:rsidR="00710218" w:rsidRDefault="00710218">
      <w:pPr>
        <w:spacing w:before="0" w:after="200" w:line="276" w:lineRule="auto"/>
        <w:jc w:val="left"/>
        <w:rPr>
          <w:rFonts w:eastAsia="Times New Roman"/>
          <w:noProof/>
          <w:szCs w:val="24"/>
        </w:rPr>
      </w:pPr>
    </w:p>
    <w:p w:rsidR="00710218" w:rsidRDefault="003D5E35">
      <w:pPr>
        <w:spacing w:before="0" w:after="200" w:line="276" w:lineRule="auto"/>
        <w:jc w:val="center"/>
        <w:rPr>
          <w:rFonts w:eastAsia="Times New Roman"/>
          <w:noProof/>
          <w:szCs w:val="24"/>
        </w:rPr>
      </w:pPr>
      <w:r>
        <w:rPr>
          <w:noProof/>
        </w:rPr>
        <w:t>***</w:t>
      </w:r>
    </w:p>
    <w:p w:rsidR="00710218" w:rsidRDefault="003D5E35">
      <w:pPr>
        <w:spacing w:before="0" w:after="0"/>
        <w:jc w:val="left"/>
        <w:rPr>
          <w:rFonts w:eastAsia="Times New Roman"/>
          <w:b/>
          <w:bCs/>
          <w:caps/>
          <w:noProof/>
          <w:szCs w:val="24"/>
        </w:rPr>
      </w:pPr>
      <w:r>
        <w:rPr>
          <w:noProof/>
        </w:rPr>
        <w:br w:type="page"/>
      </w:r>
    </w:p>
    <w:p w:rsidR="00710218" w:rsidRDefault="003D5E35">
      <w:pPr>
        <w:spacing w:before="0" w:after="200" w:line="276" w:lineRule="auto"/>
        <w:jc w:val="center"/>
        <w:rPr>
          <w:rFonts w:eastAsia="Times New Roman"/>
          <w:noProof/>
          <w:szCs w:val="24"/>
        </w:rPr>
      </w:pPr>
      <w:r>
        <w:rPr>
          <w:noProof/>
        </w:rPr>
        <w:t>ANNEXE</w:t>
      </w: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3D5E35">
      <w:pPr>
        <w:spacing w:before="0" w:after="0"/>
        <w:jc w:val="center"/>
        <w:rPr>
          <w:rFonts w:eastAsia="Times New Roman"/>
          <w:b/>
          <w:bCs/>
          <w:caps/>
          <w:noProof/>
          <w:szCs w:val="24"/>
        </w:rPr>
      </w:pPr>
      <w:r>
        <w:rPr>
          <w:rFonts w:eastAsia="Times New Roman"/>
          <w:b/>
          <w:bCs/>
          <w:caps/>
          <w:noProof/>
          <w:szCs w:val="24"/>
          <w:lang w:val="en-GB" w:eastAsia="en-GB" w:bidi="ar-SA"/>
        </w:rPr>
        <w:drawing>
          <wp:inline distT="0" distB="0" distL="0" distR="0">
            <wp:extent cx="1083310" cy="745490"/>
            <wp:effectExtent l="19050" t="0" r="2540" b="0"/>
            <wp:docPr id="7" name="Picture 7"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pic:cNvPicPr>
                      <a:picLocks noChangeAspect="1" noChangeArrowheads="1"/>
                    </pic:cNvPicPr>
                  </pic:nvPicPr>
                  <pic:blipFill>
                    <a:blip r:embed="rId10"/>
                    <a:srcRect/>
                    <a:stretch>
                      <a:fillRect/>
                    </a:stretch>
                  </pic:blipFill>
                  <pic:spPr bwMode="auto">
                    <a:xfrm>
                      <a:off x="0" y="0"/>
                      <a:ext cx="1083310" cy="745490"/>
                    </a:xfrm>
                    <a:prstGeom prst="rect">
                      <a:avLst/>
                    </a:prstGeom>
                    <a:noFill/>
                    <a:ln w="9525">
                      <a:noFill/>
                      <a:miter lim="800000"/>
                      <a:headEnd/>
                      <a:tailEnd/>
                    </a:ln>
                  </pic:spPr>
                </pic:pic>
              </a:graphicData>
            </a:graphic>
          </wp:inline>
        </w:drawing>
      </w:r>
      <w:r>
        <w:rPr>
          <w:b/>
          <w:caps/>
          <w:noProof/>
          <w:color w:val="0000CC"/>
        </w:rPr>
        <w:t xml:space="preserve">                        </w:t>
      </w:r>
      <w:r>
        <w:rPr>
          <w:rFonts w:eastAsia="Times New Roman"/>
          <w:b/>
          <w:bCs/>
          <w:caps/>
          <w:noProof/>
          <w:color w:val="0000CC"/>
          <w:szCs w:val="24"/>
          <w:lang w:val="en-GB" w:eastAsia="en-GB" w:bidi="ar-SA"/>
        </w:rPr>
        <w:drawing>
          <wp:inline distT="0" distB="0" distL="0" distR="0">
            <wp:extent cx="1543050" cy="771525"/>
            <wp:effectExtent l="0" t="0" r="0" b="9525"/>
            <wp:docPr id="8" name="Picture 8" descr="Y:\EURCAEAST2\A - ARMENIA\COUNTRY FICH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URCAEAST2\A - ARMENIA\COUNTRY FICHE\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a:ln>
                      <a:noFill/>
                    </a:ln>
                  </pic:spPr>
                </pic:pic>
              </a:graphicData>
            </a:graphic>
          </wp:inline>
        </w:drawing>
      </w:r>
      <w:r>
        <w:rPr>
          <w:b/>
          <w:caps/>
          <w:noProof/>
          <w:color w:val="0000CC"/>
        </w:rPr>
        <w:t xml:space="preserve">     </w:t>
      </w: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3D5E35">
      <w:pPr>
        <w:spacing w:before="0" w:after="0"/>
        <w:jc w:val="center"/>
        <w:rPr>
          <w:rFonts w:eastAsia="Times New Roman"/>
          <w:b/>
          <w:bCs/>
          <w:caps/>
          <w:noProof/>
          <w:szCs w:val="24"/>
        </w:rPr>
      </w:pPr>
      <w:r>
        <w:rPr>
          <w:b/>
          <w:caps/>
          <w:noProof/>
        </w:rPr>
        <w:t>Priorités du partenariat</w:t>
      </w:r>
    </w:p>
    <w:p w:rsidR="00710218" w:rsidRDefault="00710218">
      <w:pPr>
        <w:spacing w:before="0" w:after="0"/>
        <w:jc w:val="center"/>
        <w:rPr>
          <w:rFonts w:eastAsia="Times New Roman"/>
          <w:b/>
          <w:bCs/>
          <w:caps/>
          <w:noProof/>
          <w:szCs w:val="24"/>
        </w:rPr>
      </w:pPr>
    </w:p>
    <w:p w:rsidR="00710218" w:rsidRDefault="003D5E35">
      <w:pPr>
        <w:spacing w:before="0" w:after="0"/>
        <w:jc w:val="center"/>
        <w:rPr>
          <w:rFonts w:eastAsia="Times New Roman"/>
          <w:b/>
          <w:bCs/>
          <w:caps/>
          <w:noProof/>
          <w:szCs w:val="24"/>
        </w:rPr>
      </w:pPr>
      <w:r>
        <w:rPr>
          <w:b/>
          <w:caps/>
          <w:noProof/>
        </w:rPr>
        <w:t>entre</w:t>
      </w:r>
    </w:p>
    <w:p w:rsidR="00710218" w:rsidRDefault="00710218">
      <w:pPr>
        <w:spacing w:before="0" w:after="0"/>
        <w:jc w:val="center"/>
        <w:rPr>
          <w:rFonts w:eastAsia="Times New Roman"/>
          <w:b/>
          <w:bCs/>
          <w:caps/>
          <w:noProof/>
          <w:szCs w:val="24"/>
        </w:rPr>
      </w:pPr>
    </w:p>
    <w:p w:rsidR="00710218" w:rsidRDefault="003D5E35">
      <w:pPr>
        <w:spacing w:before="0" w:after="0"/>
        <w:jc w:val="center"/>
        <w:rPr>
          <w:rFonts w:eastAsia="Times New Roman"/>
          <w:b/>
          <w:bCs/>
          <w:caps/>
          <w:noProof/>
          <w:szCs w:val="24"/>
        </w:rPr>
      </w:pPr>
      <w:r>
        <w:rPr>
          <w:b/>
          <w:caps/>
          <w:noProof/>
        </w:rPr>
        <w:t>l'UNION EUROPÉENNE</w:t>
      </w:r>
    </w:p>
    <w:p w:rsidR="00710218" w:rsidRDefault="00710218">
      <w:pPr>
        <w:spacing w:before="0" w:after="0"/>
        <w:jc w:val="center"/>
        <w:rPr>
          <w:rFonts w:eastAsia="Times New Roman"/>
          <w:b/>
          <w:bCs/>
          <w:caps/>
          <w:noProof/>
          <w:szCs w:val="24"/>
        </w:rPr>
      </w:pPr>
    </w:p>
    <w:p w:rsidR="00710218" w:rsidRDefault="003D5E35">
      <w:pPr>
        <w:spacing w:before="0" w:after="0"/>
        <w:jc w:val="center"/>
        <w:rPr>
          <w:rFonts w:eastAsia="Times New Roman"/>
          <w:b/>
          <w:bCs/>
          <w:caps/>
          <w:noProof/>
          <w:szCs w:val="24"/>
        </w:rPr>
      </w:pPr>
      <w:r>
        <w:rPr>
          <w:b/>
          <w:caps/>
          <w:noProof/>
        </w:rPr>
        <w:t>ET</w:t>
      </w:r>
    </w:p>
    <w:p w:rsidR="00710218" w:rsidRDefault="00710218">
      <w:pPr>
        <w:spacing w:before="0" w:after="0"/>
        <w:jc w:val="center"/>
        <w:rPr>
          <w:rFonts w:eastAsia="Times New Roman"/>
          <w:b/>
          <w:bCs/>
          <w:caps/>
          <w:noProof/>
          <w:szCs w:val="24"/>
        </w:rPr>
      </w:pPr>
    </w:p>
    <w:p w:rsidR="00710218" w:rsidRDefault="003D5E35">
      <w:pPr>
        <w:spacing w:before="0" w:after="0"/>
        <w:jc w:val="center"/>
        <w:rPr>
          <w:rFonts w:eastAsia="Times New Roman"/>
          <w:b/>
          <w:bCs/>
          <w:caps/>
          <w:noProof/>
          <w:szCs w:val="24"/>
        </w:rPr>
      </w:pPr>
      <w:r>
        <w:rPr>
          <w:b/>
          <w:caps/>
          <w:noProof/>
        </w:rPr>
        <w:t>l’Arménie</w:t>
      </w: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710218">
      <w:pPr>
        <w:spacing w:before="0" w:after="0"/>
        <w:jc w:val="center"/>
        <w:rPr>
          <w:rFonts w:eastAsia="Times New Roman"/>
          <w:b/>
          <w:bCs/>
          <w:caps/>
          <w:noProof/>
          <w:szCs w:val="24"/>
        </w:rPr>
      </w:pPr>
    </w:p>
    <w:p w:rsidR="00710218" w:rsidRDefault="00710218">
      <w:pPr>
        <w:spacing w:before="480" w:after="0" w:line="276" w:lineRule="auto"/>
        <w:contextualSpacing/>
        <w:jc w:val="left"/>
        <w:rPr>
          <w:rFonts w:ascii="Cambria" w:eastAsia="Times New Roman" w:hAnsi="Cambria"/>
          <w:b/>
          <w:bCs/>
          <w:noProof/>
          <w:sz w:val="28"/>
          <w:szCs w:val="28"/>
        </w:rPr>
      </w:pPr>
      <w:bookmarkStart w:id="1" w:name="_Toc467053692"/>
      <w:bookmarkStart w:id="2" w:name="_Toc467053490"/>
      <w:bookmarkStart w:id="3" w:name="_Toc467053224"/>
    </w:p>
    <w:p w:rsidR="00710218" w:rsidRDefault="003D5E35">
      <w:pPr>
        <w:spacing w:before="0" w:after="0"/>
        <w:jc w:val="left"/>
        <w:rPr>
          <w:rFonts w:eastAsia="Times New Roman"/>
          <w:b/>
          <w:bCs/>
          <w:noProof/>
          <w:szCs w:val="24"/>
          <w:u w:val="single"/>
        </w:rPr>
      </w:pPr>
      <w:r>
        <w:rPr>
          <w:noProof/>
        </w:rPr>
        <w:br w:type="page"/>
      </w:r>
    </w:p>
    <w:bookmarkEnd w:id="1"/>
    <w:bookmarkEnd w:id="2"/>
    <w:bookmarkEnd w:id="3"/>
    <w:p w:rsidR="00710218" w:rsidRDefault="003D5E35">
      <w:pPr>
        <w:spacing w:before="0" w:after="0" w:line="276" w:lineRule="auto"/>
        <w:jc w:val="left"/>
        <w:rPr>
          <w:rFonts w:eastAsia="Calibri"/>
          <w:b/>
          <w:noProof/>
          <w:sz w:val="26"/>
          <w:szCs w:val="26"/>
        </w:rPr>
      </w:pPr>
      <w:r>
        <w:rPr>
          <w:b/>
          <w:noProof/>
          <w:sz w:val="26"/>
        </w:rPr>
        <w:t>I. Contexte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L’accord de partenariat et de coopération entre les Communautés européennes et leurs États membres, d'une part, et la République d'Arménie, d'autre part (ci-après l’«accord de partenariat et de coopération») a été signé le 22 avril 1996 et est entré en vi</w:t>
      </w:r>
      <w:r>
        <w:rPr>
          <w:noProof/>
          <w:sz w:val="26"/>
        </w:rPr>
        <w:t>gueur le 1</w:t>
      </w:r>
      <w:r>
        <w:rPr>
          <w:noProof/>
          <w:sz w:val="26"/>
          <w:vertAlign w:val="superscript"/>
        </w:rPr>
        <w:t>er</w:t>
      </w:r>
      <w:r>
        <w:rPr>
          <w:noProof/>
          <w:sz w:val="26"/>
        </w:rPr>
        <w:t> juillet 1999.</w:t>
      </w:r>
      <w:r>
        <w:rPr>
          <w:noProof/>
        </w:rPr>
        <w:t xml:space="preserve"> </w:t>
      </w:r>
      <w:r>
        <w:rPr>
          <w:noProof/>
          <w:sz w:val="26"/>
        </w:rPr>
        <w:t xml:space="preserve">Le 6 février 2017, l’UE et l’Arménie ont achevé les négociations en vue d’un </w:t>
      </w:r>
      <w:r>
        <w:rPr>
          <w:b/>
          <w:noProof/>
          <w:sz w:val="26"/>
        </w:rPr>
        <w:t>accord de partenariat global et renforcé</w:t>
      </w:r>
      <w:r>
        <w:rPr>
          <w:noProof/>
          <w:sz w:val="26"/>
        </w:rPr>
        <w:t xml:space="preserve"> dont le texte est en cours de finalisation pour signature. Les </w:t>
      </w:r>
      <w:r>
        <w:rPr>
          <w:b/>
          <w:noProof/>
          <w:sz w:val="26"/>
        </w:rPr>
        <w:t>priorités du partenariat UE-Arménie</w:t>
      </w:r>
      <w:r>
        <w:rPr>
          <w:noProof/>
          <w:sz w:val="26"/>
        </w:rPr>
        <w:t xml:space="preserve"> visent à fac</w:t>
      </w:r>
      <w:r>
        <w:rPr>
          <w:noProof/>
          <w:sz w:val="26"/>
        </w:rPr>
        <w:t>iliter la mise en œuvre de la coopération entre les partenaires, notamment dans le cadre du nouvel accord. Elles ont pour but de renforcer la relation entre l’UE et l’Arménie et de promouvoir les valeurs universelles, ainsi que la stabilité, la résilience,</w:t>
      </w:r>
      <w:r>
        <w:rPr>
          <w:noProof/>
          <w:sz w:val="26"/>
        </w:rPr>
        <w:t xml:space="preserve"> la sécurité et la prospérité en s'appuyant sur la démocratie, les droits de l’homme, l'état de droit, l’ouverture et une croissance économique durable. Elles sont en accord avec les priorités définies par la </w:t>
      </w:r>
      <w:r>
        <w:rPr>
          <w:b/>
          <w:noProof/>
          <w:sz w:val="26"/>
        </w:rPr>
        <w:t>République d’Arménie</w:t>
      </w:r>
      <w:r>
        <w:rPr>
          <w:noProof/>
          <w:sz w:val="26"/>
        </w:rPr>
        <w:t xml:space="preserve"> et l’UE, notamment avec ce</w:t>
      </w:r>
      <w:r>
        <w:rPr>
          <w:noProof/>
          <w:sz w:val="26"/>
        </w:rPr>
        <w:t xml:space="preserve">lles qui ont été fixées lors du réexamen de la </w:t>
      </w:r>
      <w:r>
        <w:rPr>
          <w:b/>
          <w:noProof/>
          <w:sz w:val="26"/>
        </w:rPr>
        <w:t>politique européenne de voisinage</w:t>
      </w:r>
      <w:r>
        <w:rPr>
          <w:noProof/>
          <w:sz w:val="26"/>
        </w:rPr>
        <w:t xml:space="preserve"> (PEV)</w:t>
      </w:r>
      <w:r>
        <w:rPr>
          <w:rStyle w:val="FootnoteReference"/>
          <w:noProof/>
        </w:rPr>
        <w:footnoteReference w:id="1"/>
      </w:r>
      <w:r>
        <w:rPr>
          <w:noProof/>
          <w:sz w:val="26"/>
        </w:rPr>
        <w:t>. Elles respectent les principes de partage des responsabilités et de différenciation et découlent des quatre priorités</w:t>
      </w:r>
      <w:r>
        <w:rPr>
          <w:rStyle w:val="FootnoteReference"/>
          <w:noProof/>
        </w:rPr>
        <w:footnoteReference w:id="2"/>
      </w:r>
      <w:r>
        <w:rPr>
          <w:noProof/>
          <w:sz w:val="26"/>
        </w:rPr>
        <w:t xml:space="preserve"> qui ont été arrêtées d’un commun accord lors du </w:t>
      </w:r>
      <w:r>
        <w:rPr>
          <w:b/>
          <w:noProof/>
          <w:sz w:val="26"/>
        </w:rPr>
        <w:t>sommet</w:t>
      </w:r>
      <w:r>
        <w:rPr>
          <w:noProof/>
          <w:sz w:val="26"/>
        </w:rPr>
        <w:t xml:space="preserve"> du partenariat oriental qui s’est tenu à </w:t>
      </w:r>
      <w:r>
        <w:rPr>
          <w:b/>
          <w:noProof/>
          <w:sz w:val="26"/>
        </w:rPr>
        <w:t>Riga</w:t>
      </w:r>
      <w:r>
        <w:rPr>
          <w:noProof/>
          <w:sz w:val="26"/>
        </w:rPr>
        <w:t xml:space="preserve"> en 2015 et dont les deux parties ont confirmé, à l’occasion de la dernière réunion des ministres des affaires étrangères de l'UE et du partenariat oriental, en mai 2016, qu’elles serviraient de guide pou</w:t>
      </w:r>
      <w:r>
        <w:rPr>
          <w:noProof/>
          <w:sz w:val="26"/>
        </w:rPr>
        <w:t xml:space="preserve">r les travaux à venir. Enfin, les priorités du partenariat sont également conformes aux </w:t>
      </w:r>
      <w:r>
        <w:rPr>
          <w:b/>
          <w:noProof/>
          <w:sz w:val="26"/>
        </w:rPr>
        <w:t>objectifs de développement durable à l’horizon 2030</w:t>
      </w:r>
      <w:r>
        <w:rPr>
          <w:noProof/>
          <w:sz w:val="26"/>
        </w:rPr>
        <w:t xml:space="preserve"> et à l'</w:t>
      </w:r>
      <w:r>
        <w:rPr>
          <w:b/>
          <w:noProof/>
          <w:sz w:val="26"/>
        </w:rPr>
        <w:t>accord de Paris de 2015</w:t>
      </w:r>
      <w:r>
        <w:rPr>
          <w:noProof/>
          <w:sz w:val="26"/>
        </w:rPr>
        <w:t>, ainsi qu’aux engagements qu’ils contiennent en matière de durabilité économique, env</w:t>
      </w:r>
      <w:r>
        <w:rPr>
          <w:noProof/>
          <w:sz w:val="26"/>
        </w:rPr>
        <w:t>ironnementale et sociale et de lutte contre le changement climatique.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L’UE et l’Arménie partagent des </w:t>
      </w:r>
      <w:r>
        <w:rPr>
          <w:b/>
          <w:noProof/>
          <w:sz w:val="26"/>
        </w:rPr>
        <w:t>valeurs</w:t>
      </w:r>
      <w:r>
        <w:rPr>
          <w:noProof/>
          <w:sz w:val="26"/>
        </w:rPr>
        <w:t xml:space="preserve"> et des </w:t>
      </w:r>
      <w:r>
        <w:rPr>
          <w:b/>
          <w:noProof/>
          <w:sz w:val="26"/>
        </w:rPr>
        <w:t>intérêts</w:t>
      </w:r>
      <w:r>
        <w:rPr>
          <w:noProof/>
          <w:sz w:val="26"/>
        </w:rPr>
        <w:t xml:space="preserve"> communs, compte tenu notamment des réformes économiques et politiques entreprises par l’Arménie et de la participation de cette d</w:t>
      </w:r>
      <w:r>
        <w:rPr>
          <w:noProof/>
          <w:sz w:val="26"/>
        </w:rPr>
        <w:t xml:space="preserve">ernière à la coopération régionale, y compris dans le cadre du partenariat oriental. Le </w:t>
      </w:r>
      <w:r>
        <w:rPr>
          <w:b/>
          <w:noProof/>
          <w:sz w:val="26"/>
        </w:rPr>
        <w:t>nouvel accord global permettra de renouveler et de définir la base juridique des relations bilatérales</w:t>
      </w:r>
      <w:r>
        <w:rPr>
          <w:noProof/>
          <w:sz w:val="26"/>
        </w:rPr>
        <w:t xml:space="preserve"> et il convient de profiter de cette dynamique pour renforcer les </w:t>
      </w:r>
      <w:r>
        <w:rPr>
          <w:noProof/>
          <w:sz w:val="26"/>
        </w:rPr>
        <w:t>relations entre l’UE et l’Arménie, y compris en s'accordant sur les priorités du partenariat. Ce nouveau cadre général et les domaines prioritaires de coopération seront définis sur la base de l’</w:t>
      </w:r>
      <w:r>
        <w:rPr>
          <w:b/>
          <w:noProof/>
          <w:sz w:val="26"/>
        </w:rPr>
        <w:t>intérêt réciproque</w:t>
      </w:r>
      <w:r>
        <w:rPr>
          <w:noProof/>
          <w:sz w:val="26"/>
        </w:rPr>
        <w:t xml:space="preserve"> à renforcer notre coopération en tenant co</w:t>
      </w:r>
      <w:r>
        <w:rPr>
          <w:noProof/>
          <w:sz w:val="26"/>
        </w:rPr>
        <w:t>mpte des autres engagements internationaux de l’UE et de l’Arménie.</w:t>
      </w:r>
    </w:p>
    <w:p w:rsidR="00710218" w:rsidRDefault="00710218">
      <w:pPr>
        <w:spacing w:before="0" w:after="0"/>
        <w:rPr>
          <w:rFonts w:eastAsia="Calibri"/>
          <w:noProof/>
          <w:sz w:val="26"/>
          <w:szCs w:val="26"/>
        </w:rPr>
      </w:pPr>
    </w:p>
    <w:p w:rsidR="00710218" w:rsidRDefault="003D5E35">
      <w:pPr>
        <w:autoSpaceDE w:val="0"/>
        <w:autoSpaceDN w:val="0"/>
        <w:adjustRightInd w:val="0"/>
        <w:spacing w:before="0" w:after="0"/>
        <w:rPr>
          <w:rFonts w:eastAsia="Calibri"/>
          <w:noProof/>
          <w:sz w:val="26"/>
          <w:szCs w:val="26"/>
          <w:u w:val="single"/>
        </w:rPr>
      </w:pPr>
      <w:r>
        <w:rPr>
          <w:noProof/>
          <w:sz w:val="26"/>
        </w:rPr>
        <w:t xml:space="preserve">Les priorités du partenariat s'appuient sur une coopération passée qui a porté ses fruits, notamment dans le cadre de la mise en œuvre du </w:t>
      </w:r>
      <w:r>
        <w:rPr>
          <w:b/>
          <w:noProof/>
          <w:sz w:val="26"/>
        </w:rPr>
        <w:t>plan d'action PEV</w:t>
      </w:r>
      <w:r>
        <w:rPr>
          <w:noProof/>
          <w:sz w:val="26"/>
        </w:rPr>
        <w:t>, qu’elles sont destinées à remp</w:t>
      </w:r>
      <w:r>
        <w:rPr>
          <w:noProof/>
          <w:sz w:val="26"/>
        </w:rPr>
        <w:t>lacer. Elles devraient orienter l’ordre du jour des réunions qui se tiennent régulièrement au titre du dialogue politique et des dialogues sectoriels tels que définis dans le nouvel accord, lequel servira également de cadre à leur mise en œuvre et à leur s</w:t>
      </w:r>
      <w:r>
        <w:rPr>
          <w:noProof/>
          <w:sz w:val="26"/>
        </w:rPr>
        <w:t>uivi.</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À l'avenir, ces priorités du partenariat serviront de base à la programmation et la coopération financière entre l’UE et l’Arménie, notamment au prochain cadre unique d'appui pour l'Arménie 2017-2020.</w:t>
      </w:r>
    </w:p>
    <w:p w:rsidR="00710218" w:rsidRDefault="00710218">
      <w:pPr>
        <w:spacing w:before="0" w:after="0"/>
        <w:rPr>
          <w:rFonts w:eastAsia="Calibri"/>
          <w:b/>
          <w:noProof/>
          <w:sz w:val="26"/>
          <w:szCs w:val="26"/>
        </w:rPr>
      </w:pPr>
    </w:p>
    <w:p w:rsidR="00710218" w:rsidRDefault="003D5E35">
      <w:pPr>
        <w:spacing w:before="0" w:after="200" w:line="276" w:lineRule="auto"/>
        <w:jc w:val="left"/>
        <w:rPr>
          <w:rFonts w:eastAsia="Calibri"/>
          <w:b/>
          <w:noProof/>
          <w:sz w:val="26"/>
          <w:szCs w:val="26"/>
        </w:rPr>
      </w:pPr>
      <w:r>
        <w:rPr>
          <w:noProof/>
        </w:rPr>
        <w:br w:type="page"/>
      </w:r>
    </w:p>
    <w:p w:rsidR="00710218" w:rsidRDefault="003D5E35">
      <w:pPr>
        <w:spacing w:before="0" w:after="0"/>
        <w:rPr>
          <w:rFonts w:eastAsia="Calibri"/>
          <w:b/>
          <w:noProof/>
          <w:sz w:val="26"/>
          <w:szCs w:val="26"/>
        </w:rPr>
      </w:pPr>
      <w:r>
        <w:rPr>
          <w:b/>
          <w:noProof/>
          <w:sz w:val="26"/>
        </w:rPr>
        <w:t>II. Priorités</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Les priorités du partenariat t</w:t>
      </w:r>
      <w:r>
        <w:rPr>
          <w:noProof/>
          <w:sz w:val="26"/>
        </w:rPr>
        <w:t xml:space="preserve">raduisent des </w:t>
      </w:r>
      <w:r>
        <w:rPr>
          <w:b/>
          <w:noProof/>
          <w:sz w:val="26"/>
        </w:rPr>
        <w:t>intérêts communs</w:t>
      </w:r>
      <w:r>
        <w:rPr>
          <w:noProof/>
          <w:sz w:val="26"/>
        </w:rPr>
        <w:t xml:space="preserve"> et sont axées sur des domaines dans lesquels la coopération est mutuellement bénéfique. L’Arménie et l’UE continueront de poursuivre l’objectif essentiel qu’est le soutien de la stabilité régionale en s'appuyant sur leurs </w:t>
      </w:r>
      <w:r>
        <w:rPr>
          <w:b/>
          <w:noProof/>
          <w:sz w:val="26"/>
        </w:rPr>
        <w:t>val</w:t>
      </w:r>
      <w:r>
        <w:rPr>
          <w:b/>
          <w:noProof/>
          <w:sz w:val="26"/>
        </w:rPr>
        <w:t>eurs communes</w:t>
      </w:r>
      <w:r>
        <w:rPr>
          <w:noProof/>
          <w:sz w:val="26"/>
        </w:rPr>
        <w:t xml:space="preserve"> et leur attachement ferme à la démocratie et aux droits de l'homme. La société civile est un acteur important dans le cadre du partenariat oriental, et l’UE et l’Arménie faciliteront encore davantage sa participation à la mise en œuvre de ces</w:t>
      </w:r>
      <w:r>
        <w:rPr>
          <w:noProof/>
          <w:sz w:val="26"/>
        </w:rPr>
        <w:t xml:space="preserve"> priorités. La </w:t>
      </w:r>
      <w:r>
        <w:rPr>
          <w:b/>
          <w:noProof/>
          <w:sz w:val="26"/>
        </w:rPr>
        <w:t>coopération économique</w:t>
      </w:r>
      <w:r>
        <w:rPr>
          <w:noProof/>
          <w:sz w:val="26"/>
        </w:rPr>
        <w:t xml:space="preserve"> en vue d’une </w:t>
      </w:r>
      <w:r>
        <w:rPr>
          <w:b/>
          <w:noProof/>
          <w:sz w:val="26"/>
        </w:rPr>
        <w:t>croissance</w:t>
      </w:r>
      <w:r>
        <w:rPr>
          <w:noProof/>
          <w:sz w:val="26"/>
        </w:rPr>
        <w:t xml:space="preserve"> soutenue est un domaine qui présente un grand intérêt mutuel et nous étudierons toutes les possibilités d'améliorer l’environnement des entreprises. Pour parvenir à une croissance plus rapide et</w:t>
      </w:r>
      <w:r>
        <w:rPr>
          <w:noProof/>
          <w:sz w:val="26"/>
        </w:rPr>
        <w:t xml:space="preserve"> plus inclusive, il sera nécessaire de renforcer les compétences et le capital humain requis au sein des institutions publiques, ainsi que de continuer à améliorer la gouvernance et de mieux connecter les infrastructures. Prendre des mesures à cet égard pe</w:t>
      </w:r>
      <w:r>
        <w:rPr>
          <w:noProof/>
          <w:sz w:val="26"/>
        </w:rPr>
        <w:t>rmettra de créer des conditions propices à une coopération plus étroite dans des secteurs essentiels et à une plus grande mobilité, dans l’</w:t>
      </w:r>
      <w:r>
        <w:rPr>
          <w:b/>
          <w:noProof/>
          <w:sz w:val="26"/>
        </w:rPr>
        <w:t>intérêt des citoyens</w:t>
      </w:r>
      <w:r>
        <w:rPr>
          <w:noProof/>
          <w:sz w:val="26"/>
        </w:rPr>
        <w:t xml:space="preserve"> tant de l'UE que de l’Arménie. Les priorités sont étroitement liées et se renforcent mutuellemen</w:t>
      </w:r>
      <w:r>
        <w:rPr>
          <w:noProof/>
          <w:sz w:val="26"/>
        </w:rPr>
        <w:t xml:space="preserve">t. Chaque thème prioritaire comporte plusieurs éléments selon une approche </w:t>
      </w:r>
      <w:r>
        <w:rPr>
          <w:b/>
          <w:noProof/>
          <w:sz w:val="26"/>
        </w:rPr>
        <w:t>pluridisciplinaire</w:t>
      </w:r>
      <w:r>
        <w:rPr>
          <w:noProof/>
          <w:sz w:val="26"/>
        </w:rPr>
        <w:t xml:space="preserve"> et </w:t>
      </w:r>
      <w:r>
        <w:rPr>
          <w:b/>
          <w:noProof/>
          <w:sz w:val="26"/>
        </w:rPr>
        <w:t>transversale</w:t>
      </w:r>
      <w:r>
        <w:rPr>
          <w:noProof/>
          <w:sz w:val="26"/>
        </w:rPr>
        <w:t>, nécessaire pour atteindre l’objectif visé. Pareille approche suppose, entre autres, une participation active conjointe dans les enceintes de coop</w:t>
      </w:r>
      <w:r>
        <w:rPr>
          <w:noProof/>
          <w:sz w:val="26"/>
        </w:rPr>
        <w:t>ération multilatérale, notamment au sein du partenariat oriental.</w:t>
      </w:r>
    </w:p>
    <w:p w:rsidR="00710218" w:rsidRDefault="00710218">
      <w:pPr>
        <w:spacing w:before="0" w:after="0"/>
        <w:rPr>
          <w:rFonts w:eastAsia="Calibri"/>
          <w:noProof/>
          <w:sz w:val="26"/>
          <w:szCs w:val="26"/>
        </w:rPr>
      </w:pPr>
    </w:p>
    <w:p w:rsidR="00710218" w:rsidRDefault="003D5E35">
      <w:pPr>
        <w:keepNext/>
        <w:spacing w:before="0" w:after="0" w:line="276" w:lineRule="auto"/>
        <w:jc w:val="left"/>
        <w:outlineLvl w:val="1"/>
        <w:rPr>
          <w:rFonts w:eastAsia="Calibri"/>
          <w:b/>
          <w:noProof/>
          <w:sz w:val="26"/>
          <w:szCs w:val="26"/>
        </w:rPr>
      </w:pPr>
      <w:bookmarkStart w:id="4" w:name="_Toc478995970"/>
      <w:r>
        <w:rPr>
          <w:b/>
          <w:noProof/>
          <w:sz w:val="26"/>
        </w:rPr>
        <w:t>1. Renforcement des institutions et de la bonne gouvernance</w:t>
      </w:r>
      <w:bookmarkEnd w:id="4"/>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L’UE et l’Arménie sont déterminées à poursuivre leur coopération en vue de promouvoir les </w:t>
      </w:r>
      <w:r>
        <w:rPr>
          <w:b/>
          <w:noProof/>
          <w:sz w:val="26"/>
        </w:rPr>
        <w:t>droits de l’homme</w:t>
      </w:r>
      <w:r>
        <w:rPr>
          <w:noProof/>
          <w:sz w:val="26"/>
        </w:rPr>
        <w:t>, l’</w:t>
      </w:r>
      <w:r>
        <w:rPr>
          <w:b/>
          <w:noProof/>
          <w:sz w:val="26"/>
        </w:rPr>
        <w:t>état de droit</w:t>
      </w:r>
      <w:r>
        <w:rPr>
          <w:noProof/>
          <w:sz w:val="26"/>
        </w:rPr>
        <w:t xml:space="preserve"> et les </w:t>
      </w:r>
      <w:r>
        <w:rPr>
          <w:b/>
          <w:noProof/>
          <w:sz w:val="26"/>
        </w:rPr>
        <w:t>libertés fondamentales</w:t>
      </w:r>
      <w:r>
        <w:rPr>
          <w:noProof/>
          <w:sz w:val="26"/>
        </w:rPr>
        <w:t xml:space="preserve">. Elles œuvreront ensemble à l'amélioration continue de l'administration publique, de la bonne gouvernance et du système judiciaire en Arménie, intensifieront la lutte contre la corruption et renforceront la société civile. </w:t>
      </w:r>
      <w:r>
        <w:rPr>
          <w:b/>
          <w:noProof/>
          <w:sz w:val="26"/>
        </w:rPr>
        <w:t>Le</w:t>
      </w:r>
      <w:r>
        <w:rPr>
          <w:b/>
          <w:noProof/>
          <w:sz w:val="26"/>
        </w:rPr>
        <w:t>s questions liées à l'égalité hommes-femmes et les aspects environnementaux et sociaux</w:t>
      </w:r>
      <w:r>
        <w:rPr>
          <w:noProof/>
          <w:sz w:val="26"/>
        </w:rPr>
        <w:t xml:space="preserve"> seront pris en compte dans tous les domaines.</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L'accent sera mis sur la mise en œuvre et l’application effective de la législation concernée, notamment de la </w:t>
      </w:r>
      <w:r>
        <w:rPr>
          <w:b/>
          <w:noProof/>
          <w:sz w:val="26"/>
        </w:rPr>
        <w:t>nouvelle co</w:t>
      </w:r>
      <w:r>
        <w:rPr>
          <w:b/>
          <w:noProof/>
          <w:sz w:val="26"/>
        </w:rPr>
        <w:t>nstitution</w:t>
      </w:r>
      <w:r>
        <w:rPr>
          <w:noProof/>
          <w:sz w:val="26"/>
        </w:rPr>
        <w:t xml:space="preserve">. La </w:t>
      </w:r>
      <w:r>
        <w:rPr>
          <w:b/>
          <w:noProof/>
          <w:sz w:val="26"/>
        </w:rPr>
        <w:t>réforme électorale</w:t>
      </w:r>
      <w:r>
        <w:rPr>
          <w:noProof/>
          <w:sz w:val="26"/>
        </w:rPr>
        <w:t xml:space="preserve">, adoptée en septembre 2016 sur la base, entre autres, des recommandations de l’Organisation pour la sécurité et la coopération en Europe et de son Bureau des institutions démocratiques et des droits de l’homme, s’applique </w:t>
      </w:r>
      <w:r>
        <w:rPr>
          <w:noProof/>
          <w:sz w:val="26"/>
        </w:rPr>
        <w:t xml:space="preserve">depuis les élections législatives du 2 avril 2017. Les parties continueront aussi de s’employer à créer un </w:t>
      </w:r>
      <w:r>
        <w:rPr>
          <w:b/>
          <w:noProof/>
          <w:sz w:val="26"/>
        </w:rPr>
        <w:t>environnement favorable à la société civile, notamment aux organisations des partenaires sociaux</w:t>
      </w:r>
      <w:r>
        <w:rPr>
          <w:noProof/>
          <w:sz w:val="26"/>
        </w:rPr>
        <w:t>, et à la participation de celle-ci au processus déci</w:t>
      </w:r>
      <w:r>
        <w:rPr>
          <w:noProof/>
          <w:sz w:val="26"/>
        </w:rPr>
        <w:t>sionnel. La société civile a été consultée sur l’établissement de ces priorités du partenariat et jouera un rôle important en contribuant au suivi de leur mise en œuvre.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Les parties redoubleront d’efforts pour </w:t>
      </w:r>
      <w:r>
        <w:rPr>
          <w:b/>
          <w:noProof/>
          <w:sz w:val="26"/>
        </w:rPr>
        <w:t>réformer l’administration publique</w:t>
      </w:r>
      <w:r>
        <w:rPr>
          <w:noProof/>
          <w:sz w:val="26"/>
        </w:rPr>
        <w:t>, notamment</w:t>
      </w:r>
      <w:r>
        <w:rPr>
          <w:noProof/>
          <w:sz w:val="26"/>
        </w:rPr>
        <w:t xml:space="preserve"> en ce qui concerne les pouvoirs locaux et l'</w:t>
      </w:r>
      <w:r>
        <w:rPr>
          <w:b/>
          <w:noProof/>
          <w:sz w:val="26"/>
        </w:rPr>
        <w:t>application effective de la législation</w:t>
      </w:r>
      <w:r>
        <w:rPr>
          <w:noProof/>
          <w:sz w:val="26"/>
        </w:rPr>
        <w:t>. Une importance particulière sera accordée à l’état de droit, à la promotion de l’indépendance du pouvoir judiciaire, à l'accès à la justice et au droit à un procès équita</w:t>
      </w:r>
      <w:r>
        <w:rPr>
          <w:noProof/>
          <w:sz w:val="26"/>
        </w:rPr>
        <w:t>ble. La première mesure prise dans le cadre de cette réforme consistera en l’adoption d’un cadre stratégique pour la réforme de l’administration publique. Notre coopération vise à responsabiliser davantage les pouvoirs publics et à les rendre plus efficace</w:t>
      </w:r>
      <w:r>
        <w:rPr>
          <w:noProof/>
          <w:sz w:val="26"/>
        </w:rPr>
        <w:t>s en recourant à divers moyens, tels qu’une gestion moderne des ressources humaines tenant compte des spécificités hommes-femmes et la généralisation de l'</w:t>
      </w:r>
      <w:r>
        <w:rPr>
          <w:b/>
          <w:noProof/>
          <w:sz w:val="26"/>
        </w:rPr>
        <w:t>administration en ligne</w:t>
      </w:r>
      <w:r>
        <w:rPr>
          <w:noProof/>
          <w:sz w:val="26"/>
        </w:rPr>
        <w:t>, y compris dans le secteur de la santé. L’élaboration et l'évaluation des pol</w:t>
      </w:r>
      <w:r>
        <w:rPr>
          <w:noProof/>
          <w:sz w:val="26"/>
        </w:rPr>
        <w:t>itiques s'appuieront sur des données probantes émanant, entre autres, d’un service de statistique de haute qualité.</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La </w:t>
      </w:r>
      <w:r>
        <w:rPr>
          <w:b/>
          <w:noProof/>
          <w:sz w:val="26"/>
        </w:rPr>
        <w:t>lutte contre la corruption</w:t>
      </w:r>
      <w:r>
        <w:rPr>
          <w:noProof/>
          <w:sz w:val="26"/>
        </w:rPr>
        <w:t xml:space="preserve"> sera au centre de la réforme administrative et des efforts déployés par le pays pour renforcer l’état de droi</w:t>
      </w:r>
      <w:r>
        <w:rPr>
          <w:noProof/>
          <w:sz w:val="26"/>
        </w:rPr>
        <w:t>t. La coopération portera à la fois sur le renforcement des organes chargés de la lutte contre la corruption et sur le réexamen de la législation concernant, notamment, le système de passation des marchés publics, le système de déclaration de patrimoine, d</w:t>
      </w:r>
      <w:r>
        <w:rPr>
          <w:noProof/>
          <w:sz w:val="26"/>
        </w:rPr>
        <w:t>ont il convient d’assurer la bonne mise en œuvre, ainsi que la gestion des fonctions publiques dans les domaines où les enjeux, économiques ou autres, sont les plus importants (marchés publics, douanes, autorisations) afin de garantir des normes éthiques é</w:t>
      </w:r>
      <w:r>
        <w:rPr>
          <w:noProof/>
          <w:sz w:val="26"/>
        </w:rPr>
        <w:t>levées et d’éviter les conflits d’intérêts. Les parties mettent en œuvre l'aide conformément aux principes de bonne gestion financière et coopèrent en vue de protéger les intérêts financiers de l'UE et de l’Arménie conformément aux dispositions corresponda</w:t>
      </w:r>
      <w:r>
        <w:rPr>
          <w:noProof/>
          <w:sz w:val="26"/>
        </w:rPr>
        <w:t>ntes de l'accord de partenariat global et renforcé.</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La </w:t>
      </w:r>
      <w:r>
        <w:rPr>
          <w:b/>
          <w:noProof/>
          <w:sz w:val="26"/>
        </w:rPr>
        <w:t>coopération dans le secteur de la sécurité</w:t>
      </w:r>
      <w:r>
        <w:rPr>
          <w:noProof/>
          <w:sz w:val="26"/>
        </w:rPr>
        <w:t xml:space="preserve"> visera à renforcer l’obligation de rendre des comptes imposée aux acteurs du secteur et à répondre à des préoccupations communes en matière de lutte contre l</w:t>
      </w:r>
      <w:r>
        <w:rPr>
          <w:noProof/>
          <w:sz w:val="26"/>
        </w:rPr>
        <w:t>a criminalité organisée, la drogue et le terrorisme, y compris le financement du terrorisme et le blanchiment de capitaux, en recourant à des moyens respectueux des dispositions relatives à la justice, à la liberté et à la sécurité qui figurent dans les di</w:t>
      </w:r>
      <w:r>
        <w:rPr>
          <w:noProof/>
          <w:sz w:val="26"/>
        </w:rPr>
        <w:t>vers accords régissant les relations entre l’UE et l’Arménie. La poursuite de la modernisation de la gestion des frontières contribuera à la fois à la sécurité du pays et de la région et au développement de l’économie, en facilitant les échanges légitimes.</w:t>
      </w:r>
      <w:r>
        <w:rPr>
          <w:noProof/>
          <w:sz w:val="26"/>
        </w:rPr>
        <w:t xml:space="preserve"> Les parties coopéreront aussi dans le domaine du recouvrement des avoirs d'origine criminelle en améliorant le cadre juridique arménien et en établissant un véritable bureau de recouvrement des avoirs.</w:t>
      </w:r>
      <w:bookmarkStart w:id="5" w:name="_Toc478995971"/>
    </w:p>
    <w:p w:rsidR="00710218" w:rsidRDefault="00710218">
      <w:pPr>
        <w:spacing w:before="0" w:after="0"/>
        <w:rPr>
          <w:rFonts w:eastAsia="Calibri"/>
          <w:noProof/>
          <w:sz w:val="26"/>
          <w:szCs w:val="26"/>
        </w:rPr>
      </w:pPr>
    </w:p>
    <w:p w:rsidR="00710218" w:rsidRDefault="003D5E35">
      <w:pPr>
        <w:keepNext/>
        <w:spacing w:before="0" w:after="0" w:line="276" w:lineRule="auto"/>
        <w:jc w:val="left"/>
        <w:outlineLvl w:val="1"/>
        <w:rPr>
          <w:rFonts w:eastAsia="Calibri"/>
          <w:b/>
          <w:noProof/>
          <w:sz w:val="26"/>
          <w:szCs w:val="26"/>
        </w:rPr>
      </w:pPr>
      <w:r>
        <w:rPr>
          <w:b/>
          <w:noProof/>
          <w:sz w:val="26"/>
        </w:rPr>
        <w:t>2. Développement économique et débouchés commerciaux</w:t>
      </w:r>
      <w:bookmarkEnd w:id="5"/>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Les parties ont pour objectif commun le développement économique durable et inclusif de l’Arménie. Une croissance soutenue exige des politiques économiques saines, garantes d’une stabilité macro-économique et financière, qui devraient concourir sans relâ</w:t>
      </w:r>
      <w:r>
        <w:rPr>
          <w:noProof/>
          <w:sz w:val="26"/>
        </w:rPr>
        <w:t xml:space="preserve">che à des politiques budgétaires durables tout en préservant les dépenses sociales et les dépenses d’investissement et en consolidant les marges permettant de faire face aux chocs extérieurs. La </w:t>
      </w:r>
      <w:r>
        <w:rPr>
          <w:b/>
          <w:noProof/>
          <w:sz w:val="26"/>
        </w:rPr>
        <w:t>gestion des finances publiques</w:t>
      </w:r>
      <w:r>
        <w:rPr>
          <w:noProof/>
          <w:sz w:val="26"/>
        </w:rPr>
        <w:t xml:space="preserve"> (qui est un élément important </w:t>
      </w:r>
      <w:r>
        <w:rPr>
          <w:noProof/>
          <w:sz w:val="26"/>
        </w:rPr>
        <w:t>tant pour la gouvernance et la démocratie que pour le développement économique) respectera les principes des bonnes pratiques internationales. La surveillance bancaire continuera d’être renforcée conformément aux normes internationales et aux bonnes pratiq</w:t>
      </w:r>
      <w:r>
        <w:rPr>
          <w:noProof/>
          <w:sz w:val="26"/>
        </w:rPr>
        <w:t>ues, le but étant de rendre le secteur financier plus solide et plus résilient. La modernisation et la réforme des administrations douanière et fiscale, notamment en ce qui concerne la coopération internationale et le renforcement de la lutte contre la fra</w:t>
      </w:r>
      <w:r>
        <w:rPr>
          <w:noProof/>
          <w:sz w:val="26"/>
        </w:rPr>
        <w:t>ude, permettront d’améliorer la perception des recettes.</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 xml:space="preserve">Le développement économique passe nécessairement par une </w:t>
      </w:r>
      <w:r>
        <w:rPr>
          <w:b/>
          <w:noProof/>
          <w:sz w:val="26"/>
        </w:rPr>
        <w:t>amélioration de l’environnement des entreprises</w:t>
      </w:r>
      <w:r>
        <w:rPr>
          <w:noProof/>
          <w:sz w:val="26"/>
        </w:rPr>
        <w:t xml:space="preserve">. À cet égard, les efforts porteront principalement sur la poursuite de la simplification des </w:t>
      </w:r>
      <w:r>
        <w:rPr>
          <w:noProof/>
          <w:sz w:val="26"/>
        </w:rPr>
        <w:t>procédures administratives, sur la réduction des coûts administratifs, sur l’amélioration de l’accès au financement pour les petites et moyennes entreprises (</w:t>
      </w:r>
      <w:r>
        <w:rPr>
          <w:b/>
          <w:noProof/>
          <w:sz w:val="26"/>
        </w:rPr>
        <w:t>PME</w:t>
      </w:r>
      <w:r>
        <w:rPr>
          <w:noProof/>
          <w:sz w:val="26"/>
        </w:rPr>
        <w:t>) sur un marché financier sain et diversifié, et sur le renforcement de la protection et de l'a</w:t>
      </w:r>
      <w:r>
        <w:rPr>
          <w:noProof/>
          <w:sz w:val="26"/>
        </w:rPr>
        <w:t>pplication effective des droits de propriété. Des organisations de soutien aux entreprises et des associations d’entreprises solides aideraient les opérateurs économiques à saisir les possibilités qui se présentent et à faire davantage entendre leur voix l</w:t>
      </w:r>
      <w:r>
        <w:rPr>
          <w:noProof/>
          <w:sz w:val="26"/>
        </w:rPr>
        <w:t xml:space="preserve">ors de l’élaboration des politiques économiques. L’UE et l'Arménie chercheront à renforcer la capacité des entreprises arméniennes à participer aux chaînes de valeur internationales, en mobilisant les opérateurs économiques tant européens qu’arméniens, ce </w:t>
      </w:r>
      <w:r>
        <w:rPr>
          <w:noProof/>
          <w:sz w:val="26"/>
        </w:rPr>
        <w:t>qui aura pour effet d’encourager le transfert de technologies et de connaissances. Le rôle des organisations de soutien aux entreprises est d’une importance capitale à cet égard et l'aide apportée par l’UE pour mettre en contact des entreprises arméniennes</w:t>
      </w:r>
      <w:r>
        <w:rPr>
          <w:noProof/>
          <w:sz w:val="26"/>
        </w:rPr>
        <w:t xml:space="preserve"> et européennes peut démultiplier les efforts consentis à l'échelle nationale. La participation de l’Arménie aux chaînes de valeur internationales peut inclure les investissements étrangers directs, lesquels peuvent à leur tour renforcer et accélérer cette</w:t>
      </w:r>
      <w:r>
        <w:rPr>
          <w:noProof/>
          <w:sz w:val="26"/>
        </w:rPr>
        <w:t xml:space="preserve"> participation, ce qui peut contribuer au développement et au renforcement des aptitudes et compétences locales. À cet effet, il est essentiel d’améliorer le cadre d’investissement en le rendant plus transparent, plus fiable et plus efficient. Un climat d’</w:t>
      </w:r>
      <w:r>
        <w:rPr>
          <w:noProof/>
          <w:sz w:val="26"/>
        </w:rPr>
        <w:t>investissement favorable aux entreprises suppose également une concurrence effective sur les marchés de produits et de services, garantie par une autorité de concurrence indépendante et forte observant les normes éthiques les plus élevées et ayant un accès</w:t>
      </w:r>
      <w:r>
        <w:rPr>
          <w:noProof/>
          <w:sz w:val="26"/>
        </w:rPr>
        <w:t xml:space="preserve"> à un mécanisme efficace pour l'application de la législation en matière de pratiques anticoncurrentielles et la protection effective des droits de propriété intellectuelle. La prise en compte de la «facilité à faire des affaires» dans l’ensemble des polit</w:t>
      </w:r>
      <w:r>
        <w:rPr>
          <w:noProof/>
          <w:sz w:val="26"/>
        </w:rPr>
        <w:t>iques contribuera à stimuler la croissance. Des politiques de l’emploi et des politiques sociales modernes seront nécessaires pour que le développement économique soit inclusif et participe à l'amélioration du bien-être de l’ensemble des citoyens arméniens</w:t>
      </w:r>
      <w:r>
        <w:rPr>
          <w:noProof/>
          <w:sz w:val="26"/>
        </w:rPr>
        <w:t>. Il s’agit notamment de mettre en place des institutions à même de contrôler efficacement les conditions de travail, y compris en matière de santé et de sécurité.</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Il est important de mettre en œuvre la stratégie globale de développement adoptée par l’Arm</w:t>
      </w:r>
      <w:r>
        <w:rPr>
          <w:noProof/>
          <w:sz w:val="26"/>
        </w:rPr>
        <w:t>énie, ainsi que des stratégies sectorielles (stratégie en faveur des PME et recommandations formulées dans le cadre de l’évaluation du Small Business Act, stratégie de promotion des exportations, développement rural, etc.) pour participer activement aux pr</w:t>
      </w:r>
      <w:r>
        <w:rPr>
          <w:noProof/>
          <w:sz w:val="26"/>
        </w:rPr>
        <w:t>ogrammes pour les PME (COSME) et pour la recherche et l’innovation (Horizon 2020), ainsi que pour améliorer l’environnement réglementaire et l’infrastructure des technologies de l'information et de la communication (TIC), en tirant pleinement parti de l’ai</w:t>
      </w:r>
      <w:r>
        <w:rPr>
          <w:noProof/>
          <w:sz w:val="26"/>
        </w:rPr>
        <w:t>de fournie par l’UE dans ces domaines.</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Pour moderniser l’économie et la société arméniennes, il importe aussi de favoriser l’</w:t>
      </w:r>
      <w:r>
        <w:rPr>
          <w:b/>
          <w:noProof/>
          <w:sz w:val="26"/>
        </w:rPr>
        <w:t>économie numérique</w:t>
      </w:r>
      <w:r>
        <w:rPr>
          <w:noProof/>
          <w:sz w:val="26"/>
        </w:rPr>
        <w:t>, notamment en rapprochant l’environnement numérique arménien du marché unique numérique de l’UE.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Le suivi de l</w:t>
      </w:r>
      <w:r>
        <w:rPr>
          <w:noProof/>
          <w:sz w:val="26"/>
        </w:rPr>
        <w:t>a mise en œuvre de ces stratégies devrait prévoir un dialogue entre les secteurs public et privé et une consultation des organisations concernées de la société civile, notamment des organisations des partenaires sociaux.</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w:t>
      </w:r>
      <w:r>
        <w:rPr>
          <w:b/>
          <w:noProof/>
          <w:sz w:val="26"/>
        </w:rPr>
        <w:t>économie verte</w:t>
      </w:r>
      <w:r>
        <w:rPr>
          <w:noProof/>
          <w:sz w:val="26"/>
        </w:rPr>
        <w:t xml:space="preserve"> offre des perspec</w:t>
      </w:r>
      <w:r>
        <w:rPr>
          <w:noProof/>
          <w:sz w:val="26"/>
        </w:rPr>
        <w:t xml:space="preserve">tives importantes de croissance à même de placer le pays sur une trajectoire de développement durable. </w:t>
      </w:r>
      <w:r>
        <w:rPr>
          <w:b/>
          <w:noProof/>
          <w:sz w:val="26"/>
        </w:rPr>
        <w:t>Les questions environnementales, notamment le changement climatique, seront prises en compte</w:t>
      </w:r>
      <w:r>
        <w:rPr>
          <w:noProof/>
          <w:sz w:val="26"/>
        </w:rPr>
        <w:t xml:space="preserve"> dans toutes les politiques concernées.</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L’UE et l’Arménie on</w:t>
      </w:r>
      <w:r>
        <w:rPr>
          <w:noProof/>
          <w:sz w:val="26"/>
        </w:rPr>
        <w:t>t établi une coopération efficace dans les domaines de l’</w:t>
      </w:r>
      <w:r>
        <w:rPr>
          <w:b/>
          <w:noProof/>
          <w:sz w:val="26"/>
        </w:rPr>
        <w:t>agriculture</w:t>
      </w:r>
      <w:r>
        <w:rPr>
          <w:noProof/>
          <w:sz w:val="26"/>
        </w:rPr>
        <w:t xml:space="preserve"> et du </w:t>
      </w:r>
      <w:r>
        <w:rPr>
          <w:b/>
          <w:noProof/>
          <w:sz w:val="26"/>
        </w:rPr>
        <w:t>développement régional et rural</w:t>
      </w:r>
      <w:r>
        <w:rPr>
          <w:noProof/>
          <w:sz w:val="26"/>
        </w:rPr>
        <w:t xml:space="preserve"> pour promouvoir la formation de groupements d’agriculteurs et la création de chaînes à valeur ajoutée dans toute l’Arménie. L'agriculture, y compris </w:t>
      </w:r>
      <w:r>
        <w:rPr>
          <w:noProof/>
          <w:sz w:val="26"/>
        </w:rPr>
        <w:t>de subsistance, offre des possibilités en termes de sécurité alimentaire et d’emploi informel, mais il est important de continuer à améliorer la compétitivité du secteur, notamment par des actions de renforcement des capacités et l’accès au financement. S’</w:t>
      </w:r>
      <w:r>
        <w:rPr>
          <w:noProof/>
          <w:sz w:val="26"/>
        </w:rPr>
        <w:t xml:space="preserve">appuyant sur les résultats obtenus par le passé et en coordination avec la réforme de l’administration publique à tous les niveaux, les parties continueront de renforcer la cohésion économique, sociale et territoriale </w:t>
      </w:r>
      <w:r>
        <w:rPr>
          <w:b/>
          <w:noProof/>
          <w:sz w:val="26"/>
        </w:rPr>
        <w:t>de l’ensemble des régions</w:t>
      </w:r>
      <w:r>
        <w:rPr>
          <w:noProof/>
          <w:sz w:val="26"/>
        </w:rPr>
        <w:t>.</w:t>
      </w:r>
      <w:bookmarkStart w:id="6" w:name="_Toc478995972"/>
      <w:bookmarkStart w:id="7" w:name="_Toc478995973"/>
      <w:bookmarkEnd w:id="6"/>
    </w:p>
    <w:p w:rsidR="00710218" w:rsidRDefault="00710218">
      <w:pPr>
        <w:spacing w:before="0" w:after="0"/>
        <w:rPr>
          <w:rFonts w:eastAsia="Calibri"/>
          <w:noProof/>
          <w:sz w:val="26"/>
          <w:szCs w:val="26"/>
        </w:rPr>
      </w:pPr>
    </w:p>
    <w:p w:rsidR="00710218" w:rsidRDefault="003D5E35">
      <w:pPr>
        <w:keepNext/>
        <w:spacing w:before="0" w:after="0" w:line="276" w:lineRule="auto"/>
        <w:jc w:val="left"/>
        <w:outlineLvl w:val="1"/>
        <w:rPr>
          <w:rFonts w:eastAsia="Calibri"/>
          <w:b/>
          <w:noProof/>
          <w:sz w:val="26"/>
          <w:szCs w:val="26"/>
        </w:rPr>
      </w:pPr>
      <w:r>
        <w:rPr>
          <w:b/>
          <w:noProof/>
          <w:sz w:val="26"/>
        </w:rPr>
        <w:t xml:space="preserve">3. </w:t>
      </w:r>
      <w:r>
        <w:rPr>
          <w:b/>
          <w:noProof/>
          <w:sz w:val="26"/>
        </w:rPr>
        <w:t>Connectivité, efficacité énergétique, environnement et action pour le climat</w:t>
      </w:r>
      <w:bookmarkEnd w:id="7"/>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Enclavée, l’Arménie doit surmonter ses problèmes de connectivité. À l’intérieur du pays également, certaines régions souffrent d’éloignement et de connexions limitées avec les ce</w:t>
      </w:r>
      <w:r>
        <w:rPr>
          <w:noProof/>
          <w:sz w:val="26"/>
        </w:rPr>
        <w:t>ntres d’activité économique, politique et sociale. La coopération avec l’UE et les autres pays du partenariat oriental, en particulier avec la Géorgie, dans les domaines ci-dessus, peut contribuer à atténuer les conséquences de la situation géographique de</w:t>
      </w:r>
      <w:r>
        <w:rPr>
          <w:noProof/>
          <w:sz w:val="26"/>
        </w:rPr>
        <w:t xml:space="preserve"> l’Arménie.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Parce qu’elle améliorerait les débouchés commerciaux, les transports, la logistique et les liens avec les chaînes de valeur, une meilleure connectivité intérieure et transfontalière permettrait de renforcer le potentiel de croissance de l’Armé</w:t>
      </w:r>
      <w:r>
        <w:rPr>
          <w:noProof/>
          <w:sz w:val="26"/>
        </w:rPr>
        <w:t>nie. Les transports routier, ferroviaire et aérien sont les principaux modes de transport en Arménie. Les principaux partenaires commerciaux de cette dernière étant l’UE, la Russie et la Chine, le fret est généralement acheminé par un service de transborde</w:t>
      </w:r>
      <w:r>
        <w:rPr>
          <w:noProof/>
          <w:sz w:val="26"/>
        </w:rPr>
        <w:t>urs ferroviaires depuis les ports géorgiens. Les parties coopéreront pour mettre au point des procédures de dédouanement rapides aux frontières, essentielles quel que soit le mode de transport pour éviter des retards coûteux.</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Les parties coopéreront égale</w:t>
      </w:r>
      <w:r>
        <w:rPr>
          <w:noProof/>
          <w:sz w:val="26"/>
        </w:rPr>
        <w:t xml:space="preserve">ment dans le cadre du </w:t>
      </w:r>
      <w:r>
        <w:rPr>
          <w:b/>
          <w:noProof/>
          <w:sz w:val="26"/>
        </w:rPr>
        <w:t>réseau transeuropéen de transport (RTE-T) global étendu</w:t>
      </w:r>
      <w:r>
        <w:rPr>
          <w:noProof/>
          <w:sz w:val="26"/>
        </w:rPr>
        <w:t>, sur la base de priorités clairement définies, pour améliorer l’accès de l’Arménie aux marchés internationaux. La coopération en matière de sécurité routière, qui portera à la fo</w:t>
      </w:r>
      <w:r>
        <w:rPr>
          <w:noProof/>
          <w:sz w:val="26"/>
        </w:rPr>
        <w:t>is sur les questions d’infrastructure et de politique, sera également encouragée. Il convient que les investissements dans les infrastructures soient respectueux de l’environnement et à l’épreuve du changement climatique.</w:t>
      </w:r>
    </w:p>
    <w:p w:rsidR="00710218" w:rsidRDefault="00710218">
      <w:pPr>
        <w:spacing w:before="0" w:after="0"/>
        <w:rPr>
          <w:rFonts w:eastAsia="Calibri"/>
          <w:noProof/>
          <w:sz w:val="26"/>
          <w:szCs w:val="26"/>
        </w:rPr>
      </w:pPr>
    </w:p>
    <w:p w:rsidR="00710218" w:rsidRDefault="003D5E35">
      <w:pPr>
        <w:spacing w:before="0" w:after="0"/>
        <w:rPr>
          <w:rFonts w:eastAsia="Calibri"/>
          <w:b/>
          <w:noProof/>
          <w:sz w:val="26"/>
          <w:szCs w:val="26"/>
        </w:rPr>
      </w:pPr>
      <w:r>
        <w:rPr>
          <w:noProof/>
          <w:sz w:val="26"/>
        </w:rPr>
        <w:t>Pour garantir des connexions effi</w:t>
      </w:r>
      <w:r>
        <w:rPr>
          <w:noProof/>
          <w:sz w:val="26"/>
        </w:rPr>
        <w:t xml:space="preserve">caces et le développement du marché au-delà du voisinage immédiat, il importe de poursuivre la réforme de l'aviation civile qui, à terme, devrait mener à la conclusion d’un </w:t>
      </w:r>
      <w:r>
        <w:rPr>
          <w:b/>
          <w:noProof/>
          <w:sz w:val="26"/>
        </w:rPr>
        <w:t>accord sur les services aériens</w:t>
      </w:r>
      <w:r>
        <w:rPr>
          <w:noProof/>
          <w:sz w:val="26"/>
        </w:rPr>
        <w:t xml:space="preserve"> avec l’UE.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b/>
          <w:noProof/>
          <w:sz w:val="26"/>
        </w:rPr>
        <w:t>La bonne gouvernance environnementale</w:t>
      </w:r>
      <w:r>
        <w:rPr>
          <w:noProof/>
        </w:rPr>
        <w:t xml:space="preserve"> </w:t>
      </w:r>
      <w:r>
        <w:rPr>
          <w:noProof/>
          <w:sz w:val="26"/>
        </w:rPr>
        <w:t>(</w:t>
      </w:r>
      <w:r>
        <w:rPr>
          <w:noProof/>
          <w:sz w:val="26"/>
        </w:rPr>
        <w:t>en particulier, l’utilisation des évaluations de l’incidence sur l’environnement et des évaluations stratégiques de l'impact sur l'environnement, l'accès à l’information en matière d’environnement et l’accès à la justice en matière d’environnement),</w:t>
      </w:r>
      <w:r>
        <w:rPr>
          <w:noProof/>
        </w:rPr>
        <w:t xml:space="preserve"> </w:t>
      </w:r>
      <w:r>
        <w:rPr>
          <w:b/>
          <w:noProof/>
          <w:sz w:val="26"/>
        </w:rPr>
        <w:t xml:space="preserve">ainsi </w:t>
      </w:r>
      <w:r>
        <w:rPr>
          <w:b/>
          <w:noProof/>
          <w:sz w:val="26"/>
        </w:rPr>
        <w:t>que la prise en compte de l’environnement et des questions climatiques dans les domaines d'action concernés</w:t>
      </w:r>
      <w:r>
        <w:rPr>
          <w:noProof/>
        </w:rPr>
        <w:t xml:space="preserve"> </w:t>
      </w:r>
      <w:r>
        <w:rPr>
          <w:noProof/>
          <w:sz w:val="26"/>
        </w:rPr>
        <w:t>jetteront des bases solides pour un développement durable. Les engagements dans le domaine de l’environnement qui sont inscrits dans le nouvel accor</w:t>
      </w:r>
      <w:r>
        <w:rPr>
          <w:noProof/>
          <w:sz w:val="26"/>
        </w:rPr>
        <w:t xml:space="preserve">d serviront de socle aux réformes qui s’imposent. Une </w:t>
      </w:r>
      <w:r>
        <w:rPr>
          <w:b/>
          <w:noProof/>
          <w:sz w:val="26"/>
        </w:rPr>
        <w:t>efficacité énergétique</w:t>
      </w:r>
      <w:r>
        <w:rPr>
          <w:noProof/>
          <w:sz w:val="26"/>
        </w:rPr>
        <w:t xml:space="preserve"> accrue générera rapidement des économies importantes et durables, tout en participant à la </w:t>
      </w:r>
      <w:r>
        <w:rPr>
          <w:b/>
          <w:noProof/>
          <w:sz w:val="26"/>
        </w:rPr>
        <w:t>transition</w:t>
      </w:r>
      <w:r>
        <w:rPr>
          <w:noProof/>
          <w:sz w:val="26"/>
        </w:rPr>
        <w:t xml:space="preserve"> vers une économie sobre en carbone et résiliente au changement climatique. Da</w:t>
      </w:r>
      <w:r>
        <w:rPr>
          <w:noProof/>
          <w:sz w:val="26"/>
        </w:rPr>
        <w:t>ns le secteur résidentiel, de telles actions peuvent être rattachées aux travaux de la convention des maires. Il est nécessaire de garantir des niveaux élevés de sûreté nucléaire sur la base des normes de l’Agence internationale de l’énergie atomique (AIEA</w:t>
      </w:r>
      <w:r>
        <w:rPr>
          <w:noProof/>
          <w:sz w:val="26"/>
        </w:rPr>
        <w:t>) et des normes et pratiques de l’UE, visées dans l’accord de partenariat global et renforcé.</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Un approvisionnement énergétique fiable à un coût abordable est une condition nécessaire au fonctionnement d’une société moderne et, pour que cette société moder</w:t>
      </w:r>
      <w:r>
        <w:rPr>
          <w:noProof/>
          <w:sz w:val="26"/>
        </w:rPr>
        <w:t>ne soit durable, il est indispensable de limiter les effets de cet approvisionnement sur l’environnement et le climat. Une utilisation plus efficace de l'énergie et des ressources, y compris dans le secteur résidentiel, et un recours accru aux énergies ren</w:t>
      </w:r>
      <w:r>
        <w:rPr>
          <w:noProof/>
          <w:sz w:val="26"/>
        </w:rPr>
        <w:t xml:space="preserve">ouvelables, rendus possibles par la mise en œuvre d’une législation reflétant l’état de la technique en matière d’efficacité énergétique, de sources d’énergie renouvelables et de marché de l’électricité, contribueront à la réalisation de cet objectif. Les </w:t>
      </w:r>
      <w:r>
        <w:rPr>
          <w:noProof/>
          <w:sz w:val="26"/>
        </w:rPr>
        <w:t>marchés publics dans le secteur des services et des infrastructures pourraient également jouer un rôle à cet effet.</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rPr>
        <w:t xml:space="preserve">La </w:t>
      </w:r>
      <w:r>
        <w:rPr>
          <w:b/>
          <w:noProof/>
          <w:sz w:val="26"/>
        </w:rPr>
        <w:t>sécurité énergétique</w:t>
      </w:r>
      <w:r>
        <w:rPr>
          <w:noProof/>
        </w:rPr>
        <w:t xml:space="preserve"> </w:t>
      </w:r>
      <w:r>
        <w:rPr>
          <w:noProof/>
          <w:sz w:val="26"/>
        </w:rPr>
        <w:t>peut également être renforcée par l'amélioration et l’augmentation des connexions avec les pays voisins. Il sera es</w:t>
      </w:r>
      <w:r>
        <w:rPr>
          <w:noProof/>
          <w:sz w:val="26"/>
        </w:rPr>
        <w:t>sentiel que l’Arménie continue à participer activement à la coopération multilatérale dans le cadre du partenariat oriental pour recenser les projets d’intérêt commun susceptibles de bénéficier du soutien financier de l’UE. Pour assurer la sûreté et la séc</w:t>
      </w:r>
      <w:r>
        <w:rPr>
          <w:noProof/>
          <w:sz w:val="26"/>
        </w:rPr>
        <w:t>urité énergétiques en Arménie, il est crucial de maintenir les efforts visant à garantir des niveaux élevés de sûreté nucléaire sur la base des normes de l’AIEA et des normes et pratiques de l’UE, visées dans l’accord de partenariat global et renforcé, d’a</w:t>
      </w:r>
      <w:r>
        <w:rPr>
          <w:noProof/>
          <w:sz w:val="26"/>
        </w:rPr>
        <w:t>méliorer l’efficacité énergétique et de favoriser les énergies renouvelables en fixant clairement des priorités en matière d’investissements.</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Enfin, la fermeture et le déclassement sécurisé de la centrale nucléaire de Medzamor et l'adoption rapide d’une f</w:t>
      </w:r>
      <w:r>
        <w:rPr>
          <w:noProof/>
          <w:sz w:val="26"/>
        </w:rPr>
        <w:t>euille de route/d’un plan d'action à cet effet resteront un objectif prioritaire compte tenu de la nécessité de remplacer cette centrale par de nouvelles capacités afin de garantir la sécurité énergétique de l’Arménie et de créer les conditions d'un dévelo</w:t>
      </w:r>
      <w:r>
        <w:rPr>
          <w:noProof/>
          <w:sz w:val="26"/>
        </w:rPr>
        <w:t>ppement durable.</w:t>
      </w:r>
      <w:bookmarkStart w:id="8" w:name="_Toc478995974"/>
      <w:bookmarkEnd w:id="8"/>
    </w:p>
    <w:p w:rsidR="00710218" w:rsidRDefault="00710218">
      <w:pPr>
        <w:spacing w:before="0" w:after="0"/>
        <w:rPr>
          <w:rFonts w:eastAsia="Calibri"/>
          <w:noProof/>
          <w:sz w:val="26"/>
          <w:szCs w:val="26"/>
        </w:rPr>
      </w:pPr>
    </w:p>
    <w:p w:rsidR="00710218" w:rsidRDefault="003D5E35">
      <w:pPr>
        <w:keepNext/>
        <w:spacing w:before="0" w:after="0" w:line="276" w:lineRule="auto"/>
        <w:jc w:val="left"/>
        <w:outlineLvl w:val="1"/>
        <w:rPr>
          <w:rFonts w:eastAsia="Calibri"/>
          <w:b/>
          <w:noProof/>
          <w:sz w:val="26"/>
          <w:szCs w:val="26"/>
        </w:rPr>
      </w:pPr>
      <w:bookmarkStart w:id="9" w:name="_Toc478995975"/>
      <w:r>
        <w:rPr>
          <w:b/>
          <w:noProof/>
          <w:sz w:val="26"/>
        </w:rPr>
        <w:t>4. Mobilité et contacts entre les personnes</w:t>
      </w:r>
      <w:bookmarkEnd w:id="9"/>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Les parties coopéreront en vue de faciliter la mobilité de leurs ressortissants et étendront la portée des contacts entre les personnes par des actions ciblées s'adressant notamment aux jeunes,</w:t>
      </w:r>
      <w:r>
        <w:rPr>
          <w:noProof/>
          <w:sz w:val="26"/>
        </w:rPr>
        <w:t xml:space="preserve"> aux étudiants, aux chercheurs, aux artistes, aux acteurs culturels et aux opérateurs économiques. L’UE mesure l’importance de la demande de l’Arménie d’entamer un dialogue sur la libéralisation du régime de visas et espère pouvoir envisager en temps voulu</w:t>
      </w:r>
      <w:r>
        <w:rPr>
          <w:noProof/>
          <w:sz w:val="26"/>
        </w:rPr>
        <w:t xml:space="preserve"> l’ouverture d’un tel dialogue.</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La gestion des flux migratoires reposera sur l'accord visant à faciliter la délivrance des visas/l’accord de réadmission. L’UE est consciente du rôle joué par l’Arménie dans l’accueil des réfugiés en provenance de Syrie, qu</w:t>
      </w:r>
      <w:r>
        <w:rPr>
          <w:noProof/>
          <w:sz w:val="26"/>
        </w:rPr>
        <w:t>i lui permet de prétendre à une aide au titre du</w:t>
      </w:r>
      <w:r>
        <w:rPr>
          <w:noProof/>
        </w:rPr>
        <w:t xml:space="preserve"> </w:t>
      </w:r>
      <w:hyperlink r:id="rId12">
        <w:r>
          <w:rPr>
            <w:noProof/>
            <w:sz w:val="26"/>
          </w:rPr>
          <w:t>fonds fiduciaire régional de l’Union européenne en réponse à la crise syrienne</w:t>
        </w:r>
      </w:hyperlink>
      <w:r>
        <w:rPr>
          <w:rStyle w:val="FootnoteReference"/>
          <w:noProof/>
          <w:sz w:val="26"/>
        </w:rPr>
        <w:footnoteReference w:id="3"/>
      </w:r>
      <w:r>
        <w:rPr>
          <w:noProof/>
        </w:rPr>
        <w:t>.</w:t>
      </w:r>
    </w:p>
    <w:p w:rsidR="00710218" w:rsidRDefault="00710218">
      <w:pPr>
        <w:spacing w:before="0" w:after="0"/>
        <w:rPr>
          <w:rFonts w:eastAsia="Calibri"/>
          <w:noProof/>
          <w:sz w:val="26"/>
          <w:szCs w:val="26"/>
        </w:rPr>
      </w:pPr>
    </w:p>
    <w:p w:rsidR="00710218" w:rsidRDefault="003D5E35">
      <w:pPr>
        <w:spacing w:before="0" w:after="0"/>
        <w:rPr>
          <w:rFonts w:eastAsia="Calibri"/>
          <w:noProof/>
          <w:sz w:val="26"/>
          <w:szCs w:val="26"/>
        </w:rPr>
      </w:pPr>
      <w:r>
        <w:rPr>
          <w:noProof/>
          <w:sz w:val="26"/>
        </w:rPr>
        <w:t>Faire face aux défis</w:t>
      </w:r>
      <w:r>
        <w:rPr>
          <w:noProof/>
          <w:sz w:val="26"/>
        </w:rPr>
        <w:t xml:space="preserve"> nés de la mondialisation du marché nécessite un ensemble solide de compétences à tous les niveaux, que ce soit au sein des entreprises ou de l’administration publique. </w:t>
      </w:r>
      <w:r>
        <w:rPr>
          <w:b/>
          <w:noProof/>
          <w:sz w:val="26"/>
        </w:rPr>
        <w:t>L’éducation des jeunes enfants, l’enseignement primaire, secondaire et supérieur, et l’</w:t>
      </w:r>
      <w:r>
        <w:rPr>
          <w:b/>
          <w:noProof/>
          <w:sz w:val="26"/>
        </w:rPr>
        <w:t>enseignement et la formation professionnels</w:t>
      </w:r>
      <w:r>
        <w:rPr>
          <w:noProof/>
          <w:sz w:val="26"/>
        </w:rPr>
        <w:t>, ainsi que la coopération entre les systèmes d’éducation et de formation, d’une part, et les entreprises, d’autre part, sont autant d'aspects à renforcer afin qu’ils puissent contribuer pleinement au développemen</w:t>
      </w:r>
      <w:r>
        <w:rPr>
          <w:noProof/>
          <w:sz w:val="26"/>
        </w:rPr>
        <w:t>t de ces compétences. Une attention particulière sera accordée à la recherche et à l’</w:t>
      </w:r>
      <w:r>
        <w:rPr>
          <w:b/>
          <w:noProof/>
          <w:sz w:val="26"/>
        </w:rPr>
        <w:t>innovation</w:t>
      </w:r>
      <w:r>
        <w:rPr>
          <w:noProof/>
          <w:sz w:val="26"/>
        </w:rPr>
        <w:t xml:space="preserve"> à la suite de l’association de l’Arménie au programme Horizon 2020.</w:t>
      </w:r>
    </w:p>
    <w:sectPr w:rsidR="00710218">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18" w:rsidRDefault="003D5E35">
      <w:pPr>
        <w:spacing w:before="0" w:after="0"/>
      </w:pPr>
      <w:r>
        <w:separator/>
      </w:r>
    </w:p>
  </w:endnote>
  <w:endnote w:type="continuationSeparator" w:id="0">
    <w:p w:rsidR="00710218" w:rsidRDefault="003D5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18" w:rsidRDefault="003D5E35">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18" w:rsidRDefault="003D5E35">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18" w:rsidRDefault="00710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18" w:rsidRDefault="003D5E35">
      <w:pPr>
        <w:spacing w:before="0" w:after="0"/>
      </w:pPr>
      <w:r>
        <w:separator/>
      </w:r>
    </w:p>
  </w:footnote>
  <w:footnote w:type="continuationSeparator" w:id="0">
    <w:p w:rsidR="00710218" w:rsidRDefault="003D5E35">
      <w:pPr>
        <w:spacing w:before="0" w:after="0"/>
      </w:pPr>
      <w:r>
        <w:continuationSeparator/>
      </w:r>
    </w:p>
  </w:footnote>
  <w:footnote w:id="1">
    <w:p w:rsidR="00710218" w:rsidRDefault="003D5E35">
      <w:pPr>
        <w:pStyle w:val="FootnoteText"/>
      </w:pPr>
      <w:r>
        <w:rPr>
          <w:rStyle w:val="FootnoteReference"/>
        </w:rPr>
        <w:footnoteRef/>
      </w:r>
      <w:r>
        <w:tab/>
      </w:r>
      <w:r>
        <w:t>JOIN(2015) 50 final du 18.11.2015.</w:t>
      </w:r>
    </w:p>
  </w:footnote>
  <w:footnote w:id="2">
    <w:p w:rsidR="00710218" w:rsidRDefault="003D5E35">
      <w:pPr>
        <w:pStyle w:val="FootnoteText"/>
      </w:pPr>
      <w:r>
        <w:rPr>
          <w:rStyle w:val="FootnoteReference"/>
        </w:rPr>
        <w:footnoteRef/>
      </w:r>
      <w:r>
        <w:tab/>
        <w:t>Voir les quatre titres à la partie II. Priorités</w:t>
      </w:r>
    </w:p>
  </w:footnote>
  <w:footnote w:id="3">
    <w:p w:rsidR="00710218" w:rsidRDefault="003D5E35">
      <w:pPr>
        <w:pStyle w:val="FootnoteText"/>
      </w:pPr>
      <w:r>
        <w:rPr>
          <w:rStyle w:val="FootnoteReference"/>
        </w:rPr>
        <w:footnoteRef/>
      </w:r>
      <w:r>
        <w:tab/>
        <w:t xml:space="preserve">Décision de la Commission du 10 décembre 2014 portant établissement d'un fonds fiduciaire régional de l'Union européenne en réponse à la crise syrienne, le «fonds </w:t>
      </w:r>
      <w:proofErr w:type="spellStart"/>
      <w:r>
        <w:t>Madad</w:t>
      </w:r>
      <w:proofErr w:type="spellEnd"/>
      <w:r>
        <w:t xml:space="preserve">» [C(2014) 9615].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86A9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66B7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9688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400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DE5F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0E52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8EFA6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6EF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6 13:03: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6"/>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35DE50B5008422D91B4E6E36DE3024A"/>
    <w:docVar w:name="LW_CROSSREFERENCE" w:val="&lt;UNUSED&gt;"/>
    <w:docVar w:name="LW_DocType" w:val="ANNEX"/>
    <w:docVar w:name="LW_EMISSION" w:val="10.7.2017"/>
    <w:docVar w:name="LW_EMISSION_ISODATE" w:val="2017-07-10"/>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 w:val="relative à la position à adopter par l\u8217?Union au sein du Conseil de coopération institué par l'accord de partenariat et de coopération entre les Communautés européennes et leurs États membres, d'une part, et la République d'Arménie, d'autre part_x000b_"/>
    <w:docVar w:name="LW_OBJETACTEPRINCIPAL.CP" w:val="relative à la position à adopter par l\u8217?Union au sein du Conseil de coopération institué par l'accord de partenariat et de coopération entre les Communautés européennes et leurs États membres, d'une part, et la République d'Arménie, d'autre part_x000b_"/>
    <w:docVar w:name="LW_PART_NBR" w:val="1"/>
    <w:docVar w:name="LW_PART_NBR_TOTAL" w:val="1"/>
    <w:docVar w:name="LW_REF.INST.NEW" w:val="JOIN"/>
    <w:docVar w:name="LW_REF.INST.NEW_ADOPTED" w:val="final"/>
    <w:docVar w:name="LW_REF.INST.NEW_TEXT" w:val="(2017) 24"/>
    <w:docVar w:name="LW_REF.INTERNE" w:val="&lt;UNUSED&gt;"/>
    <w:docVar w:name="LW_SUPERTITRE" w:val="&lt;UNUSED&gt;"/>
    <w:docVar w:name="LW_TITRE.OBJ.CP" w:val="&lt;UNUSED&gt;"/>
    <w:docVar w:name="LW_TYPE.DOC" w:val="ANNEXE"/>
    <w:docVar w:name="LW_TYPE.DOC.CP" w:val="ANNEXE"/>
    <w:docVar w:name="LW_TYPEACTEPRINCIPAL" w:val="proposition conjointe de_x000b_DÉCISION DU CONSEIL"/>
    <w:docVar w:name="LW_TYPEACTEPRINCIPAL.CP" w:val="proposition conjointe de_x000b_DÉCISION DU CONSEIL"/>
  </w:docVars>
  <w:rsids>
    <w:rsidRoot w:val="00710218"/>
    <w:rsid w:val="003D5E35"/>
    <w:rsid w:val="0071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neighbourhood-enlargement/neighbourhood/countries/syria/madad_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BARTH Carmen (SG)</cp:lastModifiedBy>
  <cp:revision>8</cp:revision>
  <dcterms:created xsi:type="dcterms:W3CDTF">2017-07-04T10:09:00Z</dcterms:created>
  <dcterms:modified xsi:type="dcterms:W3CDTF">2017-07-06T11:29:00Z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Yellow (DQC version 03)</vt:lpwstr>
  </property>
</Properties>
</file>